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F4A9B" w14:textId="77777777" w:rsidR="00C02203" w:rsidRPr="00787196" w:rsidRDefault="00C02203" w:rsidP="00C02203">
      <w:pPr>
        <w:widowControl w:val="0"/>
        <w:spacing w:before="0" w:after="0" w:line="240" w:lineRule="auto"/>
        <w:ind w:left="1827"/>
        <w:rPr>
          <w:rFonts w:ascii="Times New Roman" w:eastAsia="Times New Roman" w:hAnsi="Times New Roman" w:cs="Times New Roman"/>
          <w:sz w:val="20"/>
          <w:szCs w:val="24"/>
          <w:lang w:eastAsia="en-US" w:bidi="ar-SA"/>
        </w:rPr>
      </w:pPr>
      <w:r w:rsidRPr="00787196">
        <w:rPr>
          <w:rFonts w:ascii="Times New Roman" w:eastAsia="Times New Roman" w:hAnsi="Times New Roman" w:cs="Times New Roman"/>
          <w:noProof/>
          <w:sz w:val="20"/>
          <w:szCs w:val="24"/>
        </w:rPr>
        <w:drawing>
          <wp:inline distT="0" distB="0" distL="0" distR="0" wp14:anchorId="685A97FB" wp14:editId="6DE04C37">
            <wp:extent cx="3074035" cy="1119505"/>
            <wp:effectExtent l="0" t="0" r="0" b="4445"/>
            <wp:docPr id="9" name="image1.jpeg"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1119505"/>
                    </a:xfrm>
                    <a:prstGeom prst="rect">
                      <a:avLst/>
                    </a:prstGeom>
                    <a:noFill/>
                    <a:ln>
                      <a:noFill/>
                    </a:ln>
                    <a:effectLst/>
                  </pic:spPr>
                </pic:pic>
              </a:graphicData>
            </a:graphic>
          </wp:inline>
        </w:drawing>
      </w:r>
    </w:p>
    <w:p w14:paraId="2DAE018A" w14:textId="77777777" w:rsidR="00C02203" w:rsidRPr="00787196" w:rsidRDefault="00C02203" w:rsidP="00C02203">
      <w:pPr>
        <w:widowControl w:val="0"/>
        <w:spacing w:before="0" w:after="0" w:line="240" w:lineRule="auto"/>
        <w:rPr>
          <w:rFonts w:ascii="Times New Roman" w:eastAsia="Times New Roman" w:hAnsi="Times New Roman" w:cs="Times New Roman"/>
          <w:sz w:val="20"/>
          <w:szCs w:val="24"/>
          <w:lang w:eastAsia="en-US" w:bidi="ar-SA"/>
        </w:rPr>
      </w:pPr>
    </w:p>
    <w:p w14:paraId="077DCDD3" w14:textId="77777777" w:rsidR="00C02203" w:rsidRPr="00787196" w:rsidRDefault="00C02203" w:rsidP="00C02203">
      <w:pPr>
        <w:widowControl w:val="0"/>
        <w:spacing w:before="0" w:after="0" w:line="240" w:lineRule="auto"/>
        <w:rPr>
          <w:rFonts w:ascii="Times New Roman" w:eastAsia="Times New Roman" w:hAnsi="Times New Roman" w:cs="Times New Roman"/>
          <w:sz w:val="20"/>
          <w:szCs w:val="24"/>
          <w:lang w:eastAsia="en-US" w:bidi="ar-SA"/>
        </w:rPr>
      </w:pPr>
    </w:p>
    <w:p w14:paraId="004DBE18" w14:textId="77777777" w:rsidR="00C02203" w:rsidRPr="00787196" w:rsidRDefault="00C02203" w:rsidP="00C02203">
      <w:pPr>
        <w:widowControl w:val="0"/>
        <w:spacing w:before="0" w:after="0" w:line="240" w:lineRule="auto"/>
        <w:rPr>
          <w:rFonts w:ascii="Times New Roman" w:eastAsia="Times New Roman" w:hAnsi="Times New Roman" w:cs="Times New Roman"/>
          <w:sz w:val="20"/>
          <w:szCs w:val="24"/>
          <w:lang w:eastAsia="en-US" w:bidi="ar-SA"/>
        </w:rPr>
      </w:pPr>
    </w:p>
    <w:p w14:paraId="4182592A" w14:textId="77777777" w:rsidR="00C02203" w:rsidRPr="00787196" w:rsidRDefault="00C02203" w:rsidP="00C02203">
      <w:pPr>
        <w:widowControl w:val="0"/>
        <w:spacing w:before="0" w:after="0" w:line="240" w:lineRule="auto"/>
        <w:rPr>
          <w:rFonts w:ascii="Times New Roman" w:eastAsia="Times New Roman" w:hAnsi="Times New Roman" w:cs="Times New Roman"/>
          <w:sz w:val="20"/>
          <w:szCs w:val="24"/>
          <w:lang w:eastAsia="en-US" w:bidi="ar-SA"/>
        </w:rPr>
      </w:pPr>
    </w:p>
    <w:p w14:paraId="40A36DCF" w14:textId="77777777" w:rsidR="00C02203" w:rsidRPr="00787196" w:rsidRDefault="00C02203" w:rsidP="00C02203">
      <w:pPr>
        <w:widowControl w:val="0"/>
        <w:spacing w:before="0" w:after="0" w:line="240" w:lineRule="auto"/>
        <w:rPr>
          <w:rFonts w:ascii="Times New Roman" w:eastAsia="Times New Roman" w:hAnsi="Times New Roman" w:cs="Times New Roman"/>
          <w:sz w:val="20"/>
          <w:szCs w:val="24"/>
          <w:lang w:eastAsia="en-US" w:bidi="ar-SA"/>
        </w:rPr>
      </w:pPr>
    </w:p>
    <w:p w14:paraId="3A06F09B" w14:textId="77777777" w:rsidR="00C02203" w:rsidRPr="00787196" w:rsidRDefault="00C02203" w:rsidP="00C02203">
      <w:pPr>
        <w:widowControl w:val="0"/>
        <w:spacing w:before="4" w:after="0" w:line="240" w:lineRule="auto"/>
        <w:rPr>
          <w:rFonts w:ascii="Times New Roman" w:eastAsia="Times New Roman" w:hAnsi="Times New Roman" w:cs="Times New Roman"/>
          <w:sz w:val="27"/>
          <w:szCs w:val="24"/>
          <w:lang w:eastAsia="en-US" w:bidi="ar-SA"/>
        </w:rPr>
      </w:pPr>
    </w:p>
    <w:p w14:paraId="2F7B0457" w14:textId="47B34FA3" w:rsidR="00C02203" w:rsidRPr="00787196" w:rsidRDefault="00573F82" w:rsidP="00047C31">
      <w:pPr>
        <w:widowControl w:val="0"/>
        <w:spacing w:before="0" w:after="0" w:line="240" w:lineRule="auto"/>
        <w:ind w:right="34"/>
        <w:jc w:val="center"/>
        <w:rPr>
          <w:rFonts w:ascii="Times New Roman" w:eastAsia="Times New Roman" w:hAnsi="Times New Roman" w:cs="Times New Roman"/>
          <w:b/>
          <w:sz w:val="44"/>
          <w:szCs w:val="44"/>
          <w:lang w:eastAsia="en-US" w:bidi="ar-SA"/>
        </w:rPr>
      </w:pPr>
      <w:r w:rsidRPr="00787196">
        <w:rPr>
          <w:rFonts w:ascii="TUOS Stephenson" w:eastAsia="Times New Roman" w:hAnsi="TUOS Stephenson" w:cs="Times New Roman"/>
          <w:b/>
          <w:color w:val="1C1C1C"/>
          <w:sz w:val="44"/>
          <w:szCs w:val="44"/>
          <w:lang w:eastAsia="en-US" w:bidi="ar-SA"/>
        </w:rPr>
        <w:t>Do Coping Strategies Determine Denture Success to Improve Oral Health Related Quality of Life</w:t>
      </w:r>
      <w:r w:rsidR="00C02203" w:rsidRPr="00787196">
        <w:rPr>
          <w:rFonts w:ascii="TUOS Stephenson" w:eastAsia="Times New Roman" w:hAnsi="TUOS Stephenson" w:cs="Times New Roman"/>
          <w:b/>
          <w:color w:val="1C1C1C"/>
          <w:sz w:val="44"/>
          <w:szCs w:val="44"/>
          <w:lang w:eastAsia="en-US" w:bidi="ar-SA"/>
        </w:rPr>
        <w:t>?</w:t>
      </w:r>
    </w:p>
    <w:p w14:paraId="1D625965" w14:textId="77777777" w:rsidR="00C02203" w:rsidRPr="00787196" w:rsidRDefault="00C02203" w:rsidP="00C02203">
      <w:pPr>
        <w:widowControl w:val="0"/>
        <w:spacing w:before="0" w:after="0" w:line="240" w:lineRule="auto"/>
        <w:rPr>
          <w:rFonts w:ascii="Times New Roman" w:eastAsia="Times New Roman" w:hAnsi="Times New Roman" w:cs="Times New Roman"/>
          <w:b/>
          <w:sz w:val="28"/>
          <w:szCs w:val="24"/>
          <w:lang w:eastAsia="en-US" w:bidi="ar-SA"/>
        </w:rPr>
      </w:pPr>
    </w:p>
    <w:p w14:paraId="610C3EB9" w14:textId="77777777" w:rsidR="00C02203" w:rsidRPr="00787196" w:rsidRDefault="00C02203" w:rsidP="00C02203">
      <w:pPr>
        <w:widowControl w:val="0"/>
        <w:spacing w:before="0" w:after="0" w:line="240" w:lineRule="auto"/>
        <w:rPr>
          <w:rFonts w:ascii="Times New Roman" w:eastAsia="Times New Roman" w:hAnsi="Times New Roman" w:cs="Times New Roman"/>
          <w:b/>
          <w:sz w:val="28"/>
          <w:szCs w:val="24"/>
          <w:lang w:eastAsia="en-US" w:bidi="ar-SA"/>
        </w:rPr>
      </w:pPr>
    </w:p>
    <w:p w14:paraId="2DCF208A" w14:textId="77777777" w:rsidR="00C02203" w:rsidRPr="00787196" w:rsidRDefault="00C02203" w:rsidP="00C02203">
      <w:pPr>
        <w:widowControl w:val="0"/>
        <w:spacing w:before="182" w:after="0" w:line="240" w:lineRule="auto"/>
        <w:ind w:left="617" w:right="618"/>
        <w:jc w:val="center"/>
        <w:rPr>
          <w:rFonts w:ascii="TUOS Stephenson" w:eastAsia="Times New Roman" w:hAnsi="TUOS Stephenson" w:cs="Times New Roman"/>
          <w:b/>
          <w:lang w:eastAsia="en-US" w:bidi="ar-SA"/>
        </w:rPr>
      </w:pPr>
      <w:r w:rsidRPr="00787196">
        <w:rPr>
          <w:rFonts w:ascii="TUOS Stephenson" w:eastAsia="Times New Roman" w:hAnsi="TUOS Stephenson" w:cs="Times New Roman"/>
          <w:b/>
          <w:lang w:eastAsia="en-US" w:bidi="ar-SA"/>
        </w:rPr>
        <w:t>By:</w:t>
      </w:r>
    </w:p>
    <w:p w14:paraId="7E202618" w14:textId="77777777" w:rsidR="00C02203" w:rsidRPr="00787196" w:rsidRDefault="00C02203" w:rsidP="00C02203">
      <w:pPr>
        <w:widowControl w:val="0"/>
        <w:spacing w:before="7" w:after="0" w:line="240" w:lineRule="auto"/>
        <w:rPr>
          <w:rFonts w:ascii="Times New Roman" w:eastAsia="Times New Roman" w:hAnsi="Times New Roman" w:cs="Times New Roman"/>
          <w:b/>
          <w:sz w:val="23"/>
          <w:szCs w:val="24"/>
          <w:lang w:eastAsia="en-US" w:bidi="ar-SA"/>
        </w:rPr>
      </w:pPr>
    </w:p>
    <w:p w14:paraId="3262705D" w14:textId="3DEAF095" w:rsidR="00C02203" w:rsidRPr="00787196" w:rsidRDefault="00C02203" w:rsidP="00C02203">
      <w:pPr>
        <w:widowControl w:val="0"/>
        <w:spacing w:before="1" w:after="0" w:line="240" w:lineRule="auto"/>
        <w:ind w:left="618" w:right="618"/>
        <w:jc w:val="center"/>
        <w:rPr>
          <w:rFonts w:ascii="TUOS Blake" w:eastAsia="Times New Roman" w:hAnsi="TUOS Blake" w:cs="Times New Roman"/>
          <w:sz w:val="32"/>
          <w:szCs w:val="24"/>
          <w:lang w:eastAsia="en-US" w:bidi="ar-SA"/>
        </w:rPr>
      </w:pPr>
      <w:r w:rsidRPr="00787196">
        <w:rPr>
          <w:rFonts w:ascii="TUOS Blake" w:eastAsia="Times New Roman" w:hAnsi="TUOS Blake" w:cs="Times New Roman"/>
          <w:sz w:val="32"/>
          <w:szCs w:val="24"/>
          <w:lang w:eastAsia="en-US" w:bidi="ar-SA"/>
        </w:rPr>
        <w:t>Karthik Pranab Singh Periyakaruppiah</w:t>
      </w:r>
    </w:p>
    <w:p w14:paraId="057D6D31" w14:textId="77777777" w:rsidR="00C02203" w:rsidRPr="00787196" w:rsidRDefault="00C02203" w:rsidP="00C02203">
      <w:pPr>
        <w:widowControl w:val="0"/>
        <w:spacing w:before="0" w:after="0" w:line="240" w:lineRule="auto"/>
        <w:rPr>
          <w:rFonts w:ascii="Times New Roman" w:eastAsia="Times New Roman" w:hAnsi="Times New Roman" w:cs="Times New Roman"/>
          <w:sz w:val="28"/>
          <w:szCs w:val="24"/>
          <w:lang w:eastAsia="en-US" w:bidi="ar-SA"/>
        </w:rPr>
      </w:pPr>
    </w:p>
    <w:p w14:paraId="37D29644" w14:textId="77777777" w:rsidR="00C02203" w:rsidRPr="00787196" w:rsidRDefault="00C02203" w:rsidP="00C02203">
      <w:pPr>
        <w:widowControl w:val="0"/>
        <w:spacing w:before="0" w:after="0" w:line="240" w:lineRule="auto"/>
        <w:rPr>
          <w:rFonts w:ascii="Times New Roman" w:eastAsia="Times New Roman" w:hAnsi="Times New Roman" w:cs="Times New Roman"/>
          <w:sz w:val="28"/>
          <w:szCs w:val="24"/>
          <w:lang w:eastAsia="en-US" w:bidi="ar-SA"/>
        </w:rPr>
      </w:pPr>
    </w:p>
    <w:p w14:paraId="24DB81A7" w14:textId="77777777" w:rsidR="00C02203" w:rsidRPr="00787196" w:rsidRDefault="00C02203" w:rsidP="00C02203">
      <w:pPr>
        <w:widowControl w:val="0"/>
        <w:spacing w:before="0" w:after="0" w:line="240" w:lineRule="auto"/>
        <w:rPr>
          <w:rFonts w:ascii="Times New Roman" w:eastAsia="Times New Roman" w:hAnsi="Times New Roman" w:cs="Times New Roman"/>
          <w:sz w:val="28"/>
          <w:szCs w:val="24"/>
          <w:lang w:eastAsia="en-US" w:bidi="ar-SA"/>
        </w:rPr>
      </w:pPr>
    </w:p>
    <w:p w14:paraId="14099A12" w14:textId="77777777" w:rsidR="00C02203" w:rsidRPr="00787196" w:rsidRDefault="00C02203" w:rsidP="00C02203">
      <w:pPr>
        <w:widowControl w:val="0"/>
        <w:spacing w:before="184" w:after="0" w:line="240" w:lineRule="auto"/>
        <w:ind w:left="619" w:right="618"/>
        <w:jc w:val="center"/>
        <w:rPr>
          <w:rFonts w:ascii="TUOS Blake" w:eastAsia="Times New Roman" w:hAnsi="TUOS Blake" w:cs="Times New Roman"/>
          <w:sz w:val="28"/>
          <w:szCs w:val="28"/>
          <w:lang w:eastAsia="en-US" w:bidi="ar-SA"/>
        </w:rPr>
      </w:pPr>
      <w:r w:rsidRPr="00787196">
        <w:rPr>
          <w:rFonts w:ascii="TUOS Blake" w:eastAsia="Times New Roman" w:hAnsi="TUOS Blake" w:cs="Times New Roman"/>
          <w:sz w:val="28"/>
          <w:szCs w:val="28"/>
          <w:lang w:eastAsia="en-US" w:bidi="ar-SA"/>
        </w:rPr>
        <w:t>A thesis submitted in partial fulfilment of the requirements for the degree of Doctor of Philosophy</w:t>
      </w:r>
    </w:p>
    <w:p w14:paraId="4F685312" w14:textId="77777777" w:rsidR="00C02203" w:rsidRPr="00787196" w:rsidRDefault="00C02203" w:rsidP="00C02203">
      <w:pPr>
        <w:widowControl w:val="0"/>
        <w:spacing w:before="0" w:after="0" w:line="240" w:lineRule="auto"/>
        <w:rPr>
          <w:rFonts w:ascii="TUOS Blake" w:eastAsia="Times New Roman" w:hAnsi="TUOS Blake" w:cs="Times New Roman"/>
          <w:szCs w:val="24"/>
          <w:lang w:eastAsia="en-US" w:bidi="ar-SA"/>
        </w:rPr>
      </w:pPr>
    </w:p>
    <w:p w14:paraId="7047ABA8" w14:textId="77777777" w:rsidR="00C02203" w:rsidRPr="00787196" w:rsidRDefault="00C02203" w:rsidP="00C02203">
      <w:pPr>
        <w:widowControl w:val="0"/>
        <w:spacing w:before="0" w:after="0" w:line="240" w:lineRule="auto"/>
        <w:rPr>
          <w:rFonts w:ascii="Times New Roman" w:eastAsia="Times New Roman" w:hAnsi="Times New Roman" w:cs="Times New Roman"/>
          <w:szCs w:val="24"/>
          <w:lang w:eastAsia="en-US" w:bidi="ar-SA"/>
        </w:rPr>
      </w:pPr>
    </w:p>
    <w:p w14:paraId="08914F3C" w14:textId="77777777" w:rsidR="00C02203" w:rsidRPr="00787196" w:rsidRDefault="00C02203" w:rsidP="00C02203">
      <w:pPr>
        <w:widowControl w:val="0"/>
        <w:spacing w:before="0" w:after="0" w:line="240" w:lineRule="auto"/>
        <w:rPr>
          <w:rFonts w:ascii="Times New Roman" w:eastAsia="Times New Roman" w:hAnsi="Times New Roman" w:cs="Times New Roman"/>
          <w:szCs w:val="24"/>
          <w:lang w:eastAsia="en-US" w:bidi="ar-SA"/>
        </w:rPr>
      </w:pPr>
    </w:p>
    <w:p w14:paraId="4999665F" w14:textId="77777777" w:rsidR="00C02203" w:rsidRPr="00787196" w:rsidRDefault="00C02203" w:rsidP="00C02203">
      <w:pPr>
        <w:widowControl w:val="0"/>
        <w:spacing w:before="0" w:after="0" w:line="240" w:lineRule="auto"/>
        <w:rPr>
          <w:rFonts w:ascii="Times New Roman" w:eastAsia="Times New Roman" w:hAnsi="Times New Roman" w:cs="Times New Roman"/>
          <w:szCs w:val="24"/>
          <w:lang w:eastAsia="en-US" w:bidi="ar-SA"/>
        </w:rPr>
      </w:pPr>
    </w:p>
    <w:p w14:paraId="1CF91F7C" w14:textId="77777777" w:rsidR="00C02203" w:rsidRPr="00787196" w:rsidRDefault="00C02203" w:rsidP="00C02203">
      <w:pPr>
        <w:widowControl w:val="0"/>
        <w:spacing w:before="0" w:after="0" w:line="240" w:lineRule="auto"/>
        <w:rPr>
          <w:rFonts w:ascii="Times New Roman" w:eastAsia="Times New Roman" w:hAnsi="Times New Roman" w:cs="Times New Roman"/>
          <w:szCs w:val="24"/>
          <w:lang w:eastAsia="en-US" w:bidi="ar-SA"/>
        </w:rPr>
      </w:pPr>
    </w:p>
    <w:p w14:paraId="7774EFB8" w14:textId="77777777" w:rsidR="00573F82" w:rsidRPr="00787196" w:rsidRDefault="003A2DD8" w:rsidP="00573F82">
      <w:pPr>
        <w:widowControl w:val="0"/>
        <w:tabs>
          <w:tab w:val="left" w:pos="6237"/>
          <w:tab w:val="left" w:pos="6804"/>
        </w:tabs>
        <w:spacing w:before="0" w:after="0" w:line="240" w:lineRule="auto"/>
        <w:ind w:left="2268" w:right="2222" w:hanging="425"/>
        <w:jc w:val="center"/>
        <w:rPr>
          <w:rFonts w:ascii="TUOS Blake" w:eastAsia="Times New Roman" w:hAnsi="TUOS Blake" w:cs="Times New Roman"/>
          <w:sz w:val="28"/>
          <w:szCs w:val="28"/>
          <w:lang w:eastAsia="en-US" w:bidi="ar-SA"/>
        </w:rPr>
      </w:pPr>
      <w:r w:rsidRPr="00787196">
        <w:rPr>
          <w:rFonts w:ascii="TUOS Blake" w:eastAsia="Times New Roman" w:hAnsi="TUOS Blake" w:cs="Times New Roman"/>
          <w:sz w:val="28"/>
          <w:szCs w:val="28"/>
          <w:lang w:eastAsia="en-US" w:bidi="ar-SA"/>
        </w:rPr>
        <w:t xml:space="preserve"> </w:t>
      </w:r>
      <w:r w:rsidR="00C02203" w:rsidRPr="00787196">
        <w:rPr>
          <w:rFonts w:ascii="TUOS Blake" w:eastAsia="Times New Roman" w:hAnsi="TUOS Blake" w:cs="Times New Roman"/>
          <w:sz w:val="28"/>
          <w:szCs w:val="28"/>
          <w:lang w:eastAsia="en-US" w:bidi="ar-SA"/>
        </w:rPr>
        <w:t xml:space="preserve">The University of Sheffield </w:t>
      </w:r>
    </w:p>
    <w:p w14:paraId="668DA6A5" w14:textId="39F7EE12" w:rsidR="00C02203" w:rsidRPr="00787196" w:rsidRDefault="003A2DD8" w:rsidP="00573F82">
      <w:pPr>
        <w:widowControl w:val="0"/>
        <w:spacing w:before="0" w:after="0" w:line="240" w:lineRule="auto"/>
        <w:ind w:left="1560" w:right="1841"/>
        <w:rPr>
          <w:rFonts w:ascii="TUOS Blake" w:eastAsia="Times New Roman" w:hAnsi="TUOS Blake" w:cs="Times New Roman"/>
          <w:sz w:val="28"/>
          <w:szCs w:val="28"/>
          <w:lang w:eastAsia="en-US" w:bidi="ar-SA"/>
        </w:rPr>
      </w:pPr>
      <w:r w:rsidRPr="00787196">
        <w:rPr>
          <w:rFonts w:ascii="TUOS Blake" w:eastAsia="Times New Roman" w:hAnsi="TUOS Blake" w:cs="Times New Roman"/>
          <w:sz w:val="28"/>
          <w:szCs w:val="28"/>
          <w:lang w:eastAsia="en-US" w:bidi="ar-SA"/>
        </w:rPr>
        <w:t xml:space="preserve">Faculty of Medicine, Dentistry </w:t>
      </w:r>
      <w:r w:rsidR="00C02203" w:rsidRPr="00787196">
        <w:rPr>
          <w:rFonts w:ascii="TUOS Blake" w:eastAsia="Times New Roman" w:hAnsi="TUOS Blake" w:cs="Times New Roman"/>
          <w:sz w:val="28"/>
          <w:szCs w:val="28"/>
          <w:lang w:eastAsia="en-US" w:bidi="ar-SA"/>
        </w:rPr>
        <w:t>and Health</w:t>
      </w:r>
    </w:p>
    <w:p w14:paraId="633EE42D" w14:textId="51BD3767" w:rsidR="00C02203" w:rsidRPr="00787196" w:rsidRDefault="00C02203" w:rsidP="00573F82">
      <w:pPr>
        <w:widowControl w:val="0"/>
        <w:tabs>
          <w:tab w:val="left" w:pos="6804"/>
        </w:tabs>
        <w:spacing w:before="2" w:after="0" w:line="240" w:lineRule="auto"/>
        <w:ind w:left="3544" w:right="2222" w:hanging="1134"/>
        <w:rPr>
          <w:rFonts w:ascii="TUOS Blake" w:eastAsia="Times New Roman" w:hAnsi="TUOS Blake" w:cs="Times New Roman"/>
          <w:sz w:val="28"/>
          <w:szCs w:val="28"/>
          <w:lang w:eastAsia="en-US" w:bidi="ar-SA"/>
        </w:rPr>
      </w:pPr>
      <w:r w:rsidRPr="00787196">
        <w:rPr>
          <w:rFonts w:ascii="TUOS Blake" w:eastAsia="Times New Roman" w:hAnsi="TUOS Blake" w:cs="Times New Roman"/>
          <w:sz w:val="28"/>
          <w:szCs w:val="28"/>
          <w:lang w:eastAsia="en-US" w:bidi="ar-SA"/>
        </w:rPr>
        <w:t>School of Clinical Dentistry</w:t>
      </w:r>
    </w:p>
    <w:p w14:paraId="53E9B768" w14:textId="13A9D66C" w:rsidR="00C02203" w:rsidRPr="00787196" w:rsidRDefault="00C02203" w:rsidP="00573F82">
      <w:pPr>
        <w:widowControl w:val="0"/>
        <w:tabs>
          <w:tab w:val="left" w:pos="6804"/>
        </w:tabs>
        <w:spacing w:before="2" w:after="0" w:line="240" w:lineRule="auto"/>
        <w:ind w:left="3544" w:right="2222" w:hanging="1134"/>
        <w:rPr>
          <w:rFonts w:ascii="TUOS Blake" w:eastAsia="Times New Roman" w:hAnsi="TUOS Blake" w:cs="Times New Roman"/>
          <w:sz w:val="28"/>
          <w:szCs w:val="28"/>
          <w:lang w:eastAsia="en-US" w:bidi="ar-SA"/>
        </w:rPr>
      </w:pPr>
      <w:r w:rsidRPr="00787196">
        <w:rPr>
          <w:rFonts w:ascii="TUOS Blake" w:eastAsia="Times New Roman" w:hAnsi="TUOS Blake" w:cs="Times New Roman"/>
          <w:sz w:val="28"/>
          <w:szCs w:val="28"/>
          <w:lang w:eastAsia="en-US" w:bidi="ar-SA"/>
        </w:rPr>
        <w:t>Unit of Dental Public Health</w:t>
      </w:r>
    </w:p>
    <w:p w14:paraId="482DEB12" w14:textId="77777777" w:rsidR="00C02203" w:rsidRPr="00787196" w:rsidRDefault="00C02203" w:rsidP="00C02203">
      <w:pPr>
        <w:widowControl w:val="0"/>
        <w:spacing w:before="0" w:after="0" w:line="240" w:lineRule="auto"/>
        <w:rPr>
          <w:rFonts w:ascii="TUOS Blake" w:eastAsia="Times New Roman" w:hAnsi="TUOS Blake" w:cs="Times New Roman"/>
          <w:szCs w:val="24"/>
          <w:lang w:eastAsia="en-US" w:bidi="ar-SA"/>
        </w:rPr>
      </w:pPr>
    </w:p>
    <w:p w14:paraId="249FE6A9" w14:textId="77777777" w:rsidR="00C02203" w:rsidRPr="00787196" w:rsidRDefault="00C02203" w:rsidP="00C02203">
      <w:pPr>
        <w:widowControl w:val="0"/>
        <w:spacing w:before="0" w:after="0" w:line="240" w:lineRule="auto"/>
        <w:rPr>
          <w:rFonts w:ascii="TUOS Blake" w:eastAsia="Times New Roman" w:hAnsi="TUOS Blake" w:cs="Times New Roman"/>
          <w:szCs w:val="24"/>
          <w:lang w:eastAsia="en-US" w:bidi="ar-SA"/>
        </w:rPr>
      </w:pPr>
    </w:p>
    <w:p w14:paraId="2560A20F" w14:textId="77777777" w:rsidR="00C02203" w:rsidRPr="00787196" w:rsidRDefault="00C02203" w:rsidP="00047C31">
      <w:pPr>
        <w:widowControl w:val="0"/>
        <w:spacing w:before="0" w:after="0" w:line="240" w:lineRule="auto"/>
        <w:jc w:val="center"/>
        <w:rPr>
          <w:rFonts w:ascii="TUOS Blake" w:eastAsia="Times New Roman" w:hAnsi="TUOS Blake" w:cs="Times New Roman"/>
          <w:szCs w:val="24"/>
          <w:lang w:eastAsia="en-US" w:bidi="ar-SA"/>
        </w:rPr>
      </w:pPr>
    </w:p>
    <w:p w14:paraId="50799319" w14:textId="2F3C3EC3" w:rsidR="008D79E0" w:rsidRPr="00787196" w:rsidRDefault="00D77EFE" w:rsidP="00D77EFE">
      <w:pPr>
        <w:widowControl w:val="0"/>
        <w:spacing w:before="1" w:after="0" w:line="240" w:lineRule="auto"/>
        <w:ind w:right="618"/>
        <w:jc w:val="center"/>
        <w:rPr>
          <w:rFonts w:ascii="TUOS Blake" w:eastAsia="Times New Roman" w:hAnsi="TUOS Blake" w:cs="Times New Roman"/>
          <w:szCs w:val="24"/>
          <w:lang w:eastAsia="en-US" w:bidi="ar-SA"/>
        </w:rPr>
        <w:sectPr w:rsidR="008D79E0" w:rsidRPr="00787196" w:rsidSect="004D7A26">
          <w:footerReference w:type="default" r:id="rId9"/>
          <w:type w:val="nextColumn"/>
          <w:pgSz w:w="11906" w:h="16838"/>
          <w:pgMar w:top="1134" w:right="1134" w:bottom="1134" w:left="2268" w:header="708" w:footer="708" w:gutter="0"/>
          <w:pgNumType w:fmt="upperRoman" w:start="1"/>
          <w:cols w:space="708"/>
          <w:titlePg/>
          <w:docGrid w:linePitch="360"/>
        </w:sectPr>
      </w:pPr>
      <w:r w:rsidRPr="00787196">
        <w:rPr>
          <w:rFonts w:ascii="TUOS Blake" w:eastAsia="Times New Roman" w:hAnsi="TUOS Blake" w:cs="Times New Roman"/>
          <w:szCs w:val="24"/>
          <w:lang w:eastAsia="en-US" w:bidi="ar-SA"/>
        </w:rPr>
        <w:t xml:space="preserve">          </w:t>
      </w:r>
      <w:bookmarkStart w:id="0" w:name="_GoBack"/>
      <w:bookmarkEnd w:id="0"/>
    </w:p>
    <w:p w14:paraId="630D0829" w14:textId="4D7BBE56" w:rsidR="008D79E0" w:rsidRPr="00787196" w:rsidRDefault="00942688" w:rsidP="00AC278F">
      <w:pPr>
        <w:pStyle w:val="Heading1"/>
        <w:numPr>
          <w:ilvl w:val="0"/>
          <w:numId w:val="0"/>
        </w:numPr>
        <w:spacing w:after="0"/>
      </w:pPr>
      <w:bookmarkStart w:id="1" w:name="_Toc470823898"/>
      <w:bookmarkStart w:id="2" w:name="_Toc488655596"/>
      <w:r w:rsidRPr="00787196">
        <w:lastRenderedPageBreak/>
        <w:t>ABSTRACT</w:t>
      </w:r>
      <w:bookmarkEnd w:id="1"/>
      <w:bookmarkEnd w:id="2"/>
    </w:p>
    <w:p w14:paraId="37BE2ABB" w14:textId="77777777" w:rsidR="00942688" w:rsidRPr="00787196" w:rsidRDefault="00942688" w:rsidP="009758DD">
      <w:pPr>
        <w:spacing w:before="0"/>
        <w:ind w:right="144"/>
        <w:rPr>
          <w:rFonts w:cs="Arial"/>
          <w:szCs w:val="24"/>
        </w:rPr>
      </w:pPr>
      <w:r w:rsidRPr="00787196">
        <w:rPr>
          <w:rFonts w:cs="Arial"/>
          <w:szCs w:val="24"/>
        </w:rPr>
        <w:t>Objectives: Cross-sectional data suggest a relationship between coping strategies and oral health related quality of life (OHQoL) in conventional denture wearers. The aim of this research was to observe if the coping strategies of patients determined denture success and to identify clinical and psychosocial determinants of successful subjective oral health outcomes in denture wearers.</w:t>
      </w:r>
    </w:p>
    <w:p w14:paraId="0A31F1D0" w14:textId="43D641A8" w:rsidR="00942688" w:rsidRPr="00787196" w:rsidRDefault="00942688" w:rsidP="00047C31">
      <w:pPr>
        <w:spacing w:before="0" w:after="0"/>
        <w:ind w:right="144"/>
        <w:rPr>
          <w:rFonts w:cs="Arial"/>
          <w:szCs w:val="24"/>
        </w:rPr>
      </w:pPr>
      <w:r w:rsidRPr="00787196">
        <w:rPr>
          <w:rFonts w:cs="Arial"/>
          <w:szCs w:val="24"/>
        </w:rPr>
        <w:t xml:space="preserve">Methods: Prospective cohort study of 191 patients </w:t>
      </w:r>
      <w:r w:rsidR="0010471C" w:rsidRPr="00787196">
        <w:rPr>
          <w:rFonts w:cs="Arial"/>
          <w:szCs w:val="24"/>
        </w:rPr>
        <w:t>receiving new</w:t>
      </w:r>
      <w:r w:rsidRPr="00787196">
        <w:rPr>
          <w:rFonts w:cs="Arial"/>
          <w:szCs w:val="24"/>
        </w:rPr>
        <w:t xml:space="preserve"> conventional dentures in a university dental hospital</w:t>
      </w:r>
      <w:r w:rsidR="002C2FAF" w:rsidRPr="00787196">
        <w:rPr>
          <w:rFonts w:cs="Arial"/>
          <w:szCs w:val="24"/>
        </w:rPr>
        <w:t xml:space="preserve"> based</w:t>
      </w:r>
      <w:r w:rsidRPr="00787196">
        <w:rPr>
          <w:rFonts w:cs="Arial"/>
          <w:szCs w:val="24"/>
        </w:rPr>
        <w:t xml:space="preserve"> in India. </w:t>
      </w:r>
      <w:r w:rsidR="0010471C" w:rsidRPr="00787196">
        <w:rPr>
          <w:rFonts w:cs="Arial"/>
          <w:szCs w:val="24"/>
        </w:rPr>
        <w:t>C</w:t>
      </w:r>
      <w:r w:rsidRPr="00787196">
        <w:rPr>
          <w:rFonts w:cs="Arial"/>
          <w:szCs w:val="24"/>
        </w:rPr>
        <w:t>oping strategies (Brief COPE), OHQoL (OHIP-EDENT), denture satisfaction (de Liz Pocztaruk scale), chewing ability (Leake’s Chewing index),</w:t>
      </w:r>
      <w:r w:rsidR="000809BE" w:rsidRPr="00787196">
        <w:rPr>
          <w:rFonts w:cs="Arial"/>
          <w:szCs w:val="24"/>
        </w:rPr>
        <w:t xml:space="preserve"> </w:t>
      </w:r>
      <w:r w:rsidRPr="00787196">
        <w:rPr>
          <w:rFonts w:cs="Arial"/>
          <w:szCs w:val="24"/>
        </w:rPr>
        <w:t>concern about oral health (scale based on Maslow’s hierarchy of needs), ageing expectations (ERA-12), stress (PSS-4</w:t>
      </w:r>
      <w:r w:rsidR="00D6487A" w:rsidRPr="00787196">
        <w:rPr>
          <w:rFonts w:cs="Arial"/>
          <w:szCs w:val="24"/>
        </w:rPr>
        <w:t>)</w:t>
      </w:r>
      <w:r w:rsidRPr="00787196">
        <w:rPr>
          <w:rFonts w:cs="Arial"/>
          <w:szCs w:val="24"/>
        </w:rPr>
        <w:t xml:space="preserve"> were </w:t>
      </w:r>
      <w:r w:rsidR="0011676A" w:rsidRPr="00787196">
        <w:rPr>
          <w:rFonts w:cs="Arial"/>
          <w:szCs w:val="24"/>
        </w:rPr>
        <w:t>measured</w:t>
      </w:r>
      <w:r w:rsidRPr="00787196">
        <w:rPr>
          <w:rFonts w:cs="Arial"/>
          <w:szCs w:val="24"/>
        </w:rPr>
        <w:t xml:space="preserve"> at baseline and</w:t>
      </w:r>
      <w:r w:rsidR="0011676A" w:rsidRPr="00787196">
        <w:rPr>
          <w:rFonts w:cs="Arial"/>
          <w:szCs w:val="24"/>
        </w:rPr>
        <w:t xml:space="preserve"> after</w:t>
      </w:r>
      <w:r w:rsidRPr="00787196">
        <w:rPr>
          <w:rFonts w:cs="Arial"/>
          <w:szCs w:val="24"/>
        </w:rPr>
        <w:t xml:space="preserve"> </w:t>
      </w:r>
      <w:r w:rsidR="000809BE" w:rsidRPr="00787196">
        <w:rPr>
          <w:rFonts w:cs="Arial"/>
          <w:szCs w:val="24"/>
        </w:rPr>
        <w:t xml:space="preserve">a </w:t>
      </w:r>
      <w:r w:rsidRPr="00787196">
        <w:rPr>
          <w:rFonts w:cs="Arial"/>
          <w:szCs w:val="24"/>
        </w:rPr>
        <w:t>three month follow-up</w:t>
      </w:r>
      <w:r w:rsidR="00AA1AF6" w:rsidRPr="00787196">
        <w:rPr>
          <w:rFonts w:cs="Arial"/>
          <w:szCs w:val="24"/>
        </w:rPr>
        <w:t xml:space="preserve">, together </w:t>
      </w:r>
      <w:r w:rsidRPr="00787196">
        <w:rPr>
          <w:rFonts w:cs="Arial"/>
          <w:szCs w:val="24"/>
        </w:rPr>
        <w:t>with cli</w:t>
      </w:r>
      <w:r w:rsidR="000E6F9D" w:rsidRPr="00787196">
        <w:rPr>
          <w:rFonts w:cs="Arial"/>
          <w:szCs w:val="24"/>
        </w:rPr>
        <w:t>nical examination</w:t>
      </w:r>
      <w:r w:rsidR="00AA1AF6" w:rsidRPr="00787196">
        <w:rPr>
          <w:rFonts w:cs="Arial"/>
          <w:szCs w:val="24"/>
        </w:rPr>
        <w:t>, subjective (McArthur SES) and objective socio-economic status (SES) (income, education, caste)</w:t>
      </w:r>
      <w:r w:rsidR="000E6F9D" w:rsidRPr="00787196">
        <w:rPr>
          <w:rFonts w:cs="Arial"/>
          <w:szCs w:val="24"/>
        </w:rPr>
        <w:t xml:space="preserve"> at baseline. </w:t>
      </w:r>
      <w:r w:rsidRPr="00787196">
        <w:rPr>
          <w:rFonts w:cs="Arial"/>
          <w:szCs w:val="24"/>
        </w:rPr>
        <w:t>Analysis used lagged stepwise multiple regression analysis guided by the Wilson and Cleary model linking clinical variables to quality of life.</w:t>
      </w:r>
    </w:p>
    <w:p w14:paraId="39165FE7" w14:textId="77777777" w:rsidR="00942688" w:rsidRPr="00787196" w:rsidRDefault="00942688" w:rsidP="00047C31">
      <w:pPr>
        <w:spacing w:before="0" w:after="0"/>
        <w:ind w:right="144"/>
        <w:rPr>
          <w:rFonts w:cs="Arial"/>
          <w:szCs w:val="24"/>
        </w:rPr>
      </w:pPr>
    </w:p>
    <w:p w14:paraId="2A69E242" w14:textId="5616627E" w:rsidR="00942688" w:rsidRPr="00787196" w:rsidRDefault="00942688" w:rsidP="00F374C2">
      <w:pPr>
        <w:spacing w:before="0" w:after="0"/>
        <w:ind w:right="144"/>
        <w:rPr>
          <w:rFonts w:cs="Arial"/>
          <w:szCs w:val="24"/>
        </w:rPr>
      </w:pPr>
      <w:r w:rsidRPr="00787196">
        <w:rPr>
          <w:rFonts w:cs="Arial"/>
          <w:szCs w:val="24"/>
        </w:rPr>
        <w:t xml:space="preserve">Results: Participants’ mean age was 58.5 years (range 27-85). 62.8% were males and most were from a lower </w:t>
      </w:r>
      <w:r w:rsidR="00EB79B7" w:rsidRPr="00787196">
        <w:rPr>
          <w:rFonts w:cs="Arial"/>
          <w:szCs w:val="24"/>
        </w:rPr>
        <w:t>socioeconomic</w:t>
      </w:r>
      <w:r w:rsidRPr="00787196">
        <w:rPr>
          <w:rFonts w:cs="Arial"/>
          <w:szCs w:val="24"/>
        </w:rPr>
        <w:t xml:space="preserve"> background (65% &lt; high school education; 60% unemployed/retired; 74.1% from lower castes). In </w:t>
      </w:r>
      <w:r w:rsidR="00AA1AF6" w:rsidRPr="00787196">
        <w:rPr>
          <w:rFonts w:cs="Arial"/>
          <w:szCs w:val="24"/>
        </w:rPr>
        <w:t xml:space="preserve">the </w:t>
      </w:r>
      <w:r w:rsidRPr="00787196">
        <w:rPr>
          <w:rFonts w:cs="Arial"/>
          <w:szCs w:val="24"/>
        </w:rPr>
        <w:t>lagged analysis, denture wearers’ baseline clinical status: number of teeth present (</w:t>
      </w:r>
      <w:r w:rsidR="0055761C" w:rsidRPr="00787196">
        <w:rPr>
          <w:rFonts w:cs="Arial"/>
          <w:szCs w:val="24"/>
        </w:rPr>
        <w:t>OHQoL - β = -0.277) (Chewing ability -</w:t>
      </w:r>
      <w:r w:rsidRPr="00787196">
        <w:rPr>
          <w:rFonts w:cs="Arial"/>
          <w:szCs w:val="24"/>
        </w:rPr>
        <w:t>β = -0.163)</w:t>
      </w:r>
      <w:r w:rsidR="0055761C" w:rsidRPr="00787196">
        <w:rPr>
          <w:rFonts w:cs="Arial"/>
          <w:szCs w:val="24"/>
        </w:rPr>
        <w:t xml:space="preserve"> </w:t>
      </w:r>
      <w:r w:rsidRPr="00787196">
        <w:rPr>
          <w:rFonts w:cs="Arial"/>
          <w:szCs w:val="24"/>
        </w:rPr>
        <w:t>and number of occluding pairs (</w:t>
      </w:r>
      <w:r w:rsidR="00F374C2" w:rsidRPr="00787196">
        <w:rPr>
          <w:rFonts w:cs="Arial"/>
          <w:szCs w:val="24"/>
        </w:rPr>
        <w:t xml:space="preserve">Denture satisfaction- </w:t>
      </w:r>
      <w:r w:rsidRPr="00787196">
        <w:rPr>
          <w:rFonts w:cs="Arial"/>
          <w:szCs w:val="24"/>
        </w:rPr>
        <w:t xml:space="preserve">β = -0.239) predicted successful denture </w:t>
      </w:r>
      <w:r w:rsidR="0055761C" w:rsidRPr="00787196">
        <w:rPr>
          <w:rFonts w:cs="Arial"/>
          <w:szCs w:val="24"/>
        </w:rPr>
        <w:t>outcomes at 3 month follow- up</w:t>
      </w:r>
      <w:r w:rsidR="00AA1AF6" w:rsidRPr="00787196">
        <w:rPr>
          <w:rFonts w:cs="Arial"/>
          <w:szCs w:val="24"/>
        </w:rPr>
        <w:t>. However, c</w:t>
      </w:r>
      <w:r w:rsidRPr="00787196">
        <w:rPr>
          <w:rFonts w:cs="Arial"/>
          <w:szCs w:val="24"/>
        </w:rPr>
        <w:t xml:space="preserve">oping </w:t>
      </w:r>
      <w:r w:rsidR="007810CC" w:rsidRPr="00787196">
        <w:rPr>
          <w:rFonts w:cs="Arial"/>
          <w:szCs w:val="24"/>
        </w:rPr>
        <w:t xml:space="preserve">strategies </w:t>
      </w:r>
      <w:r w:rsidRPr="00787196">
        <w:rPr>
          <w:rFonts w:cs="Arial"/>
          <w:szCs w:val="24"/>
        </w:rPr>
        <w:t>was not significantly linked to any outcomes.</w:t>
      </w:r>
    </w:p>
    <w:p w14:paraId="3B19C070" w14:textId="77777777" w:rsidR="00942688" w:rsidRPr="00787196" w:rsidRDefault="00942688" w:rsidP="00317333">
      <w:pPr>
        <w:spacing w:before="0" w:after="0"/>
        <w:ind w:right="-1"/>
        <w:rPr>
          <w:rFonts w:cs="Arial"/>
          <w:szCs w:val="24"/>
        </w:rPr>
      </w:pPr>
    </w:p>
    <w:p w14:paraId="07B0628C" w14:textId="551CC157" w:rsidR="00C81F73" w:rsidRPr="00787196" w:rsidRDefault="00942688" w:rsidP="00317333">
      <w:pPr>
        <w:spacing w:before="0" w:after="0"/>
        <w:ind w:right="144"/>
        <w:jc w:val="left"/>
        <w:rPr>
          <w:rFonts w:cs="Arial"/>
          <w:szCs w:val="24"/>
        </w:rPr>
      </w:pPr>
      <w:r w:rsidRPr="00787196">
        <w:rPr>
          <w:rFonts w:cs="Arial"/>
          <w:szCs w:val="24"/>
        </w:rPr>
        <w:t xml:space="preserve">Conclusion: These data offer longitudinal evidence that </w:t>
      </w:r>
      <w:r w:rsidR="00AD255C" w:rsidRPr="00787196">
        <w:rPr>
          <w:rFonts w:cs="Arial"/>
          <w:szCs w:val="24"/>
        </w:rPr>
        <w:t>certain</w:t>
      </w:r>
      <w:r w:rsidRPr="00787196">
        <w:rPr>
          <w:rFonts w:cs="Arial"/>
          <w:szCs w:val="24"/>
        </w:rPr>
        <w:t xml:space="preserve"> clinical factors (number of teeth, occluding pairs) predict successful outcomes in </w:t>
      </w:r>
      <w:r w:rsidR="00AD255C" w:rsidRPr="00787196">
        <w:rPr>
          <w:rFonts w:cs="Arial"/>
          <w:szCs w:val="24"/>
        </w:rPr>
        <w:t xml:space="preserve">patients receiving new </w:t>
      </w:r>
      <w:r w:rsidRPr="00787196">
        <w:rPr>
          <w:rFonts w:cs="Arial"/>
          <w:szCs w:val="24"/>
        </w:rPr>
        <w:t>denture</w:t>
      </w:r>
      <w:r w:rsidR="00AD255C" w:rsidRPr="00787196">
        <w:rPr>
          <w:rFonts w:cs="Arial"/>
          <w:szCs w:val="24"/>
        </w:rPr>
        <w:t>s</w:t>
      </w:r>
      <w:r w:rsidRPr="00787196">
        <w:rPr>
          <w:rFonts w:cs="Arial"/>
          <w:szCs w:val="24"/>
        </w:rPr>
        <w:t xml:space="preserve">. </w:t>
      </w:r>
      <w:r w:rsidR="00AD255C" w:rsidRPr="00787196">
        <w:rPr>
          <w:rFonts w:cs="Arial"/>
          <w:szCs w:val="24"/>
        </w:rPr>
        <w:t>P</w:t>
      </w:r>
      <w:r w:rsidRPr="00787196">
        <w:rPr>
          <w:rFonts w:cs="Arial"/>
          <w:szCs w:val="24"/>
        </w:rPr>
        <w:t>at</w:t>
      </w:r>
      <w:r w:rsidR="00AC278F" w:rsidRPr="00787196">
        <w:rPr>
          <w:rFonts w:cs="Arial"/>
          <w:szCs w:val="24"/>
        </w:rPr>
        <w:t>ient’s coping strategies w</w:t>
      </w:r>
      <w:r w:rsidR="00AD255C" w:rsidRPr="00787196">
        <w:rPr>
          <w:rFonts w:cs="Arial"/>
          <w:szCs w:val="24"/>
        </w:rPr>
        <w:t>as</w:t>
      </w:r>
      <w:r w:rsidR="00AC278F" w:rsidRPr="00787196">
        <w:rPr>
          <w:rFonts w:cs="Arial"/>
          <w:szCs w:val="24"/>
        </w:rPr>
        <w:t xml:space="preserve"> not </w:t>
      </w:r>
      <w:r w:rsidR="00AD255C" w:rsidRPr="00787196">
        <w:rPr>
          <w:rFonts w:cs="Arial"/>
          <w:szCs w:val="24"/>
        </w:rPr>
        <w:t>associated with denture success</w:t>
      </w:r>
      <w:r w:rsidRPr="00787196">
        <w:rPr>
          <w:rFonts w:cs="Arial"/>
          <w:szCs w:val="24"/>
        </w:rPr>
        <w:t>.</w:t>
      </w:r>
      <w:r w:rsidR="00C81F73" w:rsidRPr="00787196">
        <w:rPr>
          <w:rFonts w:cs="Arial"/>
          <w:szCs w:val="24"/>
        </w:rPr>
        <w:br w:type="page"/>
      </w:r>
      <w:r w:rsidR="00BA200A" w:rsidRPr="00787196">
        <w:rPr>
          <w:rFonts w:cs="Arial"/>
          <w:szCs w:val="24"/>
        </w:rPr>
        <w:lastRenderedPageBreak/>
        <w:tab/>
      </w:r>
    </w:p>
    <w:p w14:paraId="14C1462A" w14:textId="56060DAC" w:rsidR="00C81F73" w:rsidRPr="00787196" w:rsidRDefault="00C81F73" w:rsidP="00C81F73">
      <w:pPr>
        <w:pStyle w:val="Heading1"/>
        <w:numPr>
          <w:ilvl w:val="0"/>
          <w:numId w:val="0"/>
        </w:numPr>
        <w:spacing w:after="0"/>
        <w:ind w:left="432"/>
      </w:pPr>
      <w:bookmarkStart w:id="3" w:name="_Toc488655597"/>
      <w:r w:rsidRPr="00787196">
        <w:t>ACKNOWLEDGEMENTS</w:t>
      </w:r>
      <w:bookmarkEnd w:id="3"/>
    </w:p>
    <w:p w14:paraId="55AD80AA" w14:textId="7BF42CC3" w:rsidR="00C81F73" w:rsidRPr="00787196" w:rsidRDefault="00C81F73" w:rsidP="005C108A">
      <w:r w:rsidRPr="00787196">
        <w:t xml:space="preserve">Firstly, I </w:t>
      </w:r>
      <w:r w:rsidR="005C108A" w:rsidRPr="00787196">
        <w:t xml:space="preserve">would </w:t>
      </w:r>
      <w:r w:rsidR="00573F82" w:rsidRPr="00787196">
        <w:t xml:space="preserve">like to </w:t>
      </w:r>
      <w:r w:rsidRPr="00787196">
        <w:t xml:space="preserve">dedicate this thesis to my inner conscience that stood by me right throughout, gave me the courage to persist and make it through. </w:t>
      </w:r>
    </w:p>
    <w:p w14:paraId="7C2DD791" w14:textId="48ABBF30" w:rsidR="00C81F73" w:rsidRPr="00787196" w:rsidRDefault="00C81F73" w:rsidP="00A64EAC">
      <w:r w:rsidRPr="00787196">
        <w:t>I express my profo</w:t>
      </w:r>
      <w:r w:rsidR="00625DC3" w:rsidRPr="00787196">
        <w:t>und gratitude and respect to</w:t>
      </w:r>
      <w:r w:rsidR="00A64EAC" w:rsidRPr="00787196">
        <w:t xml:space="preserve"> my academic supervisors,</w:t>
      </w:r>
      <w:r w:rsidR="00625DC3" w:rsidRPr="00787196">
        <w:t xml:space="preserve"> </w:t>
      </w:r>
      <w:r w:rsidRPr="00787196">
        <w:t>Professors Peter G. Robinson and Sarah R. Baker</w:t>
      </w:r>
      <w:r w:rsidR="00625DC3" w:rsidRPr="00787196">
        <w:t>,</w:t>
      </w:r>
      <w:r w:rsidRPr="00787196">
        <w:t xml:space="preserve"> for their patience and unders</w:t>
      </w:r>
      <w:r w:rsidR="00A64EAC" w:rsidRPr="00787196">
        <w:t xml:space="preserve">tanding during this entire work. </w:t>
      </w:r>
      <w:r w:rsidRPr="00787196">
        <w:t xml:space="preserve">If not for their constant encouragement, advice, help and suggestions throughout the course of this work, it would not </w:t>
      </w:r>
      <w:r w:rsidR="009D5EC8" w:rsidRPr="00787196">
        <w:t xml:space="preserve">have been possible for me to complete </w:t>
      </w:r>
      <w:r w:rsidR="00BF0D8B" w:rsidRPr="00787196">
        <w:t xml:space="preserve">this work. Their friendly, </w:t>
      </w:r>
      <w:r w:rsidRPr="00787196">
        <w:t xml:space="preserve">non-judgemental </w:t>
      </w:r>
      <w:r w:rsidR="00BF0D8B" w:rsidRPr="00787196">
        <w:t xml:space="preserve">approach and </w:t>
      </w:r>
      <w:r w:rsidRPr="00787196">
        <w:t xml:space="preserve">support provided me with the confidence that I desperately needed during </w:t>
      </w:r>
      <w:r w:rsidR="005C108A" w:rsidRPr="00787196">
        <w:t>my</w:t>
      </w:r>
      <w:r w:rsidRPr="00787196">
        <w:t xml:space="preserve"> tough times. I am more than indebted to them </w:t>
      </w:r>
      <w:r w:rsidR="00A64EAC" w:rsidRPr="00787196">
        <w:t>for the outcome of this work</w:t>
      </w:r>
      <w:r w:rsidRPr="00787196">
        <w:t>.</w:t>
      </w:r>
    </w:p>
    <w:p w14:paraId="05B3BF67" w14:textId="1B3E20FA" w:rsidR="00C81F73" w:rsidRPr="00787196" w:rsidRDefault="00C81F73" w:rsidP="00A64EAC">
      <w:r w:rsidRPr="00787196">
        <w:t xml:space="preserve">I am immensely thankful to my father, Justice Mr. Vaiyapuri Periyakaruppiah, who offered me with the financial support </w:t>
      </w:r>
      <w:r w:rsidR="005C108A" w:rsidRPr="00787196">
        <w:t xml:space="preserve">to fund </w:t>
      </w:r>
      <w:r w:rsidR="00A64EAC" w:rsidRPr="00787196">
        <w:t>my studentship</w:t>
      </w:r>
      <w:r w:rsidR="005C108A" w:rsidRPr="00787196">
        <w:t xml:space="preserve"> whilst</w:t>
      </w:r>
      <w:r w:rsidR="002F5B82" w:rsidRPr="00787196">
        <w:t xml:space="preserve"> being in the final stages of his career</w:t>
      </w:r>
      <w:r w:rsidR="005C108A" w:rsidRPr="00787196">
        <w:t>. I am ever so thankful to</w:t>
      </w:r>
      <w:r w:rsidRPr="00787196">
        <w:t xml:space="preserve"> my mother who has put up with all my shortcomings and shaped me </w:t>
      </w:r>
      <w:r w:rsidR="009758DD" w:rsidRPr="00787196">
        <w:t xml:space="preserve">into what I am today. The moral </w:t>
      </w:r>
      <w:r w:rsidRPr="00787196">
        <w:t xml:space="preserve">values she instilled in me </w:t>
      </w:r>
      <w:r w:rsidR="004C41B3" w:rsidRPr="00787196">
        <w:t>are</w:t>
      </w:r>
      <w:r w:rsidRPr="00787196">
        <w:t xml:space="preserve"> </w:t>
      </w:r>
      <w:r w:rsidR="005C108A" w:rsidRPr="00787196">
        <w:t>what</w:t>
      </w:r>
      <w:r w:rsidRPr="00787196">
        <w:t xml:space="preserve"> that keeps me going.</w:t>
      </w:r>
    </w:p>
    <w:p w14:paraId="5BC29148" w14:textId="1B0390CC" w:rsidR="00C81F73" w:rsidRPr="00787196" w:rsidRDefault="00C81F73" w:rsidP="00BF0D8B">
      <w:r w:rsidRPr="00787196">
        <w:t xml:space="preserve">At this juncture, I would </w:t>
      </w:r>
      <w:r w:rsidR="009D5EC8" w:rsidRPr="00787196">
        <w:t>l</w:t>
      </w:r>
      <w:r w:rsidRPr="00787196">
        <w:t>ike to thank Dr. S.</w:t>
      </w:r>
      <w:r w:rsidR="002F5B82" w:rsidRPr="00787196">
        <w:t>P. Thyagarajan</w:t>
      </w:r>
      <w:r w:rsidRPr="00787196">
        <w:t xml:space="preserve">, the Research Dean and Dr. Padmanaban, the then Head of the Prosthodontic Department, colleagues and the staff </w:t>
      </w:r>
      <w:r w:rsidR="00BF0D8B" w:rsidRPr="00787196">
        <w:t>at</w:t>
      </w:r>
      <w:r w:rsidRPr="00787196">
        <w:t xml:space="preserve"> Sri Ramachandra University who were instrumental with the data collection process of this study. </w:t>
      </w:r>
    </w:p>
    <w:p w14:paraId="524C6034" w14:textId="1515B560" w:rsidR="00C81F73" w:rsidRPr="00787196" w:rsidRDefault="00C81F73" w:rsidP="00A64EAC">
      <w:r w:rsidRPr="00787196">
        <w:t>I would</w:t>
      </w:r>
      <w:r w:rsidR="009D5EC8" w:rsidRPr="00787196">
        <w:t xml:space="preserve"> also</w:t>
      </w:r>
      <w:r w:rsidRPr="00787196">
        <w:t xml:space="preserve"> </w:t>
      </w:r>
      <w:r w:rsidR="005C108A" w:rsidRPr="00787196">
        <w:t>l</w:t>
      </w:r>
      <w:r w:rsidRPr="00787196">
        <w:t xml:space="preserve">ike to </w:t>
      </w:r>
      <w:r w:rsidR="00BF0D8B" w:rsidRPr="00787196">
        <w:t xml:space="preserve">specially </w:t>
      </w:r>
      <w:r w:rsidRPr="00787196">
        <w:t>thank my sister</w:t>
      </w:r>
      <w:r w:rsidR="00BF0D8B" w:rsidRPr="00787196">
        <w:t xml:space="preserve"> Veena</w:t>
      </w:r>
      <w:r w:rsidRPr="00787196">
        <w:t xml:space="preserve">, </w:t>
      </w:r>
      <w:r w:rsidR="005C108A" w:rsidRPr="00787196">
        <w:t xml:space="preserve">my </w:t>
      </w:r>
      <w:r w:rsidRPr="00787196">
        <w:t xml:space="preserve">in-law, </w:t>
      </w:r>
      <w:r w:rsidR="00A64EAC" w:rsidRPr="00787196">
        <w:t xml:space="preserve">my nephews and all those friends who tolerated by absences when they needed me yet </w:t>
      </w:r>
      <w:r w:rsidRPr="00787196">
        <w:t>offered me their supportive hands and a listening ear when I direly needed them.</w:t>
      </w:r>
    </w:p>
    <w:p w14:paraId="57139E0E" w14:textId="42AE5553" w:rsidR="00C81F73" w:rsidRPr="00787196" w:rsidRDefault="00C81F73" w:rsidP="005C108A">
      <w:pPr>
        <w:sectPr w:rsidR="00C81F73" w:rsidRPr="00787196" w:rsidSect="00BA200A">
          <w:footerReference w:type="first" r:id="rId10"/>
          <w:type w:val="nextColumn"/>
          <w:pgSz w:w="11906" w:h="16838"/>
          <w:pgMar w:top="1134" w:right="1134" w:bottom="1134" w:left="2268" w:header="708" w:footer="1280" w:gutter="0"/>
          <w:pgNumType w:fmt="lowerRoman" w:start="1"/>
          <w:cols w:space="708"/>
          <w:titlePg/>
          <w:docGrid w:linePitch="360"/>
        </w:sectPr>
      </w:pPr>
      <w:r w:rsidRPr="00787196">
        <w:t xml:space="preserve">Finally, but </w:t>
      </w:r>
      <w:r w:rsidR="009D5EC8" w:rsidRPr="00787196">
        <w:t xml:space="preserve">quite </w:t>
      </w:r>
      <w:r w:rsidRPr="00787196">
        <w:t xml:space="preserve">importantly, I would like to thank </w:t>
      </w:r>
      <w:r w:rsidR="0096082F" w:rsidRPr="00787196">
        <w:t xml:space="preserve">all </w:t>
      </w:r>
      <w:r w:rsidR="005C108A" w:rsidRPr="00787196">
        <w:t>my</w:t>
      </w:r>
      <w:r w:rsidRPr="00787196">
        <w:t xml:space="preserve"> colleagues, staff and the authorities at the University of Sheffield for providing me with </w:t>
      </w:r>
      <w:r w:rsidR="00BF0D8B" w:rsidRPr="00787196">
        <w:t>this</w:t>
      </w:r>
      <w:r w:rsidRPr="00787196">
        <w:t xml:space="preserve"> wonderful experience, opportunity and platform throughout my student years in Sheffield. </w:t>
      </w:r>
    </w:p>
    <w:p w14:paraId="2A5AD0BB" w14:textId="77777777" w:rsidR="00CF4180" w:rsidRPr="00787196" w:rsidRDefault="00CF4180" w:rsidP="00CF4180">
      <w:pPr>
        <w:pStyle w:val="Heading1"/>
        <w:numPr>
          <w:ilvl w:val="0"/>
          <w:numId w:val="0"/>
        </w:numPr>
        <w:ind w:left="432" w:hanging="432"/>
        <w:rPr>
          <w:rFonts w:cs="Arial"/>
        </w:rPr>
      </w:pPr>
      <w:bookmarkStart w:id="4" w:name="_Toc456211119"/>
      <w:bookmarkStart w:id="5" w:name="_Toc488655598"/>
      <w:r w:rsidRPr="00787196">
        <w:rPr>
          <w:rFonts w:cs="Arial"/>
        </w:rPr>
        <w:lastRenderedPageBreak/>
        <w:t>LIST OF FIGURES</w:t>
      </w:r>
      <w:bookmarkEnd w:id="4"/>
      <w:bookmarkEnd w:id="5"/>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CF4180" w:rsidRPr="00787196" w14:paraId="2BE07DCB" w14:textId="77777777" w:rsidTr="009D5EC8">
        <w:trPr>
          <w:trHeight w:val="5462"/>
        </w:trPr>
        <w:tc>
          <w:tcPr>
            <w:tcW w:w="8364" w:type="dxa"/>
          </w:tcPr>
          <w:p w14:paraId="60D1F1D0" w14:textId="77777777" w:rsidR="00443019" w:rsidRPr="00787196" w:rsidRDefault="00CF4180" w:rsidP="00EF2F69">
            <w:pPr>
              <w:pStyle w:val="TableofFigures"/>
              <w:rPr>
                <w:rFonts w:asciiTheme="minorHAnsi" w:eastAsiaTheme="minorEastAsia" w:hAnsiTheme="minorHAnsi" w:cs="Latha"/>
                <w:lang w:val="en-GB" w:eastAsia="en-GB" w:bidi="ta-IN"/>
              </w:rPr>
            </w:pPr>
            <w:r w:rsidRPr="00787196">
              <w:fldChar w:fldCharType="begin"/>
            </w:r>
            <w:r w:rsidRPr="00787196">
              <w:instrText xml:space="preserve"> TOC \c "Figure" </w:instrText>
            </w:r>
            <w:r w:rsidRPr="00787196">
              <w:fldChar w:fldCharType="separate"/>
            </w:r>
            <w:r w:rsidR="00443019" w:rsidRPr="00787196">
              <w:t>Figure 2</w:t>
            </w:r>
            <w:r w:rsidR="00443019" w:rsidRPr="00787196">
              <w:noBreakHyphen/>
              <w:t>1. Locker's conceptual model of oral health</w:t>
            </w:r>
            <w:r w:rsidR="00443019" w:rsidRPr="00787196">
              <w:tab/>
            </w:r>
            <w:r w:rsidR="00443019" w:rsidRPr="00787196">
              <w:fldChar w:fldCharType="begin"/>
            </w:r>
            <w:r w:rsidR="00443019" w:rsidRPr="00787196">
              <w:instrText xml:space="preserve"> PAGEREF _Toc488655579 \h </w:instrText>
            </w:r>
            <w:r w:rsidR="00443019" w:rsidRPr="00787196">
              <w:fldChar w:fldCharType="separate"/>
            </w:r>
            <w:r w:rsidR="00C069BC" w:rsidRPr="00787196">
              <w:t>24</w:t>
            </w:r>
            <w:r w:rsidR="00443019" w:rsidRPr="00787196">
              <w:fldChar w:fldCharType="end"/>
            </w:r>
          </w:p>
          <w:p w14:paraId="71369A91"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2</w:t>
            </w:r>
            <w:r w:rsidRPr="00787196">
              <w:noBreakHyphen/>
              <w:t>2. Wilson and Cleary model (1995)</w:t>
            </w:r>
            <w:r w:rsidRPr="00787196">
              <w:tab/>
            </w:r>
            <w:r w:rsidRPr="00787196">
              <w:fldChar w:fldCharType="begin"/>
            </w:r>
            <w:r w:rsidRPr="00787196">
              <w:instrText xml:space="preserve"> PAGEREF _Toc488655580 \h </w:instrText>
            </w:r>
            <w:r w:rsidRPr="00787196">
              <w:fldChar w:fldCharType="separate"/>
            </w:r>
            <w:r w:rsidR="00C069BC" w:rsidRPr="00787196">
              <w:t>27</w:t>
            </w:r>
            <w:r w:rsidRPr="00787196">
              <w:fldChar w:fldCharType="end"/>
            </w:r>
          </w:p>
          <w:p w14:paraId="56D49CFE"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2</w:t>
            </w:r>
            <w:r w:rsidRPr="00787196">
              <w:noBreakHyphen/>
              <w:t>3. Flow chart of the search strategy – Conventional dentures and OHQoL</w:t>
            </w:r>
            <w:r w:rsidRPr="00787196">
              <w:tab/>
            </w:r>
            <w:r w:rsidRPr="00787196">
              <w:fldChar w:fldCharType="begin"/>
            </w:r>
            <w:r w:rsidRPr="00787196">
              <w:instrText xml:space="preserve"> PAGEREF _Toc488655581 \h </w:instrText>
            </w:r>
            <w:r w:rsidRPr="00787196">
              <w:fldChar w:fldCharType="separate"/>
            </w:r>
            <w:r w:rsidR="00C069BC" w:rsidRPr="00787196">
              <w:t>32</w:t>
            </w:r>
            <w:r w:rsidRPr="00787196">
              <w:fldChar w:fldCharType="end"/>
            </w:r>
          </w:p>
          <w:p w14:paraId="3597A0E7"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2</w:t>
            </w:r>
            <w:r w:rsidRPr="00787196">
              <w:noBreakHyphen/>
              <w:t>4. Transactional model of stress and coping (Lazarus and Folkman, 1984)</w:t>
            </w:r>
            <w:r w:rsidRPr="00787196">
              <w:tab/>
            </w:r>
            <w:r w:rsidRPr="00787196">
              <w:fldChar w:fldCharType="begin"/>
            </w:r>
            <w:r w:rsidRPr="00787196">
              <w:instrText xml:space="preserve"> PAGEREF _Toc488655582 \h </w:instrText>
            </w:r>
            <w:r w:rsidRPr="00787196">
              <w:fldChar w:fldCharType="separate"/>
            </w:r>
            <w:r w:rsidR="00C069BC" w:rsidRPr="00787196">
              <w:t>48</w:t>
            </w:r>
            <w:r w:rsidRPr="00787196">
              <w:fldChar w:fldCharType="end"/>
            </w:r>
          </w:p>
          <w:p w14:paraId="15049596"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2</w:t>
            </w:r>
            <w:r w:rsidRPr="00787196">
              <w:noBreakHyphen/>
              <w:t>5. The WHO CSDH conceptual framework (Solar and Irwin, 2007)</w:t>
            </w:r>
            <w:r w:rsidRPr="00787196">
              <w:tab/>
            </w:r>
            <w:r w:rsidRPr="00787196">
              <w:fldChar w:fldCharType="begin"/>
            </w:r>
            <w:r w:rsidRPr="00787196">
              <w:instrText xml:space="preserve"> PAGEREF _Toc488655583 \h </w:instrText>
            </w:r>
            <w:r w:rsidRPr="00787196">
              <w:fldChar w:fldCharType="separate"/>
            </w:r>
            <w:r w:rsidR="00C069BC" w:rsidRPr="00787196">
              <w:t>67</w:t>
            </w:r>
            <w:r w:rsidRPr="00787196">
              <w:fldChar w:fldCharType="end"/>
            </w:r>
          </w:p>
          <w:p w14:paraId="6BEB62E6"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2</w:t>
            </w:r>
            <w:r w:rsidRPr="00787196">
              <w:noBreakHyphen/>
              <w:t>6. New conceptual model for oral health inequalities (Watt and Sheiham, 2012)</w:t>
            </w:r>
            <w:r w:rsidRPr="00787196">
              <w:tab/>
            </w:r>
            <w:r w:rsidRPr="00787196">
              <w:fldChar w:fldCharType="begin"/>
            </w:r>
            <w:r w:rsidRPr="00787196">
              <w:instrText xml:space="preserve"> PAGEREF _Toc488655584 \h </w:instrText>
            </w:r>
            <w:r w:rsidRPr="00787196">
              <w:fldChar w:fldCharType="separate"/>
            </w:r>
            <w:r w:rsidR="00C069BC" w:rsidRPr="00787196">
              <w:t>68</w:t>
            </w:r>
            <w:r w:rsidRPr="00787196">
              <w:fldChar w:fldCharType="end"/>
            </w:r>
          </w:p>
          <w:p w14:paraId="403DEF5D"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4</w:t>
            </w:r>
            <w:r w:rsidRPr="00787196">
              <w:noBreakHyphen/>
              <w:t>1 Study framework adapted from Wilson and Cleary (1995) and Lazarus and Folkman (1984)</w:t>
            </w:r>
            <w:r w:rsidRPr="00787196">
              <w:tab/>
            </w:r>
            <w:r w:rsidRPr="00787196">
              <w:fldChar w:fldCharType="begin"/>
            </w:r>
            <w:r w:rsidRPr="00787196">
              <w:instrText xml:space="preserve"> PAGEREF _Toc488655585 \h </w:instrText>
            </w:r>
            <w:r w:rsidRPr="00787196">
              <w:fldChar w:fldCharType="separate"/>
            </w:r>
            <w:r w:rsidR="00C069BC" w:rsidRPr="00787196">
              <w:t>84</w:t>
            </w:r>
            <w:r w:rsidRPr="00787196">
              <w:fldChar w:fldCharType="end"/>
            </w:r>
          </w:p>
          <w:p w14:paraId="2314AC83"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4</w:t>
            </w:r>
            <w:r w:rsidRPr="00787196">
              <w:noBreakHyphen/>
              <w:t>2. Analytical strategy based on Wilson and Cleary (1995) model</w:t>
            </w:r>
            <w:r w:rsidRPr="00787196">
              <w:tab/>
            </w:r>
            <w:r w:rsidRPr="00787196">
              <w:fldChar w:fldCharType="begin"/>
            </w:r>
            <w:r w:rsidRPr="00787196">
              <w:instrText xml:space="preserve"> PAGEREF _Toc488655586 \h </w:instrText>
            </w:r>
            <w:r w:rsidRPr="00787196">
              <w:fldChar w:fldCharType="separate"/>
            </w:r>
            <w:r w:rsidR="00C069BC" w:rsidRPr="00787196">
              <w:t>97</w:t>
            </w:r>
            <w:r w:rsidRPr="00787196">
              <w:fldChar w:fldCharType="end"/>
            </w:r>
          </w:p>
          <w:p w14:paraId="6B2ADC61"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1. Scree plot of Brief COPE scale scores at T1</w:t>
            </w:r>
            <w:r w:rsidRPr="00787196">
              <w:tab/>
            </w:r>
            <w:r w:rsidRPr="00787196">
              <w:fldChar w:fldCharType="begin"/>
            </w:r>
            <w:r w:rsidRPr="00787196">
              <w:instrText xml:space="preserve"> PAGEREF _Toc488655587 \h </w:instrText>
            </w:r>
            <w:r w:rsidRPr="00787196">
              <w:fldChar w:fldCharType="separate"/>
            </w:r>
            <w:r w:rsidR="00C069BC" w:rsidRPr="00787196">
              <w:t>108</w:t>
            </w:r>
            <w:r w:rsidRPr="00787196">
              <w:fldChar w:fldCharType="end"/>
            </w:r>
          </w:p>
          <w:p w14:paraId="66555751"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2. Distribution of OHQoL scores at baseline (T1) and follow-up (T2)</w:t>
            </w:r>
            <w:r w:rsidRPr="00787196">
              <w:tab/>
            </w:r>
            <w:r w:rsidRPr="00787196">
              <w:fldChar w:fldCharType="begin"/>
            </w:r>
            <w:r w:rsidRPr="00787196">
              <w:instrText xml:space="preserve"> PAGEREF _Toc488655588 \h </w:instrText>
            </w:r>
            <w:r w:rsidRPr="00787196">
              <w:fldChar w:fldCharType="separate"/>
            </w:r>
            <w:r w:rsidR="00C069BC" w:rsidRPr="00787196">
              <w:t>113</w:t>
            </w:r>
            <w:r w:rsidRPr="00787196">
              <w:fldChar w:fldCharType="end"/>
            </w:r>
          </w:p>
          <w:p w14:paraId="7303B5C9"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3. Summary of significant bivariate relationships between baseline and outcome variables</w:t>
            </w:r>
            <w:r w:rsidRPr="00787196">
              <w:tab/>
            </w:r>
            <w:r w:rsidRPr="00787196">
              <w:fldChar w:fldCharType="begin"/>
            </w:r>
            <w:r w:rsidRPr="00787196">
              <w:instrText xml:space="preserve"> PAGEREF _Toc488655589 \h </w:instrText>
            </w:r>
            <w:r w:rsidRPr="00787196">
              <w:fldChar w:fldCharType="separate"/>
            </w:r>
            <w:r w:rsidR="00C069BC" w:rsidRPr="00787196">
              <w:t>128</w:t>
            </w:r>
            <w:r w:rsidRPr="00787196">
              <w:fldChar w:fldCharType="end"/>
            </w:r>
          </w:p>
          <w:p w14:paraId="7061C76B"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4 Summary of significant bivariate relationships between baseline variables and coping strategies at follow-up</w:t>
            </w:r>
            <w:r w:rsidRPr="00787196">
              <w:tab/>
            </w:r>
            <w:r w:rsidRPr="00787196">
              <w:fldChar w:fldCharType="begin"/>
            </w:r>
            <w:r w:rsidRPr="00787196">
              <w:instrText xml:space="preserve"> PAGEREF _Toc488655590 \h </w:instrText>
            </w:r>
            <w:r w:rsidRPr="00787196">
              <w:fldChar w:fldCharType="separate"/>
            </w:r>
            <w:r w:rsidR="00C069BC" w:rsidRPr="00787196">
              <w:t>129</w:t>
            </w:r>
            <w:r w:rsidRPr="00787196">
              <w:fldChar w:fldCharType="end"/>
            </w:r>
          </w:p>
          <w:p w14:paraId="722C472F"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5. Summary of predictors of denture outcomes at follow-up T2</w:t>
            </w:r>
            <w:r w:rsidRPr="00787196">
              <w:tab/>
            </w:r>
            <w:r w:rsidRPr="00787196">
              <w:fldChar w:fldCharType="begin"/>
            </w:r>
            <w:r w:rsidRPr="00787196">
              <w:instrText xml:space="preserve"> PAGEREF _Toc488655591 \h </w:instrText>
            </w:r>
            <w:r w:rsidRPr="00787196">
              <w:fldChar w:fldCharType="separate"/>
            </w:r>
            <w:r w:rsidR="00C069BC" w:rsidRPr="00787196">
              <w:t>136</w:t>
            </w:r>
            <w:r w:rsidRPr="00787196">
              <w:fldChar w:fldCharType="end"/>
            </w:r>
          </w:p>
          <w:p w14:paraId="27B3C4E5" w14:textId="77777777" w:rsidR="00443019" w:rsidRPr="00787196" w:rsidRDefault="00443019" w:rsidP="00EF2F69">
            <w:pPr>
              <w:pStyle w:val="TableofFigures"/>
              <w:rPr>
                <w:rFonts w:asciiTheme="minorHAnsi" w:eastAsiaTheme="minorEastAsia" w:hAnsiTheme="minorHAnsi" w:cs="Latha"/>
                <w:lang w:val="en-GB" w:eastAsia="en-GB" w:bidi="ta-IN"/>
              </w:rPr>
            </w:pPr>
            <w:r w:rsidRPr="00787196">
              <w:t>Figure 5</w:t>
            </w:r>
            <w:r w:rsidRPr="00787196">
              <w:noBreakHyphen/>
              <w:t>6. Summary of predictors of coping strategies at follow-up T2</w:t>
            </w:r>
            <w:r w:rsidRPr="00787196">
              <w:tab/>
            </w:r>
            <w:r w:rsidRPr="00787196">
              <w:fldChar w:fldCharType="begin"/>
            </w:r>
            <w:r w:rsidRPr="00787196">
              <w:instrText xml:space="preserve"> PAGEREF _Toc488655592 \h </w:instrText>
            </w:r>
            <w:r w:rsidRPr="00787196">
              <w:fldChar w:fldCharType="separate"/>
            </w:r>
            <w:r w:rsidR="00C069BC" w:rsidRPr="00787196">
              <w:t>137</w:t>
            </w:r>
            <w:r w:rsidRPr="00787196">
              <w:fldChar w:fldCharType="end"/>
            </w:r>
          </w:p>
          <w:p w14:paraId="70EC14A2" w14:textId="77777777" w:rsidR="00CF4180" w:rsidRPr="00787196" w:rsidRDefault="00CF4180" w:rsidP="00EF2F69">
            <w:pPr>
              <w:pStyle w:val="TableofFigures"/>
              <w:rPr>
                <w:lang w:val="en-GB"/>
              </w:rPr>
            </w:pPr>
            <w:r w:rsidRPr="00787196">
              <w:fldChar w:fldCharType="end"/>
            </w:r>
          </w:p>
        </w:tc>
      </w:tr>
    </w:tbl>
    <w:p w14:paraId="4924B72B" w14:textId="5E46A0CC" w:rsidR="00BA200A" w:rsidRPr="00787196" w:rsidRDefault="00CF4180" w:rsidP="00C51153">
      <w:pPr>
        <w:pStyle w:val="Heading1"/>
        <w:numPr>
          <w:ilvl w:val="0"/>
          <w:numId w:val="0"/>
        </w:numPr>
        <w:spacing w:after="0"/>
        <w:ind w:left="432"/>
        <w:rPr>
          <w:rStyle w:val="Heading1Char"/>
        </w:rPr>
      </w:pPr>
      <w:r w:rsidRPr="00787196">
        <w:br w:type="page"/>
      </w:r>
      <w:bookmarkStart w:id="6" w:name="_Toc488655599"/>
      <w:r w:rsidR="00C81F73" w:rsidRPr="00787196">
        <w:rPr>
          <w:rStyle w:val="Heading1Char"/>
        </w:rPr>
        <w:lastRenderedPageBreak/>
        <w:t>CONTENTS</w:t>
      </w:r>
      <w:bookmarkStart w:id="7" w:name="_Toc456211118"/>
      <w:bookmarkStart w:id="8" w:name="_Ref441130260"/>
      <w:bookmarkEnd w:id="6"/>
    </w:p>
    <w:sdt>
      <w:sdtPr>
        <w:rPr>
          <w:b w:val="0"/>
          <w:bCs w:val="0"/>
          <w:sz w:val="24"/>
          <w:szCs w:val="22"/>
          <w:lang w:val="en-GB" w:eastAsia="en-GB" w:bidi="ta-IN"/>
        </w:rPr>
        <w:id w:val="1768809039"/>
        <w:docPartObj>
          <w:docPartGallery w:val="Table of Contents"/>
          <w:docPartUnique/>
        </w:docPartObj>
      </w:sdtPr>
      <w:sdtEndPr>
        <w:rPr>
          <w:noProof/>
        </w:rPr>
      </w:sdtEndPr>
      <w:sdtContent>
        <w:p w14:paraId="49E33F8C" w14:textId="5449E6B6" w:rsidR="009758DD" w:rsidRPr="00787196" w:rsidRDefault="009758DD" w:rsidP="00317333">
          <w:pPr>
            <w:pStyle w:val="TOCHeading"/>
            <w:spacing w:before="0" w:after="0"/>
          </w:pPr>
        </w:p>
        <w:p w14:paraId="6602FE7B" w14:textId="77777777" w:rsidR="00443019" w:rsidRPr="00787196" w:rsidRDefault="009758DD" w:rsidP="001B3514">
          <w:pPr>
            <w:pStyle w:val="TOC1"/>
            <w:tabs>
              <w:tab w:val="right" w:leader="dot" w:pos="8494"/>
            </w:tabs>
            <w:rPr>
              <w:rFonts w:asciiTheme="minorHAnsi" w:eastAsiaTheme="minorEastAsia" w:hAnsiTheme="minorHAnsi" w:cs="Latha"/>
              <w:b w:val="0"/>
              <w:bCs w:val="0"/>
              <w:caps w:val="0"/>
              <w:noProof/>
              <w:sz w:val="22"/>
              <w:szCs w:val="22"/>
            </w:rPr>
          </w:pPr>
          <w:r w:rsidRPr="00787196">
            <w:fldChar w:fldCharType="begin"/>
          </w:r>
          <w:r w:rsidRPr="00787196">
            <w:instrText xml:space="preserve"> TOC \o "1-3" \h \z \u </w:instrText>
          </w:r>
          <w:r w:rsidRPr="00787196">
            <w:fldChar w:fldCharType="separate"/>
          </w:r>
          <w:hyperlink w:anchor="_Toc488655596" w:history="1">
            <w:r w:rsidR="00443019" w:rsidRPr="00787196">
              <w:rPr>
                <w:rStyle w:val="Hyperlink"/>
                <w:noProof/>
              </w:rPr>
              <w:t>ABSTRACT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_Toc488655596 \h </w:instrText>
            </w:r>
            <w:r w:rsidR="00443019" w:rsidRPr="00787196">
              <w:rPr>
                <w:noProof/>
                <w:webHidden/>
              </w:rPr>
            </w:r>
            <w:r w:rsidR="00443019" w:rsidRPr="00787196">
              <w:rPr>
                <w:noProof/>
                <w:webHidden/>
              </w:rPr>
              <w:fldChar w:fldCharType="separate"/>
            </w:r>
            <w:r w:rsidR="00787196" w:rsidRPr="00787196">
              <w:rPr>
                <w:noProof/>
                <w:webHidden/>
              </w:rPr>
              <w:t>i</w:t>
            </w:r>
            <w:r w:rsidR="00443019" w:rsidRPr="00787196">
              <w:rPr>
                <w:noProof/>
                <w:webHidden/>
              </w:rPr>
              <w:fldChar w:fldCharType="end"/>
            </w:r>
          </w:hyperlink>
        </w:p>
        <w:p w14:paraId="1BE9B470"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597" w:history="1">
            <w:r w:rsidR="00443019" w:rsidRPr="00787196">
              <w:rPr>
                <w:rStyle w:val="Hyperlink"/>
                <w:noProof/>
              </w:rPr>
              <w:t>ACKNOWLEDGEMENTS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_Toc488655597 \h </w:instrText>
            </w:r>
            <w:r w:rsidR="00443019" w:rsidRPr="00787196">
              <w:rPr>
                <w:noProof/>
                <w:webHidden/>
              </w:rPr>
            </w:r>
            <w:r w:rsidR="00443019" w:rsidRPr="00787196">
              <w:rPr>
                <w:noProof/>
                <w:webHidden/>
              </w:rPr>
              <w:fldChar w:fldCharType="separate"/>
            </w:r>
            <w:r w:rsidR="00787196" w:rsidRPr="00787196">
              <w:rPr>
                <w:noProof/>
                <w:webHidden/>
              </w:rPr>
              <w:t>ii</w:t>
            </w:r>
            <w:r w:rsidR="00443019" w:rsidRPr="00787196">
              <w:rPr>
                <w:noProof/>
                <w:webHidden/>
              </w:rPr>
              <w:fldChar w:fldCharType="end"/>
            </w:r>
          </w:hyperlink>
        </w:p>
        <w:p w14:paraId="6FBBFAE9"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598" w:history="1">
            <w:r w:rsidR="00443019" w:rsidRPr="00787196">
              <w:rPr>
                <w:rStyle w:val="Hyperlink"/>
                <w:rFonts w:cs="Arial"/>
                <w:noProof/>
              </w:rPr>
              <w:t>LIST OF FIGURES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_Toc488655598 \h </w:instrText>
            </w:r>
            <w:r w:rsidR="00443019" w:rsidRPr="00787196">
              <w:rPr>
                <w:noProof/>
                <w:webHidden/>
              </w:rPr>
            </w:r>
            <w:r w:rsidR="00443019" w:rsidRPr="00787196">
              <w:rPr>
                <w:noProof/>
                <w:webHidden/>
              </w:rPr>
              <w:fldChar w:fldCharType="separate"/>
            </w:r>
            <w:r w:rsidR="00787196" w:rsidRPr="00787196">
              <w:rPr>
                <w:noProof/>
                <w:webHidden/>
              </w:rPr>
              <w:t>iii</w:t>
            </w:r>
            <w:r w:rsidR="00443019" w:rsidRPr="00787196">
              <w:rPr>
                <w:noProof/>
                <w:webHidden/>
              </w:rPr>
              <w:fldChar w:fldCharType="end"/>
            </w:r>
          </w:hyperlink>
        </w:p>
        <w:p w14:paraId="1995AEC3"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599" w:history="1">
            <w:r w:rsidR="00443019" w:rsidRPr="00787196">
              <w:rPr>
                <w:rStyle w:val="Hyperlink"/>
                <w:noProof/>
              </w:rPr>
              <w:t>CONTENTS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_Toc488655599 \h </w:instrText>
            </w:r>
            <w:r w:rsidR="00443019" w:rsidRPr="00787196">
              <w:rPr>
                <w:noProof/>
                <w:webHidden/>
              </w:rPr>
            </w:r>
            <w:r w:rsidR="00443019" w:rsidRPr="00787196">
              <w:rPr>
                <w:noProof/>
                <w:webHidden/>
              </w:rPr>
              <w:fldChar w:fldCharType="separate"/>
            </w:r>
            <w:r w:rsidR="00787196" w:rsidRPr="00787196">
              <w:rPr>
                <w:noProof/>
                <w:webHidden/>
              </w:rPr>
              <w:t>iv</w:t>
            </w:r>
            <w:r w:rsidR="00443019" w:rsidRPr="00787196">
              <w:rPr>
                <w:noProof/>
                <w:webHidden/>
              </w:rPr>
              <w:fldChar w:fldCharType="end"/>
            </w:r>
          </w:hyperlink>
        </w:p>
        <w:p w14:paraId="1E5E3AE5"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600" w:history="1">
            <w:r w:rsidR="00443019" w:rsidRPr="00787196">
              <w:rPr>
                <w:rStyle w:val="Hyperlink"/>
                <w:rFonts w:cs="Arial"/>
                <w:noProof/>
              </w:rPr>
              <w:t>LIST OF TABLES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_Toc488655600 \h </w:instrText>
            </w:r>
            <w:r w:rsidR="00443019" w:rsidRPr="00787196">
              <w:rPr>
                <w:noProof/>
                <w:webHidden/>
              </w:rPr>
            </w:r>
            <w:r w:rsidR="00443019" w:rsidRPr="00787196">
              <w:rPr>
                <w:noProof/>
                <w:webHidden/>
              </w:rPr>
              <w:fldChar w:fldCharType="separate"/>
            </w:r>
            <w:r w:rsidR="00787196" w:rsidRPr="00787196">
              <w:rPr>
                <w:noProof/>
                <w:webHidden/>
              </w:rPr>
              <w:t>viii</w:t>
            </w:r>
            <w:r w:rsidR="00443019" w:rsidRPr="00787196">
              <w:rPr>
                <w:noProof/>
                <w:webHidden/>
              </w:rPr>
              <w:fldChar w:fldCharType="end"/>
            </w:r>
          </w:hyperlink>
        </w:p>
        <w:p w14:paraId="200624AE"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601" w:history="1">
            <w:r w:rsidR="00443019" w:rsidRPr="00787196">
              <w:rPr>
                <w:rStyle w:val="Hyperlink"/>
                <w:noProof/>
              </w:rPr>
              <w:t>ABBREVIATIONS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_Toc488655601 \h </w:instrText>
            </w:r>
            <w:r w:rsidR="00443019" w:rsidRPr="00787196">
              <w:rPr>
                <w:noProof/>
                <w:webHidden/>
              </w:rPr>
            </w:r>
            <w:r w:rsidR="00443019" w:rsidRPr="00787196">
              <w:rPr>
                <w:noProof/>
                <w:webHidden/>
              </w:rPr>
              <w:fldChar w:fldCharType="separate"/>
            </w:r>
            <w:r w:rsidR="00787196" w:rsidRPr="00787196">
              <w:rPr>
                <w:noProof/>
                <w:webHidden/>
              </w:rPr>
              <w:t>xi</w:t>
            </w:r>
            <w:r w:rsidR="00443019" w:rsidRPr="00787196">
              <w:rPr>
                <w:noProof/>
                <w:webHidden/>
              </w:rPr>
              <w:fldChar w:fldCharType="end"/>
            </w:r>
          </w:hyperlink>
        </w:p>
        <w:p w14:paraId="26B9F79C"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02" w:history="1">
            <w:r w:rsidR="00443019" w:rsidRPr="00787196">
              <w:rPr>
                <w:rStyle w:val="Hyperlink"/>
                <w:noProof/>
              </w:rPr>
              <w:t>1</w:t>
            </w:r>
            <w:r w:rsidR="00443019" w:rsidRPr="00787196">
              <w:rPr>
                <w:rFonts w:asciiTheme="minorHAnsi" w:eastAsiaTheme="minorEastAsia" w:hAnsiTheme="minorHAnsi" w:cs="Latha"/>
                <w:b w:val="0"/>
                <w:bCs w:val="0"/>
                <w:caps w:val="0"/>
                <w:noProof/>
                <w:sz w:val="22"/>
                <w:szCs w:val="22"/>
              </w:rPr>
              <w:tab/>
            </w:r>
            <w:r w:rsidR="00443019" w:rsidRPr="00787196">
              <w:rPr>
                <w:rStyle w:val="Hyperlink"/>
                <w:noProof/>
              </w:rPr>
              <w:t>CHAPTER ONE INTRODUCTION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_Toc488655602 \h </w:instrText>
            </w:r>
            <w:r w:rsidR="00443019" w:rsidRPr="00787196">
              <w:rPr>
                <w:noProof/>
                <w:webHidden/>
              </w:rPr>
            </w:r>
            <w:r w:rsidR="00443019" w:rsidRPr="00787196">
              <w:rPr>
                <w:noProof/>
                <w:webHidden/>
              </w:rPr>
              <w:fldChar w:fldCharType="separate"/>
            </w:r>
            <w:r w:rsidR="00787196" w:rsidRPr="00787196">
              <w:rPr>
                <w:noProof/>
                <w:webHidden/>
              </w:rPr>
              <w:t>1</w:t>
            </w:r>
            <w:r w:rsidR="00443019" w:rsidRPr="00787196">
              <w:rPr>
                <w:noProof/>
                <w:webHidden/>
              </w:rPr>
              <w:fldChar w:fldCharType="end"/>
            </w:r>
          </w:hyperlink>
        </w:p>
        <w:p w14:paraId="475CF1B0"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03" w:history="1">
            <w:r w:rsidR="00443019" w:rsidRPr="00787196">
              <w:rPr>
                <w:rStyle w:val="Hyperlink"/>
                <w:noProof/>
              </w:rPr>
              <w:t>2</w:t>
            </w:r>
            <w:r w:rsidR="00443019" w:rsidRPr="00787196">
              <w:rPr>
                <w:rFonts w:asciiTheme="minorHAnsi" w:eastAsiaTheme="minorEastAsia" w:hAnsiTheme="minorHAnsi" w:cs="Latha"/>
                <w:b w:val="0"/>
                <w:bCs w:val="0"/>
                <w:caps w:val="0"/>
                <w:noProof/>
                <w:sz w:val="22"/>
                <w:szCs w:val="22"/>
              </w:rPr>
              <w:tab/>
            </w:r>
            <w:r w:rsidR="00443019" w:rsidRPr="00787196">
              <w:rPr>
                <w:rStyle w:val="Hyperlink"/>
                <w:noProof/>
              </w:rPr>
              <w:t>CHAPTER TWO LITERATURE REVIEW</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_Toc488655603 \h </w:instrText>
            </w:r>
            <w:r w:rsidR="00443019" w:rsidRPr="00787196">
              <w:rPr>
                <w:noProof/>
                <w:webHidden/>
              </w:rPr>
            </w:r>
            <w:r w:rsidR="00443019" w:rsidRPr="00787196">
              <w:rPr>
                <w:noProof/>
                <w:webHidden/>
              </w:rPr>
              <w:fldChar w:fldCharType="separate"/>
            </w:r>
            <w:r w:rsidR="00787196" w:rsidRPr="00787196">
              <w:rPr>
                <w:noProof/>
                <w:webHidden/>
              </w:rPr>
              <w:t>4</w:t>
            </w:r>
            <w:r w:rsidR="00443019" w:rsidRPr="00787196">
              <w:rPr>
                <w:noProof/>
                <w:webHidden/>
              </w:rPr>
              <w:fldChar w:fldCharType="end"/>
            </w:r>
          </w:hyperlink>
        </w:p>
        <w:p w14:paraId="53B0DADB" w14:textId="77777777"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604" w:history="1">
            <w:r w:rsidR="00443019" w:rsidRPr="00787196">
              <w:rPr>
                <w:rStyle w:val="Hyperlink"/>
                <w:noProof/>
              </w:rPr>
              <w:t>INTRODUCTION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_Toc488655604 \h </w:instrText>
            </w:r>
            <w:r w:rsidR="00443019" w:rsidRPr="00787196">
              <w:rPr>
                <w:noProof/>
                <w:webHidden/>
              </w:rPr>
            </w:r>
            <w:r w:rsidR="00443019" w:rsidRPr="00787196">
              <w:rPr>
                <w:noProof/>
                <w:webHidden/>
              </w:rPr>
              <w:fldChar w:fldCharType="separate"/>
            </w:r>
            <w:r w:rsidR="00787196" w:rsidRPr="00787196">
              <w:rPr>
                <w:noProof/>
                <w:webHidden/>
              </w:rPr>
              <w:t>4</w:t>
            </w:r>
            <w:r w:rsidR="00443019" w:rsidRPr="00787196">
              <w:rPr>
                <w:noProof/>
                <w:webHidden/>
              </w:rPr>
              <w:fldChar w:fldCharType="end"/>
            </w:r>
          </w:hyperlink>
        </w:p>
        <w:p w14:paraId="42C8EF4E" w14:textId="77777777"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05" w:history="1">
            <w:r w:rsidR="00443019" w:rsidRPr="00787196">
              <w:rPr>
                <w:rStyle w:val="Hyperlink"/>
                <w:noProof/>
              </w:rPr>
              <w:t>2.1</w:t>
            </w:r>
            <w:r w:rsidR="00443019" w:rsidRPr="00787196">
              <w:rPr>
                <w:rFonts w:asciiTheme="minorHAnsi" w:eastAsiaTheme="minorEastAsia" w:hAnsiTheme="minorHAnsi" w:cs="Latha"/>
                <w:smallCaps w:val="0"/>
                <w:noProof/>
                <w:sz w:val="22"/>
                <w:szCs w:val="22"/>
              </w:rPr>
              <w:tab/>
            </w:r>
            <w:r w:rsidR="00443019" w:rsidRPr="00787196">
              <w:rPr>
                <w:rStyle w:val="Hyperlink"/>
                <w:noProof/>
              </w:rPr>
              <w:t>DENTURE SUCCESS, ASSESSMENTS, DENTURE SATISFACTION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_Toc488655605 \h </w:instrText>
            </w:r>
            <w:r w:rsidR="00443019" w:rsidRPr="00787196">
              <w:rPr>
                <w:noProof/>
                <w:webHidden/>
              </w:rPr>
            </w:r>
            <w:r w:rsidR="00443019" w:rsidRPr="00787196">
              <w:rPr>
                <w:noProof/>
                <w:webHidden/>
              </w:rPr>
              <w:fldChar w:fldCharType="separate"/>
            </w:r>
            <w:r w:rsidR="00787196" w:rsidRPr="00787196">
              <w:rPr>
                <w:noProof/>
                <w:webHidden/>
              </w:rPr>
              <w:t>5</w:t>
            </w:r>
            <w:r w:rsidR="00443019" w:rsidRPr="00787196">
              <w:rPr>
                <w:noProof/>
                <w:webHidden/>
              </w:rPr>
              <w:fldChar w:fldCharType="end"/>
            </w:r>
          </w:hyperlink>
        </w:p>
        <w:p w14:paraId="319164D2"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06" w:history="1">
            <w:r w:rsidR="00443019" w:rsidRPr="00787196">
              <w:rPr>
                <w:rStyle w:val="Hyperlink"/>
                <w:noProof/>
                <w:lang w:bidi="hi-IN"/>
              </w:rPr>
              <w:t>2.1.1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Evaluating denture success using normative parameters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_Toc488655606 \h </w:instrText>
            </w:r>
            <w:r w:rsidR="00443019" w:rsidRPr="00787196">
              <w:rPr>
                <w:noProof/>
                <w:webHidden/>
              </w:rPr>
            </w:r>
            <w:r w:rsidR="00443019" w:rsidRPr="00787196">
              <w:rPr>
                <w:noProof/>
                <w:webHidden/>
              </w:rPr>
              <w:fldChar w:fldCharType="separate"/>
            </w:r>
            <w:r w:rsidR="00787196" w:rsidRPr="00787196">
              <w:rPr>
                <w:noProof/>
                <w:webHidden/>
              </w:rPr>
              <w:t>6</w:t>
            </w:r>
            <w:r w:rsidR="00443019" w:rsidRPr="00787196">
              <w:rPr>
                <w:noProof/>
                <w:webHidden/>
              </w:rPr>
              <w:fldChar w:fldCharType="end"/>
            </w:r>
          </w:hyperlink>
        </w:p>
        <w:p w14:paraId="31D58BD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07" w:history="1">
            <w:r w:rsidR="00443019" w:rsidRPr="00787196">
              <w:rPr>
                <w:rStyle w:val="Hyperlink"/>
                <w:noProof/>
                <w:lang w:bidi="hi-IN"/>
              </w:rPr>
              <w:t>2.1.2</w:t>
            </w:r>
            <w:r w:rsidR="00443019" w:rsidRPr="00787196">
              <w:rPr>
                <w:rFonts w:asciiTheme="minorHAnsi" w:eastAsiaTheme="minorEastAsia" w:hAnsiTheme="minorHAnsi" w:cs="Latha"/>
                <w:iCs w:val="0"/>
                <w:noProof/>
                <w:sz w:val="22"/>
                <w:szCs w:val="22"/>
              </w:rPr>
              <w:tab/>
            </w:r>
            <w:r w:rsidR="00443019" w:rsidRPr="00787196">
              <w:rPr>
                <w:rStyle w:val="Hyperlink"/>
                <w:bCs/>
                <w:noProof/>
                <w:lang w:bidi="hi-IN"/>
              </w:rPr>
              <w:t>Problems with normative assessments of dentures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_Toc488655607 \h </w:instrText>
            </w:r>
            <w:r w:rsidR="00443019" w:rsidRPr="00787196">
              <w:rPr>
                <w:noProof/>
                <w:webHidden/>
              </w:rPr>
            </w:r>
            <w:r w:rsidR="00443019" w:rsidRPr="00787196">
              <w:rPr>
                <w:noProof/>
                <w:webHidden/>
              </w:rPr>
              <w:fldChar w:fldCharType="separate"/>
            </w:r>
            <w:r w:rsidR="00787196" w:rsidRPr="00787196">
              <w:rPr>
                <w:noProof/>
                <w:webHidden/>
              </w:rPr>
              <w:t>7</w:t>
            </w:r>
            <w:r w:rsidR="00443019" w:rsidRPr="00787196">
              <w:rPr>
                <w:noProof/>
                <w:webHidden/>
              </w:rPr>
              <w:fldChar w:fldCharType="end"/>
            </w:r>
          </w:hyperlink>
        </w:p>
        <w:p w14:paraId="68621F0D"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08" w:history="1">
            <w:r w:rsidR="00443019" w:rsidRPr="00787196">
              <w:rPr>
                <w:rStyle w:val="Hyperlink"/>
                <w:noProof/>
                <w:lang w:bidi="hi-IN"/>
              </w:rPr>
              <w:t>2.1.3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Evaluating denture success using patient reported outcomes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_Toc488655608 \h </w:instrText>
            </w:r>
            <w:r w:rsidR="00443019" w:rsidRPr="00787196">
              <w:rPr>
                <w:noProof/>
                <w:webHidden/>
              </w:rPr>
            </w:r>
            <w:r w:rsidR="00443019" w:rsidRPr="00787196">
              <w:rPr>
                <w:noProof/>
                <w:webHidden/>
              </w:rPr>
              <w:fldChar w:fldCharType="separate"/>
            </w:r>
            <w:r w:rsidR="00787196" w:rsidRPr="00787196">
              <w:rPr>
                <w:noProof/>
                <w:webHidden/>
              </w:rPr>
              <w:t>8</w:t>
            </w:r>
            <w:r w:rsidR="00443019" w:rsidRPr="00787196">
              <w:rPr>
                <w:noProof/>
                <w:webHidden/>
              </w:rPr>
              <w:fldChar w:fldCharType="end"/>
            </w:r>
          </w:hyperlink>
        </w:p>
        <w:p w14:paraId="174E2A2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09" w:history="1">
            <w:r w:rsidR="00443019" w:rsidRPr="00787196">
              <w:rPr>
                <w:rStyle w:val="Hyperlink"/>
                <w:noProof/>
                <w:lang w:bidi="hi-IN"/>
              </w:rPr>
              <w:t>2.1.4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Denture satisfaction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_Toc488655609 \h </w:instrText>
            </w:r>
            <w:r w:rsidR="00443019" w:rsidRPr="00787196">
              <w:rPr>
                <w:noProof/>
                <w:webHidden/>
              </w:rPr>
            </w:r>
            <w:r w:rsidR="00443019" w:rsidRPr="00787196">
              <w:rPr>
                <w:noProof/>
                <w:webHidden/>
              </w:rPr>
              <w:fldChar w:fldCharType="separate"/>
            </w:r>
            <w:r w:rsidR="00787196" w:rsidRPr="00787196">
              <w:rPr>
                <w:noProof/>
                <w:webHidden/>
              </w:rPr>
              <w:t>8</w:t>
            </w:r>
            <w:r w:rsidR="00443019" w:rsidRPr="00787196">
              <w:rPr>
                <w:noProof/>
                <w:webHidden/>
              </w:rPr>
              <w:fldChar w:fldCharType="end"/>
            </w:r>
          </w:hyperlink>
        </w:p>
        <w:p w14:paraId="2CB44B1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0" w:history="1">
            <w:r w:rsidR="00443019" w:rsidRPr="00787196">
              <w:rPr>
                <w:rStyle w:val="Hyperlink"/>
                <w:noProof/>
                <w:lang w:bidi="hi-IN"/>
              </w:rPr>
              <w:t>2.1.5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Summary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_Toc488655610 \h </w:instrText>
            </w:r>
            <w:r w:rsidR="00443019" w:rsidRPr="00787196">
              <w:rPr>
                <w:noProof/>
                <w:webHidden/>
              </w:rPr>
            </w:r>
            <w:r w:rsidR="00443019" w:rsidRPr="00787196">
              <w:rPr>
                <w:noProof/>
                <w:webHidden/>
              </w:rPr>
              <w:fldChar w:fldCharType="separate"/>
            </w:r>
            <w:r w:rsidR="00787196" w:rsidRPr="00787196">
              <w:rPr>
                <w:noProof/>
                <w:webHidden/>
              </w:rPr>
              <w:t>13</w:t>
            </w:r>
            <w:r w:rsidR="00443019" w:rsidRPr="00787196">
              <w:rPr>
                <w:noProof/>
                <w:webHidden/>
              </w:rPr>
              <w:fldChar w:fldCharType="end"/>
            </w:r>
          </w:hyperlink>
        </w:p>
        <w:p w14:paraId="1BB0EC20" w14:textId="3D4A839B"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11" w:history="1">
            <w:r w:rsidR="00443019" w:rsidRPr="00787196">
              <w:rPr>
                <w:rStyle w:val="Hyperlink"/>
                <w:noProof/>
              </w:rPr>
              <w:t>2.2</w:t>
            </w:r>
            <w:r w:rsidR="00443019" w:rsidRPr="00787196">
              <w:rPr>
                <w:rFonts w:asciiTheme="minorHAnsi" w:eastAsiaTheme="minorEastAsia" w:hAnsiTheme="minorHAnsi" w:cs="Latha"/>
                <w:smallCaps w:val="0"/>
                <w:noProof/>
                <w:sz w:val="22"/>
                <w:szCs w:val="22"/>
              </w:rPr>
              <w:tab/>
            </w:r>
            <w:r w:rsidR="001006B9" w:rsidRPr="00787196">
              <w:rPr>
                <w:rFonts w:cs="Arial"/>
                <w:noProof/>
              </w:rPr>
              <w:t>CONCEPT OF ORAL HEALTH RELATED QUALITY OF LIFE (OHQOL)</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_Toc488655611 \h </w:instrText>
            </w:r>
            <w:r w:rsidR="00443019" w:rsidRPr="00787196">
              <w:rPr>
                <w:noProof/>
                <w:webHidden/>
              </w:rPr>
            </w:r>
            <w:r w:rsidR="00443019" w:rsidRPr="00787196">
              <w:rPr>
                <w:noProof/>
                <w:webHidden/>
              </w:rPr>
              <w:fldChar w:fldCharType="separate"/>
            </w:r>
            <w:r w:rsidR="00787196" w:rsidRPr="00787196">
              <w:rPr>
                <w:noProof/>
                <w:webHidden/>
              </w:rPr>
              <w:t>14</w:t>
            </w:r>
            <w:r w:rsidR="00443019" w:rsidRPr="00787196">
              <w:rPr>
                <w:noProof/>
                <w:webHidden/>
              </w:rPr>
              <w:fldChar w:fldCharType="end"/>
            </w:r>
          </w:hyperlink>
        </w:p>
        <w:p w14:paraId="6D5F416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2" w:history="1">
            <w:r w:rsidR="00443019" w:rsidRPr="00787196">
              <w:rPr>
                <w:rStyle w:val="Hyperlink"/>
                <w:noProof/>
                <w:lang w:bidi="hi-IN"/>
              </w:rPr>
              <w:t>2.2.1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Health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_Toc488655612 \h </w:instrText>
            </w:r>
            <w:r w:rsidR="00443019" w:rsidRPr="00787196">
              <w:rPr>
                <w:noProof/>
                <w:webHidden/>
              </w:rPr>
            </w:r>
            <w:r w:rsidR="00443019" w:rsidRPr="00787196">
              <w:rPr>
                <w:noProof/>
                <w:webHidden/>
              </w:rPr>
              <w:fldChar w:fldCharType="separate"/>
            </w:r>
            <w:r w:rsidR="00787196" w:rsidRPr="00787196">
              <w:rPr>
                <w:noProof/>
                <w:webHidden/>
              </w:rPr>
              <w:t>14</w:t>
            </w:r>
            <w:r w:rsidR="00443019" w:rsidRPr="00787196">
              <w:rPr>
                <w:noProof/>
                <w:webHidden/>
              </w:rPr>
              <w:fldChar w:fldCharType="end"/>
            </w:r>
          </w:hyperlink>
        </w:p>
        <w:p w14:paraId="7A5C9B40"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3" w:history="1">
            <w:r w:rsidR="00443019" w:rsidRPr="00787196">
              <w:rPr>
                <w:rStyle w:val="Hyperlink"/>
                <w:noProof/>
                <w:lang w:bidi="hi-IN"/>
              </w:rPr>
              <w:t>2.2.2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Quality of life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_Toc488655613 \h </w:instrText>
            </w:r>
            <w:r w:rsidR="00443019" w:rsidRPr="00787196">
              <w:rPr>
                <w:noProof/>
                <w:webHidden/>
              </w:rPr>
            </w:r>
            <w:r w:rsidR="00443019" w:rsidRPr="00787196">
              <w:rPr>
                <w:noProof/>
                <w:webHidden/>
              </w:rPr>
              <w:fldChar w:fldCharType="separate"/>
            </w:r>
            <w:r w:rsidR="00787196" w:rsidRPr="00787196">
              <w:rPr>
                <w:noProof/>
                <w:webHidden/>
              </w:rPr>
              <w:t>17</w:t>
            </w:r>
            <w:r w:rsidR="00443019" w:rsidRPr="00787196">
              <w:rPr>
                <w:noProof/>
                <w:webHidden/>
              </w:rPr>
              <w:fldChar w:fldCharType="end"/>
            </w:r>
          </w:hyperlink>
        </w:p>
        <w:p w14:paraId="4DBCE541"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4" w:history="1">
            <w:r w:rsidR="00443019" w:rsidRPr="00787196">
              <w:rPr>
                <w:rStyle w:val="Hyperlink"/>
                <w:noProof/>
                <w:lang w:bidi="hi-IN"/>
              </w:rPr>
              <w:t>2.2.3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Health Related Quality of Life (HRQoL)</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_Toc488655614 \h </w:instrText>
            </w:r>
            <w:r w:rsidR="00443019" w:rsidRPr="00787196">
              <w:rPr>
                <w:noProof/>
                <w:webHidden/>
              </w:rPr>
            </w:r>
            <w:r w:rsidR="00443019" w:rsidRPr="00787196">
              <w:rPr>
                <w:noProof/>
                <w:webHidden/>
              </w:rPr>
              <w:fldChar w:fldCharType="separate"/>
            </w:r>
            <w:r w:rsidR="00787196" w:rsidRPr="00787196">
              <w:rPr>
                <w:noProof/>
                <w:webHidden/>
              </w:rPr>
              <w:t>18</w:t>
            </w:r>
            <w:r w:rsidR="00443019" w:rsidRPr="00787196">
              <w:rPr>
                <w:noProof/>
                <w:webHidden/>
              </w:rPr>
              <w:fldChar w:fldCharType="end"/>
            </w:r>
          </w:hyperlink>
        </w:p>
        <w:p w14:paraId="62B3C3F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5" w:history="1">
            <w:r w:rsidR="00443019" w:rsidRPr="00787196">
              <w:rPr>
                <w:rStyle w:val="Hyperlink"/>
                <w:noProof/>
                <w:lang w:bidi="hi-IN"/>
              </w:rPr>
              <w:t>2.2.4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Oral health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_Toc488655615 \h </w:instrText>
            </w:r>
            <w:r w:rsidR="00443019" w:rsidRPr="00787196">
              <w:rPr>
                <w:noProof/>
                <w:webHidden/>
              </w:rPr>
            </w:r>
            <w:r w:rsidR="00443019" w:rsidRPr="00787196">
              <w:rPr>
                <w:noProof/>
                <w:webHidden/>
              </w:rPr>
              <w:fldChar w:fldCharType="separate"/>
            </w:r>
            <w:r w:rsidR="00787196" w:rsidRPr="00787196">
              <w:rPr>
                <w:noProof/>
                <w:webHidden/>
              </w:rPr>
              <w:t>18</w:t>
            </w:r>
            <w:r w:rsidR="00443019" w:rsidRPr="00787196">
              <w:rPr>
                <w:noProof/>
                <w:webHidden/>
              </w:rPr>
              <w:fldChar w:fldCharType="end"/>
            </w:r>
          </w:hyperlink>
        </w:p>
        <w:p w14:paraId="2571639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6" w:history="1">
            <w:r w:rsidR="00443019" w:rsidRPr="00787196">
              <w:rPr>
                <w:rStyle w:val="Hyperlink"/>
                <w:noProof/>
                <w:lang w:bidi="hi-IN"/>
              </w:rPr>
              <w:t>2.2.5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Oral health related quality of life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_Toc488655616 \h </w:instrText>
            </w:r>
            <w:r w:rsidR="00443019" w:rsidRPr="00787196">
              <w:rPr>
                <w:noProof/>
                <w:webHidden/>
              </w:rPr>
            </w:r>
            <w:r w:rsidR="00443019" w:rsidRPr="00787196">
              <w:rPr>
                <w:noProof/>
                <w:webHidden/>
              </w:rPr>
              <w:fldChar w:fldCharType="separate"/>
            </w:r>
            <w:r w:rsidR="00787196" w:rsidRPr="00787196">
              <w:rPr>
                <w:noProof/>
                <w:webHidden/>
              </w:rPr>
              <w:t>19</w:t>
            </w:r>
            <w:r w:rsidR="00443019" w:rsidRPr="00787196">
              <w:rPr>
                <w:noProof/>
                <w:webHidden/>
              </w:rPr>
              <w:fldChar w:fldCharType="end"/>
            </w:r>
          </w:hyperlink>
        </w:p>
        <w:p w14:paraId="0A05C28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7" w:history="1">
            <w:r w:rsidR="00443019" w:rsidRPr="00787196">
              <w:rPr>
                <w:rStyle w:val="Hyperlink"/>
                <w:noProof/>
                <w:lang w:bidi="hi-IN"/>
              </w:rPr>
              <w:t>2.2.6</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Theoretical Models and OHQoL</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_Toc488655617 \h </w:instrText>
            </w:r>
            <w:r w:rsidR="00443019" w:rsidRPr="00787196">
              <w:rPr>
                <w:noProof/>
                <w:webHidden/>
              </w:rPr>
            </w:r>
            <w:r w:rsidR="00443019" w:rsidRPr="00787196">
              <w:rPr>
                <w:noProof/>
                <w:webHidden/>
              </w:rPr>
              <w:fldChar w:fldCharType="separate"/>
            </w:r>
            <w:r w:rsidR="00787196" w:rsidRPr="00787196">
              <w:rPr>
                <w:noProof/>
                <w:webHidden/>
              </w:rPr>
              <w:t>21</w:t>
            </w:r>
            <w:r w:rsidR="00443019" w:rsidRPr="00787196">
              <w:rPr>
                <w:noProof/>
                <w:webHidden/>
              </w:rPr>
              <w:fldChar w:fldCharType="end"/>
            </w:r>
          </w:hyperlink>
        </w:p>
        <w:p w14:paraId="1A03F9B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8" w:history="1">
            <w:r w:rsidR="00443019" w:rsidRPr="00787196">
              <w:rPr>
                <w:rStyle w:val="Hyperlink"/>
                <w:noProof/>
                <w:lang w:bidi="hi-IN"/>
              </w:rPr>
              <w:t>2.2.7</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Lockers conceptual model of Oral health (1988)</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_Toc488655618 \h </w:instrText>
            </w:r>
            <w:r w:rsidR="00443019" w:rsidRPr="00787196">
              <w:rPr>
                <w:noProof/>
                <w:webHidden/>
              </w:rPr>
            </w:r>
            <w:r w:rsidR="00443019" w:rsidRPr="00787196">
              <w:rPr>
                <w:noProof/>
                <w:webHidden/>
              </w:rPr>
              <w:fldChar w:fldCharType="separate"/>
            </w:r>
            <w:r w:rsidR="00787196" w:rsidRPr="00787196">
              <w:rPr>
                <w:noProof/>
                <w:webHidden/>
              </w:rPr>
              <w:t>23</w:t>
            </w:r>
            <w:r w:rsidR="00443019" w:rsidRPr="00787196">
              <w:rPr>
                <w:noProof/>
                <w:webHidden/>
              </w:rPr>
              <w:fldChar w:fldCharType="end"/>
            </w:r>
          </w:hyperlink>
        </w:p>
        <w:p w14:paraId="258F274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19" w:history="1">
            <w:r w:rsidR="00443019" w:rsidRPr="00787196">
              <w:rPr>
                <w:rStyle w:val="Hyperlink"/>
                <w:noProof/>
                <w:lang w:bidi="hi-IN"/>
              </w:rPr>
              <w:t>2.2.8</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Wilson and Cleary model (1995)</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_Toc488655619 \h </w:instrText>
            </w:r>
            <w:r w:rsidR="00443019" w:rsidRPr="00787196">
              <w:rPr>
                <w:noProof/>
                <w:webHidden/>
              </w:rPr>
            </w:r>
            <w:r w:rsidR="00443019" w:rsidRPr="00787196">
              <w:rPr>
                <w:noProof/>
                <w:webHidden/>
              </w:rPr>
              <w:fldChar w:fldCharType="separate"/>
            </w:r>
            <w:r w:rsidR="00787196" w:rsidRPr="00787196">
              <w:rPr>
                <w:noProof/>
                <w:webHidden/>
              </w:rPr>
              <w:t>25</w:t>
            </w:r>
            <w:r w:rsidR="00443019" w:rsidRPr="00787196">
              <w:rPr>
                <w:noProof/>
                <w:webHidden/>
              </w:rPr>
              <w:fldChar w:fldCharType="end"/>
            </w:r>
          </w:hyperlink>
        </w:p>
        <w:p w14:paraId="7FE20A01"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0" w:history="1">
            <w:r w:rsidR="00443019" w:rsidRPr="00787196">
              <w:rPr>
                <w:rStyle w:val="Hyperlink"/>
                <w:noProof/>
                <w:lang w:bidi="hi-IN"/>
              </w:rPr>
              <w:t>2.2.9</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Summary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_Toc488655620 \h </w:instrText>
            </w:r>
            <w:r w:rsidR="00443019" w:rsidRPr="00787196">
              <w:rPr>
                <w:noProof/>
                <w:webHidden/>
              </w:rPr>
            </w:r>
            <w:r w:rsidR="00443019" w:rsidRPr="00787196">
              <w:rPr>
                <w:noProof/>
                <w:webHidden/>
              </w:rPr>
              <w:fldChar w:fldCharType="separate"/>
            </w:r>
            <w:r w:rsidR="00787196" w:rsidRPr="00787196">
              <w:rPr>
                <w:noProof/>
                <w:webHidden/>
              </w:rPr>
              <w:t>29</w:t>
            </w:r>
            <w:r w:rsidR="00443019" w:rsidRPr="00787196">
              <w:rPr>
                <w:noProof/>
                <w:webHidden/>
              </w:rPr>
              <w:fldChar w:fldCharType="end"/>
            </w:r>
          </w:hyperlink>
        </w:p>
        <w:p w14:paraId="1DA6D24F" w14:textId="77777777"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21" w:history="1">
            <w:r w:rsidR="00443019" w:rsidRPr="00787196">
              <w:rPr>
                <w:rStyle w:val="Hyperlink"/>
                <w:noProof/>
              </w:rPr>
              <w:t>2.3</w:t>
            </w:r>
            <w:r w:rsidR="00443019" w:rsidRPr="00787196">
              <w:rPr>
                <w:rFonts w:asciiTheme="minorHAnsi" w:eastAsiaTheme="minorEastAsia" w:hAnsiTheme="minorHAnsi" w:cs="Latha"/>
                <w:smallCaps w:val="0"/>
                <w:noProof/>
                <w:sz w:val="22"/>
                <w:szCs w:val="22"/>
              </w:rPr>
              <w:tab/>
            </w:r>
            <w:r w:rsidR="00443019" w:rsidRPr="00787196">
              <w:rPr>
                <w:rStyle w:val="Hyperlink"/>
                <w:noProof/>
              </w:rPr>
              <w:t>FACTORS INFLUENCING ORAL HEALTH RELATED QUALITY OF LIFE IN DENTURE WEARERS: A REVIEW</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_Toc488655621 \h </w:instrText>
            </w:r>
            <w:r w:rsidR="00443019" w:rsidRPr="00787196">
              <w:rPr>
                <w:noProof/>
                <w:webHidden/>
              </w:rPr>
            </w:r>
            <w:r w:rsidR="00443019" w:rsidRPr="00787196">
              <w:rPr>
                <w:noProof/>
                <w:webHidden/>
              </w:rPr>
              <w:fldChar w:fldCharType="separate"/>
            </w:r>
            <w:r w:rsidR="00787196" w:rsidRPr="00787196">
              <w:rPr>
                <w:noProof/>
                <w:webHidden/>
              </w:rPr>
              <w:t>30</w:t>
            </w:r>
            <w:r w:rsidR="00443019" w:rsidRPr="00787196">
              <w:rPr>
                <w:noProof/>
                <w:webHidden/>
              </w:rPr>
              <w:fldChar w:fldCharType="end"/>
            </w:r>
          </w:hyperlink>
        </w:p>
        <w:p w14:paraId="23DEE39D"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2" w:history="1">
            <w:r w:rsidR="00443019" w:rsidRPr="00787196">
              <w:rPr>
                <w:rStyle w:val="Hyperlink"/>
                <w:noProof/>
                <w:lang w:bidi="hi-IN"/>
              </w:rPr>
              <w:t>2.3.1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Variables identified</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_Toc488655622 \h </w:instrText>
            </w:r>
            <w:r w:rsidR="00443019" w:rsidRPr="00787196">
              <w:rPr>
                <w:noProof/>
                <w:webHidden/>
              </w:rPr>
            </w:r>
            <w:r w:rsidR="00443019" w:rsidRPr="00787196">
              <w:rPr>
                <w:noProof/>
                <w:webHidden/>
              </w:rPr>
              <w:fldChar w:fldCharType="separate"/>
            </w:r>
            <w:r w:rsidR="00787196" w:rsidRPr="00787196">
              <w:rPr>
                <w:noProof/>
                <w:webHidden/>
              </w:rPr>
              <w:t>43</w:t>
            </w:r>
            <w:r w:rsidR="00443019" w:rsidRPr="00787196">
              <w:rPr>
                <w:noProof/>
                <w:webHidden/>
              </w:rPr>
              <w:fldChar w:fldCharType="end"/>
            </w:r>
          </w:hyperlink>
        </w:p>
        <w:p w14:paraId="38CEB961" w14:textId="7C2F0052"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23" w:history="1">
            <w:r w:rsidR="00443019" w:rsidRPr="00787196">
              <w:rPr>
                <w:rStyle w:val="Hyperlink"/>
                <w:noProof/>
              </w:rPr>
              <w:t>2.4</w:t>
            </w:r>
            <w:r w:rsidR="00443019" w:rsidRPr="00787196">
              <w:rPr>
                <w:rFonts w:asciiTheme="minorHAnsi" w:eastAsiaTheme="minorEastAsia" w:hAnsiTheme="minorHAnsi" w:cs="Latha"/>
                <w:smallCaps w:val="0"/>
                <w:noProof/>
                <w:sz w:val="22"/>
                <w:szCs w:val="22"/>
              </w:rPr>
              <w:tab/>
            </w:r>
            <w:r w:rsidR="001006B9" w:rsidRPr="00787196">
              <w:rPr>
                <w:rStyle w:val="Hyperlink"/>
                <w:noProof/>
              </w:rPr>
              <w:t>INDIVIDUAL FACTORS AND OHQOL IN DENTURE WEARERS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_Toc488655623 \h </w:instrText>
            </w:r>
            <w:r w:rsidR="00443019" w:rsidRPr="00787196">
              <w:rPr>
                <w:noProof/>
                <w:webHidden/>
              </w:rPr>
            </w:r>
            <w:r w:rsidR="00443019" w:rsidRPr="00787196">
              <w:rPr>
                <w:noProof/>
                <w:webHidden/>
              </w:rPr>
              <w:fldChar w:fldCharType="separate"/>
            </w:r>
            <w:r w:rsidR="00787196" w:rsidRPr="00787196">
              <w:rPr>
                <w:noProof/>
                <w:webHidden/>
              </w:rPr>
              <w:t>46</w:t>
            </w:r>
            <w:r w:rsidR="00443019" w:rsidRPr="00787196">
              <w:rPr>
                <w:noProof/>
                <w:webHidden/>
              </w:rPr>
              <w:fldChar w:fldCharType="end"/>
            </w:r>
          </w:hyperlink>
        </w:p>
        <w:p w14:paraId="6DAA92AE"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4" w:history="1">
            <w:r w:rsidR="00443019" w:rsidRPr="00787196">
              <w:rPr>
                <w:rStyle w:val="Hyperlink"/>
                <w:noProof/>
                <w:lang w:bidi="hi-IN"/>
              </w:rPr>
              <w:t>2.4.1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Coping strategies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_Toc488655624 \h </w:instrText>
            </w:r>
            <w:r w:rsidR="00443019" w:rsidRPr="00787196">
              <w:rPr>
                <w:noProof/>
                <w:webHidden/>
              </w:rPr>
            </w:r>
            <w:r w:rsidR="00443019" w:rsidRPr="00787196">
              <w:rPr>
                <w:noProof/>
                <w:webHidden/>
              </w:rPr>
              <w:fldChar w:fldCharType="separate"/>
            </w:r>
            <w:r w:rsidR="00787196" w:rsidRPr="00787196">
              <w:rPr>
                <w:noProof/>
                <w:webHidden/>
              </w:rPr>
              <w:t>46</w:t>
            </w:r>
            <w:r w:rsidR="00443019" w:rsidRPr="00787196">
              <w:rPr>
                <w:noProof/>
                <w:webHidden/>
              </w:rPr>
              <w:fldChar w:fldCharType="end"/>
            </w:r>
          </w:hyperlink>
        </w:p>
        <w:p w14:paraId="43CA1240"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5" w:history="1">
            <w:r w:rsidR="00443019" w:rsidRPr="00787196">
              <w:rPr>
                <w:rStyle w:val="Hyperlink"/>
                <w:noProof/>
                <w:lang w:bidi="hi-IN"/>
              </w:rPr>
              <w:t>2.4.2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Ageing expectations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_Toc488655625 \h </w:instrText>
            </w:r>
            <w:r w:rsidR="00443019" w:rsidRPr="00787196">
              <w:rPr>
                <w:noProof/>
                <w:webHidden/>
              </w:rPr>
            </w:r>
            <w:r w:rsidR="00443019" w:rsidRPr="00787196">
              <w:rPr>
                <w:noProof/>
                <w:webHidden/>
              </w:rPr>
              <w:fldChar w:fldCharType="separate"/>
            </w:r>
            <w:r w:rsidR="00787196" w:rsidRPr="00787196">
              <w:rPr>
                <w:noProof/>
                <w:webHidden/>
              </w:rPr>
              <w:t>54</w:t>
            </w:r>
            <w:r w:rsidR="00443019" w:rsidRPr="00787196">
              <w:rPr>
                <w:noProof/>
                <w:webHidden/>
              </w:rPr>
              <w:fldChar w:fldCharType="end"/>
            </w:r>
          </w:hyperlink>
        </w:p>
        <w:p w14:paraId="3A2AF09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6" w:history="1">
            <w:r w:rsidR="00443019" w:rsidRPr="00787196">
              <w:rPr>
                <w:rStyle w:val="Hyperlink"/>
                <w:noProof/>
                <w:lang w:bidi="hi-IN"/>
              </w:rPr>
              <w:t>2.4.3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Concern about oral health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_Toc488655626 \h </w:instrText>
            </w:r>
            <w:r w:rsidR="00443019" w:rsidRPr="00787196">
              <w:rPr>
                <w:noProof/>
                <w:webHidden/>
              </w:rPr>
            </w:r>
            <w:r w:rsidR="00443019" w:rsidRPr="00787196">
              <w:rPr>
                <w:noProof/>
                <w:webHidden/>
              </w:rPr>
              <w:fldChar w:fldCharType="separate"/>
            </w:r>
            <w:r w:rsidR="00787196" w:rsidRPr="00787196">
              <w:rPr>
                <w:noProof/>
                <w:webHidden/>
              </w:rPr>
              <w:t>55</w:t>
            </w:r>
            <w:r w:rsidR="00443019" w:rsidRPr="00787196">
              <w:rPr>
                <w:noProof/>
                <w:webHidden/>
              </w:rPr>
              <w:fldChar w:fldCharType="end"/>
            </w:r>
          </w:hyperlink>
        </w:p>
        <w:p w14:paraId="1C5D052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7" w:history="1">
            <w:r w:rsidR="00443019" w:rsidRPr="00787196">
              <w:rPr>
                <w:rStyle w:val="Hyperlink"/>
                <w:noProof/>
                <w:lang w:bidi="hi-IN"/>
              </w:rPr>
              <w:t>2.4.4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Perceived stress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_Toc488655627 \h </w:instrText>
            </w:r>
            <w:r w:rsidR="00443019" w:rsidRPr="00787196">
              <w:rPr>
                <w:noProof/>
                <w:webHidden/>
              </w:rPr>
            </w:r>
            <w:r w:rsidR="00443019" w:rsidRPr="00787196">
              <w:rPr>
                <w:noProof/>
                <w:webHidden/>
              </w:rPr>
              <w:fldChar w:fldCharType="separate"/>
            </w:r>
            <w:r w:rsidR="00787196" w:rsidRPr="00787196">
              <w:rPr>
                <w:noProof/>
                <w:webHidden/>
              </w:rPr>
              <w:t>57</w:t>
            </w:r>
            <w:r w:rsidR="00443019" w:rsidRPr="00787196">
              <w:rPr>
                <w:noProof/>
                <w:webHidden/>
              </w:rPr>
              <w:fldChar w:fldCharType="end"/>
            </w:r>
          </w:hyperlink>
        </w:p>
        <w:p w14:paraId="379AC43E"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8" w:history="1">
            <w:r w:rsidR="00443019" w:rsidRPr="00787196">
              <w:rPr>
                <w:rStyle w:val="Hyperlink"/>
                <w:noProof/>
                <w:lang w:bidi="hi-IN"/>
              </w:rPr>
              <w:t>2.4.5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Subjective Socio-Economic Status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_Toc488655628 \h </w:instrText>
            </w:r>
            <w:r w:rsidR="00443019" w:rsidRPr="00787196">
              <w:rPr>
                <w:noProof/>
                <w:webHidden/>
              </w:rPr>
            </w:r>
            <w:r w:rsidR="00443019" w:rsidRPr="00787196">
              <w:rPr>
                <w:noProof/>
                <w:webHidden/>
              </w:rPr>
              <w:fldChar w:fldCharType="separate"/>
            </w:r>
            <w:r w:rsidR="00787196" w:rsidRPr="00787196">
              <w:rPr>
                <w:noProof/>
                <w:webHidden/>
              </w:rPr>
              <w:t>61</w:t>
            </w:r>
            <w:r w:rsidR="00443019" w:rsidRPr="00787196">
              <w:rPr>
                <w:noProof/>
                <w:webHidden/>
              </w:rPr>
              <w:fldChar w:fldCharType="end"/>
            </w:r>
          </w:hyperlink>
        </w:p>
        <w:p w14:paraId="47673EA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29" w:history="1">
            <w:r w:rsidR="00443019" w:rsidRPr="00787196">
              <w:rPr>
                <w:rStyle w:val="Hyperlink"/>
                <w:rFonts w:cs="Arial"/>
                <w:noProof/>
                <w:lang w:bidi="hi-IN"/>
              </w:rPr>
              <w:t>2.4.6</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Summary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_Toc488655629 \h </w:instrText>
            </w:r>
            <w:r w:rsidR="00443019" w:rsidRPr="00787196">
              <w:rPr>
                <w:noProof/>
                <w:webHidden/>
              </w:rPr>
            </w:r>
            <w:r w:rsidR="00443019" w:rsidRPr="00787196">
              <w:rPr>
                <w:noProof/>
                <w:webHidden/>
              </w:rPr>
              <w:fldChar w:fldCharType="separate"/>
            </w:r>
            <w:r w:rsidR="00787196" w:rsidRPr="00787196">
              <w:rPr>
                <w:noProof/>
                <w:webHidden/>
              </w:rPr>
              <w:t>63</w:t>
            </w:r>
            <w:r w:rsidR="00443019" w:rsidRPr="00787196">
              <w:rPr>
                <w:noProof/>
                <w:webHidden/>
              </w:rPr>
              <w:fldChar w:fldCharType="end"/>
            </w:r>
          </w:hyperlink>
        </w:p>
        <w:p w14:paraId="5EDBC5D0" w14:textId="689541A4"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30" w:history="1">
            <w:r w:rsidR="00443019" w:rsidRPr="00787196">
              <w:rPr>
                <w:rStyle w:val="Hyperlink"/>
                <w:noProof/>
              </w:rPr>
              <w:t>2.5</w:t>
            </w:r>
            <w:r w:rsidR="00443019" w:rsidRPr="00787196">
              <w:rPr>
                <w:rFonts w:asciiTheme="minorHAnsi" w:eastAsiaTheme="minorEastAsia" w:hAnsiTheme="minorHAnsi" w:cs="Latha"/>
                <w:smallCaps w:val="0"/>
                <w:noProof/>
                <w:sz w:val="22"/>
                <w:szCs w:val="22"/>
              </w:rPr>
              <w:tab/>
            </w:r>
            <w:r w:rsidR="001006B9" w:rsidRPr="00787196">
              <w:rPr>
                <w:rStyle w:val="Hyperlink"/>
                <w:noProof/>
              </w:rPr>
              <w:t>ENVIRONMENTAL FACTORS AND OHQOL IN DENTURE WEARERS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_Toc488655630 \h </w:instrText>
            </w:r>
            <w:r w:rsidR="00443019" w:rsidRPr="00787196">
              <w:rPr>
                <w:noProof/>
                <w:webHidden/>
              </w:rPr>
            </w:r>
            <w:r w:rsidR="00443019" w:rsidRPr="00787196">
              <w:rPr>
                <w:noProof/>
                <w:webHidden/>
              </w:rPr>
              <w:fldChar w:fldCharType="separate"/>
            </w:r>
            <w:r w:rsidR="00787196" w:rsidRPr="00787196">
              <w:rPr>
                <w:noProof/>
                <w:webHidden/>
              </w:rPr>
              <w:t>64</w:t>
            </w:r>
            <w:r w:rsidR="00443019" w:rsidRPr="00787196">
              <w:rPr>
                <w:noProof/>
                <w:webHidden/>
              </w:rPr>
              <w:fldChar w:fldCharType="end"/>
            </w:r>
          </w:hyperlink>
        </w:p>
        <w:p w14:paraId="3040B666"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31" w:history="1">
            <w:r w:rsidR="00443019" w:rsidRPr="00787196">
              <w:rPr>
                <w:rStyle w:val="Hyperlink"/>
                <w:noProof/>
                <w:lang w:bidi="hi-IN"/>
              </w:rPr>
              <w:t>2.5.1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Socioeconomic status (SES)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_Toc488655631 \h </w:instrText>
            </w:r>
            <w:r w:rsidR="00443019" w:rsidRPr="00787196">
              <w:rPr>
                <w:noProof/>
                <w:webHidden/>
              </w:rPr>
            </w:r>
            <w:r w:rsidR="00443019" w:rsidRPr="00787196">
              <w:rPr>
                <w:noProof/>
                <w:webHidden/>
              </w:rPr>
              <w:fldChar w:fldCharType="separate"/>
            </w:r>
            <w:r w:rsidR="00787196" w:rsidRPr="00787196">
              <w:rPr>
                <w:noProof/>
                <w:webHidden/>
              </w:rPr>
              <w:t>64</w:t>
            </w:r>
            <w:r w:rsidR="00443019" w:rsidRPr="00787196">
              <w:rPr>
                <w:noProof/>
                <w:webHidden/>
              </w:rPr>
              <w:fldChar w:fldCharType="end"/>
            </w:r>
          </w:hyperlink>
        </w:p>
        <w:p w14:paraId="3DA227DE" w14:textId="566BF5E0"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32" w:history="1">
            <w:r w:rsidR="00443019" w:rsidRPr="00787196">
              <w:rPr>
                <w:rStyle w:val="Hyperlink"/>
                <w:noProof/>
              </w:rPr>
              <w:t>2.6</w:t>
            </w:r>
            <w:r w:rsidR="00443019" w:rsidRPr="00787196">
              <w:rPr>
                <w:rFonts w:asciiTheme="minorHAnsi" w:eastAsiaTheme="minorEastAsia" w:hAnsiTheme="minorHAnsi" w:cs="Latha"/>
                <w:smallCaps w:val="0"/>
                <w:noProof/>
                <w:sz w:val="22"/>
                <w:szCs w:val="22"/>
              </w:rPr>
              <w:tab/>
            </w:r>
            <w:r w:rsidR="001006B9" w:rsidRPr="00787196">
              <w:rPr>
                <w:rStyle w:val="Hyperlink"/>
                <w:noProof/>
              </w:rPr>
              <w:t>SUMMARY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_Toc488655632 \h </w:instrText>
            </w:r>
            <w:r w:rsidR="00443019" w:rsidRPr="00787196">
              <w:rPr>
                <w:noProof/>
                <w:webHidden/>
              </w:rPr>
            </w:r>
            <w:r w:rsidR="00443019" w:rsidRPr="00787196">
              <w:rPr>
                <w:noProof/>
                <w:webHidden/>
              </w:rPr>
              <w:fldChar w:fldCharType="separate"/>
            </w:r>
            <w:r w:rsidR="00787196" w:rsidRPr="00787196">
              <w:rPr>
                <w:noProof/>
                <w:webHidden/>
              </w:rPr>
              <w:t>74</w:t>
            </w:r>
            <w:r w:rsidR="00443019" w:rsidRPr="00787196">
              <w:rPr>
                <w:noProof/>
                <w:webHidden/>
              </w:rPr>
              <w:fldChar w:fldCharType="end"/>
            </w:r>
          </w:hyperlink>
        </w:p>
        <w:p w14:paraId="10E04E10"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33" w:history="1">
            <w:r w:rsidR="00443019" w:rsidRPr="00787196">
              <w:rPr>
                <w:rStyle w:val="Hyperlink"/>
                <w:noProof/>
              </w:rPr>
              <w:t>3</w:t>
            </w:r>
            <w:r w:rsidR="00443019" w:rsidRPr="00787196">
              <w:rPr>
                <w:rFonts w:asciiTheme="minorHAnsi" w:eastAsiaTheme="minorEastAsia" w:hAnsiTheme="minorHAnsi" w:cs="Latha"/>
                <w:b w:val="0"/>
                <w:bCs w:val="0"/>
                <w:caps w:val="0"/>
                <w:noProof/>
                <w:sz w:val="22"/>
                <w:szCs w:val="22"/>
              </w:rPr>
              <w:tab/>
            </w:r>
            <w:r w:rsidR="00443019" w:rsidRPr="00787196">
              <w:rPr>
                <w:rStyle w:val="Hyperlink"/>
                <w:noProof/>
              </w:rPr>
              <w:t>CHAPTER THREE AIM AND OBJECTIVES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_Toc488655633 \h </w:instrText>
            </w:r>
            <w:r w:rsidR="00443019" w:rsidRPr="00787196">
              <w:rPr>
                <w:noProof/>
                <w:webHidden/>
              </w:rPr>
            </w:r>
            <w:r w:rsidR="00443019" w:rsidRPr="00787196">
              <w:rPr>
                <w:noProof/>
                <w:webHidden/>
              </w:rPr>
              <w:fldChar w:fldCharType="separate"/>
            </w:r>
            <w:r w:rsidR="00787196" w:rsidRPr="00787196">
              <w:rPr>
                <w:noProof/>
                <w:webHidden/>
              </w:rPr>
              <w:t>77</w:t>
            </w:r>
            <w:r w:rsidR="00443019" w:rsidRPr="00787196">
              <w:rPr>
                <w:noProof/>
                <w:webHidden/>
              </w:rPr>
              <w:fldChar w:fldCharType="end"/>
            </w:r>
          </w:hyperlink>
        </w:p>
        <w:p w14:paraId="081F6A32" w14:textId="37B7B451"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34" w:history="1">
            <w:r w:rsidR="00443019" w:rsidRPr="00787196">
              <w:rPr>
                <w:rStyle w:val="Hyperlink"/>
                <w:rFonts w:cs="Arial"/>
                <w:bCs/>
                <w:noProof/>
              </w:rPr>
              <w:t>3.1</w:t>
            </w:r>
            <w:r w:rsidR="00443019" w:rsidRPr="00787196">
              <w:rPr>
                <w:rFonts w:asciiTheme="minorHAnsi" w:eastAsiaTheme="minorEastAsia" w:hAnsiTheme="minorHAnsi" w:cs="Latha"/>
                <w:smallCaps w:val="0"/>
                <w:noProof/>
                <w:sz w:val="22"/>
                <w:szCs w:val="22"/>
              </w:rPr>
              <w:tab/>
            </w:r>
            <w:r w:rsidR="001006B9" w:rsidRPr="00787196">
              <w:rPr>
                <w:rStyle w:val="Hyperlink"/>
                <w:rFonts w:cs="Arial"/>
                <w:bCs/>
                <w:noProof/>
              </w:rPr>
              <w:t>RATIONALE AND AIM</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_Toc488655634 \h </w:instrText>
            </w:r>
            <w:r w:rsidR="00443019" w:rsidRPr="00787196">
              <w:rPr>
                <w:noProof/>
                <w:webHidden/>
              </w:rPr>
            </w:r>
            <w:r w:rsidR="00443019" w:rsidRPr="00787196">
              <w:rPr>
                <w:noProof/>
                <w:webHidden/>
              </w:rPr>
              <w:fldChar w:fldCharType="separate"/>
            </w:r>
            <w:r w:rsidR="00787196" w:rsidRPr="00787196">
              <w:rPr>
                <w:noProof/>
                <w:webHidden/>
              </w:rPr>
              <w:t>77</w:t>
            </w:r>
            <w:r w:rsidR="00443019" w:rsidRPr="00787196">
              <w:rPr>
                <w:noProof/>
                <w:webHidden/>
              </w:rPr>
              <w:fldChar w:fldCharType="end"/>
            </w:r>
          </w:hyperlink>
        </w:p>
        <w:p w14:paraId="3839C45A" w14:textId="54EA5317"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35" w:history="1">
            <w:r w:rsidR="00443019" w:rsidRPr="00787196">
              <w:rPr>
                <w:rStyle w:val="Hyperlink"/>
                <w:noProof/>
              </w:rPr>
              <w:t>3.2</w:t>
            </w:r>
            <w:r w:rsidR="00443019" w:rsidRPr="00787196">
              <w:rPr>
                <w:rFonts w:asciiTheme="minorHAnsi" w:eastAsiaTheme="minorEastAsia" w:hAnsiTheme="minorHAnsi" w:cs="Latha"/>
                <w:smallCaps w:val="0"/>
                <w:noProof/>
                <w:sz w:val="22"/>
                <w:szCs w:val="22"/>
              </w:rPr>
              <w:tab/>
            </w:r>
            <w:r w:rsidR="001006B9" w:rsidRPr="00787196">
              <w:rPr>
                <w:rStyle w:val="Hyperlink"/>
                <w:noProof/>
              </w:rPr>
              <w:t>OBJECTIVES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_Toc488655635 \h </w:instrText>
            </w:r>
            <w:r w:rsidR="00443019" w:rsidRPr="00787196">
              <w:rPr>
                <w:noProof/>
                <w:webHidden/>
              </w:rPr>
            </w:r>
            <w:r w:rsidR="00443019" w:rsidRPr="00787196">
              <w:rPr>
                <w:noProof/>
                <w:webHidden/>
              </w:rPr>
              <w:fldChar w:fldCharType="separate"/>
            </w:r>
            <w:r w:rsidR="00787196" w:rsidRPr="00787196">
              <w:rPr>
                <w:noProof/>
                <w:webHidden/>
              </w:rPr>
              <w:t>78</w:t>
            </w:r>
            <w:r w:rsidR="00443019" w:rsidRPr="00787196">
              <w:rPr>
                <w:noProof/>
                <w:webHidden/>
              </w:rPr>
              <w:fldChar w:fldCharType="end"/>
            </w:r>
          </w:hyperlink>
        </w:p>
        <w:p w14:paraId="1B2E6F6A"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36" w:history="1">
            <w:r w:rsidR="00443019" w:rsidRPr="00787196">
              <w:rPr>
                <w:rStyle w:val="Hyperlink"/>
                <w:rFonts w:cs="Arial"/>
                <w:noProof/>
              </w:rPr>
              <w:t>4</w:t>
            </w:r>
            <w:r w:rsidR="00443019" w:rsidRPr="00787196">
              <w:rPr>
                <w:rFonts w:asciiTheme="minorHAnsi" w:eastAsiaTheme="minorEastAsia" w:hAnsiTheme="minorHAnsi" w:cs="Latha"/>
                <w:b w:val="0"/>
                <w:bCs w:val="0"/>
                <w:caps w:val="0"/>
                <w:noProof/>
                <w:sz w:val="22"/>
                <w:szCs w:val="22"/>
              </w:rPr>
              <w:tab/>
            </w:r>
            <w:r w:rsidR="00443019" w:rsidRPr="00787196">
              <w:rPr>
                <w:rStyle w:val="Hyperlink"/>
                <w:rFonts w:cs="Arial"/>
                <w:noProof/>
              </w:rPr>
              <w:t>CHAPTER FOUR MATERIALS and METHODS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_Toc488655636 \h </w:instrText>
            </w:r>
            <w:r w:rsidR="00443019" w:rsidRPr="00787196">
              <w:rPr>
                <w:noProof/>
                <w:webHidden/>
              </w:rPr>
            </w:r>
            <w:r w:rsidR="00443019" w:rsidRPr="00787196">
              <w:rPr>
                <w:noProof/>
                <w:webHidden/>
              </w:rPr>
              <w:fldChar w:fldCharType="separate"/>
            </w:r>
            <w:r w:rsidR="00787196" w:rsidRPr="00787196">
              <w:rPr>
                <w:noProof/>
                <w:webHidden/>
              </w:rPr>
              <w:t>79</w:t>
            </w:r>
            <w:r w:rsidR="00443019" w:rsidRPr="00787196">
              <w:rPr>
                <w:noProof/>
                <w:webHidden/>
              </w:rPr>
              <w:fldChar w:fldCharType="end"/>
            </w:r>
          </w:hyperlink>
        </w:p>
        <w:p w14:paraId="5F74EA41" w14:textId="724B0530"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37" w:history="1">
            <w:r w:rsidR="00443019" w:rsidRPr="00787196">
              <w:rPr>
                <w:rStyle w:val="Hyperlink"/>
                <w:noProof/>
              </w:rPr>
              <w:t>4.1</w:t>
            </w:r>
            <w:r w:rsidR="00443019" w:rsidRPr="00787196">
              <w:rPr>
                <w:rFonts w:asciiTheme="minorHAnsi" w:eastAsiaTheme="minorEastAsia" w:hAnsiTheme="minorHAnsi" w:cs="Latha"/>
                <w:smallCaps w:val="0"/>
                <w:noProof/>
                <w:sz w:val="22"/>
                <w:szCs w:val="22"/>
              </w:rPr>
              <w:tab/>
            </w:r>
            <w:r w:rsidR="001006B9" w:rsidRPr="00787196">
              <w:rPr>
                <w:rStyle w:val="Hyperlink"/>
                <w:noProof/>
              </w:rPr>
              <w:t>METHOD</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_Toc488655637 \h </w:instrText>
            </w:r>
            <w:r w:rsidR="00443019" w:rsidRPr="00787196">
              <w:rPr>
                <w:noProof/>
                <w:webHidden/>
              </w:rPr>
            </w:r>
            <w:r w:rsidR="00443019" w:rsidRPr="00787196">
              <w:rPr>
                <w:noProof/>
                <w:webHidden/>
              </w:rPr>
              <w:fldChar w:fldCharType="separate"/>
            </w:r>
            <w:r w:rsidR="00787196" w:rsidRPr="00787196">
              <w:rPr>
                <w:noProof/>
                <w:webHidden/>
              </w:rPr>
              <w:t>79</w:t>
            </w:r>
            <w:r w:rsidR="00443019" w:rsidRPr="00787196">
              <w:rPr>
                <w:noProof/>
                <w:webHidden/>
              </w:rPr>
              <w:fldChar w:fldCharType="end"/>
            </w:r>
          </w:hyperlink>
        </w:p>
        <w:p w14:paraId="234BBB06"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38" w:history="1">
            <w:r w:rsidR="00443019" w:rsidRPr="00787196">
              <w:rPr>
                <w:rStyle w:val="Hyperlink"/>
                <w:noProof/>
                <w:lang w:bidi="hi-IN"/>
              </w:rPr>
              <w:t>4.1.1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Sample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_Toc488655638 \h </w:instrText>
            </w:r>
            <w:r w:rsidR="00443019" w:rsidRPr="00787196">
              <w:rPr>
                <w:noProof/>
                <w:webHidden/>
              </w:rPr>
            </w:r>
            <w:r w:rsidR="00443019" w:rsidRPr="00787196">
              <w:rPr>
                <w:noProof/>
                <w:webHidden/>
              </w:rPr>
              <w:fldChar w:fldCharType="separate"/>
            </w:r>
            <w:r w:rsidR="00787196" w:rsidRPr="00787196">
              <w:rPr>
                <w:noProof/>
                <w:webHidden/>
              </w:rPr>
              <w:t>79</w:t>
            </w:r>
            <w:r w:rsidR="00443019" w:rsidRPr="00787196">
              <w:rPr>
                <w:noProof/>
                <w:webHidden/>
              </w:rPr>
              <w:fldChar w:fldCharType="end"/>
            </w:r>
          </w:hyperlink>
        </w:p>
        <w:p w14:paraId="2B528EE0"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39" w:history="1">
            <w:r w:rsidR="00443019" w:rsidRPr="00787196">
              <w:rPr>
                <w:rStyle w:val="Hyperlink"/>
                <w:noProof/>
                <w:lang w:bidi="hi-IN"/>
              </w:rPr>
              <w:t>4.1.2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Institution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_Toc488655639 \h </w:instrText>
            </w:r>
            <w:r w:rsidR="00443019" w:rsidRPr="00787196">
              <w:rPr>
                <w:noProof/>
                <w:webHidden/>
              </w:rPr>
            </w:r>
            <w:r w:rsidR="00443019" w:rsidRPr="00787196">
              <w:rPr>
                <w:noProof/>
                <w:webHidden/>
              </w:rPr>
              <w:fldChar w:fldCharType="separate"/>
            </w:r>
            <w:r w:rsidR="00787196" w:rsidRPr="00787196">
              <w:rPr>
                <w:noProof/>
                <w:webHidden/>
              </w:rPr>
              <w:t>79</w:t>
            </w:r>
            <w:r w:rsidR="00443019" w:rsidRPr="00787196">
              <w:rPr>
                <w:noProof/>
                <w:webHidden/>
              </w:rPr>
              <w:fldChar w:fldCharType="end"/>
            </w:r>
          </w:hyperlink>
        </w:p>
        <w:p w14:paraId="193FFBF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0" w:history="1">
            <w:r w:rsidR="00443019" w:rsidRPr="00787196">
              <w:rPr>
                <w:rStyle w:val="Hyperlink"/>
                <w:noProof/>
                <w:lang w:bidi="hi-IN"/>
              </w:rPr>
              <w:t>4.1.3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Selection of participants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_Toc488655640 \h </w:instrText>
            </w:r>
            <w:r w:rsidR="00443019" w:rsidRPr="00787196">
              <w:rPr>
                <w:noProof/>
                <w:webHidden/>
              </w:rPr>
            </w:r>
            <w:r w:rsidR="00443019" w:rsidRPr="00787196">
              <w:rPr>
                <w:noProof/>
                <w:webHidden/>
              </w:rPr>
              <w:fldChar w:fldCharType="separate"/>
            </w:r>
            <w:r w:rsidR="00787196" w:rsidRPr="00787196">
              <w:rPr>
                <w:noProof/>
                <w:webHidden/>
              </w:rPr>
              <w:t>79</w:t>
            </w:r>
            <w:r w:rsidR="00443019" w:rsidRPr="00787196">
              <w:rPr>
                <w:noProof/>
                <w:webHidden/>
              </w:rPr>
              <w:fldChar w:fldCharType="end"/>
            </w:r>
          </w:hyperlink>
        </w:p>
        <w:p w14:paraId="46B235B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1" w:history="1">
            <w:r w:rsidR="00443019" w:rsidRPr="00787196">
              <w:rPr>
                <w:rStyle w:val="Hyperlink"/>
                <w:noProof/>
                <w:lang w:bidi="hi-IN"/>
              </w:rPr>
              <w:t>4.1.4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Recruitment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_Toc488655641 \h </w:instrText>
            </w:r>
            <w:r w:rsidR="00443019" w:rsidRPr="00787196">
              <w:rPr>
                <w:noProof/>
                <w:webHidden/>
              </w:rPr>
            </w:r>
            <w:r w:rsidR="00443019" w:rsidRPr="00787196">
              <w:rPr>
                <w:noProof/>
                <w:webHidden/>
              </w:rPr>
              <w:fldChar w:fldCharType="separate"/>
            </w:r>
            <w:r w:rsidR="00787196" w:rsidRPr="00787196">
              <w:rPr>
                <w:noProof/>
                <w:webHidden/>
              </w:rPr>
              <w:t>80</w:t>
            </w:r>
            <w:r w:rsidR="00443019" w:rsidRPr="00787196">
              <w:rPr>
                <w:noProof/>
                <w:webHidden/>
              </w:rPr>
              <w:fldChar w:fldCharType="end"/>
            </w:r>
          </w:hyperlink>
        </w:p>
        <w:p w14:paraId="3DC327B6"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2" w:history="1">
            <w:r w:rsidR="00443019" w:rsidRPr="00787196">
              <w:rPr>
                <w:rStyle w:val="Hyperlink"/>
                <w:noProof/>
                <w:lang w:bidi="hi-IN"/>
              </w:rPr>
              <w:t>4.1.5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Sampling</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_Toc488655642 \h </w:instrText>
            </w:r>
            <w:r w:rsidR="00443019" w:rsidRPr="00787196">
              <w:rPr>
                <w:noProof/>
                <w:webHidden/>
              </w:rPr>
            </w:r>
            <w:r w:rsidR="00443019" w:rsidRPr="00787196">
              <w:rPr>
                <w:noProof/>
                <w:webHidden/>
              </w:rPr>
              <w:fldChar w:fldCharType="separate"/>
            </w:r>
            <w:r w:rsidR="00787196" w:rsidRPr="00787196">
              <w:rPr>
                <w:noProof/>
                <w:webHidden/>
              </w:rPr>
              <w:t>82</w:t>
            </w:r>
            <w:r w:rsidR="00443019" w:rsidRPr="00787196">
              <w:rPr>
                <w:noProof/>
                <w:webHidden/>
              </w:rPr>
              <w:fldChar w:fldCharType="end"/>
            </w:r>
          </w:hyperlink>
        </w:p>
        <w:p w14:paraId="02D74B7C"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3" w:history="1">
            <w:r w:rsidR="00443019" w:rsidRPr="00787196">
              <w:rPr>
                <w:rStyle w:val="Hyperlink"/>
                <w:noProof/>
                <w:lang w:bidi="hi-IN"/>
              </w:rPr>
              <w:t>4.1.6</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Permission and Liaison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_Toc488655643 \h </w:instrText>
            </w:r>
            <w:r w:rsidR="00443019" w:rsidRPr="00787196">
              <w:rPr>
                <w:noProof/>
                <w:webHidden/>
              </w:rPr>
            </w:r>
            <w:r w:rsidR="00443019" w:rsidRPr="00787196">
              <w:rPr>
                <w:noProof/>
                <w:webHidden/>
              </w:rPr>
              <w:fldChar w:fldCharType="separate"/>
            </w:r>
            <w:r w:rsidR="00787196" w:rsidRPr="00787196">
              <w:rPr>
                <w:noProof/>
                <w:webHidden/>
              </w:rPr>
              <w:t>83</w:t>
            </w:r>
            <w:r w:rsidR="00443019" w:rsidRPr="00787196">
              <w:rPr>
                <w:noProof/>
                <w:webHidden/>
              </w:rPr>
              <w:fldChar w:fldCharType="end"/>
            </w:r>
          </w:hyperlink>
        </w:p>
        <w:p w14:paraId="187789C6" w14:textId="24EB2376"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44" w:history="1">
            <w:r w:rsidR="00443019" w:rsidRPr="00787196">
              <w:rPr>
                <w:rStyle w:val="Hyperlink"/>
                <w:noProof/>
              </w:rPr>
              <w:t>4.2</w:t>
            </w:r>
            <w:r w:rsidR="00443019" w:rsidRPr="00787196">
              <w:rPr>
                <w:rFonts w:asciiTheme="minorHAnsi" w:eastAsiaTheme="minorEastAsia" w:hAnsiTheme="minorHAnsi" w:cs="Latha"/>
                <w:smallCaps w:val="0"/>
                <w:noProof/>
                <w:sz w:val="22"/>
                <w:szCs w:val="22"/>
              </w:rPr>
              <w:tab/>
            </w:r>
            <w:r w:rsidR="001006B9" w:rsidRPr="00787196">
              <w:rPr>
                <w:rStyle w:val="Hyperlink"/>
                <w:noProof/>
              </w:rPr>
              <w:t>VARIABLES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_Toc488655644 \h </w:instrText>
            </w:r>
            <w:r w:rsidR="00443019" w:rsidRPr="00787196">
              <w:rPr>
                <w:noProof/>
                <w:webHidden/>
              </w:rPr>
            </w:r>
            <w:r w:rsidR="00443019" w:rsidRPr="00787196">
              <w:rPr>
                <w:noProof/>
                <w:webHidden/>
              </w:rPr>
              <w:fldChar w:fldCharType="separate"/>
            </w:r>
            <w:r w:rsidR="00787196" w:rsidRPr="00787196">
              <w:rPr>
                <w:noProof/>
                <w:webHidden/>
              </w:rPr>
              <w:t>83</w:t>
            </w:r>
            <w:r w:rsidR="00443019" w:rsidRPr="00787196">
              <w:rPr>
                <w:noProof/>
                <w:webHidden/>
              </w:rPr>
              <w:fldChar w:fldCharType="end"/>
            </w:r>
          </w:hyperlink>
        </w:p>
        <w:p w14:paraId="3CED2D7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5" w:history="1">
            <w:r w:rsidR="00443019" w:rsidRPr="00787196">
              <w:rPr>
                <w:rStyle w:val="Hyperlink"/>
                <w:noProof/>
                <w:lang w:bidi="hi-IN"/>
              </w:rPr>
              <w:t>4.2.1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Clinical Variables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_Toc488655645 \h </w:instrText>
            </w:r>
            <w:r w:rsidR="00443019" w:rsidRPr="00787196">
              <w:rPr>
                <w:noProof/>
                <w:webHidden/>
              </w:rPr>
            </w:r>
            <w:r w:rsidR="00443019" w:rsidRPr="00787196">
              <w:rPr>
                <w:noProof/>
                <w:webHidden/>
              </w:rPr>
              <w:fldChar w:fldCharType="separate"/>
            </w:r>
            <w:r w:rsidR="00787196" w:rsidRPr="00787196">
              <w:rPr>
                <w:noProof/>
                <w:webHidden/>
              </w:rPr>
              <w:t>85</w:t>
            </w:r>
            <w:r w:rsidR="00443019" w:rsidRPr="00787196">
              <w:rPr>
                <w:noProof/>
                <w:webHidden/>
              </w:rPr>
              <w:fldChar w:fldCharType="end"/>
            </w:r>
          </w:hyperlink>
        </w:p>
        <w:p w14:paraId="71F662CE"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46" w:history="1">
            <w:r w:rsidR="00443019" w:rsidRPr="00787196">
              <w:rPr>
                <w:rStyle w:val="Hyperlink"/>
                <w:noProof/>
                <w:lang w:bidi="hi-IN"/>
              </w:rPr>
              <w:t>4.2.2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Independent variables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_Toc488655646 \h </w:instrText>
            </w:r>
            <w:r w:rsidR="00443019" w:rsidRPr="00787196">
              <w:rPr>
                <w:noProof/>
                <w:webHidden/>
              </w:rPr>
            </w:r>
            <w:r w:rsidR="00443019" w:rsidRPr="00787196">
              <w:rPr>
                <w:noProof/>
                <w:webHidden/>
              </w:rPr>
              <w:fldChar w:fldCharType="separate"/>
            </w:r>
            <w:r w:rsidR="00787196" w:rsidRPr="00787196">
              <w:rPr>
                <w:noProof/>
                <w:webHidden/>
              </w:rPr>
              <w:t>85</w:t>
            </w:r>
            <w:r w:rsidR="00443019" w:rsidRPr="00787196">
              <w:rPr>
                <w:noProof/>
                <w:webHidden/>
              </w:rPr>
              <w:fldChar w:fldCharType="end"/>
            </w:r>
          </w:hyperlink>
        </w:p>
        <w:p w14:paraId="14396F9A" w14:textId="4AD7C538"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47" w:history="1">
            <w:r w:rsidR="00443019" w:rsidRPr="00787196">
              <w:rPr>
                <w:rStyle w:val="Hyperlink"/>
                <w:noProof/>
              </w:rPr>
              <w:t>4.3</w:t>
            </w:r>
            <w:r w:rsidR="00443019" w:rsidRPr="00787196">
              <w:rPr>
                <w:rFonts w:asciiTheme="minorHAnsi" w:eastAsiaTheme="minorEastAsia" w:hAnsiTheme="minorHAnsi" w:cs="Latha"/>
                <w:smallCaps w:val="0"/>
                <w:noProof/>
                <w:sz w:val="22"/>
                <w:szCs w:val="22"/>
              </w:rPr>
              <w:tab/>
            </w:r>
            <w:r w:rsidR="001006B9" w:rsidRPr="00787196">
              <w:rPr>
                <w:rStyle w:val="Hyperlink"/>
                <w:noProof/>
              </w:rPr>
              <w:t>CHALLENGES WITH THE MEASURES USED</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_Toc488655647 \h </w:instrText>
            </w:r>
            <w:r w:rsidR="00443019" w:rsidRPr="00787196">
              <w:rPr>
                <w:noProof/>
                <w:webHidden/>
              </w:rPr>
            </w:r>
            <w:r w:rsidR="00443019" w:rsidRPr="00787196">
              <w:rPr>
                <w:noProof/>
                <w:webHidden/>
              </w:rPr>
              <w:fldChar w:fldCharType="separate"/>
            </w:r>
            <w:r w:rsidR="00787196" w:rsidRPr="00787196">
              <w:rPr>
                <w:noProof/>
                <w:webHidden/>
              </w:rPr>
              <w:t>91</w:t>
            </w:r>
            <w:r w:rsidR="00443019" w:rsidRPr="00787196">
              <w:rPr>
                <w:noProof/>
                <w:webHidden/>
              </w:rPr>
              <w:fldChar w:fldCharType="end"/>
            </w:r>
          </w:hyperlink>
        </w:p>
        <w:p w14:paraId="7A7B16AC" w14:textId="12BAFB81"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48" w:history="1">
            <w:r w:rsidR="00443019" w:rsidRPr="00787196">
              <w:rPr>
                <w:rStyle w:val="Hyperlink"/>
                <w:noProof/>
              </w:rPr>
              <w:t>4.4</w:t>
            </w:r>
            <w:r w:rsidR="00443019" w:rsidRPr="00787196">
              <w:rPr>
                <w:rFonts w:asciiTheme="minorHAnsi" w:eastAsiaTheme="minorEastAsia" w:hAnsiTheme="minorHAnsi" w:cs="Latha"/>
                <w:smallCaps w:val="0"/>
                <w:noProof/>
                <w:sz w:val="22"/>
                <w:szCs w:val="22"/>
              </w:rPr>
              <w:tab/>
            </w:r>
            <w:r w:rsidR="001006B9" w:rsidRPr="00787196">
              <w:rPr>
                <w:rStyle w:val="Hyperlink"/>
                <w:noProof/>
              </w:rPr>
              <w:t>TRANSLATION OF THE MEASURES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_Toc488655648 \h </w:instrText>
            </w:r>
            <w:r w:rsidR="00443019" w:rsidRPr="00787196">
              <w:rPr>
                <w:noProof/>
                <w:webHidden/>
              </w:rPr>
            </w:r>
            <w:r w:rsidR="00443019" w:rsidRPr="00787196">
              <w:rPr>
                <w:noProof/>
                <w:webHidden/>
              </w:rPr>
              <w:fldChar w:fldCharType="separate"/>
            </w:r>
            <w:r w:rsidR="00787196" w:rsidRPr="00787196">
              <w:rPr>
                <w:noProof/>
                <w:webHidden/>
              </w:rPr>
              <w:t>92</w:t>
            </w:r>
            <w:r w:rsidR="00443019" w:rsidRPr="00787196">
              <w:rPr>
                <w:noProof/>
                <w:webHidden/>
              </w:rPr>
              <w:fldChar w:fldCharType="end"/>
            </w:r>
          </w:hyperlink>
        </w:p>
        <w:p w14:paraId="5F21B95F" w14:textId="3A672929"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49" w:history="1">
            <w:r w:rsidR="00443019" w:rsidRPr="00787196">
              <w:rPr>
                <w:rStyle w:val="Hyperlink"/>
                <w:noProof/>
              </w:rPr>
              <w:t>4.5</w:t>
            </w:r>
            <w:r w:rsidR="00443019" w:rsidRPr="00787196">
              <w:rPr>
                <w:rFonts w:asciiTheme="minorHAnsi" w:eastAsiaTheme="minorEastAsia" w:hAnsiTheme="minorHAnsi" w:cs="Latha"/>
                <w:smallCaps w:val="0"/>
                <w:noProof/>
                <w:sz w:val="22"/>
                <w:szCs w:val="22"/>
              </w:rPr>
              <w:tab/>
            </w:r>
            <w:r w:rsidR="001006B9" w:rsidRPr="00787196">
              <w:rPr>
                <w:rStyle w:val="Hyperlink"/>
                <w:noProof/>
              </w:rPr>
              <w:t>CONDUCT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_Toc488655649 \h </w:instrText>
            </w:r>
            <w:r w:rsidR="00443019" w:rsidRPr="00787196">
              <w:rPr>
                <w:noProof/>
                <w:webHidden/>
              </w:rPr>
            </w:r>
            <w:r w:rsidR="00443019" w:rsidRPr="00787196">
              <w:rPr>
                <w:noProof/>
                <w:webHidden/>
              </w:rPr>
              <w:fldChar w:fldCharType="separate"/>
            </w:r>
            <w:r w:rsidR="00787196" w:rsidRPr="00787196">
              <w:rPr>
                <w:noProof/>
                <w:webHidden/>
              </w:rPr>
              <w:t>92</w:t>
            </w:r>
            <w:r w:rsidR="00443019" w:rsidRPr="00787196">
              <w:rPr>
                <w:noProof/>
                <w:webHidden/>
              </w:rPr>
              <w:fldChar w:fldCharType="end"/>
            </w:r>
          </w:hyperlink>
        </w:p>
        <w:p w14:paraId="2BD1592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0" w:history="1">
            <w:r w:rsidR="00443019" w:rsidRPr="00787196">
              <w:rPr>
                <w:rStyle w:val="Hyperlink"/>
                <w:noProof/>
                <w:lang w:bidi="hi-IN"/>
              </w:rPr>
              <w:t>4.5.1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Pilot Study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_Toc488655650 \h </w:instrText>
            </w:r>
            <w:r w:rsidR="00443019" w:rsidRPr="00787196">
              <w:rPr>
                <w:noProof/>
                <w:webHidden/>
              </w:rPr>
            </w:r>
            <w:r w:rsidR="00443019" w:rsidRPr="00787196">
              <w:rPr>
                <w:noProof/>
                <w:webHidden/>
              </w:rPr>
              <w:fldChar w:fldCharType="separate"/>
            </w:r>
            <w:r w:rsidR="00787196" w:rsidRPr="00787196">
              <w:rPr>
                <w:noProof/>
                <w:webHidden/>
              </w:rPr>
              <w:t>92</w:t>
            </w:r>
            <w:r w:rsidR="00443019" w:rsidRPr="00787196">
              <w:rPr>
                <w:noProof/>
                <w:webHidden/>
              </w:rPr>
              <w:fldChar w:fldCharType="end"/>
            </w:r>
          </w:hyperlink>
        </w:p>
        <w:p w14:paraId="1955759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1" w:history="1">
            <w:r w:rsidR="00443019" w:rsidRPr="00787196">
              <w:rPr>
                <w:rStyle w:val="Hyperlink"/>
                <w:noProof/>
                <w:lang w:bidi="hi-IN"/>
              </w:rPr>
              <w:t>4.5.2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Data Collection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_Toc488655651 \h </w:instrText>
            </w:r>
            <w:r w:rsidR="00443019" w:rsidRPr="00787196">
              <w:rPr>
                <w:noProof/>
                <w:webHidden/>
              </w:rPr>
            </w:r>
            <w:r w:rsidR="00443019" w:rsidRPr="00787196">
              <w:rPr>
                <w:noProof/>
                <w:webHidden/>
              </w:rPr>
              <w:fldChar w:fldCharType="separate"/>
            </w:r>
            <w:r w:rsidR="00787196" w:rsidRPr="00787196">
              <w:rPr>
                <w:noProof/>
                <w:webHidden/>
              </w:rPr>
              <w:t>93</w:t>
            </w:r>
            <w:r w:rsidR="00443019" w:rsidRPr="00787196">
              <w:rPr>
                <w:noProof/>
                <w:webHidden/>
              </w:rPr>
              <w:fldChar w:fldCharType="end"/>
            </w:r>
          </w:hyperlink>
        </w:p>
        <w:p w14:paraId="7E8C446B"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2" w:history="1">
            <w:r w:rsidR="00443019" w:rsidRPr="00787196">
              <w:rPr>
                <w:rStyle w:val="Hyperlink"/>
                <w:noProof/>
                <w:lang w:bidi="hi-IN"/>
              </w:rPr>
              <w:t>4.5.3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Problems and Pitfalls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_Toc488655652 \h </w:instrText>
            </w:r>
            <w:r w:rsidR="00443019" w:rsidRPr="00787196">
              <w:rPr>
                <w:noProof/>
                <w:webHidden/>
              </w:rPr>
            </w:r>
            <w:r w:rsidR="00443019" w:rsidRPr="00787196">
              <w:rPr>
                <w:noProof/>
                <w:webHidden/>
              </w:rPr>
              <w:fldChar w:fldCharType="separate"/>
            </w:r>
            <w:r w:rsidR="00787196" w:rsidRPr="00787196">
              <w:rPr>
                <w:noProof/>
                <w:webHidden/>
              </w:rPr>
              <w:t>94</w:t>
            </w:r>
            <w:r w:rsidR="00443019" w:rsidRPr="00787196">
              <w:rPr>
                <w:noProof/>
                <w:webHidden/>
              </w:rPr>
              <w:fldChar w:fldCharType="end"/>
            </w:r>
          </w:hyperlink>
        </w:p>
        <w:p w14:paraId="6629A9A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3" w:history="1">
            <w:r w:rsidR="00443019" w:rsidRPr="00787196">
              <w:rPr>
                <w:rStyle w:val="Hyperlink"/>
                <w:noProof/>
                <w:lang w:bidi="hi-IN"/>
              </w:rPr>
              <w:t>4.5.4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Data transfer</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_Toc488655653 \h </w:instrText>
            </w:r>
            <w:r w:rsidR="00443019" w:rsidRPr="00787196">
              <w:rPr>
                <w:noProof/>
                <w:webHidden/>
              </w:rPr>
            </w:r>
            <w:r w:rsidR="00443019" w:rsidRPr="00787196">
              <w:rPr>
                <w:noProof/>
                <w:webHidden/>
              </w:rPr>
              <w:fldChar w:fldCharType="separate"/>
            </w:r>
            <w:r w:rsidR="00787196" w:rsidRPr="00787196">
              <w:rPr>
                <w:noProof/>
                <w:webHidden/>
              </w:rPr>
              <w:t>95</w:t>
            </w:r>
            <w:r w:rsidR="00443019" w:rsidRPr="00787196">
              <w:rPr>
                <w:noProof/>
                <w:webHidden/>
              </w:rPr>
              <w:fldChar w:fldCharType="end"/>
            </w:r>
          </w:hyperlink>
        </w:p>
        <w:p w14:paraId="675ED511" w14:textId="5C248AB2"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54" w:history="1">
            <w:r w:rsidR="00443019" w:rsidRPr="00787196">
              <w:rPr>
                <w:rStyle w:val="Hyperlink"/>
                <w:rFonts w:cs="Arial"/>
                <w:noProof/>
              </w:rPr>
              <w:t>4.6</w:t>
            </w:r>
            <w:r w:rsidR="00443019" w:rsidRPr="00787196">
              <w:rPr>
                <w:rFonts w:asciiTheme="minorHAnsi" w:eastAsiaTheme="minorEastAsia" w:hAnsiTheme="minorHAnsi" w:cs="Latha"/>
                <w:smallCaps w:val="0"/>
                <w:noProof/>
                <w:sz w:val="22"/>
                <w:szCs w:val="22"/>
              </w:rPr>
              <w:tab/>
            </w:r>
            <w:r w:rsidR="001006B9" w:rsidRPr="00787196">
              <w:rPr>
                <w:rStyle w:val="Hyperlink"/>
                <w:rFonts w:cs="Arial"/>
                <w:noProof/>
              </w:rPr>
              <w:t>DATA MANAGEMENT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_Toc488655654 \h </w:instrText>
            </w:r>
            <w:r w:rsidR="00443019" w:rsidRPr="00787196">
              <w:rPr>
                <w:noProof/>
                <w:webHidden/>
              </w:rPr>
            </w:r>
            <w:r w:rsidR="00443019" w:rsidRPr="00787196">
              <w:rPr>
                <w:noProof/>
                <w:webHidden/>
              </w:rPr>
              <w:fldChar w:fldCharType="separate"/>
            </w:r>
            <w:r w:rsidR="00787196" w:rsidRPr="00787196">
              <w:rPr>
                <w:noProof/>
                <w:webHidden/>
              </w:rPr>
              <w:t>96</w:t>
            </w:r>
            <w:r w:rsidR="00443019" w:rsidRPr="00787196">
              <w:rPr>
                <w:noProof/>
                <w:webHidden/>
              </w:rPr>
              <w:fldChar w:fldCharType="end"/>
            </w:r>
          </w:hyperlink>
        </w:p>
        <w:p w14:paraId="3C20E61C" w14:textId="1F25EC36"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55" w:history="1">
            <w:r w:rsidR="00443019" w:rsidRPr="00787196">
              <w:rPr>
                <w:rStyle w:val="Hyperlink"/>
                <w:noProof/>
              </w:rPr>
              <w:t>4.7</w:t>
            </w:r>
            <w:r w:rsidR="00443019" w:rsidRPr="00787196">
              <w:rPr>
                <w:rFonts w:asciiTheme="minorHAnsi" w:eastAsiaTheme="minorEastAsia" w:hAnsiTheme="minorHAnsi" w:cs="Latha"/>
                <w:smallCaps w:val="0"/>
                <w:noProof/>
                <w:sz w:val="22"/>
                <w:szCs w:val="22"/>
              </w:rPr>
              <w:tab/>
            </w:r>
            <w:r w:rsidR="001006B9" w:rsidRPr="00787196">
              <w:rPr>
                <w:rStyle w:val="Hyperlink"/>
                <w:noProof/>
              </w:rPr>
              <w:t>DATA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_Toc488655655 \h </w:instrText>
            </w:r>
            <w:r w:rsidR="00443019" w:rsidRPr="00787196">
              <w:rPr>
                <w:noProof/>
                <w:webHidden/>
              </w:rPr>
            </w:r>
            <w:r w:rsidR="00443019" w:rsidRPr="00787196">
              <w:rPr>
                <w:noProof/>
                <w:webHidden/>
              </w:rPr>
              <w:fldChar w:fldCharType="separate"/>
            </w:r>
            <w:r w:rsidR="00787196" w:rsidRPr="00787196">
              <w:rPr>
                <w:noProof/>
                <w:webHidden/>
              </w:rPr>
              <w:t>96</w:t>
            </w:r>
            <w:r w:rsidR="00443019" w:rsidRPr="00787196">
              <w:rPr>
                <w:noProof/>
                <w:webHidden/>
              </w:rPr>
              <w:fldChar w:fldCharType="end"/>
            </w:r>
          </w:hyperlink>
        </w:p>
        <w:p w14:paraId="5528A07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6" w:history="1">
            <w:r w:rsidR="00443019" w:rsidRPr="00787196">
              <w:rPr>
                <w:rStyle w:val="Hyperlink"/>
                <w:noProof/>
                <w:lang w:bidi="hi-IN"/>
              </w:rPr>
              <w:t>4.7.1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Descriptive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_Toc488655656 \h </w:instrText>
            </w:r>
            <w:r w:rsidR="00443019" w:rsidRPr="00787196">
              <w:rPr>
                <w:noProof/>
                <w:webHidden/>
              </w:rPr>
            </w:r>
            <w:r w:rsidR="00443019" w:rsidRPr="00787196">
              <w:rPr>
                <w:noProof/>
                <w:webHidden/>
              </w:rPr>
              <w:fldChar w:fldCharType="separate"/>
            </w:r>
            <w:r w:rsidR="00787196" w:rsidRPr="00787196">
              <w:rPr>
                <w:noProof/>
                <w:webHidden/>
              </w:rPr>
              <w:t>96</w:t>
            </w:r>
            <w:r w:rsidR="00443019" w:rsidRPr="00787196">
              <w:rPr>
                <w:noProof/>
                <w:webHidden/>
              </w:rPr>
              <w:fldChar w:fldCharType="end"/>
            </w:r>
          </w:hyperlink>
        </w:p>
        <w:p w14:paraId="12A06BA5"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7" w:history="1">
            <w:r w:rsidR="00443019" w:rsidRPr="00787196">
              <w:rPr>
                <w:rStyle w:val="Hyperlink"/>
                <w:noProof/>
                <w:lang w:bidi="hi-IN"/>
              </w:rPr>
              <w:t>4.7.2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Bivariate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_Toc488655657 \h </w:instrText>
            </w:r>
            <w:r w:rsidR="00443019" w:rsidRPr="00787196">
              <w:rPr>
                <w:noProof/>
                <w:webHidden/>
              </w:rPr>
            </w:r>
            <w:r w:rsidR="00443019" w:rsidRPr="00787196">
              <w:rPr>
                <w:noProof/>
                <w:webHidden/>
              </w:rPr>
              <w:fldChar w:fldCharType="separate"/>
            </w:r>
            <w:r w:rsidR="00787196" w:rsidRPr="00787196">
              <w:rPr>
                <w:noProof/>
                <w:webHidden/>
              </w:rPr>
              <w:t>97</w:t>
            </w:r>
            <w:r w:rsidR="00443019" w:rsidRPr="00787196">
              <w:rPr>
                <w:noProof/>
                <w:webHidden/>
              </w:rPr>
              <w:fldChar w:fldCharType="end"/>
            </w:r>
          </w:hyperlink>
        </w:p>
        <w:p w14:paraId="2F4E42D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58" w:history="1">
            <w:r w:rsidR="00443019" w:rsidRPr="00787196">
              <w:rPr>
                <w:rStyle w:val="Hyperlink"/>
                <w:noProof/>
                <w:lang w:bidi="hi-IN"/>
              </w:rPr>
              <w:t>4.7.3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Multiple regression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_Toc488655658 \h </w:instrText>
            </w:r>
            <w:r w:rsidR="00443019" w:rsidRPr="00787196">
              <w:rPr>
                <w:noProof/>
                <w:webHidden/>
              </w:rPr>
            </w:r>
            <w:r w:rsidR="00443019" w:rsidRPr="00787196">
              <w:rPr>
                <w:noProof/>
                <w:webHidden/>
              </w:rPr>
              <w:fldChar w:fldCharType="separate"/>
            </w:r>
            <w:r w:rsidR="00787196" w:rsidRPr="00787196">
              <w:rPr>
                <w:noProof/>
                <w:webHidden/>
              </w:rPr>
              <w:t>98</w:t>
            </w:r>
            <w:r w:rsidR="00443019" w:rsidRPr="00787196">
              <w:rPr>
                <w:noProof/>
                <w:webHidden/>
              </w:rPr>
              <w:fldChar w:fldCharType="end"/>
            </w:r>
          </w:hyperlink>
        </w:p>
        <w:p w14:paraId="68668718"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59" w:history="1">
            <w:r w:rsidR="00443019" w:rsidRPr="00787196">
              <w:rPr>
                <w:rStyle w:val="Hyperlink"/>
                <w:rFonts w:cs="Arial"/>
                <w:noProof/>
              </w:rPr>
              <w:t>5</w:t>
            </w:r>
            <w:r w:rsidR="00443019" w:rsidRPr="00787196">
              <w:rPr>
                <w:rFonts w:asciiTheme="minorHAnsi" w:eastAsiaTheme="minorEastAsia" w:hAnsiTheme="minorHAnsi" w:cs="Latha"/>
                <w:b w:val="0"/>
                <w:bCs w:val="0"/>
                <w:caps w:val="0"/>
                <w:noProof/>
                <w:sz w:val="22"/>
                <w:szCs w:val="22"/>
              </w:rPr>
              <w:tab/>
            </w:r>
            <w:r w:rsidR="00443019" w:rsidRPr="00787196">
              <w:rPr>
                <w:rStyle w:val="Hyperlink"/>
                <w:rFonts w:cs="Arial"/>
                <w:noProof/>
              </w:rPr>
              <w:t>CHAPTER FIVE RESULTS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_Toc488655659 \h </w:instrText>
            </w:r>
            <w:r w:rsidR="00443019" w:rsidRPr="00787196">
              <w:rPr>
                <w:noProof/>
                <w:webHidden/>
              </w:rPr>
            </w:r>
            <w:r w:rsidR="00443019" w:rsidRPr="00787196">
              <w:rPr>
                <w:noProof/>
                <w:webHidden/>
              </w:rPr>
              <w:fldChar w:fldCharType="separate"/>
            </w:r>
            <w:r w:rsidR="00787196" w:rsidRPr="00787196">
              <w:rPr>
                <w:noProof/>
                <w:webHidden/>
              </w:rPr>
              <w:t>99</w:t>
            </w:r>
            <w:r w:rsidR="00443019" w:rsidRPr="00787196">
              <w:rPr>
                <w:noProof/>
                <w:webHidden/>
              </w:rPr>
              <w:fldChar w:fldCharType="end"/>
            </w:r>
          </w:hyperlink>
        </w:p>
        <w:p w14:paraId="405999E2" w14:textId="1012FD46"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60" w:history="1">
            <w:r w:rsidR="00443019" w:rsidRPr="00787196">
              <w:rPr>
                <w:rStyle w:val="Hyperlink"/>
                <w:noProof/>
              </w:rPr>
              <w:t>5.1</w:t>
            </w:r>
            <w:r w:rsidR="00443019" w:rsidRPr="00787196">
              <w:rPr>
                <w:rFonts w:asciiTheme="minorHAnsi" w:eastAsiaTheme="minorEastAsia" w:hAnsiTheme="minorHAnsi" w:cs="Latha"/>
                <w:smallCaps w:val="0"/>
                <w:noProof/>
                <w:sz w:val="22"/>
                <w:szCs w:val="22"/>
              </w:rPr>
              <w:tab/>
            </w:r>
            <w:r w:rsidR="001006B9" w:rsidRPr="00787196">
              <w:rPr>
                <w:rStyle w:val="Hyperlink"/>
                <w:noProof/>
              </w:rPr>
              <w:t>INTRODUCTION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_Toc488655660 \h </w:instrText>
            </w:r>
            <w:r w:rsidR="00443019" w:rsidRPr="00787196">
              <w:rPr>
                <w:noProof/>
                <w:webHidden/>
              </w:rPr>
            </w:r>
            <w:r w:rsidR="00443019" w:rsidRPr="00787196">
              <w:rPr>
                <w:noProof/>
                <w:webHidden/>
              </w:rPr>
              <w:fldChar w:fldCharType="separate"/>
            </w:r>
            <w:r w:rsidR="00787196" w:rsidRPr="00787196">
              <w:rPr>
                <w:noProof/>
                <w:webHidden/>
              </w:rPr>
              <w:t>99</w:t>
            </w:r>
            <w:r w:rsidR="00443019" w:rsidRPr="00787196">
              <w:rPr>
                <w:noProof/>
                <w:webHidden/>
              </w:rPr>
              <w:fldChar w:fldCharType="end"/>
            </w:r>
          </w:hyperlink>
        </w:p>
        <w:p w14:paraId="487137BC" w14:textId="4C82E2F6"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61" w:history="1">
            <w:r w:rsidR="00443019" w:rsidRPr="00787196">
              <w:rPr>
                <w:rStyle w:val="Hyperlink"/>
                <w:noProof/>
              </w:rPr>
              <w:t>5.2</w:t>
            </w:r>
            <w:r w:rsidR="00443019" w:rsidRPr="00787196">
              <w:rPr>
                <w:rFonts w:asciiTheme="minorHAnsi" w:eastAsiaTheme="minorEastAsia" w:hAnsiTheme="minorHAnsi" w:cs="Latha"/>
                <w:smallCaps w:val="0"/>
                <w:noProof/>
                <w:sz w:val="22"/>
                <w:szCs w:val="22"/>
              </w:rPr>
              <w:tab/>
            </w:r>
            <w:r w:rsidR="001006B9" w:rsidRPr="00787196">
              <w:rPr>
                <w:rStyle w:val="Hyperlink"/>
                <w:noProof/>
              </w:rPr>
              <w:t>DESCRIPTIVE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_Toc488655661 \h </w:instrText>
            </w:r>
            <w:r w:rsidR="00443019" w:rsidRPr="00787196">
              <w:rPr>
                <w:noProof/>
                <w:webHidden/>
              </w:rPr>
            </w:r>
            <w:r w:rsidR="00443019" w:rsidRPr="00787196">
              <w:rPr>
                <w:noProof/>
                <w:webHidden/>
              </w:rPr>
              <w:fldChar w:fldCharType="separate"/>
            </w:r>
            <w:r w:rsidR="00787196" w:rsidRPr="00787196">
              <w:rPr>
                <w:noProof/>
                <w:webHidden/>
              </w:rPr>
              <w:t>100</w:t>
            </w:r>
            <w:r w:rsidR="00443019" w:rsidRPr="00787196">
              <w:rPr>
                <w:noProof/>
                <w:webHidden/>
              </w:rPr>
              <w:fldChar w:fldCharType="end"/>
            </w:r>
          </w:hyperlink>
        </w:p>
        <w:p w14:paraId="3A740FD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2" w:history="1">
            <w:r w:rsidR="00443019" w:rsidRPr="00787196">
              <w:rPr>
                <w:rStyle w:val="Hyperlink"/>
                <w:noProof/>
                <w:lang w:bidi="hi-IN"/>
              </w:rPr>
              <w:t>5.2.1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Demographic information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_Toc488655662 \h </w:instrText>
            </w:r>
            <w:r w:rsidR="00443019" w:rsidRPr="00787196">
              <w:rPr>
                <w:noProof/>
                <w:webHidden/>
              </w:rPr>
            </w:r>
            <w:r w:rsidR="00443019" w:rsidRPr="00787196">
              <w:rPr>
                <w:noProof/>
                <w:webHidden/>
              </w:rPr>
              <w:fldChar w:fldCharType="separate"/>
            </w:r>
            <w:r w:rsidR="00787196" w:rsidRPr="00787196">
              <w:rPr>
                <w:noProof/>
                <w:webHidden/>
              </w:rPr>
              <w:t>100</w:t>
            </w:r>
            <w:r w:rsidR="00443019" w:rsidRPr="00787196">
              <w:rPr>
                <w:noProof/>
                <w:webHidden/>
              </w:rPr>
              <w:fldChar w:fldCharType="end"/>
            </w:r>
          </w:hyperlink>
        </w:p>
        <w:p w14:paraId="118FD40B"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3" w:history="1">
            <w:r w:rsidR="00443019" w:rsidRPr="00787196">
              <w:rPr>
                <w:rStyle w:val="Hyperlink"/>
                <w:noProof/>
                <w:lang w:bidi="hi-IN"/>
              </w:rPr>
              <w:t>5.2.2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Clinical characteristics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_Toc488655663 \h </w:instrText>
            </w:r>
            <w:r w:rsidR="00443019" w:rsidRPr="00787196">
              <w:rPr>
                <w:noProof/>
                <w:webHidden/>
              </w:rPr>
            </w:r>
            <w:r w:rsidR="00443019" w:rsidRPr="00787196">
              <w:rPr>
                <w:noProof/>
                <w:webHidden/>
              </w:rPr>
              <w:fldChar w:fldCharType="separate"/>
            </w:r>
            <w:r w:rsidR="00787196" w:rsidRPr="00787196">
              <w:rPr>
                <w:noProof/>
                <w:webHidden/>
              </w:rPr>
              <w:t>100</w:t>
            </w:r>
            <w:r w:rsidR="00443019" w:rsidRPr="00787196">
              <w:rPr>
                <w:noProof/>
                <w:webHidden/>
              </w:rPr>
              <w:fldChar w:fldCharType="end"/>
            </w:r>
          </w:hyperlink>
        </w:p>
        <w:p w14:paraId="55C65AEC"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4" w:history="1">
            <w:r w:rsidR="00443019" w:rsidRPr="00787196">
              <w:rPr>
                <w:rStyle w:val="Hyperlink"/>
                <w:noProof/>
                <w:lang w:bidi="hi-IN"/>
              </w:rPr>
              <w:t>5.2.4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Coping strategies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_Toc488655664 \h </w:instrText>
            </w:r>
            <w:r w:rsidR="00443019" w:rsidRPr="00787196">
              <w:rPr>
                <w:noProof/>
                <w:webHidden/>
              </w:rPr>
            </w:r>
            <w:r w:rsidR="00443019" w:rsidRPr="00787196">
              <w:rPr>
                <w:noProof/>
                <w:webHidden/>
              </w:rPr>
              <w:fldChar w:fldCharType="separate"/>
            </w:r>
            <w:r w:rsidR="00787196" w:rsidRPr="00787196">
              <w:rPr>
                <w:noProof/>
                <w:webHidden/>
              </w:rPr>
              <w:t>105</w:t>
            </w:r>
            <w:r w:rsidR="00443019" w:rsidRPr="00787196">
              <w:rPr>
                <w:noProof/>
                <w:webHidden/>
              </w:rPr>
              <w:fldChar w:fldCharType="end"/>
            </w:r>
          </w:hyperlink>
        </w:p>
        <w:p w14:paraId="359B0107"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5" w:history="1">
            <w:r w:rsidR="00443019" w:rsidRPr="00787196">
              <w:rPr>
                <w:rStyle w:val="Hyperlink"/>
                <w:noProof/>
                <w:lang w:bidi="hi-IN"/>
              </w:rPr>
              <w:t>5.2.5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Individual factors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_Toc488655665 \h </w:instrText>
            </w:r>
            <w:r w:rsidR="00443019" w:rsidRPr="00787196">
              <w:rPr>
                <w:noProof/>
                <w:webHidden/>
              </w:rPr>
            </w:r>
            <w:r w:rsidR="00443019" w:rsidRPr="00787196">
              <w:rPr>
                <w:noProof/>
                <w:webHidden/>
              </w:rPr>
              <w:fldChar w:fldCharType="separate"/>
            </w:r>
            <w:r w:rsidR="00787196" w:rsidRPr="00787196">
              <w:rPr>
                <w:noProof/>
                <w:webHidden/>
              </w:rPr>
              <w:t>110</w:t>
            </w:r>
            <w:r w:rsidR="00443019" w:rsidRPr="00787196">
              <w:rPr>
                <w:noProof/>
                <w:webHidden/>
              </w:rPr>
              <w:fldChar w:fldCharType="end"/>
            </w:r>
          </w:hyperlink>
        </w:p>
        <w:p w14:paraId="1683359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6" w:history="1">
            <w:r w:rsidR="00443019" w:rsidRPr="00787196">
              <w:rPr>
                <w:rStyle w:val="Hyperlink"/>
                <w:noProof/>
                <w:lang w:bidi="hi-IN"/>
              </w:rPr>
              <w:t>5.2.6</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Subjective outcomes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_Toc488655666 \h </w:instrText>
            </w:r>
            <w:r w:rsidR="00443019" w:rsidRPr="00787196">
              <w:rPr>
                <w:noProof/>
                <w:webHidden/>
              </w:rPr>
            </w:r>
            <w:r w:rsidR="00443019" w:rsidRPr="00787196">
              <w:rPr>
                <w:noProof/>
                <w:webHidden/>
              </w:rPr>
              <w:fldChar w:fldCharType="separate"/>
            </w:r>
            <w:r w:rsidR="00787196" w:rsidRPr="00787196">
              <w:rPr>
                <w:noProof/>
                <w:webHidden/>
              </w:rPr>
              <w:t>112</w:t>
            </w:r>
            <w:r w:rsidR="00443019" w:rsidRPr="00787196">
              <w:rPr>
                <w:noProof/>
                <w:webHidden/>
              </w:rPr>
              <w:fldChar w:fldCharType="end"/>
            </w:r>
          </w:hyperlink>
        </w:p>
        <w:p w14:paraId="42ABF012"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7" w:history="1">
            <w:r w:rsidR="00443019" w:rsidRPr="00787196">
              <w:rPr>
                <w:rStyle w:val="Hyperlink"/>
                <w:noProof/>
                <w:lang w:bidi="hi-IN"/>
              </w:rPr>
              <w:t>5.2.7</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Reliability of scales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_Toc488655667 \h </w:instrText>
            </w:r>
            <w:r w:rsidR="00443019" w:rsidRPr="00787196">
              <w:rPr>
                <w:noProof/>
                <w:webHidden/>
              </w:rPr>
            </w:r>
            <w:r w:rsidR="00443019" w:rsidRPr="00787196">
              <w:rPr>
                <w:noProof/>
                <w:webHidden/>
              </w:rPr>
              <w:fldChar w:fldCharType="separate"/>
            </w:r>
            <w:r w:rsidR="00787196" w:rsidRPr="00787196">
              <w:rPr>
                <w:noProof/>
                <w:webHidden/>
              </w:rPr>
              <w:t>114</w:t>
            </w:r>
            <w:r w:rsidR="00443019" w:rsidRPr="00787196">
              <w:rPr>
                <w:noProof/>
                <w:webHidden/>
              </w:rPr>
              <w:fldChar w:fldCharType="end"/>
            </w:r>
          </w:hyperlink>
        </w:p>
        <w:p w14:paraId="5925B2F0" w14:textId="577E8354"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68" w:history="1">
            <w:r w:rsidR="00443019" w:rsidRPr="00787196">
              <w:rPr>
                <w:rStyle w:val="Hyperlink"/>
                <w:noProof/>
              </w:rPr>
              <w:t>5.3</w:t>
            </w:r>
            <w:r w:rsidR="00443019" w:rsidRPr="00787196">
              <w:rPr>
                <w:rFonts w:asciiTheme="minorHAnsi" w:eastAsiaTheme="minorEastAsia" w:hAnsiTheme="minorHAnsi" w:cs="Latha"/>
                <w:smallCaps w:val="0"/>
                <w:noProof/>
                <w:sz w:val="22"/>
                <w:szCs w:val="22"/>
              </w:rPr>
              <w:tab/>
            </w:r>
            <w:r w:rsidR="001B3514" w:rsidRPr="00787196">
              <w:rPr>
                <w:rStyle w:val="Hyperlink"/>
                <w:noProof/>
              </w:rPr>
              <w:t>BIVARIATE ANALYSES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_Toc488655668 \h </w:instrText>
            </w:r>
            <w:r w:rsidR="00443019" w:rsidRPr="00787196">
              <w:rPr>
                <w:noProof/>
                <w:webHidden/>
              </w:rPr>
            </w:r>
            <w:r w:rsidR="00443019" w:rsidRPr="00787196">
              <w:rPr>
                <w:noProof/>
                <w:webHidden/>
              </w:rPr>
              <w:fldChar w:fldCharType="separate"/>
            </w:r>
            <w:r w:rsidR="00787196" w:rsidRPr="00787196">
              <w:rPr>
                <w:noProof/>
                <w:webHidden/>
              </w:rPr>
              <w:t>115</w:t>
            </w:r>
            <w:r w:rsidR="00443019" w:rsidRPr="00787196">
              <w:rPr>
                <w:noProof/>
                <w:webHidden/>
              </w:rPr>
              <w:fldChar w:fldCharType="end"/>
            </w:r>
          </w:hyperlink>
        </w:p>
        <w:p w14:paraId="164E7735"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69" w:history="1">
            <w:r w:rsidR="00443019" w:rsidRPr="00787196">
              <w:rPr>
                <w:rStyle w:val="Hyperlink"/>
                <w:noProof/>
                <w:lang w:bidi="hi-IN"/>
              </w:rPr>
              <w:t>5.3.1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Bivariate analyses between Brief COPE factors at baseline (T1) and OHQoL, Denture satisfaction and chewing ability at follow-up</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_Toc488655669 \h </w:instrText>
            </w:r>
            <w:r w:rsidR="00443019" w:rsidRPr="00787196">
              <w:rPr>
                <w:noProof/>
                <w:webHidden/>
              </w:rPr>
            </w:r>
            <w:r w:rsidR="00443019" w:rsidRPr="00787196">
              <w:rPr>
                <w:noProof/>
                <w:webHidden/>
              </w:rPr>
              <w:fldChar w:fldCharType="separate"/>
            </w:r>
            <w:r w:rsidR="00787196" w:rsidRPr="00787196">
              <w:rPr>
                <w:noProof/>
                <w:webHidden/>
              </w:rPr>
              <w:t>116</w:t>
            </w:r>
            <w:r w:rsidR="00443019" w:rsidRPr="00787196">
              <w:rPr>
                <w:noProof/>
                <w:webHidden/>
              </w:rPr>
              <w:fldChar w:fldCharType="end"/>
            </w:r>
          </w:hyperlink>
        </w:p>
        <w:p w14:paraId="5B3FF3CF"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0" w:history="1">
            <w:r w:rsidR="00443019" w:rsidRPr="00787196">
              <w:rPr>
                <w:rStyle w:val="Hyperlink"/>
                <w:noProof/>
                <w:lang w:bidi="hi-IN"/>
              </w:rPr>
              <w:t>5.3.2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Bivariate analyses between clinical factors, coping strategies, individual variables, environmental variables, outcome variables at baseline (T1) and OHQoL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_Toc488655670 \h </w:instrText>
            </w:r>
            <w:r w:rsidR="00443019" w:rsidRPr="00787196">
              <w:rPr>
                <w:noProof/>
                <w:webHidden/>
              </w:rPr>
            </w:r>
            <w:r w:rsidR="00443019" w:rsidRPr="00787196">
              <w:rPr>
                <w:noProof/>
                <w:webHidden/>
              </w:rPr>
              <w:fldChar w:fldCharType="separate"/>
            </w:r>
            <w:r w:rsidR="00787196" w:rsidRPr="00787196">
              <w:rPr>
                <w:noProof/>
                <w:webHidden/>
              </w:rPr>
              <w:t>117</w:t>
            </w:r>
            <w:r w:rsidR="00443019" w:rsidRPr="00787196">
              <w:rPr>
                <w:noProof/>
                <w:webHidden/>
              </w:rPr>
              <w:fldChar w:fldCharType="end"/>
            </w:r>
          </w:hyperlink>
        </w:p>
        <w:p w14:paraId="3F7937F2"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1" w:history="1">
            <w:r w:rsidR="00443019" w:rsidRPr="00787196">
              <w:rPr>
                <w:rStyle w:val="Hyperlink"/>
                <w:noProof/>
                <w:lang w:bidi="hi-IN"/>
              </w:rPr>
              <w:t>5.3.3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Bivariate analyses between clinical factors, coping strategies, individual variables, environmental variables, outcome variables at baseline (T1) and denture satisfaction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_Toc488655671 \h </w:instrText>
            </w:r>
            <w:r w:rsidR="00443019" w:rsidRPr="00787196">
              <w:rPr>
                <w:noProof/>
                <w:webHidden/>
              </w:rPr>
            </w:r>
            <w:r w:rsidR="00443019" w:rsidRPr="00787196">
              <w:rPr>
                <w:noProof/>
                <w:webHidden/>
              </w:rPr>
              <w:fldChar w:fldCharType="separate"/>
            </w:r>
            <w:r w:rsidR="00787196" w:rsidRPr="00787196">
              <w:rPr>
                <w:noProof/>
                <w:webHidden/>
              </w:rPr>
              <w:t>119</w:t>
            </w:r>
            <w:r w:rsidR="00443019" w:rsidRPr="00787196">
              <w:rPr>
                <w:noProof/>
                <w:webHidden/>
              </w:rPr>
              <w:fldChar w:fldCharType="end"/>
            </w:r>
          </w:hyperlink>
        </w:p>
        <w:p w14:paraId="28642066"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2" w:history="1">
            <w:r w:rsidR="00443019" w:rsidRPr="00787196">
              <w:rPr>
                <w:rStyle w:val="Hyperlink"/>
                <w:noProof/>
                <w:lang w:bidi="hi-IN"/>
              </w:rPr>
              <w:t>5.3.4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Bivariate analyses between clinical factors, coping strategies, individual variables, environmental variables, outcome variables at baseline (T1) and chewing ability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_Toc488655672 \h </w:instrText>
            </w:r>
            <w:r w:rsidR="00443019" w:rsidRPr="00787196">
              <w:rPr>
                <w:noProof/>
                <w:webHidden/>
              </w:rPr>
            </w:r>
            <w:r w:rsidR="00443019" w:rsidRPr="00787196">
              <w:rPr>
                <w:noProof/>
                <w:webHidden/>
              </w:rPr>
              <w:fldChar w:fldCharType="separate"/>
            </w:r>
            <w:r w:rsidR="00787196" w:rsidRPr="00787196">
              <w:rPr>
                <w:noProof/>
                <w:webHidden/>
              </w:rPr>
              <w:t>122</w:t>
            </w:r>
            <w:r w:rsidR="00443019" w:rsidRPr="00787196">
              <w:rPr>
                <w:noProof/>
                <w:webHidden/>
              </w:rPr>
              <w:fldChar w:fldCharType="end"/>
            </w:r>
          </w:hyperlink>
        </w:p>
        <w:p w14:paraId="243BA89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3" w:history="1">
            <w:r w:rsidR="00443019" w:rsidRPr="00787196">
              <w:rPr>
                <w:rStyle w:val="Hyperlink"/>
                <w:noProof/>
                <w:lang w:bidi="hi-IN"/>
              </w:rPr>
              <w:t>5.3.5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Associations between baseline clinical factors, coping strategies, individual variables, environmental variables with coping strategies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_Toc488655673 \h </w:instrText>
            </w:r>
            <w:r w:rsidR="00443019" w:rsidRPr="00787196">
              <w:rPr>
                <w:noProof/>
                <w:webHidden/>
              </w:rPr>
            </w:r>
            <w:r w:rsidR="00443019" w:rsidRPr="00787196">
              <w:rPr>
                <w:noProof/>
                <w:webHidden/>
              </w:rPr>
              <w:fldChar w:fldCharType="separate"/>
            </w:r>
            <w:r w:rsidR="00787196" w:rsidRPr="00787196">
              <w:rPr>
                <w:noProof/>
                <w:webHidden/>
              </w:rPr>
              <w:t>125</w:t>
            </w:r>
            <w:r w:rsidR="00443019" w:rsidRPr="00787196">
              <w:rPr>
                <w:noProof/>
                <w:webHidden/>
              </w:rPr>
              <w:fldChar w:fldCharType="end"/>
            </w:r>
          </w:hyperlink>
        </w:p>
        <w:p w14:paraId="1FBFAA42" w14:textId="10A4F87E"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74" w:history="1">
            <w:r w:rsidR="00443019" w:rsidRPr="00787196">
              <w:rPr>
                <w:rStyle w:val="Hyperlink"/>
                <w:noProof/>
              </w:rPr>
              <w:t>5.4</w:t>
            </w:r>
            <w:r w:rsidR="00443019" w:rsidRPr="00787196">
              <w:rPr>
                <w:rFonts w:asciiTheme="minorHAnsi" w:eastAsiaTheme="minorEastAsia" w:hAnsiTheme="minorHAnsi" w:cs="Latha"/>
                <w:smallCaps w:val="0"/>
                <w:noProof/>
                <w:sz w:val="22"/>
                <w:szCs w:val="22"/>
              </w:rPr>
              <w:tab/>
            </w:r>
            <w:r w:rsidR="001B3514" w:rsidRPr="00787196">
              <w:rPr>
                <w:rStyle w:val="Hyperlink"/>
                <w:noProof/>
              </w:rPr>
              <w:t>MULTIPLE REGRESSION ANALYSIS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_Toc488655674 \h </w:instrText>
            </w:r>
            <w:r w:rsidR="00443019" w:rsidRPr="00787196">
              <w:rPr>
                <w:noProof/>
                <w:webHidden/>
              </w:rPr>
            </w:r>
            <w:r w:rsidR="00443019" w:rsidRPr="00787196">
              <w:rPr>
                <w:noProof/>
                <w:webHidden/>
              </w:rPr>
              <w:fldChar w:fldCharType="separate"/>
            </w:r>
            <w:r w:rsidR="00787196" w:rsidRPr="00787196">
              <w:rPr>
                <w:noProof/>
                <w:webHidden/>
              </w:rPr>
              <w:t>130</w:t>
            </w:r>
            <w:r w:rsidR="00443019" w:rsidRPr="00787196">
              <w:rPr>
                <w:noProof/>
                <w:webHidden/>
              </w:rPr>
              <w:fldChar w:fldCharType="end"/>
            </w:r>
          </w:hyperlink>
        </w:p>
        <w:p w14:paraId="16F3740E"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5" w:history="1">
            <w:r w:rsidR="00443019" w:rsidRPr="00787196">
              <w:rPr>
                <w:rStyle w:val="Hyperlink"/>
                <w:noProof/>
                <w:lang w:bidi="hi-IN"/>
              </w:rPr>
              <w:t>5.4.1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Regression analyses: Baseline predictors of outcome variables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_Toc488655675 \h </w:instrText>
            </w:r>
            <w:r w:rsidR="00443019" w:rsidRPr="00787196">
              <w:rPr>
                <w:noProof/>
                <w:webHidden/>
              </w:rPr>
            </w:r>
            <w:r w:rsidR="00443019" w:rsidRPr="00787196">
              <w:rPr>
                <w:noProof/>
                <w:webHidden/>
              </w:rPr>
              <w:fldChar w:fldCharType="separate"/>
            </w:r>
            <w:r w:rsidR="00787196" w:rsidRPr="00787196">
              <w:rPr>
                <w:noProof/>
                <w:webHidden/>
              </w:rPr>
              <w:t>130</w:t>
            </w:r>
            <w:r w:rsidR="00443019" w:rsidRPr="00787196">
              <w:rPr>
                <w:noProof/>
                <w:webHidden/>
              </w:rPr>
              <w:fldChar w:fldCharType="end"/>
            </w:r>
          </w:hyperlink>
        </w:p>
        <w:p w14:paraId="14B7FAE8"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6" w:history="1">
            <w:r w:rsidR="00443019" w:rsidRPr="00787196">
              <w:rPr>
                <w:rStyle w:val="Hyperlink"/>
                <w:noProof/>
                <w:lang w:bidi="hi-IN"/>
              </w:rPr>
              <w:t>5.4.2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Regression analyses: Baseline predictors of Brief COPE factors at follow-up (T2)</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_Toc488655676 \h </w:instrText>
            </w:r>
            <w:r w:rsidR="00443019" w:rsidRPr="00787196">
              <w:rPr>
                <w:noProof/>
                <w:webHidden/>
              </w:rPr>
            </w:r>
            <w:r w:rsidR="00443019" w:rsidRPr="00787196">
              <w:rPr>
                <w:noProof/>
                <w:webHidden/>
              </w:rPr>
              <w:fldChar w:fldCharType="separate"/>
            </w:r>
            <w:r w:rsidR="00787196" w:rsidRPr="00787196">
              <w:rPr>
                <w:noProof/>
                <w:webHidden/>
              </w:rPr>
              <w:t>132</w:t>
            </w:r>
            <w:r w:rsidR="00443019" w:rsidRPr="00787196">
              <w:rPr>
                <w:noProof/>
                <w:webHidden/>
              </w:rPr>
              <w:fldChar w:fldCharType="end"/>
            </w:r>
          </w:hyperlink>
        </w:p>
        <w:p w14:paraId="71214422"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77" w:history="1">
            <w:r w:rsidR="00443019" w:rsidRPr="00787196">
              <w:rPr>
                <w:rStyle w:val="Hyperlink"/>
                <w:noProof/>
                <w:lang w:bidi="hi-IN"/>
              </w:rPr>
              <w:t>5.4.3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Summary of key relationships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_Toc488655677 \h </w:instrText>
            </w:r>
            <w:r w:rsidR="00443019" w:rsidRPr="00787196">
              <w:rPr>
                <w:noProof/>
                <w:webHidden/>
              </w:rPr>
            </w:r>
            <w:r w:rsidR="00443019" w:rsidRPr="00787196">
              <w:rPr>
                <w:noProof/>
                <w:webHidden/>
              </w:rPr>
              <w:fldChar w:fldCharType="separate"/>
            </w:r>
            <w:r w:rsidR="00787196" w:rsidRPr="00787196">
              <w:rPr>
                <w:noProof/>
                <w:webHidden/>
              </w:rPr>
              <w:t>135</w:t>
            </w:r>
            <w:r w:rsidR="00443019" w:rsidRPr="00787196">
              <w:rPr>
                <w:noProof/>
                <w:webHidden/>
              </w:rPr>
              <w:fldChar w:fldCharType="end"/>
            </w:r>
          </w:hyperlink>
        </w:p>
        <w:p w14:paraId="243FD2DA"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78" w:history="1">
            <w:r w:rsidR="00443019" w:rsidRPr="00787196">
              <w:rPr>
                <w:rStyle w:val="Hyperlink"/>
                <w:noProof/>
                <w:lang w:bidi="hi-IN"/>
              </w:rPr>
              <w:t>6</w:t>
            </w:r>
            <w:r w:rsidR="00443019" w:rsidRPr="00787196">
              <w:rPr>
                <w:rFonts w:asciiTheme="minorHAnsi" w:eastAsiaTheme="minorEastAsia" w:hAnsiTheme="minorHAnsi" w:cs="Latha"/>
                <w:b w:val="0"/>
                <w:bCs w:val="0"/>
                <w:caps w:val="0"/>
                <w:noProof/>
                <w:sz w:val="22"/>
                <w:szCs w:val="22"/>
              </w:rPr>
              <w:tab/>
            </w:r>
            <w:r w:rsidR="00443019" w:rsidRPr="00787196">
              <w:rPr>
                <w:rStyle w:val="Hyperlink"/>
                <w:noProof/>
                <w:lang w:bidi="hi-IN"/>
              </w:rPr>
              <w:t>CHAPTER SIX DISCUSSION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_Toc488655678 \h </w:instrText>
            </w:r>
            <w:r w:rsidR="00443019" w:rsidRPr="00787196">
              <w:rPr>
                <w:noProof/>
                <w:webHidden/>
              </w:rPr>
            </w:r>
            <w:r w:rsidR="00443019" w:rsidRPr="00787196">
              <w:rPr>
                <w:noProof/>
                <w:webHidden/>
              </w:rPr>
              <w:fldChar w:fldCharType="separate"/>
            </w:r>
            <w:r w:rsidR="00787196" w:rsidRPr="00787196">
              <w:rPr>
                <w:noProof/>
                <w:webHidden/>
              </w:rPr>
              <w:t>138</w:t>
            </w:r>
            <w:r w:rsidR="00443019" w:rsidRPr="00787196">
              <w:rPr>
                <w:noProof/>
                <w:webHidden/>
              </w:rPr>
              <w:fldChar w:fldCharType="end"/>
            </w:r>
          </w:hyperlink>
        </w:p>
        <w:p w14:paraId="3F88AA78" w14:textId="0A2403BC"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79" w:history="1">
            <w:r w:rsidR="00443019" w:rsidRPr="00787196">
              <w:rPr>
                <w:rStyle w:val="Hyperlink"/>
                <w:noProof/>
                <w:lang w:bidi="hi-IN"/>
              </w:rPr>
              <w:t>6.1</w:t>
            </w:r>
            <w:r w:rsidR="00443019" w:rsidRPr="00787196">
              <w:rPr>
                <w:rFonts w:asciiTheme="minorHAnsi" w:eastAsiaTheme="minorEastAsia" w:hAnsiTheme="minorHAnsi" w:cs="Latha"/>
                <w:smallCaps w:val="0"/>
                <w:noProof/>
                <w:sz w:val="22"/>
                <w:szCs w:val="22"/>
              </w:rPr>
              <w:tab/>
            </w:r>
            <w:r w:rsidR="001B3514" w:rsidRPr="00787196">
              <w:rPr>
                <w:rStyle w:val="Hyperlink"/>
                <w:noProof/>
                <w:lang w:bidi="hi-IN"/>
              </w:rPr>
              <w:t>INTRODUCTION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_Toc488655679 \h </w:instrText>
            </w:r>
            <w:r w:rsidR="00443019" w:rsidRPr="00787196">
              <w:rPr>
                <w:noProof/>
                <w:webHidden/>
              </w:rPr>
            </w:r>
            <w:r w:rsidR="00443019" w:rsidRPr="00787196">
              <w:rPr>
                <w:noProof/>
                <w:webHidden/>
              </w:rPr>
              <w:fldChar w:fldCharType="separate"/>
            </w:r>
            <w:r w:rsidR="00787196" w:rsidRPr="00787196">
              <w:rPr>
                <w:noProof/>
                <w:webHidden/>
              </w:rPr>
              <w:t>138</w:t>
            </w:r>
            <w:r w:rsidR="00443019" w:rsidRPr="00787196">
              <w:rPr>
                <w:noProof/>
                <w:webHidden/>
              </w:rPr>
              <w:fldChar w:fldCharType="end"/>
            </w:r>
          </w:hyperlink>
        </w:p>
        <w:p w14:paraId="79009D0D" w14:textId="566F3B03"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80" w:history="1">
            <w:r w:rsidR="00443019" w:rsidRPr="00787196">
              <w:rPr>
                <w:rStyle w:val="Hyperlink"/>
                <w:noProof/>
                <w:lang w:val="it-IT" w:bidi="hi-IN"/>
              </w:rPr>
              <w:t>6.2</w:t>
            </w:r>
            <w:r w:rsidR="00443019" w:rsidRPr="00787196">
              <w:rPr>
                <w:rFonts w:asciiTheme="minorHAnsi" w:eastAsiaTheme="minorEastAsia" w:hAnsiTheme="minorHAnsi" w:cs="Latha"/>
                <w:smallCaps w:val="0"/>
                <w:noProof/>
                <w:sz w:val="22"/>
                <w:szCs w:val="22"/>
              </w:rPr>
              <w:tab/>
            </w:r>
            <w:r w:rsidR="001B3514" w:rsidRPr="00787196">
              <w:rPr>
                <w:rStyle w:val="Hyperlink"/>
                <w:noProof/>
                <w:lang w:val="it-IT" w:bidi="hi-IN"/>
              </w:rPr>
              <w:t>DO COPING STRATEGIES DETERMINE DENTURE SUCCESS?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_Toc488655680 \h </w:instrText>
            </w:r>
            <w:r w:rsidR="00443019" w:rsidRPr="00787196">
              <w:rPr>
                <w:noProof/>
                <w:webHidden/>
              </w:rPr>
            </w:r>
            <w:r w:rsidR="00443019" w:rsidRPr="00787196">
              <w:rPr>
                <w:noProof/>
                <w:webHidden/>
              </w:rPr>
              <w:fldChar w:fldCharType="separate"/>
            </w:r>
            <w:r w:rsidR="00787196" w:rsidRPr="00787196">
              <w:rPr>
                <w:noProof/>
                <w:webHidden/>
              </w:rPr>
              <w:t>139</w:t>
            </w:r>
            <w:r w:rsidR="00443019" w:rsidRPr="00787196">
              <w:rPr>
                <w:noProof/>
                <w:webHidden/>
              </w:rPr>
              <w:fldChar w:fldCharType="end"/>
            </w:r>
          </w:hyperlink>
        </w:p>
        <w:p w14:paraId="2795E54C"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1" w:history="1">
            <w:r w:rsidR="00443019" w:rsidRPr="00787196">
              <w:rPr>
                <w:rStyle w:val="Hyperlink"/>
                <w:noProof/>
                <w:lang w:bidi="hi-IN"/>
              </w:rPr>
              <w:t>6.2.1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Do coping strategies really matter?</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_Toc488655681 \h </w:instrText>
            </w:r>
            <w:r w:rsidR="00443019" w:rsidRPr="00787196">
              <w:rPr>
                <w:noProof/>
                <w:webHidden/>
              </w:rPr>
            </w:r>
            <w:r w:rsidR="00443019" w:rsidRPr="00787196">
              <w:rPr>
                <w:noProof/>
                <w:webHidden/>
              </w:rPr>
              <w:fldChar w:fldCharType="separate"/>
            </w:r>
            <w:r w:rsidR="00787196" w:rsidRPr="00787196">
              <w:rPr>
                <w:noProof/>
                <w:webHidden/>
              </w:rPr>
              <w:t>139</w:t>
            </w:r>
            <w:r w:rsidR="00443019" w:rsidRPr="00787196">
              <w:rPr>
                <w:noProof/>
                <w:webHidden/>
              </w:rPr>
              <w:fldChar w:fldCharType="end"/>
            </w:r>
          </w:hyperlink>
        </w:p>
        <w:p w14:paraId="3C8A6BE7"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2" w:history="1">
            <w:r w:rsidR="00443019" w:rsidRPr="00787196">
              <w:rPr>
                <w:rStyle w:val="Hyperlink"/>
                <w:noProof/>
                <w:lang w:bidi="hi-IN"/>
              </w:rPr>
              <w:t>6.2.2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Study sample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_Toc488655682 \h </w:instrText>
            </w:r>
            <w:r w:rsidR="00443019" w:rsidRPr="00787196">
              <w:rPr>
                <w:noProof/>
                <w:webHidden/>
              </w:rPr>
            </w:r>
            <w:r w:rsidR="00443019" w:rsidRPr="00787196">
              <w:rPr>
                <w:noProof/>
                <w:webHidden/>
              </w:rPr>
              <w:fldChar w:fldCharType="separate"/>
            </w:r>
            <w:r w:rsidR="00787196" w:rsidRPr="00787196">
              <w:rPr>
                <w:noProof/>
                <w:webHidden/>
              </w:rPr>
              <w:t>142</w:t>
            </w:r>
            <w:r w:rsidR="00443019" w:rsidRPr="00787196">
              <w:rPr>
                <w:noProof/>
                <w:webHidden/>
              </w:rPr>
              <w:fldChar w:fldCharType="end"/>
            </w:r>
          </w:hyperlink>
        </w:p>
        <w:p w14:paraId="255A47D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3" w:history="1">
            <w:r w:rsidR="00443019" w:rsidRPr="00787196">
              <w:rPr>
                <w:rStyle w:val="Hyperlink"/>
                <w:noProof/>
                <w:lang w:bidi="hi-IN"/>
              </w:rPr>
              <w:t>6.2.3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Conceptual, cross-cultural validity of coping in India and the Brief COPE questionnaire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_Toc488655683 \h </w:instrText>
            </w:r>
            <w:r w:rsidR="00443019" w:rsidRPr="00787196">
              <w:rPr>
                <w:noProof/>
                <w:webHidden/>
              </w:rPr>
            </w:r>
            <w:r w:rsidR="00443019" w:rsidRPr="00787196">
              <w:rPr>
                <w:noProof/>
                <w:webHidden/>
              </w:rPr>
              <w:fldChar w:fldCharType="separate"/>
            </w:r>
            <w:r w:rsidR="00787196" w:rsidRPr="00787196">
              <w:rPr>
                <w:noProof/>
                <w:webHidden/>
              </w:rPr>
              <w:t>145</w:t>
            </w:r>
            <w:r w:rsidR="00443019" w:rsidRPr="00787196">
              <w:rPr>
                <w:noProof/>
                <w:webHidden/>
              </w:rPr>
              <w:fldChar w:fldCharType="end"/>
            </w:r>
          </w:hyperlink>
        </w:p>
        <w:p w14:paraId="13831BE3"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4" w:history="1">
            <w:r w:rsidR="00443019" w:rsidRPr="00787196">
              <w:rPr>
                <w:rStyle w:val="Hyperlink"/>
                <w:noProof/>
                <w:lang w:bidi="hi-IN"/>
              </w:rPr>
              <w:t>Summary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_Toc488655684 \h </w:instrText>
            </w:r>
            <w:r w:rsidR="00443019" w:rsidRPr="00787196">
              <w:rPr>
                <w:noProof/>
                <w:webHidden/>
              </w:rPr>
            </w:r>
            <w:r w:rsidR="00443019" w:rsidRPr="00787196">
              <w:rPr>
                <w:noProof/>
                <w:webHidden/>
              </w:rPr>
              <w:fldChar w:fldCharType="separate"/>
            </w:r>
            <w:r w:rsidR="00787196" w:rsidRPr="00787196">
              <w:rPr>
                <w:noProof/>
                <w:webHidden/>
              </w:rPr>
              <w:t>148</w:t>
            </w:r>
            <w:r w:rsidR="00443019" w:rsidRPr="00787196">
              <w:rPr>
                <w:noProof/>
                <w:webHidden/>
              </w:rPr>
              <w:fldChar w:fldCharType="end"/>
            </w:r>
          </w:hyperlink>
        </w:p>
        <w:p w14:paraId="27D194F4" w14:textId="78BAAEBB"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85" w:history="1">
            <w:r w:rsidR="00443019" w:rsidRPr="00787196">
              <w:rPr>
                <w:rStyle w:val="Hyperlink"/>
                <w:noProof/>
              </w:rPr>
              <w:t>6.3</w:t>
            </w:r>
            <w:r w:rsidR="00443019" w:rsidRPr="00787196">
              <w:rPr>
                <w:rFonts w:asciiTheme="minorHAnsi" w:eastAsiaTheme="minorEastAsia" w:hAnsiTheme="minorHAnsi" w:cs="Latha"/>
                <w:smallCaps w:val="0"/>
                <w:noProof/>
                <w:sz w:val="22"/>
                <w:szCs w:val="22"/>
              </w:rPr>
              <w:tab/>
            </w:r>
            <w:r w:rsidR="001B3514" w:rsidRPr="00787196">
              <w:rPr>
                <w:rStyle w:val="Hyperlink"/>
                <w:noProof/>
              </w:rPr>
              <w:t>VARIABLES HYPOTHESISED IN THE MODEL BUT SHOWED NO ASSOCIATIONS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_Toc488655685 \h </w:instrText>
            </w:r>
            <w:r w:rsidR="00443019" w:rsidRPr="00787196">
              <w:rPr>
                <w:noProof/>
                <w:webHidden/>
              </w:rPr>
            </w:r>
            <w:r w:rsidR="00443019" w:rsidRPr="00787196">
              <w:rPr>
                <w:noProof/>
                <w:webHidden/>
              </w:rPr>
              <w:fldChar w:fldCharType="separate"/>
            </w:r>
            <w:r w:rsidR="00787196" w:rsidRPr="00787196">
              <w:rPr>
                <w:noProof/>
                <w:webHidden/>
              </w:rPr>
              <w:t>149</w:t>
            </w:r>
            <w:r w:rsidR="00443019" w:rsidRPr="00787196">
              <w:rPr>
                <w:noProof/>
                <w:webHidden/>
              </w:rPr>
              <w:fldChar w:fldCharType="end"/>
            </w:r>
          </w:hyperlink>
        </w:p>
        <w:p w14:paraId="2E4C250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6" w:history="1">
            <w:r w:rsidR="00443019" w:rsidRPr="00787196">
              <w:rPr>
                <w:rStyle w:val="Hyperlink"/>
                <w:noProof/>
                <w:lang w:bidi="hi-IN"/>
              </w:rPr>
              <w:t>6.3.1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Expectations regarding ageing (ERA)</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_Toc488655686 \h </w:instrText>
            </w:r>
            <w:r w:rsidR="00443019" w:rsidRPr="00787196">
              <w:rPr>
                <w:noProof/>
                <w:webHidden/>
              </w:rPr>
            </w:r>
            <w:r w:rsidR="00443019" w:rsidRPr="00787196">
              <w:rPr>
                <w:noProof/>
                <w:webHidden/>
              </w:rPr>
              <w:fldChar w:fldCharType="separate"/>
            </w:r>
            <w:r w:rsidR="00787196" w:rsidRPr="00787196">
              <w:rPr>
                <w:noProof/>
                <w:webHidden/>
              </w:rPr>
              <w:t>150</w:t>
            </w:r>
            <w:r w:rsidR="00443019" w:rsidRPr="00787196">
              <w:rPr>
                <w:noProof/>
                <w:webHidden/>
              </w:rPr>
              <w:fldChar w:fldCharType="end"/>
            </w:r>
          </w:hyperlink>
        </w:p>
        <w:p w14:paraId="3A35C6A7"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7" w:history="1">
            <w:r w:rsidR="00443019" w:rsidRPr="00787196">
              <w:rPr>
                <w:rStyle w:val="Hyperlink"/>
                <w:noProof/>
                <w:lang w:bidi="hi-IN"/>
              </w:rPr>
              <w:t>6.3.2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Perceived stress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_Toc488655687 \h </w:instrText>
            </w:r>
            <w:r w:rsidR="00443019" w:rsidRPr="00787196">
              <w:rPr>
                <w:noProof/>
                <w:webHidden/>
              </w:rPr>
            </w:r>
            <w:r w:rsidR="00443019" w:rsidRPr="00787196">
              <w:rPr>
                <w:noProof/>
                <w:webHidden/>
              </w:rPr>
              <w:fldChar w:fldCharType="separate"/>
            </w:r>
            <w:r w:rsidR="00787196" w:rsidRPr="00787196">
              <w:rPr>
                <w:noProof/>
                <w:webHidden/>
              </w:rPr>
              <w:t>151</w:t>
            </w:r>
            <w:r w:rsidR="00443019" w:rsidRPr="00787196">
              <w:rPr>
                <w:noProof/>
                <w:webHidden/>
              </w:rPr>
              <w:fldChar w:fldCharType="end"/>
            </w:r>
          </w:hyperlink>
        </w:p>
        <w:p w14:paraId="3C12BC3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8" w:history="1">
            <w:r w:rsidR="00443019" w:rsidRPr="00787196">
              <w:rPr>
                <w:rStyle w:val="Hyperlink"/>
                <w:noProof/>
                <w:lang w:bidi="hi-IN"/>
              </w:rPr>
              <w:t>6.3.3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Concern about oral health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_Toc488655688 \h </w:instrText>
            </w:r>
            <w:r w:rsidR="00443019" w:rsidRPr="00787196">
              <w:rPr>
                <w:noProof/>
                <w:webHidden/>
              </w:rPr>
            </w:r>
            <w:r w:rsidR="00443019" w:rsidRPr="00787196">
              <w:rPr>
                <w:noProof/>
                <w:webHidden/>
              </w:rPr>
              <w:fldChar w:fldCharType="separate"/>
            </w:r>
            <w:r w:rsidR="00787196" w:rsidRPr="00787196">
              <w:rPr>
                <w:noProof/>
                <w:webHidden/>
              </w:rPr>
              <w:t>152</w:t>
            </w:r>
            <w:r w:rsidR="00443019" w:rsidRPr="00787196">
              <w:rPr>
                <w:noProof/>
                <w:webHidden/>
              </w:rPr>
              <w:fldChar w:fldCharType="end"/>
            </w:r>
          </w:hyperlink>
        </w:p>
        <w:p w14:paraId="35CBC27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89" w:history="1">
            <w:r w:rsidR="00443019" w:rsidRPr="00787196">
              <w:rPr>
                <w:rStyle w:val="Hyperlink"/>
                <w:noProof/>
                <w:lang w:bidi="hi-IN"/>
              </w:rPr>
              <w:t>6.3.4</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Objective SES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_Toc488655689 \h </w:instrText>
            </w:r>
            <w:r w:rsidR="00443019" w:rsidRPr="00787196">
              <w:rPr>
                <w:noProof/>
                <w:webHidden/>
              </w:rPr>
            </w:r>
            <w:r w:rsidR="00443019" w:rsidRPr="00787196">
              <w:rPr>
                <w:noProof/>
                <w:webHidden/>
              </w:rPr>
              <w:fldChar w:fldCharType="separate"/>
            </w:r>
            <w:r w:rsidR="00787196" w:rsidRPr="00787196">
              <w:rPr>
                <w:noProof/>
                <w:webHidden/>
              </w:rPr>
              <w:t>153</w:t>
            </w:r>
            <w:r w:rsidR="00443019" w:rsidRPr="00787196">
              <w:rPr>
                <w:noProof/>
                <w:webHidden/>
              </w:rPr>
              <w:fldChar w:fldCharType="end"/>
            </w:r>
          </w:hyperlink>
        </w:p>
        <w:p w14:paraId="64EFBD9F" w14:textId="1835150D"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90" w:history="1">
            <w:r w:rsidR="00443019" w:rsidRPr="00787196">
              <w:rPr>
                <w:rStyle w:val="Hyperlink"/>
                <w:noProof/>
                <w:lang w:bidi="hi-IN"/>
              </w:rPr>
              <w:t>6.4</w:t>
            </w:r>
            <w:r w:rsidR="00443019" w:rsidRPr="00787196">
              <w:rPr>
                <w:rFonts w:asciiTheme="minorHAnsi" w:eastAsiaTheme="minorEastAsia" w:hAnsiTheme="minorHAnsi" w:cs="Latha"/>
                <w:smallCaps w:val="0"/>
                <w:noProof/>
                <w:sz w:val="22"/>
                <w:szCs w:val="22"/>
              </w:rPr>
              <w:tab/>
            </w:r>
            <w:r w:rsidR="001B3514" w:rsidRPr="00787196">
              <w:rPr>
                <w:rStyle w:val="Hyperlink"/>
                <w:noProof/>
                <w:lang w:bidi="hi-IN"/>
              </w:rPr>
              <w:t>ASSOCIATIONS FOUND IN THE STUDY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_Toc488655690 \h </w:instrText>
            </w:r>
            <w:r w:rsidR="00443019" w:rsidRPr="00787196">
              <w:rPr>
                <w:noProof/>
                <w:webHidden/>
              </w:rPr>
            </w:r>
            <w:r w:rsidR="00443019" w:rsidRPr="00787196">
              <w:rPr>
                <w:noProof/>
                <w:webHidden/>
              </w:rPr>
              <w:fldChar w:fldCharType="separate"/>
            </w:r>
            <w:r w:rsidR="00787196" w:rsidRPr="00787196">
              <w:rPr>
                <w:noProof/>
                <w:webHidden/>
              </w:rPr>
              <w:t>154</w:t>
            </w:r>
            <w:r w:rsidR="00443019" w:rsidRPr="00787196">
              <w:rPr>
                <w:noProof/>
                <w:webHidden/>
              </w:rPr>
              <w:fldChar w:fldCharType="end"/>
            </w:r>
          </w:hyperlink>
        </w:p>
        <w:p w14:paraId="5C4A62A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91" w:history="1">
            <w:r w:rsidR="00443019" w:rsidRPr="00787196">
              <w:rPr>
                <w:rStyle w:val="Hyperlink"/>
                <w:noProof/>
                <w:lang w:bidi="hi-IN"/>
              </w:rPr>
              <w:t>6.4.1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Predictors of successful patient-reported denture outcomes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_Toc488655691 \h </w:instrText>
            </w:r>
            <w:r w:rsidR="00443019" w:rsidRPr="00787196">
              <w:rPr>
                <w:noProof/>
                <w:webHidden/>
              </w:rPr>
            </w:r>
            <w:r w:rsidR="00443019" w:rsidRPr="00787196">
              <w:rPr>
                <w:noProof/>
                <w:webHidden/>
              </w:rPr>
              <w:fldChar w:fldCharType="separate"/>
            </w:r>
            <w:r w:rsidR="00787196" w:rsidRPr="00787196">
              <w:rPr>
                <w:noProof/>
                <w:webHidden/>
              </w:rPr>
              <w:t>154</w:t>
            </w:r>
            <w:r w:rsidR="00443019" w:rsidRPr="00787196">
              <w:rPr>
                <w:noProof/>
                <w:webHidden/>
              </w:rPr>
              <w:fldChar w:fldCharType="end"/>
            </w:r>
          </w:hyperlink>
        </w:p>
        <w:p w14:paraId="2CB7EECC"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92" w:history="1">
            <w:r w:rsidR="00443019" w:rsidRPr="00787196">
              <w:rPr>
                <w:rStyle w:val="Hyperlink"/>
                <w:noProof/>
                <w:lang w:bidi="hi-IN"/>
              </w:rPr>
              <w:t>6.4.2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Predictors of coping strategies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_Toc488655692 \h </w:instrText>
            </w:r>
            <w:r w:rsidR="00443019" w:rsidRPr="00787196">
              <w:rPr>
                <w:noProof/>
                <w:webHidden/>
              </w:rPr>
            </w:r>
            <w:r w:rsidR="00443019" w:rsidRPr="00787196">
              <w:rPr>
                <w:noProof/>
                <w:webHidden/>
              </w:rPr>
              <w:fldChar w:fldCharType="separate"/>
            </w:r>
            <w:r w:rsidR="00787196" w:rsidRPr="00787196">
              <w:rPr>
                <w:noProof/>
                <w:webHidden/>
              </w:rPr>
              <w:t>157</w:t>
            </w:r>
            <w:r w:rsidR="00443019" w:rsidRPr="00787196">
              <w:rPr>
                <w:noProof/>
                <w:webHidden/>
              </w:rPr>
              <w:fldChar w:fldCharType="end"/>
            </w:r>
          </w:hyperlink>
        </w:p>
        <w:p w14:paraId="2750D630" w14:textId="7D389328"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93" w:history="1">
            <w:r w:rsidR="00443019" w:rsidRPr="00787196">
              <w:rPr>
                <w:rStyle w:val="Hyperlink"/>
                <w:noProof/>
                <w:lang w:bidi="hi-IN"/>
              </w:rPr>
              <w:t>6.5</w:t>
            </w:r>
            <w:r w:rsidR="00443019" w:rsidRPr="00787196">
              <w:rPr>
                <w:rFonts w:asciiTheme="minorHAnsi" w:eastAsiaTheme="minorEastAsia" w:hAnsiTheme="minorHAnsi" w:cs="Latha"/>
                <w:smallCaps w:val="0"/>
                <w:noProof/>
                <w:sz w:val="22"/>
                <w:szCs w:val="22"/>
              </w:rPr>
              <w:tab/>
            </w:r>
            <w:r w:rsidR="001B3514" w:rsidRPr="00787196">
              <w:rPr>
                <w:rStyle w:val="Hyperlink"/>
                <w:noProof/>
                <w:lang w:bidi="hi-IN"/>
              </w:rPr>
              <w:t>METHODOLOGICAL ISSUES AND LIMITATIONS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_Toc488655693 \h </w:instrText>
            </w:r>
            <w:r w:rsidR="00443019" w:rsidRPr="00787196">
              <w:rPr>
                <w:noProof/>
                <w:webHidden/>
              </w:rPr>
            </w:r>
            <w:r w:rsidR="00443019" w:rsidRPr="00787196">
              <w:rPr>
                <w:noProof/>
                <w:webHidden/>
              </w:rPr>
              <w:fldChar w:fldCharType="separate"/>
            </w:r>
            <w:r w:rsidR="00787196" w:rsidRPr="00787196">
              <w:rPr>
                <w:noProof/>
                <w:webHidden/>
              </w:rPr>
              <w:t>160</w:t>
            </w:r>
            <w:r w:rsidR="00443019" w:rsidRPr="00787196">
              <w:rPr>
                <w:noProof/>
                <w:webHidden/>
              </w:rPr>
              <w:fldChar w:fldCharType="end"/>
            </w:r>
          </w:hyperlink>
        </w:p>
        <w:p w14:paraId="6335AD40"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94" w:history="1">
            <w:r w:rsidR="00443019" w:rsidRPr="00787196">
              <w:rPr>
                <w:rStyle w:val="Hyperlink"/>
                <w:noProof/>
                <w:lang w:bidi="hi-IN"/>
              </w:rPr>
              <w:t>6.5.1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Methodological limitations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_Toc488655694 \h </w:instrText>
            </w:r>
            <w:r w:rsidR="00443019" w:rsidRPr="00787196">
              <w:rPr>
                <w:noProof/>
                <w:webHidden/>
              </w:rPr>
            </w:r>
            <w:r w:rsidR="00443019" w:rsidRPr="00787196">
              <w:rPr>
                <w:noProof/>
                <w:webHidden/>
              </w:rPr>
              <w:fldChar w:fldCharType="separate"/>
            </w:r>
            <w:r w:rsidR="00787196" w:rsidRPr="00787196">
              <w:rPr>
                <w:noProof/>
                <w:webHidden/>
              </w:rPr>
              <w:t>160</w:t>
            </w:r>
            <w:r w:rsidR="00443019" w:rsidRPr="00787196">
              <w:rPr>
                <w:noProof/>
                <w:webHidden/>
              </w:rPr>
              <w:fldChar w:fldCharType="end"/>
            </w:r>
          </w:hyperlink>
        </w:p>
        <w:p w14:paraId="1D446AD6" w14:textId="043FFFDC" w:rsidR="001B3514" w:rsidRPr="00787196" w:rsidRDefault="006E7D7A" w:rsidP="001B3514">
          <w:pPr>
            <w:pStyle w:val="TOC2"/>
            <w:tabs>
              <w:tab w:val="left" w:pos="480"/>
              <w:tab w:val="right" w:leader="dot" w:pos="8494"/>
            </w:tabs>
            <w:rPr>
              <w:noProof/>
            </w:rPr>
          </w:pPr>
          <w:hyperlink w:anchor="_Toc488655695" w:history="1">
            <w:r w:rsidR="00443019" w:rsidRPr="00787196">
              <w:rPr>
                <w:rStyle w:val="Hyperlink"/>
                <w:noProof/>
                <w:lang w:bidi="hi-IN"/>
              </w:rPr>
              <w:t>6.6</w:t>
            </w:r>
            <w:r w:rsidR="00443019" w:rsidRPr="00787196">
              <w:rPr>
                <w:rFonts w:asciiTheme="minorHAnsi" w:eastAsiaTheme="minorEastAsia" w:hAnsiTheme="minorHAnsi" w:cs="Latha"/>
                <w:smallCaps w:val="0"/>
                <w:noProof/>
                <w:sz w:val="22"/>
                <w:szCs w:val="22"/>
              </w:rPr>
              <w:tab/>
            </w:r>
            <w:r w:rsidR="001B3514" w:rsidRPr="00787196">
              <w:rPr>
                <w:rStyle w:val="Hyperlink"/>
                <w:noProof/>
                <w:lang w:bidi="hi-IN"/>
              </w:rPr>
              <w:t>STRENGTHS OF THE STUDY</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_Toc488655695 \h </w:instrText>
            </w:r>
            <w:r w:rsidR="00443019" w:rsidRPr="00787196">
              <w:rPr>
                <w:noProof/>
                <w:webHidden/>
              </w:rPr>
            </w:r>
            <w:r w:rsidR="00443019" w:rsidRPr="00787196">
              <w:rPr>
                <w:noProof/>
                <w:webHidden/>
              </w:rPr>
              <w:fldChar w:fldCharType="separate"/>
            </w:r>
            <w:r w:rsidR="00787196" w:rsidRPr="00787196">
              <w:rPr>
                <w:noProof/>
                <w:webHidden/>
              </w:rPr>
              <w:t>165</w:t>
            </w:r>
            <w:r w:rsidR="00443019" w:rsidRPr="00787196">
              <w:rPr>
                <w:noProof/>
                <w:webHidden/>
              </w:rPr>
              <w:fldChar w:fldCharType="end"/>
            </w:r>
          </w:hyperlink>
        </w:p>
        <w:p w14:paraId="2DFA77D2" w14:textId="77777777" w:rsidR="001B3514" w:rsidRPr="00787196" w:rsidRDefault="001B3514">
          <w:pPr>
            <w:spacing w:before="0" w:after="0" w:line="240" w:lineRule="auto"/>
            <w:jc w:val="left"/>
            <w:rPr>
              <w:rFonts w:eastAsia="Arial" w:cstheme="majorBidi"/>
              <w:smallCaps/>
              <w:noProof/>
              <w:sz w:val="18"/>
              <w:szCs w:val="20"/>
            </w:rPr>
          </w:pPr>
          <w:r w:rsidRPr="00787196">
            <w:rPr>
              <w:noProof/>
            </w:rPr>
            <w:br w:type="page"/>
          </w:r>
        </w:p>
        <w:p w14:paraId="64C34D83" w14:textId="77777777" w:rsidR="00443019" w:rsidRPr="00787196" w:rsidRDefault="006E7D7A" w:rsidP="001B3514">
          <w:pPr>
            <w:pStyle w:val="TOC1"/>
            <w:tabs>
              <w:tab w:val="left" w:pos="480"/>
              <w:tab w:val="right" w:leader="dot" w:pos="8494"/>
            </w:tabs>
            <w:rPr>
              <w:rFonts w:asciiTheme="minorHAnsi" w:eastAsiaTheme="minorEastAsia" w:hAnsiTheme="minorHAnsi" w:cs="Latha"/>
              <w:b w:val="0"/>
              <w:bCs w:val="0"/>
              <w:caps w:val="0"/>
              <w:noProof/>
              <w:sz w:val="22"/>
              <w:szCs w:val="22"/>
            </w:rPr>
          </w:pPr>
          <w:hyperlink w:anchor="_Toc488655696" w:history="1">
            <w:r w:rsidR="00443019" w:rsidRPr="00787196">
              <w:rPr>
                <w:rStyle w:val="Hyperlink"/>
                <w:noProof/>
                <w:lang w:bidi="hi-IN"/>
              </w:rPr>
              <w:t>7</w:t>
            </w:r>
            <w:r w:rsidR="00443019" w:rsidRPr="00787196">
              <w:rPr>
                <w:rFonts w:asciiTheme="minorHAnsi" w:eastAsiaTheme="minorEastAsia" w:hAnsiTheme="minorHAnsi" w:cs="Latha"/>
                <w:b w:val="0"/>
                <w:bCs w:val="0"/>
                <w:caps w:val="0"/>
                <w:noProof/>
                <w:sz w:val="22"/>
                <w:szCs w:val="22"/>
              </w:rPr>
              <w:tab/>
            </w:r>
            <w:r w:rsidR="00443019" w:rsidRPr="00787196">
              <w:rPr>
                <w:rStyle w:val="Hyperlink"/>
                <w:noProof/>
                <w:lang w:bidi="hi-IN"/>
              </w:rPr>
              <w:t>CHAPTER 7 CONCLUSION AND RECOMMENDATIONS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_Toc488655696 \h </w:instrText>
            </w:r>
            <w:r w:rsidR="00443019" w:rsidRPr="00787196">
              <w:rPr>
                <w:noProof/>
                <w:webHidden/>
              </w:rPr>
            </w:r>
            <w:r w:rsidR="00443019" w:rsidRPr="00787196">
              <w:rPr>
                <w:noProof/>
                <w:webHidden/>
              </w:rPr>
              <w:fldChar w:fldCharType="separate"/>
            </w:r>
            <w:r w:rsidR="00787196" w:rsidRPr="00787196">
              <w:rPr>
                <w:noProof/>
                <w:webHidden/>
              </w:rPr>
              <w:t>166</w:t>
            </w:r>
            <w:r w:rsidR="00443019" w:rsidRPr="00787196">
              <w:rPr>
                <w:noProof/>
                <w:webHidden/>
              </w:rPr>
              <w:fldChar w:fldCharType="end"/>
            </w:r>
          </w:hyperlink>
        </w:p>
        <w:p w14:paraId="33817627" w14:textId="1960A7AD"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97" w:history="1">
            <w:r w:rsidR="00443019" w:rsidRPr="00787196">
              <w:rPr>
                <w:rStyle w:val="Hyperlink"/>
                <w:noProof/>
                <w:lang w:bidi="hi-IN"/>
              </w:rPr>
              <w:t>7.1</w:t>
            </w:r>
            <w:r w:rsidR="00443019" w:rsidRPr="00787196">
              <w:rPr>
                <w:rFonts w:asciiTheme="minorHAnsi" w:eastAsiaTheme="minorEastAsia" w:hAnsiTheme="minorHAnsi" w:cs="Latha"/>
                <w:smallCaps w:val="0"/>
                <w:noProof/>
                <w:sz w:val="22"/>
                <w:szCs w:val="22"/>
              </w:rPr>
              <w:tab/>
            </w:r>
            <w:r w:rsidR="001B3514" w:rsidRPr="00787196">
              <w:rPr>
                <w:rStyle w:val="Hyperlink"/>
                <w:noProof/>
                <w:lang w:bidi="hi-IN"/>
              </w:rPr>
              <w:t>CONCLUSIONS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_Toc488655697 \h </w:instrText>
            </w:r>
            <w:r w:rsidR="00443019" w:rsidRPr="00787196">
              <w:rPr>
                <w:noProof/>
                <w:webHidden/>
              </w:rPr>
            </w:r>
            <w:r w:rsidR="00443019" w:rsidRPr="00787196">
              <w:rPr>
                <w:noProof/>
                <w:webHidden/>
              </w:rPr>
              <w:fldChar w:fldCharType="separate"/>
            </w:r>
            <w:r w:rsidR="00787196" w:rsidRPr="00787196">
              <w:rPr>
                <w:noProof/>
                <w:webHidden/>
              </w:rPr>
              <w:t>166</w:t>
            </w:r>
            <w:r w:rsidR="00443019" w:rsidRPr="00787196">
              <w:rPr>
                <w:noProof/>
                <w:webHidden/>
              </w:rPr>
              <w:fldChar w:fldCharType="end"/>
            </w:r>
          </w:hyperlink>
        </w:p>
        <w:p w14:paraId="089E8EA9" w14:textId="17C161CA" w:rsidR="00443019" w:rsidRPr="00787196" w:rsidRDefault="006E7D7A" w:rsidP="001B3514">
          <w:pPr>
            <w:pStyle w:val="TOC2"/>
            <w:tabs>
              <w:tab w:val="left" w:pos="480"/>
              <w:tab w:val="right" w:leader="dot" w:pos="8494"/>
            </w:tabs>
            <w:rPr>
              <w:rFonts w:asciiTheme="minorHAnsi" w:eastAsiaTheme="minorEastAsia" w:hAnsiTheme="minorHAnsi" w:cs="Latha"/>
              <w:smallCaps w:val="0"/>
              <w:noProof/>
              <w:sz w:val="22"/>
              <w:szCs w:val="22"/>
            </w:rPr>
          </w:pPr>
          <w:hyperlink w:anchor="_Toc488655698" w:history="1">
            <w:r w:rsidR="00443019" w:rsidRPr="00787196">
              <w:rPr>
                <w:rStyle w:val="Hyperlink"/>
                <w:noProof/>
              </w:rPr>
              <w:t>7.2</w:t>
            </w:r>
            <w:r w:rsidR="00443019" w:rsidRPr="00787196">
              <w:rPr>
                <w:rFonts w:asciiTheme="minorHAnsi" w:eastAsiaTheme="minorEastAsia" w:hAnsiTheme="minorHAnsi" w:cs="Latha"/>
                <w:smallCaps w:val="0"/>
                <w:noProof/>
                <w:sz w:val="22"/>
                <w:szCs w:val="22"/>
              </w:rPr>
              <w:tab/>
            </w:r>
            <w:r w:rsidR="001B3514" w:rsidRPr="00787196">
              <w:rPr>
                <w:rStyle w:val="Hyperlink"/>
                <w:noProof/>
              </w:rPr>
              <w:t>RECOMMENDATIONS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_Toc488655698 \h </w:instrText>
            </w:r>
            <w:r w:rsidR="00443019" w:rsidRPr="00787196">
              <w:rPr>
                <w:noProof/>
                <w:webHidden/>
              </w:rPr>
            </w:r>
            <w:r w:rsidR="00443019" w:rsidRPr="00787196">
              <w:rPr>
                <w:noProof/>
                <w:webHidden/>
              </w:rPr>
              <w:fldChar w:fldCharType="separate"/>
            </w:r>
            <w:r w:rsidR="00787196" w:rsidRPr="00787196">
              <w:rPr>
                <w:noProof/>
                <w:webHidden/>
              </w:rPr>
              <w:t>167</w:t>
            </w:r>
            <w:r w:rsidR="00443019" w:rsidRPr="00787196">
              <w:rPr>
                <w:noProof/>
                <w:webHidden/>
              </w:rPr>
              <w:fldChar w:fldCharType="end"/>
            </w:r>
          </w:hyperlink>
        </w:p>
        <w:p w14:paraId="45D3B0BA"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699" w:history="1">
            <w:r w:rsidR="00443019" w:rsidRPr="00787196">
              <w:rPr>
                <w:rStyle w:val="Hyperlink"/>
                <w:noProof/>
                <w:lang w:bidi="hi-IN"/>
              </w:rPr>
              <w:t>7.2.1</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Recommendations for research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_Toc488655699 \h </w:instrText>
            </w:r>
            <w:r w:rsidR="00443019" w:rsidRPr="00787196">
              <w:rPr>
                <w:noProof/>
                <w:webHidden/>
              </w:rPr>
            </w:r>
            <w:r w:rsidR="00443019" w:rsidRPr="00787196">
              <w:rPr>
                <w:noProof/>
                <w:webHidden/>
              </w:rPr>
              <w:fldChar w:fldCharType="separate"/>
            </w:r>
            <w:r w:rsidR="00787196" w:rsidRPr="00787196">
              <w:rPr>
                <w:noProof/>
                <w:webHidden/>
              </w:rPr>
              <w:t>167</w:t>
            </w:r>
            <w:r w:rsidR="00443019" w:rsidRPr="00787196">
              <w:rPr>
                <w:noProof/>
                <w:webHidden/>
              </w:rPr>
              <w:fldChar w:fldCharType="end"/>
            </w:r>
          </w:hyperlink>
        </w:p>
        <w:p w14:paraId="652FA66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00" w:history="1">
            <w:r w:rsidR="00443019" w:rsidRPr="00787196">
              <w:rPr>
                <w:rStyle w:val="Hyperlink"/>
                <w:noProof/>
                <w:lang w:bidi="hi-IN"/>
              </w:rPr>
              <w:t>7.2.2</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Recommendations for service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_Toc488655700 \h </w:instrText>
            </w:r>
            <w:r w:rsidR="00443019" w:rsidRPr="00787196">
              <w:rPr>
                <w:noProof/>
                <w:webHidden/>
              </w:rPr>
            </w:r>
            <w:r w:rsidR="00443019" w:rsidRPr="00787196">
              <w:rPr>
                <w:noProof/>
                <w:webHidden/>
              </w:rPr>
              <w:fldChar w:fldCharType="separate"/>
            </w:r>
            <w:r w:rsidR="00787196" w:rsidRPr="00787196">
              <w:rPr>
                <w:noProof/>
                <w:webHidden/>
              </w:rPr>
              <w:t>167</w:t>
            </w:r>
            <w:r w:rsidR="00443019" w:rsidRPr="00787196">
              <w:rPr>
                <w:noProof/>
                <w:webHidden/>
              </w:rPr>
              <w:fldChar w:fldCharType="end"/>
            </w:r>
          </w:hyperlink>
        </w:p>
        <w:p w14:paraId="700FF7FD"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701" w:history="1">
            <w:r w:rsidR="00443019" w:rsidRPr="00787196">
              <w:rPr>
                <w:rStyle w:val="Hyperlink"/>
                <w:noProof/>
              </w:rPr>
              <w:t xml:space="preserve">CHAPTER </w:t>
            </w:r>
            <w:r w:rsidR="00443019" w:rsidRPr="00787196">
              <w:rPr>
                <w:rStyle w:val="Hyperlink"/>
                <w:noProof/>
              </w:rPr>
              <w:t>E</w:t>
            </w:r>
            <w:r w:rsidR="00443019" w:rsidRPr="00787196">
              <w:rPr>
                <w:rStyle w:val="Hyperlink"/>
                <w:noProof/>
              </w:rPr>
              <w:t>IGHT REFERENCES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_Toc488655701 \h </w:instrText>
            </w:r>
            <w:r w:rsidR="00443019" w:rsidRPr="00787196">
              <w:rPr>
                <w:noProof/>
                <w:webHidden/>
              </w:rPr>
            </w:r>
            <w:r w:rsidR="00443019" w:rsidRPr="00787196">
              <w:rPr>
                <w:noProof/>
                <w:webHidden/>
              </w:rPr>
              <w:fldChar w:fldCharType="separate"/>
            </w:r>
            <w:r w:rsidR="00787196" w:rsidRPr="00787196">
              <w:rPr>
                <w:noProof/>
                <w:webHidden/>
              </w:rPr>
              <w:t>168</w:t>
            </w:r>
            <w:r w:rsidR="00443019" w:rsidRPr="00787196">
              <w:rPr>
                <w:noProof/>
                <w:webHidden/>
              </w:rPr>
              <w:fldChar w:fldCharType="end"/>
            </w:r>
          </w:hyperlink>
        </w:p>
        <w:p w14:paraId="2FA989B1" w14:textId="77777777" w:rsidR="00443019" w:rsidRPr="00787196" w:rsidRDefault="006E7D7A" w:rsidP="001B3514">
          <w:pPr>
            <w:pStyle w:val="TOC1"/>
            <w:tabs>
              <w:tab w:val="right" w:leader="dot" w:pos="8494"/>
            </w:tabs>
            <w:rPr>
              <w:rFonts w:asciiTheme="minorHAnsi" w:eastAsiaTheme="minorEastAsia" w:hAnsiTheme="minorHAnsi" w:cs="Latha"/>
              <w:b w:val="0"/>
              <w:bCs w:val="0"/>
              <w:caps w:val="0"/>
              <w:noProof/>
              <w:sz w:val="22"/>
              <w:szCs w:val="22"/>
            </w:rPr>
          </w:pPr>
          <w:hyperlink w:anchor="_Toc488655702" w:history="1">
            <w:r w:rsidR="00443019" w:rsidRPr="00787196">
              <w:rPr>
                <w:rStyle w:val="Hyperlink"/>
                <w:rFonts w:cs="Arial"/>
                <w:noProof/>
              </w:rPr>
              <w:t>APPENDICES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_Toc488655702 \h </w:instrText>
            </w:r>
            <w:r w:rsidR="00443019" w:rsidRPr="00787196">
              <w:rPr>
                <w:noProof/>
                <w:webHidden/>
              </w:rPr>
            </w:r>
            <w:r w:rsidR="00443019" w:rsidRPr="00787196">
              <w:rPr>
                <w:noProof/>
                <w:webHidden/>
              </w:rPr>
              <w:fldChar w:fldCharType="separate"/>
            </w:r>
            <w:r w:rsidR="00787196" w:rsidRPr="00787196">
              <w:rPr>
                <w:noProof/>
                <w:webHidden/>
              </w:rPr>
              <w:t>210</w:t>
            </w:r>
            <w:r w:rsidR="00443019" w:rsidRPr="00787196">
              <w:rPr>
                <w:noProof/>
                <w:webHidden/>
              </w:rPr>
              <w:fldChar w:fldCharType="end"/>
            </w:r>
          </w:hyperlink>
        </w:p>
        <w:p w14:paraId="16140A9E" w14:textId="0E445E65"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3" w:history="1">
            <w:r w:rsidR="001B3514" w:rsidRPr="00787196">
              <w:rPr>
                <w:rStyle w:val="Hyperlink"/>
                <w:noProof/>
              </w:rPr>
              <w:t>LIST OF APPENDICES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_Toc488655703 \h </w:instrText>
            </w:r>
            <w:r w:rsidR="00443019" w:rsidRPr="00787196">
              <w:rPr>
                <w:noProof/>
                <w:webHidden/>
              </w:rPr>
            </w:r>
            <w:r w:rsidR="00443019" w:rsidRPr="00787196">
              <w:rPr>
                <w:noProof/>
                <w:webHidden/>
              </w:rPr>
              <w:fldChar w:fldCharType="separate"/>
            </w:r>
            <w:r w:rsidR="00787196" w:rsidRPr="00787196">
              <w:rPr>
                <w:noProof/>
                <w:webHidden/>
              </w:rPr>
              <w:t>210</w:t>
            </w:r>
            <w:r w:rsidR="00443019" w:rsidRPr="00787196">
              <w:rPr>
                <w:noProof/>
                <w:webHidden/>
              </w:rPr>
              <w:fldChar w:fldCharType="end"/>
            </w:r>
          </w:hyperlink>
        </w:p>
        <w:p w14:paraId="19E81589" w14:textId="64782CC3"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4" w:history="1">
            <w:r w:rsidR="001B3514" w:rsidRPr="00787196">
              <w:rPr>
                <w:rStyle w:val="Hyperlink"/>
                <w:noProof/>
              </w:rPr>
              <w:t>APPENDIX A-RECRUITMENT FLYER</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_Toc488655704 \h </w:instrText>
            </w:r>
            <w:r w:rsidR="00443019" w:rsidRPr="00787196">
              <w:rPr>
                <w:noProof/>
                <w:webHidden/>
              </w:rPr>
            </w:r>
            <w:r w:rsidR="00443019" w:rsidRPr="00787196">
              <w:rPr>
                <w:noProof/>
                <w:webHidden/>
              </w:rPr>
              <w:fldChar w:fldCharType="separate"/>
            </w:r>
            <w:r w:rsidR="00787196" w:rsidRPr="00787196">
              <w:rPr>
                <w:noProof/>
                <w:webHidden/>
              </w:rPr>
              <w:t>211</w:t>
            </w:r>
            <w:r w:rsidR="00443019" w:rsidRPr="00787196">
              <w:rPr>
                <w:noProof/>
                <w:webHidden/>
              </w:rPr>
              <w:fldChar w:fldCharType="end"/>
            </w:r>
          </w:hyperlink>
        </w:p>
        <w:p w14:paraId="778EDCD7" w14:textId="27A9F29C"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5" w:history="1">
            <w:r w:rsidR="001B3514" w:rsidRPr="00787196">
              <w:rPr>
                <w:rStyle w:val="Hyperlink"/>
                <w:noProof/>
              </w:rPr>
              <w:t>APPENDIX B-PATIENT INFORMATION SHEET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_Toc488655705 \h </w:instrText>
            </w:r>
            <w:r w:rsidR="00443019" w:rsidRPr="00787196">
              <w:rPr>
                <w:noProof/>
                <w:webHidden/>
              </w:rPr>
            </w:r>
            <w:r w:rsidR="00443019" w:rsidRPr="00787196">
              <w:rPr>
                <w:noProof/>
                <w:webHidden/>
              </w:rPr>
              <w:fldChar w:fldCharType="separate"/>
            </w:r>
            <w:r w:rsidR="00787196" w:rsidRPr="00787196">
              <w:rPr>
                <w:noProof/>
                <w:webHidden/>
              </w:rPr>
              <w:t>212</w:t>
            </w:r>
            <w:r w:rsidR="00443019" w:rsidRPr="00787196">
              <w:rPr>
                <w:noProof/>
                <w:webHidden/>
              </w:rPr>
              <w:fldChar w:fldCharType="end"/>
            </w:r>
          </w:hyperlink>
        </w:p>
        <w:p w14:paraId="3EBB2D86" w14:textId="7CEB41B7"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6" w:history="1">
            <w:r w:rsidR="001B3514" w:rsidRPr="00787196">
              <w:rPr>
                <w:rStyle w:val="Hyperlink"/>
                <w:noProof/>
                <w:lang w:val="fr-FR"/>
              </w:rPr>
              <w:t>APPENDIX C-CONSENT FORM</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_Toc488655706 \h </w:instrText>
            </w:r>
            <w:r w:rsidR="00443019" w:rsidRPr="00787196">
              <w:rPr>
                <w:noProof/>
                <w:webHidden/>
              </w:rPr>
            </w:r>
            <w:r w:rsidR="00443019" w:rsidRPr="00787196">
              <w:rPr>
                <w:noProof/>
                <w:webHidden/>
              </w:rPr>
              <w:fldChar w:fldCharType="separate"/>
            </w:r>
            <w:r w:rsidR="00787196" w:rsidRPr="00787196">
              <w:rPr>
                <w:noProof/>
                <w:webHidden/>
              </w:rPr>
              <w:t>215</w:t>
            </w:r>
            <w:r w:rsidR="00443019" w:rsidRPr="00787196">
              <w:rPr>
                <w:noProof/>
                <w:webHidden/>
              </w:rPr>
              <w:fldChar w:fldCharType="end"/>
            </w:r>
          </w:hyperlink>
        </w:p>
        <w:p w14:paraId="2DCE4C9E" w14:textId="38F0AE96"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7" w:history="1">
            <w:r w:rsidR="001B3514" w:rsidRPr="00787196">
              <w:rPr>
                <w:rStyle w:val="Hyperlink"/>
                <w:noProof/>
              </w:rPr>
              <w:t>APPENDIX D-CLINICAL EXAMINATION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_Toc488655707 \h </w:instrText>
            </w:r>
            <w:r w:rsidR="00443019" w:rsidRPr="00787196">
              <w:rPr>
                <w:noProof/>
                <w:webHidden/>
              </w:rPr>
            </w:r>
            <w:r w:rsidR="00443019" w:rsidRPr="00787196">
              <w:rPr>
                <w:noProof/>
                <w:webHidden/>
              </w:rPr>
              <w:fldChar w:fldCharType="separate"/>
            </w:r>
            <w:r w:rsidR="00787196" w:rsidRPr="00787196">
              <w:rPr>
                <w:noProof/>
                <w:webHidden/>
              </w:rPr>
              <w:t>216</w:t>
            </w:r>
            <w:r w:rsidR="00443019" w:rsidRPr="00787196">
              <w:rPr>
                <w:noProof/>
                <w:webHidden/>
              </w:rPr>
              <w:fldChar w:fldCharType="end"/>
            </w:r>
          </w:hyperlink>
        </w:p>
        <w:p w14:paraId="5E5E0231" w14:textId="68D93E76"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08" w:history="1">
            <w:r w:rsidR="001B3514" w:rsidRPr="00787196">
              <w:rPr>
                <w:rStyle w:val="Hyperlink"/>
                <w:noProof/>
              </w:rPr>
              <w:t>APPENDIX F-BACK TRANSLATED VERSIONS IN TAMIL</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_Toc488655708 \h </w:instrText>
            </w:r>
            <w:r w:rsidR="00443019" w:rsidRPr="00787196">
              <w:rPr>
                <w:noProof/>
                <w:webHidden/>
              </w:rPr>
            </w:r>
            <w:r w:rsidR="00443019" w:rsidRPr="00787196">
              <w:rPr>
                <w:noProof/>
                <w:webHidden/>
              </w:rPr>
              <w:fldChar w:fldCharType="separate"/>
            </w:r>
            <w:r w:rsidR="00787196" w:rsidRPr="00787196">
              <w:rPr>
                <w:noProof/>
                <w:webHidden/>
              </w:rPr>
              <w:t>230</w:t>
            </w:r>
            <w:r w:rsidR="00443019" w:rsidRPr="00787196">
              <w:rPr>
                <w:noProof/>
                <w:webHidden/>
              </w:rPr>
              <w:fldChar w:fldCharType="end"/>
            </w:r>
          </w:hyperlink>
        </w:p>
        <w:p w14:paraId="578705DD"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09" w:history="1">
            <w:r w:rsidR="00443019" w:rsidRPr="00787196">
              <w:rPr>
                <w:rStyle w:val="Hyperlink"/>
                <w:noProof/>
                <w:lang w:bidi="hi-IN"/>
              </w:rPr>
              <w:t>7.2.3</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Recruitment flyer</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_Toc488655709 \h </w:instrText>
            </w:r>
            <w:r w:rsidR="00443019" w:rsidRPr="00787196">
              <w:rPr>
                <w:noProof/>
                <w:webHidden/>
              </w:rPr>
            </w:r>
            <w:r w:rsidR="00443019" w:rsidRPr="00787196">
              <w:rPr>
                <w:noProof/>
                <w:webHidden/>
              </w:rPr>
              <w:fldChar w:fldCharType="separate"/>
            </w:r>
            <w:r w:rsidR="00787196" w:rsidRPr="00787196">
              <w:rPr>
                <w:noProof/>
                <w:webHidden/>
              </w:rPr>
              <w:t>230</w:t>
            </w:r>
            <w:r w:rsidR="00443019" w:rsidRPr="00787196">
              <w:rPr>
                <w:noProof/>
                <w:webHidden/>
              </w:rPr>
              <w:fldChar w:fldCharType="end"/>
            </w:r>
          </w:hyperlink>
        </w:p>
        <w:p w14:paraId="71F8D6FC"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0" w:history="1">
            <w:r w:rsidR="00443019" w:rsidRPr="00787196">
              <w:rPr>
                <w:rStyle w:val="Hyperlink"/>
                <w:noProof/>
                <w:lang w:eastAsia="en-IN" w:bidi="hi-IN"/>
              </w:rPr>
              <w:t>7.2.4</w:t>
            </w:r>
            <w:r w:rsidR="00443019" w:rsidRPr="00787196">
              <w:rPr>
                <w:rFonts w:asciiTheme="minorHAnsi" w:eastAsiaTheme="minorEastAsia" w:hAnsiTheme="minorHAnsi" w:cs="Latha"/>
                <w:iCs w:val="0"/>
                <w:noProof/>
                <w:sz w:val="22"/>
                <w:szCs w:val="22"/>
              </w:rPr>
              <w:tab/>
            </w:r>
            <w:r w:rsidR="00443019" w:rsidRPr="00787196">
              <w:rPr>
                <w:rStyle w:val="Hyperlink"/>
                <w:noProof/>
                <w:lang w:eastAsia="en-IN" w:bidi="hi-IN"/>
              </w:rPr>
              <w:t>Patient information sheet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_Toc488655710 \h </w:instrText>
            </w:r>
            <w:r w:rsidR="00443019" w:rsidRPr="00787196">
              <w:rPr>
                <w:noProof/>
                <w:webHidden/>
              </w:rPr>
            </w:r>
            <w:r w:rsidR="00443019" w:rsidRPr="00787196">
              <w:rPr>
                <w:noProof/>
                <w:webHidden/>
              </w:rPr>
              <w:fldChar w:fldCharType="separate"/>
            </w:r>
            <w:r w:rsidR="00787196" w:rsidRPr="00787196">
              <w:rPr>
                <w:noProof/>
                <w:webHidden/>
              </w:rPr>
              <w:t>231</w:t>
            </w:r>
            <w:r w:rsidR="00443019" w:rsidRPr="00787196">
              <w:rPr>
                <w:noProof/>
                <w:webHidden/>
              </w:rPr>
              <w:fldChar w:fldCharType="end"/>
            </w:r>
          </w:hyperlink>
        </w:p>
        <w:p w14:paraId="725C6A5E"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1" w:history="1">
            <w:r w:rsidR="00443019" w:rsidRPr="00787196">
              <w:rPr>
                <w:rStyle w:val="Hyperlink"/>
                <w:noProof/>
                <w:lang w:bidi="hi-IN"/>
              </w:rPr>
              <w:t>7.2.5</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Consent form</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_Toc488655711 \h </w:instrText>
            </w:r>
            <w:r w:rsidR="00443019" w:rsidRPr="00787196">
              <w:rPr>
                <w:noProof/>
                <w:webHidden/>
              </w:rPr>
            </w:r>
            <w:r w:rsidR="00443019" w:rsidRPr="00787196">
              <w:rPr>
                <w:noProof/>
                <w:webHidden/>
              </w:rPr>
              <w:fldChar w:fldCharType="separate"/>
            </w:r>
            <w:r w:rsidR="00787196" w:rsidRPr="00787196">
              <w:rPr>
                <w:noProof/>
                <w:webHidden/>
              </w:rPr>
              <w:t>233</w:t>
            </w:r>
            <w:r w:rsidR="00443019" w:rsidRPr="00787196">
              <w:rPr>
                <w:noProof/>
                <w:webHidden/>
              </w:rPr>
              <w:fldChar w:fldCharType="end"/>
            </w:r>
          </w:hyperlink>
        </w:p>
        <w:p w14:paraId="5E699CD8"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2" w:history="1">
            <w:r w:rsidR="00443019" w:rsidRPr="00787196">
              <w:rPr>
                <w:rStyle w:val="Hyperlink"/>
                <w:noProof/>
                <w:lang w:bidi="hi-IN"/>
              </w:rPr>
              <w:t>7.2.6</w:t>
            </w:r>
            <w:r w:rsidR="00443019" w:rsidRPr="00787196">
              <w:rPr>
                <w:rFonts w:asciiTheme="minorHAnsi" w:eastAsiaTheme="minorEastAsia" w:hAnsiTheme="minorHAnsi" w:cs="Latha"/>
                <w:iCs w:val="0"/>
                <w:noProof/>
                <w:sz w:val="22"/>
                <w:szCs w:val="22"/>
              </w:rPr>
              <w:tab/>
            </w:r>
            <w:r w:rsidR="00443019" w:rsidRPr="00787196">
              <w:rPr>
                <w:rStyle w:val="Hyperlink"/>
                <w:noProof/>
                <w:lang w:bidi="hi-IN"/>
              </w:rPr>
              <w:t>Questionnaire booklet</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_Toc488655712 \h </w:instrText>
            </w:r>
            <w:r w:rsidR="00443019" w:rsidRPr="00787196">
              <w:rPr>
                <w:noProof/>
                <w:webHidden/>
              </w:rPr>
            </w:r>
            <w:r w:rsidR="00443019" w:rsidRPr="00787196">
              <w:rPr>
                <w:noProof/>
                <w:webHidden/>
              </w:rPr>
              <w:fldChar w:fldCharType="separate"/>
            </w:r>
            <w:r w:rsidR="00787196" w:rsidRPr="00787196">
              <w:rPr>
                <w:noProof/>
                <w:webHidden/>
              </w:rPr>
              <w:t>234</w:t>
            </w:r>
            <w:r w:rsidR="00443019" w:rsidRPr="00787196">
              <w:rPr>
                <w:noProof/>
                <w:webHidden/>
              </w:rPr>
              <w:fldChar w:fldCharType="end"/>
            </w:r>
          </w:hyperlink>
        </w:p>
        <w:p w14:paraId="14B2FEAF" w14:textId="757C1F46"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13" w:history="1">
            <w:r w:rsidR="001B3514" w:rsidRPr="00787196">
              <w:rPr>
                <w:rStyle w:val="Hyperlink"/>
                <w:noProof/>
              </w:rPr>
              <w:t>APPENDIX G-RECODED DATA</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_Toc488655713 \h </w:instrText>
            </w:r>
            <w:r w:rsidR="00443019" w:rsidRPr="00787196">
              <w:rPr>
                <w:noProof/>
                <w:webHidden/>
              </w:rPr>
            </w:r>
            <w:r w:rsidR="00443019" w:rsidRPr="00787196">
              <w:rPr>
                <w:noProof/>
                <w:webHidden/>
              </w:rPr>
              <w:fldChar w:fldCharType="separate"/>
            </w:r>
            <w:r w:rsidR="00787196" w:rsidRPr="00787196">
              <w:rPr>
                <w:noProof/>
                <w:webHidden/>
              </w:rPr>
              <w:t>246</w:t>
            </w:r>
            <w:r w:rsidR="00443019" w:rsidRPr="00787196">
              <w:rPr>
                <w:noProof/>
                <w:webHidden/>
              </w:rPr>
              <w:fldChar w:fldCharType="end"/>
            </w:r>
          </w:hyperlink>
        </w:p>
        <w:p w14:paraId="31E14ED9"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4" w:history="1">
            <w:r w:rsidR="00443019" w:rsidRPr="00787196">
              <w:rPr>
                <w:rStyle w:val="Hyperlink"/>
                <w:noProof/>
                <w:lang w:bidi="hi-IN"/>
              </w:rPr>
              <w:t>Demographic data</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_Toc488655714 \h </w:instrText>
            </w:r>
            <w:r w:rsidR="00443019" w:rsidRPr="00787196">
              <w:rPr>
                <w:noProof/>
                <w:webHidden/>
              </w:rPr>
            </w:r>
            <w:r w:rsidR="00443019" w:rsidRPr="00787196">
              <w:rPr>
                <w:noProof/>
                <w:webHidden/>
              </w:rPr>
              <w:fldChar w:fldCharType="separate"/>
            </w:r>
            <w:r w:rsidR="00787196" w:rsidRPr="00787196">
              <w:rPr>
                <w:noProof/>
                <w:webHidden/>
              </w:rPr>
              <w:t>246</w:t>
            </w:r>
            <w:r w:rsidR="00443019" w:rsidRPr="00787196">
              <w:rPr>
                <w:noProof/>
                <w:webHidden/>
              </w:rPr>
              <w:fldChar w:fldCharType="end"/>
            </w:r>
          </w:hyperlink>
        </w:p>
        <w:p w14:paraId="2B9ABB6B"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5" w:history="1">
            <w:r w:rsidR="00443019" w:rsidRPr="00787196">
              <w:rPr>
                <w:rStyle w:val="Hyperlink"/>
                <w:noProof/>
                <w:lang w:bidi="hi-IN"/>
              </w:rPr>
              <w:t>Clinical data</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_Toc488655715 \h </w:instrText>
            </w:r>
            <w:r w:rsidR="00443019" w:rsidRPr="00787196">
              <w:rPr>
                <w:noProof/>
                <w:webHidden/>
              </w:rPr>
            </w:r>
            <w:r w:rsidR="00443019" w:rsidRPr="00787196">
              <w:rPr>
                <w:noProof/>
                <w:webHidden/>
              </w:rPr>
              <w:fldChar w:fldCharType="separate"/>
            </w:r>
            <w:r w:rsidR="00787196" w:rsidRPr="00787196">
              <w:rPr>
                <w:noProof/>
                <w:webHidden/>
              </w:rPr>
              <w:t>247</w:t>
            </w:r>
            <w:r w:rsidR="00443019" w:rsidRPr="00787196">
              <w:rPr>
                <w:noProof/>
                <w:webHidden/>
              </w:rPr>
              <w:fldChar w:fldCharType="end"/>
            </w:r>
          </w:hyperlink>
        </w:p>
        <w:p w14:paraId="6A14B084" w14:textId="72DA89DA" w:rsidR="00443019" w:rsidRPr="00787196" w:rsidRDefault="006E7D7A" w:rsidP="001B3514">
          <w:pPr>
            <w:pStyle w:val="TOC2"/>
            <w:tabs>
              <w:tab w:val="right" w:leader="dot" w:pos="8494"/>
            </w:tabs>
            <w:rPr>
              <w:rFonts w:asciiTheme="minorHAnsi" w:eastAsiaTheme="minorEastAsia" w:hAnsiTheme="minorHAnsi" w:cs="Latha"/>
              <w:smallCaps w:val="0"/>
              <w:noProof/>
              <w:sz w:val="22"/>
              <w:szCs w:val="22"/>
            </w:rPr>
          </w:pPr>
          <w:hyperlink w:anchor="_Toc488655716" w:history="1">
            <w:r w:rsidR="001B3514" w:rsidRPr="00787196">
              <w:rPr>
                <w:rStyle w:val="Hyperlink"/>
                <w:noProof/>
              </w:rPr>
              <w:t>APPENDIX H-DISTRIBUTIONS BEFORE AND AFTER RECODING</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_Toc488655716 \h </w:instrText>
            </w:r>
            <w:r w:rsidR="00443019" w:rsidRPr="00787196">
              <w:rPr>
                <w:noProof/>
                <w:webHidden/>
              </w:rPr>
            </w:r>
            <w:r w:rsidR="00443019" w:rsidRPr="00787196">
              <w:rPr>
                <w:noProof/>
                <w:webHidden/>
              </w:rPr>
              <w:fldChar w:fldCharType="separate"/>
            </w:r>
            <w:r w:rsidR="00787196" w:rsidRPr="00787196">
              <w:rPr>
                <w:noProof/>
                <w:webHidden/>
              </w:rPr>
              <w:t>248</w:t>
            </w:r>
            <w:r w:rsidR="00443019" w:rsidRPr="00787196">
              <w:rPr>
                <w:noProof/>
                <w:webHidden/>
              </w:rPr>
              <w:fldChar w:fldCharType="end"/>
            </w:r>
          </w:hyperlink>
        </w:p>
        <w:p w14:paraId="36C49E15"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7" w:history="1">
            <w:r w:rsidR="00443019" w:rsidRPr="00787196">
              <w:rPr>
                <w:rStyle w:val="Hyperlink"/>
                <w:noProof/>
                <w:lang w:bidi="hi-IN"/>
              </w:rPr>
              <w:t>Concern about oral health</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_Toc488655717 \h </w:instrText>
            </w:r>
            <w:r w:rsidR="00443019" w:rsidRPr="00787196">
              <w:rPr>
                <w:noProof/>
                <w:webHidden/>
              </w:rPr>
            </w:r>
            <w:r w:rsidR="00443019" w:rsidRPr="00787196">
              <w:rPr>
                <w:noProof/>
                <w:webHidden/>
              </w:rPr>
              <w:fldChar w:fldCharType="separate"/>
            </w:r>
            <w:r w:rsidR="00787196" w:rsidRPr="00787196">
              <w:rPr>
                <w:noProof/>
                <w:webHidden/>
              </w:rPr>
              <w:t>248</w:t>
            </w:r>
            <w:r w:rsidR="00443019" w:rsidRPr="00787196">
              <w:rPr>
                <w:noProof/>
                <w:webHidden/>
              </w:rPr>
              <w:fldChar w:fldCharType="end"/>
            </w:r>
          </w:hyperlink>
        </w:p>
        <w:p w14:paraId="2FF15536"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8" w:history="1">
            <w:r w:rsidR="00443019" w:rsidRPr="00787196">
              <w:rPr>
                <w:rStyle w:val="Hyperlink"/>
                <w:noProof/>
                <w:lang w:bidi="hi-IN"/>
              </w:rPr>
              <w:t>Ageing expectations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_Toc488655718 \h </w:instrText>
            </w:r>
            <w:r w:rsidR="00443019" w:rsidRPr="00787196">
              <w:rPr>
                <w:noProof/>
                <w:webHidden/>
              </w:rPr>
            </w:r>
            <w:r w:rsidR="00443019" w:rsidRPr="00787196">
              <w:rPr>
                <w:noProof/>
                <w:webHidden/>
              </w:rPr>
              <w:fldChar w:fldCharType="separate"/>
            </w:r>
            <w:r w:rsidR="00787196" w:rsidRPr="00787196">
              <w:rPr>
                <w:noProof/>
                <w:webHidden/>
              </w:rPr>
              <w:t>249</w:t>
            </w:r>
            <w:r w:rsidR="00443019" w:rsidRPr="00787196">
              <w:rPr>
                <w:noProof/>
                <w:webHidden/>
              </w:rPr>
              <w:fldChar w:fldCharType="end"/>
            </w:r>
          </w:hyperlink>
        </w:p>
        <w:p w14:paraId="585EBA54"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19" w:history="1">
            <w:r w:rsidR="00443019" w:rsidRPr="00787196">
              <w:rPr>
                <w:rStyle w:val="Hyperlink"/>
                <w:noProof/>
                <w:lang w:bidi="hi-IN"/>
              </w:rPr>
              <w:t>Perceived stress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_Toc488655719 \h </w:instrText>
            </w:r>
            <w:r w:rsidR="00443019" w:rsidRPr="00787196">
              <w:rPr>
                <w:noProof/>
                <w:webHidden/>
              </w:rPr>
            </w:r>
            <w:r w:rsidR="00443019" w:rsidRPr="00787196">
              <w:rPr>
                <w:noProof/>
                <w:webHidden/>
              </w:rPr>
              <w:fldChar w:fldCharType="separate"/>
            </w:r>
            <w:r w:rsidR="00787196" w:rsidRPr="00787196">
              <w:rPr>
                <w:noProof/>
                <w:webHidden/>
              </w:rPr>
              <w:t>250</w:t>
            </w:r>
            <w:r w:rsidR="00443019" w:rsidRPr="00787196">
              <w:rPr>
                <w:noProof/>
                <w:webHidden/>
              </w:rPr>
              <w:fldChar w:fldCharType="end"/>
            </w:r>
          </w:hyperlink>
        </w:p>
        <w:p w14:paraId="451F0DD2"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20" w:history="1">
            <w:r w:rsidR="00443019" w:rsidRPr="00787196">
              <w:rPr>
                <w:rStyle w:val="Hyperlink"/>
                <w:noProof/>
                <w:lang w:bidi="hi-IN"/>
              </w:rPr>
              <w:t>Coping strategies</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_Toc488655720 \h </w:instrText>
            </w:r>
            <w:r w:rsidR="00443019" w:rsidRPr="00787196">
              <w:rPr>
                <w:noProof/>
                <w:webHidden/>
              </w:rPr>
            </w:r>
            <w:r w:rsidR="00443019" w:rsidRPr="00787196">
              <w:rPr>
                <w:noProof/>
                <w:webHidden/>
              </w:rPr>
              <w:fldChar w:fldCharType="separate"/>
            </w:r>
            <w:r w:rsidR="00787196" w:rsidRPr="00787196">
              <w:rPr>
                <w:noProof/>
                <w:webHidden/>
              </w:rPr>
              <w:t>251</w:t>
            </w:r>
            <w:r w:rsidR="00443019" w:rsidRPr="00787196">
              <w:rPr>
                <w:noProof/>
                <w:webHidden/>
              </w:rPr>
              <w:fldChar w:fldCharType="end"/>
            </w:r>
          </w:hyperlink>
        </w:p>
        <w:p w14:paraId="5361FAF1"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21" w:history="1">
            <w:r w:rsidR="00443019" w:rsidRPr="00787196">
              <w:rPr>
                <w:rStyle w:val="Hyperlink"/>
                <w:noProof/>
                <w:lang w:bidi="hi-IN"/>
              </w:rPr>
              <w:t>Denture satisfaction</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_Toc488655721 \h </w:instrText>
            </w:r>
            <w:r w:rsidR="00443019" w:rsidRPr="00787196">
              <w:rPr>
                <w:noProof/>
                <w:webHidden/>
              </w:rPr>
            </w:r>
            <w:r w:rsidR="00443019" w:rsidRPr="00787196">
              <w:rPr>
                <w:noProof/>
                <w:webHidden/>
              </w:rPr>
              <w:fldChar w:fldCharType="separate"/>
            </w:r>
            <w:r w:rsidR="00787196" w:rsidRPr="00787196">
              <w:rPr>
                <w:noProof/>
                <w:webHidden/>
              </w:rPr>
              <w:t>252</w:t>
            </w:r>
            <w:r w:rsidR="00443019" w:rsidRPr="00787196">
              <w:rPr>
                <w:noProof/>
                <w:webHidden/>
              </w:rPr>
              <w:fldChar w:fldCharType="end"/>
            </w:r>
          </w:hyperlink>
        </w:p>
        <w:p w14:paraId="70E4DE98"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22" w:history="1">
            <w:r w:rsidR="00443019" w:rsidRPr="00787196">
              <w:rPr>
                <w:rStyle w:val="Hyperlink"/>
                <w:noProof/>
                <w:lang w:bidi="hi-IN"/>
              </w:rPr>
              <w:t>Chewing index</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_Toc488655722 \h </w:instrText>
            </w:r>
            <w:r w:rsidR="00443019" w:rsidRPr="00787196">
              <w:rPr>
                <w:noProof/>
                <w:webHidden/>
              </w:rPr>
            </w:r>
            <w:r w:rsidR="00443019" w:rsidRPr="00787196">
              <w:rPr>
                <w:noProof/>
                <w:webHidden/>
              </w:rPr>
              <w:fldChar w:fldCharType="separate"/>
            </w:r>
            <w:r w:rsidR="00787196" w:rsidRPr="00787196">
              <w:rPr>
                <w:noProof/>
                <w:webHidden/>
              </w:rPr>
              <w:t>253</w:t>
            </w:r>
            <w:r w:rsidR="00443019" w:rsidRPr="00787196">
              <w:rPr>
                <w:noProof/>
                <w:webHidden/>
              </w:rPr>
              <w:fldChar w:fldCharType="end"/>
            </w:r>
          </w:hyperlink>
        </w:p>
        <w:p w14:paraId="173C4E67" w14:textId="77777777" w:rsidR="00443019" w:rsidRPr="00787196" w:rsidRDefault="006E7D7A" w:rsidP="001B3514">
          <w:pPr>
            <w:pStyle w:val="TOC3"/>
            <w:rPr>
              <w:rFonts w:asciiTheme="minorHAnsi" w:eastAsiaTheme="minorEastAsia" w:hAnsiTheme="minorHAnsi" w:cs="Latha"/>
              <w:iCs w:val="0"/>
              <w:noProof/>
              <w:sz w:val="22"/>
              <w:szCs w:val="22"/>
            </w:rPr>
          </w:pPr>
          <w:hyperlink w:anchor="_Toc488655723" w:history="1">
            <w:r w:rsidR="00443019" w:rsidRPr="00787196">
              <w:rPr>
                <w:rStyle w:val="Hyperlink"/>
                <w:noProof/>
                <w:lang w:bidi="hi-IN"/>
              </w:rPr>
              <w:t>Oral Health related Quality of Life</w:t>
            </w:r>
            <w:r w:rsidR="00443019" w:rsidRPr="00787196">
              <w:rPr>
                <w:noProof/>
                <w:webHidden/>
              </w:rPr>
              <w:tab/>
            </w:r>
            <w:r w:rsidR="00443019" w:rsidRPr="00787196">
              <w:rPr>
                <w:noProof/>
                <w:webHidden/>
              </w:rPr>
              <w:fldChar w:fldCharType="begin"/>
            </w:r>
            <w:r w:rsidR="00443019" w:rsidRPr="00787196">
              <w:rPr>
                <w:noProof/>
                <w:webHidden/>
              </w:rPr>
              <w:instrText xml:space="preserve"> PAGEREF _Toc488655723 \h </w:instrText>
            </w:r>
            <w:r w:rsidR="00443019" w:rsidRPr="00787196">
              <w:rPr>
                <w:noProof/>
                <w:webHidden/>
              </w:rPr>
            </w:r>
            <w:r w:rsidR="00443019" w:rsidRPr="00787196">
              <w:rPr>
                <w:noProof/>
                <w:webHidden/>
              </w:rPr>
              <w:fldChar w:fldCharType="separate"/>
            </w:r>
            <w:r w:rsidR="00787196" w:rsidRPr="00787196">
              <w:rPr>
                <w:noProof/>
                <w:webHidden/>
              </w:rPr>
              <w:t>254</w:t>
            </w:r>
            <w:r w:rsidR="00443019" w:rsidRPr="00787196">
              <w:rPr>
                <w:noProof/>
                <w:webHidden/>
              </w:rPr>
              <w:fldChar w:fldCharType="end"/>
            </w:r>
          </w:hyperlink>
        </w:p>
        <w:p w14:paraId="37F6979C" w14:textId="0967FF1E" w:rsidR="00425D56" w:rsidRPr="00787196" w:rsidRDefault="009758DD" w:rsidP="005B6F82">
          <w:pPr>
            <w:spacing w:after="0"/>
            <w:rPr>
              <w:b/>
              <w:bCs/>
              <w:noProof/>
            </w:rPr>
          </w:pPr>
          <w:r w:rsidRPr="00787196">
            <w:rPr>
              <w:b/>
              <w:bCs/>
              <w:noProof/>
            </w:rPr>
            <w:fldChar w:fldCharType="end"/>
          </w:r>
        </w:p>
      </w:sdtContent>
    </w:sdt>
    <w:p w14:paraId="01B84064" w14:textId="77777777" w:rsidR="00317333" w:rsidRPr="00787196" w:rsidRDefault="00317333" w:rsidP="005B6F82">
      <w:pPr>
        <w:spacing w:before="0" w:after="0" w:line="240" w:lineRule="auto"/>
        <w:jc w:val="left"/>
        <w:rPr>
          <w:rFonts w:cs="Arial"/>
          <w:b/>
          <w:sz w:val="36"/>
          <w:szCs w:val="32"/>
        </w:rPr>
      </w:pPr>
      <w:r w:rsidRPr="00787196">
        <w:rPr>
          <w:rFonts w:cs="Arial"/>
        </w:rPr>
        <w:br w:type="page"/>
      </w:r>
    </w:p>
    <w:p w14:paraId="630D08A2" w14:textId="7AFE1D55" w:rsidR="00644F48" w:rsidRPr="00787196" w:rsidRDefault="00EA67DB" w:rsidP="005B6F82">
      <w:pPr>
        <w:pStyle w:val="Heading1"/>
        <w:numPr>
          <w:ilvl w:val="0"/>
          <w:numId w:val="0"/>
        </w:numPr>
        <w:spacing w:before="0" w:after="0"/>
        <w:ind w:left="432" w:hanging="432"/>
        <w:rPr>
          <w:rFonts w:cs="Arial"/>
          <w:sz w:val="32"/>
          <w:szCs w:val="28"/>
        </w:rPr>
      </w:pPr>
      <w:bookmarkStart w:id="9" w:name="_Toc488655600"/>
      <w:r w:rsidRPr="00787196">
        <w:rPr>
          <w:rFonts w:cs="Arial"/>
          <w:sz w:val="32"/>
          <w:szCs w:val="28"/>
        </w:rPr>
        <w:lastRenderedPageBreak/>
        <w:t>LIST OF TABLES</w:t>
      </w:r>
      <w:bookmarkEnd w:id="7"/>
      <w:bookmarkEnd w:id="8"/>
      <w:bookmarkEnd w:id="9"/>
    </w:p>
    <w:p w14:paraId="2D864D1E" w14:textId="77777777" w:rsidR="00787196" w:rsidRPr="00787196" w:rsidRDefault="00787196" w:rsidP="00787196"/>
    <w:p w14:paraId="2851E4EA" w14:textId="77777777" w:rsidR="00443019" w:rsidRPr="00787196" w:rsidRDefault="00155E97" w:rsidP="00787196">
      <w:pPr>
        <w:pStyle w:val="TableofFigures"/>
        <w:spacing w:line="360" w:lineRule="auto"/>
        <w:rPr>
          <w:rFonts w:asciiTheme="minorHAnsi" w:eastAsiaTheme="minorEastAsia" w:hAnsiTheme="minorHAnsi" w:cs="Latha"/>
          <w:lang w:val="en-GB" w:eastAsia="en-GB" w:bidi="ta-IN"/>
        </w:rPr>
      </w:pPr>
      <w:r w:rsidRPr="00787196">
        <w:fldChar w:fldCharType="begin"/>
      </w:r>
      <w:r w:rsidRPr="00787196">
        <w:instrText xml:space="preserve"> TOC \h \z \t "Balloon Text" \c "Table" </w:instrText>
      </w:r>
      <w:r w:rsidRPr="00787196">
        <w:fldChar w:fldCharType="separate"/>
      </w:r>
      <w:hyperlink w:anchor="_Toc488655524" w:history="1">
        <w:r w:rsidR="00443019" w:rsidRPr="00787196">
          <w:rPr>
            <w:rStyle w:val="Hyperlink"/>
          </w:rPr>
          <w:t xml:space="preserve">Table </w:t>
        </w:r>
        <w:r w:rsidR="00443019" w:rsidRPr="00787196">
          <w:rPr>
            <w:rStyle w:val="Hyperlink"/>
            <w:cs/>
          </w:rPr>
          <w:t>‎</w:t>
        </w:r>
        <w:r w:rsidR="00443019" w:rsidRPr="00787196">
          <w:rPr>
            <w:rStyle w:val="Hyperlink"/>
          </w:rPr>
          <w:t>2</w:t>
        </w:r>
        <w:r w:rsidR="00443019" w:rsidRPr="00787196">
          <w:rPr>
            <w:rStyle w:val="Hyperlink"/>
          </w:rPr>
          <w:noBreakHyphen/>
          <w:t>1 Various inherent uses of HRQoL/ OHQoL measures</w:t>
        </w:r>
        <w:r w:rsidR="00443019" w:rsidRPr="00787196">
          <w:rPr>
            <w:webHidden/>
          </w:rPr>
          <w:tab/>
        </w:r>
        <w:r w:rsidR="00443019" w:rsidRPr="00787196">
          <w:rPr>
            <w:webHidden/>
          </w:rPr>
          <w:fldChar w:fldCharType="begin"/>
        </w:r>
        <w:r w:rsidR="00443019" w:rsidRPr="00787196">
          <w:rPr>
            <w:webHidden/>
          </w:rPr>
          <w:instrText xml:space="preserve"> PAGEREF _Toc488655524 \h </w:instrText>
        </w:r>
        <w:r w:rsidR="00443019" w:rsidRPr="00787196">
          <w:rPr>
            <w:webHidden/>
          </w:rPr>
        </w:r>
        <w:r w:rsidR="00443019" w:rsidRPr="00787196">
          <w:rPr>
            <w:webHidden/>
          </w:rPr>
          <w:fldChar w:fldCharType="separate"/>
        </w:r>
        <w:r w:rsidR="00C069BC" w:rsidRPr="00787196">
          <w:rPr>
            <w:webHidden/>
          </w:rPr>
          <w:t>21</w:t>
        </w:r>
        <w:r w:rsidR="00443019" w:rsidRPr="00787196">
          <w:rPr>
            <w:webHidden/>
          </w:rPr>
          <w:fldChar w:fldCharType="end"/>
        </w:r>
      </w:hyperlink>
    </w:p>
    <w:p w14:paraId="68C7B2DB"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25" w:history="1">
        <w:r w:rsidR="00443019" w:rsidRPr="00787196">
          <w:rPr>
            <w:rStyle w:val="Hyperlink"/>
          </w:rPr>
          <w:t xml:space="preserve">Table </w:t>
        </w:r>
        <w:r w:rsidR="00443019" w:rsidRPr="00787196">
          <w:rPr>
            <w:rStyle w:val="Hyperlink"/>
            <w:cs/>
          </w:rPr>
          <w:t>‎</w:t>
        </w:r>
        <w:r w:rsidR="00443019" w:rsidRPr="00787196">
          <w:rPr>
            <w:rStyle w:val="Hyperlink"/>
          </w:rPr>
          <w:t>2</w:t>
        </w:r>
        <w:r w:rsidR="00443019" w:rsidRPr="00787196">
          <w:rPr>
            <w:rStyle w:val="Hyperlink"/>
          </w:rPr>
          <w:noBreakHyphen/>
          <w:t>2. Studies measuring OHQoL in conventional dentures</w:t>
        </w:r>
        <w:r w:rsidR="00443019" w:rsidRPr="00787196">
          <w:rPr>
            <w:webHidden/>
          </w:rPr>
          <w:tab/>
        </w:r>
        <w:r w:rsidR="00443019" w:rsidRPr="00787196">
          <w:rPr>
            <w:webHidden/>
          </w:rPr>
          <w:fldChar w:fldCharType="begin"/>
        </w:r>
        <w:r w:rsidR="00443019" w:rsidRPr="00787196">
          <w:rPr>
            <w:webHidden/>
          </w:rPr>
          <w:instrText xml:space="preserve"> PAGEREF _Toc488655525 \h </w:instrText>
        </w:r>
        <w:r w:rsidR="00443019" w:rsidRPr="00787196">
          <w:rPr>
            <w:webHidden/>
          </w:rPr>
        </w:r>
        <w:r w:rsidR="00443019" w:rsidRPr="00787196">
          <w:rPr>
            <w:webHidden/>
          </w:rPr>
          <w:fldChar w:fldCharType="separate"/>
        </w:r>
        <w:r w:rsidR="00C069BC" w:rsidRPr="00787196">
          <w:rPr>
            <w:webHidden/>
          </w:rPr>
          <w:t>33</w:t>
        </w:r>
        <w:r w:rsidR="00443019" w:rsidRPr="00787196">
          <w:rPr>
            <w:webHidden/>
          </w:rPr>
          <w:fldChar w:fldCharType="end"/>
        </w:r>
      </w:hyperlink>
    </w:p>
    <w:p w14:paraId="50257132"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26" w:history="1">
        <w:r w:rsidR="00443019" w:rsidRPr="00787196">
          <w:rPr>
            <w:rStyle w:val="Hyperlink"/>
          </w:rPr>
          <w:t xml:space="preserve">Table </w:t>
        </w:r>
        <w:r w:rsidR="00443019" w:rsidRPr="00787196">
          <w:rPr>
            <w:rStyle w:val="Hyperlink"/>
            <w:cs/>
          </w:rPr>
          <w:t>‎</w:t>
        </w:r>
        <w:r w:rsidR="00443019" w:rsidRPr="00787196">
          <w:rPr>
            <w:rStyle w:val="Hyperlink"/>
          </w:rPr>
          <w:t>2</w:t>
        </w:r>
        <w:r w:rsidR="00443019" w:rsidRPr="00787196">
          <w:rPr>
            <w:rStyle w:val="Hyperlink"/>
          </w:rPr>
          <w:noBreakHyphen/>
          <w:t>3. OHQoL measures used in studies used in the systematic review</w:t>
        </w:r>
        <w:r w:rsidR="00443019" w:rsidRPr="00787196">
          <w:rPr>
            <w:webHidden/>
          </w:rPr>
          <w:tab/>
        </w:r>
        <w:r w:rsidR="00443019" w:rsidRPr="00787196">
          <w:rPr>
            <w:webHidden/>
          </w:rPr>
          <w:fldChar w:fldCharType="begin"/>
        </w:r>
        <w:r w:rsidR="00443019" w:rsidRPr="00787196">
          <w:rPr>
            <w:webHidden/>
          </w:rPr>
          <w:instrText xml:space="preserve"> PAGEREF _Toc488655526 \h </w:instrText>
        </w:r>
        <w:r w:rsidR="00443019" w:rsidRPr="00787196">
          <w:rPr>
            <w:webHidden/>
          </w:rPr>
        </w:r>
        <w:r w:rsidR="00443019" w:rsidRPr="00787196">
          <w:rPr>
            <w:webHidden/>
          </w:rPr>
          <w:fldChar w:fldCharType="separate"/>
        </w:r>
        <w:r w:rsidR="00C069BC" w:rsidRPr="00787196">
          <w:rPr>
            <w:webHidden/>
          </w:rPr>
          <w:t>42</w:t>
        </w:r>
        <w:r w:rsidR="00443019" w:rsidRPr="00787196">
          <w:rPr>
            <w:webHidden/>
          </w:rPr>
          <w:fldChar w:fldCharType="end"/>
        </w:r>
      </w:hyperlink>
    </w:p>
    <w:p w14:paraId="47746BBF"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27" w:history="1">
        <w:r w:rsidR="00443019" w:rsidRPr="00787196">
          <w:rPr>
            <w:rStyle w:val="Hyperlink"/>
          </w:rPr>
          <w:t xml:space="preserve">Table </w:t>
        </w:r>
        <w:r w:rsidR="00443019" w:rsidRPr="00787196">
          <w:rPr>
            <w:rStyle w:val="Hyperlink"/>
            <w:cs/>
          </w:rPr>
          <w:t>‎</w:t>
        </w:r>
        <w:r w:rsidR="00443019" w:rsidRPr="00787196">
          <w:rPr>
            <w:rStyle w:val="Hyperlink"/>
          </w:rPr>
          <w:t>2</w:t>
        </w:r>
        <w:r w:rsidR="00443019" w:rsidRPr="00787196">
          <w:rPr>
            <w:rStyle w:val="Hyperlink"/>
          </w:rPr>
          <w:noBreakHyphen/>
          <w:t>4. Individual factors associated with OHQoL in denture wearers</w:t>
        </w:r>
        <w:r w:rsidR="00443019" w:rsidRPr="00787196">
          <w:rPr>
            <w:webHidden/>
          </w:rPr>
          <w:tab/>
        </w:r>
        <w:r w:rsidR="00443019" w:rsidRPr="00787196">
          <w:rPr>
            <w:webHidden/>
          </w:rPr>
          <w:fldChar w:fldCharType="begin"/>
        </w:r>
        <w:r w:rsidR="00443019" w:rsidRPr="00787196">
          <w:rPr>
            <w:webHidden/>
          </w:rPr>
          <w:instrText xml:space="preserve"> PAGEREF _Toc488655527 \h </w:instrText>
        </w:r>
        <w:r w:rsidR="00443019" w:rsidRPr="00787196">
          <w:rPr>
            <w:webHidden/>
          </w:rPr>
        </w:r>
        <w:r w:rsidR="00443019" w:rsidRPr="00787196">
          <w:rPr>
            <w:webHidden/>
          </w:rPr>
          <w:fldChar w:fldCharType="separate"/>
        </w:r>
        <w:r w:rsidR="00C069BC" w:rsidRPr="00787196">
          <w:rPr>
            <w:webHidden/>
          </w:rPr>
          <w:t>44</w:t>
        </w:r>
        <w:r w:rsidR="00443019" w:rsidRPr="00787196">
          <w:rPr>
            <w:webHidden/>
          </w:rPr>
          <w:fldChar w:fldCharType="end"/>
        </w:r>
      </w:hyperlink>
    </w:p>
    <w:p w14:paraId="58565D65"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28" w:history="1">
        <w:r w:rsidR="00443019" w:rsidRPr="00787196">
          <w:rPr>
            <w:rStyle w:val="Hyperlink"/>
            <w:iCs/>
          </w:rPr>
          <w:t xml:space="preserve">Table </w:t>
        </w:r>
        <w:r w:rsidR="00443019" w:rsidRPr="00787196">
          <w:rPr>
            <w:rStyle w:val="Hyperlink"/>
            <w:iCs/>
            <w:cs/>
          </w:rPr>
          <w:t>‎</w:t>
        </w:r>
        <w:r w:rsidR="00443019" w:rsidRPr="00787196">
          <w:rPr>
            <w:rStyle w:val="Hyperlink"/>
            <w:iCs/>
          </w:rPr>
          <w:t>2</w:t>
        </w:r>
        <w:r w:rsidR="00443019" w:rsidRPr="00787196">
          <w:rPr>
            <w:rStyle w:val="Hyperlink"/>
            <w:iCs/>
          </w:rPr>
          <w:noBreakHyphen/>
          <w:t>5. Environmental factors associated with OHQoL wearing dentures identified from the review</w:t>
        </w:r>
        <w:r w:rsidR="00443019" w:rsidRPr="00787196">
          <w:rPr>
            <w:webHidden/>
          </w:rPr>
          <w:tab/>
        </w:r>
        <w:r w:rsidR="00443019" w:rsidRPr="00787196">
          <w:rPr>
            <w:webHidden/>
          </w:rPr>
          <w:fldChar w:fldCharType="begin"/>
        </w:r>
        <w:r w:rsidR="00443019" w:rsidRPr="00787196">
          <w:rPr>
            <w:webHidden/>
          </w:rPr>
          <w:instrText xml:space="preserve"> PAGEREF _Toc488655528 \h </w:instrText>
        </w:r>
        <w:r w:rsidR="00443019" w:rsidRPr="00787196">
          <w:rPr>
            <w:webHidden/>
          </w:rPr>
        </w:r>
        <w:r w:rsidR="00443019" w:rsidRPr="00787196">
          <w:rPr>
            <w:webHidden/>
          </w:rPr>
          <w:fldChar w:fldCharType="separate"/>
        </w:r>
        <w:r w:rsidR="00C069BC" w:rsidRPr="00787196">
          <w:rPr>
            <w:webHidden/>
          </w:rPr>
          <w:t>45</w:t>
        </w:r>
        <w:r w:rsidR="00443019" w:rsidRPr="00787196">
          <w:rPr>
            <w:webHidden/>
          </w:rPr>
          <w:fldChar w:fldCharType="end"/>
        </w:r>
      </w:hyperlink>
    </w:p>
    <w:p w14:paraId="0449D1D3"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29" w:history="1">
        <w:r w:rsidR="00443019" w:rsidRPr="00787196">
          <w:rPr>
            <w:rStyle w:val="Hyperlink"/>
          </w:rPr>
          <w:t xml:space="preserve">Table </w:t>
        </w:r>
        <w:r w:rsidR="00443019" w:rsidRPr="00787196">
          <w:rPr>
            <w:rStyle w:val="Hyperlink"/>
            <w:cs/>
          </w:rPr>
          <w:t>‎</w:t>
        </w:r>
        <w:r w:rsidR="00443019" w:rsidRPr="00787196">
          <w:rPr>
            <w:rStyle w:val="Hyperlink"/>
          </w:rPr>
          <w:t>4</w:t>
        </w:r>
        <w:r w:rsidR="00443019" w:rsidRPr="00787196">
          <w:rPr>
            <w:rStyle w:val="Hyperlink"/>
          </w:rPr>
          <w:noBreakHyphen/>
          <w:t>1. List of variables used in the study at both stages</w:t>
        </w:r>
        <w:r w:rsidR="00443019" w:rsidRPr="00787196">
          <w:rPr>
            <w:webHidden/>
          </w:rPr>
          <w:tab/>
        </w:r>
        <w:r w:rsidR="00443019" w:rsidRPr="00787196">
          <w:rPr>
            <w:webHidden/>
          </w:rPr>
          <w:fldChar w:fldCharType="begin"/>
        </w:r>
        <w:r w:rsidR="00443019" w:rsidRPr="00787196">
          <w:rPr>
            <w:webHidden/>
          </w:rPr>
          <w:instrText xml:space="preserve"> PAGEREF _Toc488655529 \h </w:instrText>
        </w:r>
        <w:r w:rsidR="00443019" w:rsidRPr="00787196">
          <w:rPr>
            <w:webHidden/>
          </w:rPr>
        </w:r>
        <w:r w:rsidR="00443019" w:rsidRPr="00787196">
          <w:rPr>
            <w:webHidden/>
          </w:rPr>
          <w:fldChar w:fldCharType="separate"/>
        </w:r>
        <w:r w:rsidR="00C069BC" w:rsidRPr="00787196">
          <w:rPr>
            <w:webHidden/>
          </w:rPr>
          <w:t>95</w:t>
        </w:r>
        <w:r w:rsidR="00443019" w:rsidRPr="00787196">
          <w:rPr>
            <w:webHidden/>
          </w:rPr>
          <w:fldChar w:fldCharType="end"/>
        </w:r>
      </w:hyperlink>
    </w:p>
    <w:p w14:paraId="1F032EDF"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0"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 Demographic characteristics of 201 participants at baseline (T1)</w:t>
        </w:r>
        <w:r w:rsidR="00443019" w:rsidRPr="00787196">
          <w:rPr>
            <w:webHidden/>
          </w:rPr>
          <w:tab/>
        </w:r>
        <w:r w:rsidR="00443019" w:rsidRPr="00787196">
          <w:rPr>
            <w:webHidden/>
          </w:rPr>
          <w:fldChar w:fldCharType="begin"/>
        </w:r>
        <w:r w:rsidR="00443019" w:rsidRPr="00787196">
          <w:rPr>
            <w:webHidden/>
          </w:rPr>
          <w:instrText xml:space="preserve"> PAGEREF _Toc488655530 \h </w:instrText>
        </w:r>
        <w:r w:rsidR="00443019" w:rsidRPr="00787196">
          <w:rPr>
            <w:webHidden/>
          </w:rPr>
        </w:r>
        <w:r w:rsidR="00443019" w:rsidRPr="00787196">
          <w:rPr>
            <w:webHidden/>
          </w:rPr>
          <w:fldChar w:fldCharType="separate"/>
        </w:r>
        <w:r w:rsidR="00C069BC" w:rsidRPr="00787196">
          <w:rPr>
            <w:webHidden/>
          </w:rPr>
          <w:t>101</w:t>
        </w:r>
        <w:r w:rsidR="00443019" w:rsidRPr="00787196">
          <w:rPr>
            <w:webHidden/>
          </w:rPr>
          <w:fldChar w:fldCharType="end"/>
        </w:r>
      </w:hyperlink>
    </w:p>
    <w:p w14:paraId="5829E2B9"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1"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 Clinical data among 201 participants at baseline (T1)</w:t>
        </w:r>
        <w:r w:rsidR="00443019" w:rsidRPr="00787196">
          <w:rPr>
            <w:webHidden/>
          </w:rPr>
          <w:tab/>
        </w:r>
        <w:r w:rsidR="00443019" w:rsidRPr="00787196">
          <w:rPr>
            <w:webHidden/>
          </w:rPr>
          <w:fldChar w:fldCharType="begin"/>
        </w:r>
        <w:r w:rsidR="00443019" w:rsidRPr="00787196">
          <w:rPr>
            <w:webHidden/>
          </w:rPr>
          <w:instrText xml:space="preserve"> PAGEREF _Toc488655531 \h </w:instrText>
        </w:r>
        <w:r w:rsidR="00443019" w:rsidRPr="00787196">
          <w:rPr>
            <w:webHidden/>
          </w:rPr>
        </w:r>
        <w:r w:rsidR="00443019" w:rsidRPr="00787196">
          <w:rPr>
            <w:webHidden/>
          </w:rPr>
          <w:fldChar w:fldCharType="separate"/>
        </w:r>
        <w:r w:rsidR="00C069BC" w:rsidRPr="00787196">
          <w:rPr>
            <w:webHidden/>
          </w:rPr>
          <w:t>102</w:t>
        </w:r>
        <w:r w:rsidR="00443019" w:rsidRPr="00787196">
          <w:rPr>
            <w:webHidden/>
          </w:rPr>
          <w:fldChar w:fldCharType="end"/>
        </w:r>
      </w:hyperlink>
    </w:p>
    <w:p w14:paraId="59EBB882"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2"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3. Prosthodontic status and treatment need of 201 participants at baseline (T1)</w:t>
        </w:r>
        <w:r w:rsidR="00443019" w:rsidRPr="00787196">
          <w:rPr>
            <w:webHidden/>
          </w:rPr>
          <w:tab/>
        </w:r>
        <w:r w:rsidR="00443019" w:rsidRPr="00787196">
          <w:rPr>
            <w:webHidden/>
          </w:rPr>
          <w:fldChar w:fldCharType="begin"/>
        </w:r>
        <w:r w:rsidR="00443019" w:rsidRPr="00787196">
          <w:rPr>
            <w:webHidden/>
          </w:rPr>
          <w:instrText xml:space="preserve"> PAGEREF _Toc488655532 \h </w:instrText>
        </w:r>
        <w:r w:rsidR="00443019" w:rsidRPr="00787196">
          <w:rPr>
            <w:webHidden/>
          </w:rPr>
        </w:r>
        <w:r w:rsidR="00443019" w:rsidRPr="00787196">
          <w:rPr>
            <w:webHidden/>
          </w:rPr>
          <w:fldChar w:fldCharType="separate"/>
        </w:r>
        <w:r w:rsidR="00C069BC" w:rsidRPr="00787196">
          <w:rPr>
            <w:webHidden/>
          </w:rPr>
          <w:t>103</w:t>
        </w:r>
        <w:r w:rsidR="00443019" w:rsidRPr="00787196">
          <w:rPr>
            <w:webHidden/>
          </w:rPr>
          <w:fldChar w:fldCharType="end"/>
        </w:r>
      </w:hyperlink>
    </w:p>
    <w:p w14:paraId="4312433F"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3"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4. Recoded demographic data of 201 participants</w:t>
        </w:r>
        <w:r w:rsidR="00443019" w:rsidRPr="00787196">
          <w:rPr>
            <w:webHidden/>
          </w:rPr>
          <w:tab/>
        </w:r>
        <w:r w:rsidR="00443019" w:rsidRPr="00787196">
          <w:rPr>
            <w:webHidden/>
          </w:rPr>
          <w:fldChar w:fldCharType="begin"/>
        </w:r>
        <w:r w:rsidR="00443019" w:rsidRPr="00787196">
          <w:rPr>
            <w:webHidden/>
          </w:rPr>
          <w:instrText xml:space="preserve"> PAGEREF _Toc488655533 \h </w:instrText>
        </w:r>
        <w:r w:rsidR="00443019" w:rsidRPr="00787196">
          <w:rPr>
            <w:webHidden/>
          </w:rPr>
        </w:r>
        <w:r w:rsidR="00443019" w:rsidRPr="00787196">
          <w:rPr>
            <w:webHidden/>
          </w:rPr>
          <w:fldChar w:fldCharType="separate"/>
        </w:r>
        <w:r w:rsidR="00C069BC" w:rsidRPr="00787196">
          <w:rPr>
            <w:webHidden/>
          </w:rPr>
          <w:t>103</w:t>
        </w:r>
        <w:r w:rsidR="00443019" w:rsidRPr="00787196">
          <w:rPr>
            <w:webHidden/>
          </w:rPr>
          <w:fldChar w:fldCharType="end"/>
        </w:r>
      </w:hyperlink>
    </w:p>
    <w:p w14:paraId="2EAA9092"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4"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5. Recoded clinical data among 201 participants</w:t>
        </w:r>
        <w:r w:rsidR="00443019" w:rsidRPr="00787196">
          <w:rPr>
            <w:webHidden/>
          </w:rPr>
          <w:tab/>
        </w:r>
        <w:r w:rsidR="00443019" w:rsidRPr="00787196">
          <w:rPr>
            <w:webHidden/>
          </w:rPr>
          <w:fldChar w:fldCharType="begin"/>
        </w:r>
        <w:r w:rsidR="00443019" w:rsidRPr="00787196">
          <w:rPr>
            <w:webHidden/>
          </w:rPr>
          <w:instrText xml:space="preserve"> PAGEREF _Toc488655534 \h </w:instrText>
        </w:r>
        <w:r w:rsidR="00443019" w:rsidRPr="00787196">
          <w:rPr>
            <w:webHidden/>
          </w:rPr>
        </w:r>
        <w:r w:rsidR="00443019" w:rsidRPr="00787196">
          <w:rPr>
            <w:webHidden/>
          </w:rPr>
          <w:fldChar w:fldCharType="separate"/>
        </w:r>
        <w:r w:rsidR="00C069BC" w:rsidRPr="00787196">
          <w:rPr>
            <w:webHidden/>
          </w:rPr>
          <w:t>104</w:t>
        </w:r>
        <w:r w:rsidR="00443019" w:rsidRPr="00787196">
          <w:rPr>
            <w:webHidden/>
          </w:rPr>
          <w:fldChar w:fldCharType="end"/>
        </w:r>
      </w:hyperlink>
    </w:p>
    <w:p w14:paraId="6078EBDB"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5"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6. Recoded prosthetic status and need in 201 participants</w:t>
        </w:r>
        <w:r w:rsidR="00443019" w:rsidRPr="00787196">
          <w:rPr>
            <w:webHidden/>
          </w:rPr>
          <w:tab/>
        </w:r>
        <w:r w:rsidR="00443019" w:rsidRPr="00787196">
          <w:rPr>
            <w:webHidden/>
          </w:rPr>
          <w:fldChar w:fldCharType="begin"/>
        </w:r>
        <w:r w:rsidR="00443019" w:rsidRPr="00787196">
          <w:rPr>
            <w:webHidden/>
          </w:rPr>
          <w:instrText xml:space="preserve"> PAGEREF _Toc488655535 \h </w:instrText>
        </w:r>
        <w:r w:rsidR="00443019" w:rsidRPr="00787196">
          <w:rPr>
            <w:webHidden/>
          </w:rPr>
        </w:r>
        <w:r w:rsidR="00443019" w:rsidRPr="00787196">
          <w:rPr>
            <w:webHidden/>
          </w:rPr>
          <w:fldChar w:fldCharType="separate"/>
        </w:r>
        <w:r w:rsidR="00C069BC" w:rsidRPr="00787196">
          <w:rPr>
            <w:webHidden/>
          </w:rPr>
          <w:t>104</w:t>
        </w:r>
        <w:r w:rsidR="00443019" w:rsidRPr="00787196">
          <w:rPr>
            <w:webHidden/>
          </w:rPr>
          <w:fldChar w:fldCharType="end"/>
        </w:r>
      </w:hyperlink>
    </w:p>
    <w:p w14:paraId="19FD20F4"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6"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7. Mean scores of Brief COPE overall and subscales at baseline (T1) and follow up (T2)</w:t>
        </w:r>
        <w:r w:rsidR="00443019" w:rsidRPr="00787196">
          <w:rPr>
            <w:webHidden/>
          </w:rPr>
          <w:tab/>
        </w:r>
        <w:r w:rsidR="00443019" w:rsidRPr="00787196">
          <w:rPr>
            <w:webHidden/>
          </w:rPr>
          <w:fldChar w:fldCharType="begin"/>
        </w:r>
        <w:r w:rsidR="00443019" w:rsidRPr="00787196">
          <w:rPr>
            <w:webHidden/>
          </w:rPr>
          <w:instrText xml:space="preserve"> PAGEREF _Toc488655536 \h </w:instrText>
        </w:r>
        <w:r w:rsidR="00443019" w:rsidRPr="00787196">
          <w:rPr>
            <w:webHidden/>
          </w:rPr>
        </w:r>
        <w:r w:rsidR="00443019" w:rsidRPr="00787196">
          <w:rPr>
            <w:webHidden/>
          </w:rPr>
          <w:fldChar w:fldCharType="separate"/>
        </w:r>
        <w:r w:rsidR="00C069BC" w:rsidRPr="00787196">
          <w:rPr>
            <w:webHidden/>
          </w:rPr>
          <w:t>105</w:t>
        </w:r>
        <w:r w:rsidR="00443019" w:rsidRPr="00787196">
          <w:rPr>
            <w:webHidden/>
          </w:rPr>
          <w:fldChar w:fldCharType="end"/>
        </w:r>
      </w:hyperlink>
    </w:p>
    <w:p w14:paraId="1EE5F5CD"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7"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8. Factor structure matrix of Brief COPE at T1</w:t>
        </w:r>
        <w:r w:rsidR="00443019" w:rsidRPr="00787196">
          <w:rPr>
            <w:webHidden/>
          </w:rPr>
          <w:tab/>
        </w:r>
        <w:r w:rsidR="00443019" w:rsidRPr="00787196">
          <w:rPr>
            <w:webHidden/>
          </w:rPr>
          <w:fldChar w:fldCharType="begin"/>
        </w:r>
        <w:r w:rsidR="00443019" w:rsidRPr="00787196">
          <w:rPr>
            <w:webHidden/>
          </w:rPr>
          <w:instrText xml:space="preserve"> PAGEREF _Toc488655537 \h </w:instrText>
        </w:r>
        <w:r w:rsidR="00443019" w:rsidRPr="00787196">
          <w:rPr>
            <w:webHidden/>
          </w:rPr>
        </w:r>
        <w:r w:rsidR="00443019" w:rsidRPr="00787196">
          <w:rPr>
            <w:webHidden/>
          </w:rPr>
          <w:fldChar w:fldCharType="separate"/>
        </w:r>
        <w:r w:rsidR="00C069BC" w:rsidRPr="00787196">
          <w:rPr>
            <w:webHidden/>
          </w:rPr>
          <w:t>107</w:t>
        </w:r>
        <w:r w:rsidR="00443019" w:rsidRPr="00787196">
          <w:rPr>
            <w:webHidden/>
          </w:rPr>
          <w:fldChar w:fldCharType="end"/>
        </w:r>
      </w:hyperlink>
    </w:p>
    <w:p w14:paraId="7713860C"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8"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9. Factor structure of Brief COPE at T1 after factor reduction</w:t>
        </w:r>
        <w:r w:rsidR="00443019" w:rsidRPr="00787196">
          <w:rPr>
            <w:webHidden/>
          </w:rPr>
          <w:tab/>
        </w:r>
        <w:r w:rsidR="00443019" w:rsidRPr="00787196">
          <w:rPr>
            <w:webHidden/>
          </w:rPr>
          <w:fldChar w:fldCharType="begin"/>
        </w:r>
        <w:r w:rsidR="00443019" w:rsidRPr="00787196">
          <w:rPr>
            <w:webHidden/>
          </w:rPr>
          <w:instrText xml:space="preserve"> PAGEREF _Toc488655538 \h </w:instrText>
        </w:r>
        <w:r w:rsidR="00443019" w:rsidRPr="00787196">
          <w:rPr>
            <w:webHidden/>
          </w:rPr>
        </w:r>
        <w:r w:rsidR="00443019" w:rsidRPr="00787196">
          <w:rPr>
            <w:webHidden/>
          </w:rPr>
          <w:fldChar w:fldCharType="separate"/>
        </w:r>
        <w:r w:rsidR="00C069BC" w:rsidRPr="00787196">
          <w:rPr>
            <w:webHidden/>
          </w:rPr>
          <w:t>109</w:t>
        </w:r>
        <w:r w:rsidR="00443019" w:rsidRPr="00787196">
          <w:rPr>
            <w:webHidden/>
          </w:rPr>
          <w:fldChar w:fldCharType="end"/>
        </w:r>
      </w:hyperlink>
    </w:p>
    <w:p w14:paraId="430A6CA0"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39"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10. Mean scores of extracted Brief COPE factors at both stages</w:t>
        </w:r>
        <w:r w:rsidR="00443019" w:rsidRPr="00787196">
          <w:rPr>
            <w:webHidden/>
          </w:rPr>
          <w:tab/>
        </w:r>
        <w:r w:rsidR="00443019" w:rsidRPr="00787196">
          <w:rPr>
            <w:webHidden/>
          </w:rPr>
          <w:fldChar w:fldCharType="begin"/>
        </w:r>
        <w:r w:rsidR="00443019" w:rsidRPr="00787196">
          <w:rPr>
            <w:webHidden/>
          </w:rPr>
          <w:instrText xml:space="preserve"> PAGEREF _Toc488655539 \h </w:instrText>
        </w:r>
        <w:r w:rsidR="00443019" w:rsidRPr="00787196">
          <w:rPr>
            <w:webHidden/>
          </w:rPr>
        </w:r>
        <w:r w:rsidR="00443019" w:rsidRPr="00787196">
          <w:rPr>
            <w:webHidden/>
          </w:rPr>
          <w:fldChar w:fldCharType="separate"/>
        </w:r>
        <w:r w:rsidR="00C069BC" w:rsidRPr="00787196">
          <w:rPr>
            <w:webHidden/>
          </w:rPr>
          <w:t>110</w:t>
        </w:r>
        <w:r w:rsidR="00443019" w:rsidRPr="00787196">
          <w:rPr>
            <w:webHidden/>
          </w:rPr>
          <w:fldChar w:fldCharType="end"/>
        </w:r>
      </w:hyperlink>
    </w:p>
    <w:p w14:paraId="01F6101E"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0"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11. Outcome variable scores at baseline (T1) and follow-up (T2)</w:t>
        </w:r>
        <w:r w:rsidR="00443019" w:rsidRPr="00787196">
          <w:rPr>
            <w:webHidden/>
          </w:rPr>
          <w:tab/>
        </w:r>
        <w:r w:rsidR="00443019" w:rsidRPr="00787196">
          <w:rPr>
            <w:webHidden/>
          </w:rPr>
          <w:fldChar w:fldCharType="begin"/>
        </w:r>
        <w:r w:rsidR="00443019" w:rsidRPr="00787196">
          <w:rPr>
            <w:webHidden/>
          </w:rPr>
          <w:instrText xml:space="preserve"> PAGEREF _Toc488655540 \h </w:instrText>
        </w:r>
        <w:r w:rsidR="00443019" w:rsidRPr="00787196">
          <w:rPr>
            <w:webHidden/>
          </w:rPr>
        </w:r>
        <w:r w:rsidR="00443019" w:rsidRPr="00787196">
          <w:rPr>
            <w:webHidden/>
          </w:rPr>
          <w:fldChar w:fldCharType="separate"/>
        </w:r>
        <w:r w:rsidR="00C069BC" w:rsidRPr="00787196">
          <w:rPr>
            <w:webHidden/>
          </w:rPr>
          <w:t>111</w:t>
        </w:r>
        <w:r w:rsidR="00443019" w:rsidRPr="00787196">
          <w:rPr>
            <w:webHidden/>
          </w:rPr>
          <w:fldChar w:fldCharType="end"/>
        </w:r>
      </w:hyperlink>
    </w:p>
    <w:p w14:paraId="57D50824"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1"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12. Reliability of the scales used in the study</w:t>
        </w:r>
        <w:r w:rsidR="00443019" w:rsidRPr="00787196">
          <w:rPr>
            <w:webHidden/>
          </w:rPr>
          <w:tab/>
        </w:r>
        <w:r w:rsidR="00443019" w:rsidRPr="00787196">
          <w:rPr>
            <w:webHidden/>
          </w:rPr>
          <w:fldChar w:fldCharType="begin"/>
        </w:r>
        <w:r w:rsidR="00443019" w:rsidRPr="00787196">
          <w:rPr>
            <w:webHidden/>
          </w:rPr>
          <w:instrText xml:space="preserve"> PAGEREF _Toc488655541 \h </w:instrText>
        </w:r>
        <w:r w:rsidR="00443019" w:rsidRPr="00787196">
          <w:rPr>
            <w:webHidden/>
          </w:rPr>
        </w:r>
        <w:r w:rsidR="00443019" w:rsidRPr="00787196">
          <w:rPr>
            <w:webHidden/>
          </w:rPr>
          <w:fldChar w:fldCharType="separate"/>
        </w:r>
        <w:r w:rsidR="00C069BC" w:rsidRPr="00787196">
          <w:rPr>
            <w:webHidden/>
          </w:rPr>
          <w:t>114</w:t>
        </w:r>
        <w:r w:rsidR="00443019" w:rsidRPr="00787196">
          <w:rPr>
            <w:webHidden/>
          </w:rPr>
          <w:fldChar w:fldCharType="end"/>
        </w:r>
      </w:hyperlink>
    </w:p>
    <w:p w14:paraId="22A64498"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2"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13. Reliability of Brief COPE factors</w:t>
        </w:r>
        <w:r w:rsidR="00443019" w:rsidRPr="00787196">
          <w:rPr>
            <w:webHidden/>
          </w:rPr>
          <w:tab/>
        </w:r>
        <w:r w:rsidR="00443019" w:rsidRPr="00787196">
          <w:rPr>
            <w:webHidden/>
          </w:rPr>
          <w:fldChar w:fldCharType="begin"/>
        </w:r>
        <w:r w:rsidR="00443019" w:rsidRPr="00787196">
          <w:rPr>
            <w:webHidden/>
          </w:rPr>
          <w:instrText xml:space="preserve"> PAGEREF _Toc488655542 \h </w:instrText>
        </w:r>
        <w:r w:rsidR="00443019" w:rsidRPr="00787196">
          <w:rPr>
            <w:webHidden/>
          </w:rPr>
        </w:r>
        <w:r w:rsidR="00443019" w:rsidRPr="00787196">
          <w:rPr>
            <w:webHidden/>
          </w:rPr>
          <w:fldChar w:fldCharType="separate"/>
        </w:r>
        <w:r w:rsidR="00C069BC" w:rsidRPr="00787196">
          <w:rPr>
            <w:webHidden/>
          </w:rPr>
          <w:t>115</w:t>
        </w:r>
        <w:r w:rsidR="00443019" w:rsidRPr="00787196">
          <w:rPr>
            <w:webHidden/>
          </w:rPr>
          <w:fldChar w:fldCharType="end"/>
        </w:r>
      </w:hyperlink>
    </w:p>
    <w:p w14:paraId="5FA23AD5"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3"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14. Lagged analysis: Bivariate associations between factors of Brief COPE scale at baseline (T1) and outcomes (OHQoL, Denture satisfaction and Chewing Ability) at follow-up (T2)</w:t>
        </w:r>
        <w:r w:rsidR="00443019" w:rsidRPr="00787196">
          <w:rPr>
            <w:webHidden/>
          </w:rPr>
          <w:tab/>
        </w:r>
        <w:r w:rsidR="00443019" w:rsidRPr="00787196">
          <w:rPr>
            <w:webHidden/>
          </w:rPr>
          <w:fldChar w:fldCharType="begin"/>
        </w:r>
        <w:r w:rsidR="00443019" w:rsidRPr="00787196">
          <w:rPr>
            <w:webHidden/>
          </w:rPr>
          <w:instrText xml:space="preserve"> PAGEREF _Toc488655543 \h </w:instrText>
        </w:r>
        <w:r w:rsidR="00443019" w:rsidRPr="00787196">
          <w:rPr>
            <w:webHidden/>
          </w:rPr>
        </w:r>
        <w:r w:rsidR="00443019" w:rsidRPr="00787196">
          <w:rPr>
            <w:webHidden/>
          </w:rPr>
          <w:fldChar w:fldCharType="separate"/>
        </w:r>
        <w:r w:rsidR="00C069BC" w:rsidRPr="00787196">
          <w:rPr>
            <w:webHidden/>
          </w:rPr>
          <w:t>116</w:t>
        </w:r>
        <w:r w:rsidR="00443019" w:rsidRPr="00787196">
          <w:rPr>
            <w:webHidden/>
          </w:rPr>
          <w:fldChar w:fldCharType="end"/>
        </w:r>
      </w:hyperlink>
    </w:p>
    <w:p w14:paraId="6DB7DF62"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4"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15. Lagged analysis: Bivariate associations between coping strategies, individual factors, outcome variables at baseline (T1) and OHQoL at follow-up (T2)</w:t>
        </w:r>
        <w:r w:rsidR="00443019" w:rsidRPr="00787196">
          <w:rPr>
            <w:webHidden/>
          </w:rPr>
          <w:tab/>
        </w:r>
        <w:r w:rsidR="00443019" w:rsidRPr="00787196">
          <w:rPr>
            <w:webHidden/>
          </w:rPr>
          <w:fldChar w:fldCharType="begin"/>
        </w:r>
        <w:r w:rsidR="00443019" w:rsidRPr="00787196">
          <w:rPr>
            <w:webHidden/>
          </w:rPr>
          <w:instrText xml:space="preserve"> PAGEREF _Toc488655544 \h </w:instrText>
        </w:r>
        <w:r w:rsidR="00443019" w:rsidRPr="00787196">
          <w:rPr>
            <w:webHidden/>
          </w:rPr>
        </w:r>
        <w:r w:rsidR="00443019" w:rsidRPr="00787196">
          <w:rPr>
            <w:webHidden/>
          </w:rPr>
          <w:fldChar w:fldCharType="separate"/>
        </w:r>
        <w:r w:rsidR="00C069BC" w:rsidRPr="00787196">
          <w:rPr>
            <w:webHidden/>
          </w:rPr>
          <w:t>117</w:t>
        </w:r>
        <w:r w:rsidR="00443019" w:rsidRPr="00787196">
          <w:rPr>
            <w:webHidden/>
          </w:rPr>
          <w:fldChar w:fldCharType="end"/>
        </w:r>
      </w:hyperlink>
    </w:p>
    <w:p w14:paraId="4201A2EB"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5"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16. Bivariate associations between clinical status, demographic variables at baseline (T1) and OHQoL at follow up (T2)</w:t>
        </w:r>
        <w:r w:rsidR="00443019" w:rsidRPr="00787196">
          <w:rPr>
            <w:webHidden/>
          </w:rPr>
          <w:tab/>
        </w:r>
        <w:r w:rsidR="00443019" w:rsidRPr="00787196">
          <w:rPr>
            <w:webHidden/>
          </w:rPr>
          <w:fldChar w:fldCharType="begin"/>
        </w:r>
        <w:r w:rsidR="00443019" w:rsidRPr="00787196">
          <w:rPr>
            <w:webHidden/>
          </w:rPr>
          <w:instrText xml:space="preserve"> PAGEREF _Toc488655545 \h </w:instrText>
        </w:r>
        <w:r w:rsidR="00443019" w:rsidRPr="00787196">
          <w:rPr>
            <w:webHidden/>
          </w:rPr>
        </w:r>
        <w:r w:rsidR="00443019" w:rsidRPr="00787196">
          <w:rPr>
            <w:webHidden/>
          </w:rPr>
          <w:fldChar w:fldCharType="separate"/>
        </w:r>
        <w:r w:rsidR="00C069BC" w:rsidRPr="00787196">
          <w:rPr>
            <w:webHidden/>
          </w:rPr>
          <w:t>118</w:t>
        </w:r>
        <w:r w:rsidR="00443019" w:rsidRPr="00787196">
          <w:rPr>
            <w:webHidden/>
          </w:rPr>
          <w:fldChar w:fldCharType="end"/>
        </w:r>
      </w:hyperlink>
    </w:p>
    <w:p w14:paraId="53D3F600"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6"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17. Bivariate association clinical status at baseline (T1) and OHQoL at follow-up (T2)</w:t>
        </w:r>
        <w:r w:rsidR="00443019" w:rsidRPr="00787196">
          <w:rPr>
            <w:webHidden/>
          </w:rPr>
          <w:tab/>
        </w:r>
        <w:r w:rsidR="00443019" w:rsidRPr="00787196">
          <w:rPr>
            <w:webHidden/>
          </w:rPr>
          <w:fldChar w:fldCharType="begin"/>
        </w:r>
        <w:r w:rsidR="00443019" w:rsidRPr="00787196">
          <w:rPr>
            <w:webHidden/>
          </w:rPr>
          <w:instrText xml:space="preserve"> PAGEREF _Toc488655546 \h </w:instrText>
        </w:r>
        <w:r w:rsidR="00443019" w:rsidRPr="00787196">
          <w:rPr>
            <w:webHidden/>
          </w:rPr>
        </w:r>
        <w:r w:rsidR="00443019" w:rsidRPr="00787196">
          <w:rPr>
            <w:webHidden/>
          </w:rPr>
          <w:fldChar w:fldCharType="separate"/>
        </w:r>
        <w:r w:rsidR="00C069BC" w:rsidRPr="00787196">
          <w:rPr>
            <w:webHidden/>
          </w:rPr>
          <w:t>119</w:t>
        </w:r>
        <w:r w:rsidR="00443019" w:rsidRPr="00787196">
          <w:rPr>
            <w:webHidden/>
          </w:rPr>
          <w:fldChar w:fldCharType="end"/>
        </w:r>
      </w:hyperlink>
    </w:p>
    <w:p w14:paraId="059135AC"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7"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18. Lagged analysis: Bivariate associations between coping strategies, individual factors, baseline (T1) outcome variables and denture satisfaction at follow-up (T2)</w:t>
        </w:r>
        <w:r w:rsidR="00443019" w:rsidRPr="00787196">
          <w:rPr>
            <w:webHidden/>
          </w:rPr>
          <w:tab/>
        </w:r>
        <w:r w:rsidR="00443019" w:rsidRPr="00787196">
          <w:rPr>
            <w:webHidden/>
          </w:rPr>
          <w:fldChar w:fldCharType="begin"/>
        </w:r>
        <w:r w:rsidR="00443019" w:rsidRPr="00787196">
          <w:rPr>
            <w:webHidden/>
          </w:rPr>
          <w:instrText xml:space="preserve"> PAGEREF _Toc488655547 \h </w:instrText>
        </w:r>
        <w:r w:rsidR="00443019" w:rsidRPr="00787196">
          <w:rPr>
            <w:webHidden/>
          </w:rPr>
        </w:r>
        <w:r w:rsidR="00443019" w:rsidRPr="00787196">
          <w:rPr>
            <w:webHidden/>
          </w:rPr>
          <w:fldChar w:fldCharType="separate"/>
        </w:r>
        <w:r w:rsidR="00C069BC" w:rsidRPr="00787196">
          <w:rPr>
            <w:webHidden/>
          </w:rPr>
          <w:t>119</w:t>
        </w:r>
        <w:r w:rsidR="00443019" w:rsidRPr="00787196">
          <w:rPr>
            <w:webHidden/>
          </w:rPr>
          <w:fldChar w:fldCharType="end"/>
        </w:r>
      </w:hyperlink>
    </w:p>
    <w:p w14:paraId="2EC4A887"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8"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19. Bivariate association between number of teeth present and denture satisfaction at follow-up (T2)</w:t>
        </w:r>
        <w:r w:rsidR="00443019" w:rsidRPr="00787196">
          <w:rPr>
            <w:webHidden/>
          </w:rPr>
          <w:tab/>
        </w:r>
        <w:r w:rsidR="00443019" w:rsidRPr="00787196">
          <w:rPr>
            <w:webHidden/>
          </w:rPr>
          <w:fldChar w:fldCharType="begin"/>
        </w:r>
        <w:r w:rsidR="00443019" w:rsidRPr="00787196">
          <w:rPr>
            <w:webHidden/>
          </w:rPr>
          <w:instrText xml:space="preserve"> PAGEREF _Toc488655548 \h </w:instrText>
        </w:r>
        <w:r w:rsidR="00443019" w:rsidRPr="00787196">
          <w:rPr>
            <w:webHidden/>
          </w:rPr>
        </w:r>
        <w:r w:rsidR="00443019" w:rsidRPr="00787196">
          <w:rPr>
            <w:webHidden/>
          </w:rPr>
          <w:fldChar w:fldCharType="separate"/>
        </w:r>
        <w:r w:rsidR="00C069BC" w:rsidRPr="00787196">
          <w:rPr>
            <w:webHidden/>
          </w:rPr>
          <w:t>120</w:t>
        </w:r>
        <w:r w:rsidR="00443019" w:rsidRPr="00787196">
          <w:rPr>
            <w:webHidden/>
          </w:rPr>
          <w:fldChar w:fldCharType="end"/>
        </w:r>
      </w:hyperlink>
    </w:p>
    <w:p w14:paraId="498220DA"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49"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20. Bivariate associations between clinical status, demographic variables at baseline (T1) and denture satisfaction at follow up (T2)</w:t>
        </w:r>
        <w:r w:rsidR="00443019" w:rsidRPr="00787196">
          <w:rPr>
            <w:webHidden/>
          </w:rPr>
          <w:tab/>
        </w:r>
        <w:r w:rsidR="00443019" w:rsidRPr="00787196">
          <w:rPr>
            <w:webHidden/>
          </w:rPr>
          <w:fldChar w:fldCharType="begin"/>
        </w:r>
        <w:r w:rsidR="00443019" w:rsidRPr="00787196">
          <w:rPr>
            <w:webHidden/>
          </w:rPr>
          <w:instrText xml:space="preserve"> PAGEREF _Toc488655549 \h </w:instrText>
        </w:r>
        <w:r w:rsidR="00443019" w:rsidRPr="00787196">
          <w:rPr>
            <w:webHidden/>
          </w:rPr>
        </w:r>
        <w:r w:rsidR="00443019" w:rsidRPr="00787196">
          <w:rPr>
            <w:webHidden/>
          </w:rPr>
          <w:fldChar w:fldCharType="separate"/>
        </w:r>
        <w:r w:rsidR="00C069BC" w:rsidRPr="00787196">
          <w:rPr>
            <w:webHidden/>
          </w:rPr>
          <w:t>121</w:t>
        </w:r>
        <w:r w:rsidR="00443019" w:rsidRPr="00787196">
          <w:rPr>
            <w:webHidden/>
          </w:rPr>
          <w:fldChar w:fldCharType="end"/>
        </w:r>
      </w:hyperlink>
    </w:p>
    <w:p w14:paraId="203334EC"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0"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21. Lagged analysis: Bivariate associations between coping strategies, individual factors, environmental factors, OHQoL, denture satisfaction, chewing ability, clinical factors at baseline (T1) and chewing ability at follow-up (T2)</w:t>
        </w:r>
        <w:r w:rsidR="00443019" w:rsidRPr="00787196">
          <w:rPr>
            <w:webHidden/>
          </w:rPr>
          <w:tab/>
        </w:r>
        <w:r w:rsidR="00443019" w:rsidRPr="00787196">
          <w:rPr>
            <w:webHidden/>
          </w:rPr>
          <w:fldChar w:fldCharType="begin"/>
        </w:r>
        <w:r w:rsidR="00443019" w:rsidRPr="00787196">
          <w:rPr>
            <w:webHidden/>
          </w:rPr>
          <w:instrText xml:space="preserve"> PAGEREF _Toc488655550 \h </w:instrText>
        </w:r>
        <w:r w:rsidR="00443019" w:rsidRPr="00787196">
          <w:rPr>
            <w:webHidden/>
          </w:rPr>
        </w:r>
        <w:r w:rsidR="00443019" w:rsidRPr="00787196">
          <w:rPr>
            <w:webHidden/>
          </w:rPr>
          <w:fldChar w:fldCharType="separate"/>
        </w:r>
        <w:r w:rsidR="00C069BC" w:rsidRPr="00787196">
          <w:rPr>
            <w:webHidden/>
          </w:rPr>
          <w:t>122</w:t>
        </w:r>
        <w:r w:rsidR="00443019" w:rsidRPr="00787196">
          <w:rPr>
            <w:webHidden/>
          </w:rPr>
          <w:fldChar w:fldCharType="end"/>
        </w:r>
      </w:hyperlink>
    </w:p>
    <w:p w14:paraId="67820086"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1"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22. Bivariate association number of teeth present and chewing ability at follow-up (T2)</w:t>
        </w:r>
        <w:r w:rsidR="00443019" w:rsidRPr="00787196">
          <w:rPr>
            <w:webHidden/>
          </w:rPr>
          <w:tab/>
        </w:r>
        <w:r w:rsidR="00443019" w:rsidRPr="00787196">
          <w:rPr>
            <w:webHidden/>
          </w:rPr>
          <w:fldChar w:fldCharType="begin"/>
        </w:r>
        <w:r w:rsidR="00443019" w:rsidRPr="00787196">
          <w:rPr>
            <w:webHidden/>
          </w:rPr>
          <w:instrText xml:space="preserve"> PAGEREF _Toc488655551 \h </w:instrText>
        </w:r>
        <w:r w:rsidR="00443019" w:rsidRPr="00787196">
          <w:rPr>
            <w:webHidden/>
          </w:rPr>
        </w:r>
        <w:r w:rsidR="00443019" w:rsidRPr="00787196">
          <w:rPr>
            <w:webHidden/>
          </w:rPr>
          <w:fldChar w:fldCharType="separate"/>
        </w:r>
        <w:r w:rsidR="00C069BC" w:rsidRPr="00787196">
          <w:rPr>
            <w:webHidden/>
          </w:rPr>
          <w:t>123</w:t>
        </w:r>
        <w:r w:rsidR="00443019" w:rsidRPr="00787196">
          <w:rPr>
            <w:webHidden/>
          </w:rPr>
          <w:fldChar w:fldCharType="end"/>
        </w:r>
      </w:hyperlink>
    </w:p>
    <w:p w14:paraId="015AF6C4"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2"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23. Bivariate associations between clinical status, demographic variables at baseline (T1) and chewing-ability at follow-up (T2)</w:t>
        </w:r>
        <w:r w:rsidR="00443019" w:rsidRPr="00787196">
          <w:rPr>
            <w:webHidden/>
          </w:rPr>
          <w:tab/>
        </w:r>
        <w:r w:rsidR="00443019" w:rsidRPr="00787196">
          <w:rPr>
            <w:webHidden/>
          </w:rPr>
          <w:fldChar w:fldCharType="begin"/>
        </w:r>
        <w:r w:rsidR="00443019" w:rsidRPr="00787196">
          <w:rPr>
            <w:webHidden/>
          </w:rPr>
          <w:instrText xml:space="preserve"> PAGEREF _Toc488655552 \h </w:instrText>
        </w:r>
        <w:r w:rsidR="00443019" w:rsidRPr="00787196">
          <w:rPr>
            <w:webHidden/>
          </w:rPr>
        </w:r>
        <w:r w:rsidR="00443019" w:rsidRPr="00787196">
          <w:rPr>
            <w:webHidden/>
          </w:rPr>
          <w:fldChar w:fldCharType="separate"/>
        </w:r>
        <w:r w:rsidR="00C069BC" w:rsidRPr="00787196">
          <w:rPr>
            <w:webHidden/>
          </w:rPr>
          <w:t>124</w:t>
        </w:r>
        <w:r w:rsidR="00443019" w:rsidRPr="00787196">
          <w:rPr>
            <w:webHidden/>
          </w:rPr>
          <w:fldChar w:fldCharType="end"/>
        </w:r>
      </w:hyperlink>
    </w:p>
    <w:p w14:paraId="19B967C4"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3"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24. Bivariate associations between clinical status at baseline (T1) and Brief COPE factors at follow-up (T2)</w:t>
        </w:r>
        <w:r w:rsidR="00443019" w:rsidRPr="00787196">
          <w:rPr>
            <w:webHidden/>
          </w:rPr>
          <w:tab/>
        </w:r>
        <w:r w:rsidR="00443019" w:rsidRPr="00787196">
          <w:rPr>
            <w:webHidden/>
          </w:rPr>
          <w:fldChar w:fldCharType="begin"/>
        </w:r>
        <w:r w:rsidR="00443019" w:rsidRPr="00787196">
          <w:rPr>
            <w:webHidden/>
          </w:rPr>
          <w:instrText xml:space="preserve"> PAGEREF _Toc488655553 \h </w:instrText>
        </w:r>
        <w:r w:rsidR="00443019" w:rsidRPr="00787196">
          <w:rPr>
            <w:webHidden/>
          </w:rPr>
        </w:r>
        <w:r w:rsidR="00443019" w:rsidRPr="00787196">
          <w:rPr>
            <w:webHidden/>
          </w:rPr>
          <w:fldChar w:fldCharType="separate"/>
        </w:r>
        <w:r w:rsidR="00C069BC" w:rsidRPr="00787196">
          <w:rPr>
            <w:webHidden/>
          </w:rPr>
          <w:t>125</w:t>
        </w:r>
        <w:r w:rsidR="00443019" w:rsidRPr="00787196">
          <w:rPr>
            <w:webHidden/>
          </w:rPr>
          <w:fldChar w:fldCharType="end"/>
        </w:r>
      </w:hyperlink>
    </w:p>
    <w:p w14:paraId="78CE8445"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4"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25. Bivariate associations between Brief COPE factors and individual factors at baseline (T1) and Brief COPE factors at follow-up (T2)</w:t>
        </w:r>
        <w:r w:rsidR="00443019" w:rsidRPr="00787196">
          <w:rPr>
            <w:webHidden/>
          </w:rPr>
          <w:tab/>
        </w:r>
        <w:r w:rsidR="00443019" w:rsidRPr="00787196">
          <w:rPr>
            <w:webHidden/>
          </w:rPr>
          <w:fldChar w:fldCharType="begin"/>
        </w:r>
        <w:r w:rsidR="00443019" w:rsidRPr="00787196">
          <w:rPr>
            <w:webHidden/>
          </w:rPr>
          <w:instrText xml:space="preserve"> PAGEREF _Toc488655554 \h </w:instrText>
        </w:r>
        <w:r w:rsidR="00443019" w:rsidRPr="00787196">
          <w:rPr>
            <w:webHidden/>
          </w:rPr>
        </w:r>
        <w:r w:rsidR="00443019" w:rsidRPr="00787196">
          <w:rPr>
            <w:webHidden/>
          </w:rPr>
          <w:fldChar w:fldCharType="separate"/>
        </w:r>
        <w:r w:rsidR="00C069BC" w:rsidRPr="00787196">
          <w:rPr>
            <w:webHidden/>
          </w:rPr>
          <w:t>126</w:t>
        </w:r>
        <w:r w:rsidR="00443019" w:rsidRPr="00787196">
          <w:rPr>
            <w:webHidden/>
          </w:rPr>
          <w:fldChar w:fldCharType="end"/>
        </w:r>
      </w:hyperlink>
    </w:p>
    <w:p w14:paraId="25B54E01"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5"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26. Bivariate associations between demographic and environmental factors and coping strategies at follow-up (T2)</w:t>
        </w:r>
        <w:r w:rsidR="00443019" w:rsidRPr="00787196">
          <w:rPr>
            <w:webHidden/>
          </w:rPr>
          <w:tab/>
        </w:r>
        <w:r w:rsidR="00443019" w:rsidRPr="00787196">
          <w:rPr>
            <w:webHidden/>
          </w:rPr>
          <w:fldChar w:fldCharType="begin"/>
        </w:r>
        <w:r w:rsidR="00443019" w:rsidRPr="00787196">
          <w:rPr>
            <w:webHidden/>
          </w:rPr>
          <w:instrText xml:space="preserve"> PAGEREF _Toc488655555 \h </w:instrText>
        </w:r>
        <w:r w:rsidR="00443019" w:rsidRPr="00787196">
          <w:rPr>
            <w:webHidden/>
          </w:rPr>
        </w:r>
        <w:r w:rsidR="00443019" w:rsidRPr="00787196">
          <w:rPr>
            <w:webHidden/>
          </w:rPr>
          <w:fldChar w:fldCharType="separate"/>
        </w:r>
        <w:r w:rsidR="00C069BC" w:rsidRPr="00787196">
          <w:rPr>
            <w:webHidden/>
          </w:rPr>
          <w:t>126</w:t>
        </w:r>
        <w:r w:rsidR="00443019" w:rsidRPr="00787196">
          <w:rPr>
            <w:webHidden/>
          </w:rPr>
          <w:fldChar w:fldCharType="end"/>
        </w:r>
      </w:hyperlink>
    </w:p>
    <w:p w14:paraId="377E530E"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6"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27. Stepwise forward multiple regression model for OHQoL at follow-up (T2)</w:t>
        </w:r>
        <w:r w:rsidR="00443019" w:rsidRPr="00787196">
          <w:rPr>
            <w:webHidden/>
          </w:rPr>
          <w:tab/>
        </w:r>
        <w:r w:rsidR="00443019" w:rsidRPr="00787196">
          <w:rPr>
            <w:webHidden/>
          </w:rPr>
          <w:fldChar w:fldCharType="begin"/>
        </w:r>
        <w:r w:rsidR="00443019" w:rsidRPr="00787196">
          <w:rPr>
            <w:webHidden/>
          </w:rPr>
          <w:instrText xml:space="preserve"> PAGEREF _Toc488655556 \h </w:instrText>
        </w:r>
        <w:r w:rsidR="00443019" w:rsidRPr="00787196">
          <w:rPr>
            <w:webHidden/>
          </w:rPr>
        </w:r>
        <w:r w:rsidR="00443019" w:rsidRPr="00787196">
          <w:rPr>
            <w:webHidden/>
          </w:rPr>
          <w:fldChar w:fldCharType="separate"/>
        </w:r>
        <w:r w:rsidR="00C069BC" w:rsidRPr="00787196">
          <w:rPr>
            <w:webHidden/>
          </w:rPr>
          <w:t>130</w:t>
        </w:r>
        <w:r w:rsidR="00443019" w:rsidRPr="00787196">
          <w:rPr>
            <w:webHidden/>
          </w:rPr>
          <w:fldChar w:fldCharType="end"/>
        </w:r>
      </w:hyperlink>
    </w:p>
    <w:p w14:paraId="04452000"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7"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28. Stepwise forward multiple regression model for denture satisfaction at follow-up (T2)</w:t>
        </w:r>
        <w:r w:rsidR="00443019" w:rsidRPr="00787196">
          <w:rPr>
            <w:webHidden/>
          </w:rPr>
          <w:tab/>
        </w:r>
        <w:r w:rsidR="00443019" w:rsidRPr="00787196">
          <w:rPr>
            <w:webHidden/>
          </w:rPr>
          <w:fldChar w:fldCharType="begin"/>
        </w:r>
        <w:r w:rsidR="00443019" w:rsidRPr="00787196">
          <w:rPr>
            <w:webHidden/>
          </w:rPr>
          <w:instrText xml:space="preserve"> PAGEREF _Toc488655557 \h </w:instrText>
        </w:r>
        <w:r w:rsidR="00443019" w:rsidRPr="00787196">
          <w:rPr>
            <w:webHidden/>
          </w:rPr>
        </w:r>
        <w:r w:rsidR="00443019" w:rsidRPr="00787196">
          <w:rPr>
            <w:webHidden/>
          </w:rPr>
          <w:fldChar w:fldCharType="separate"/>
        </w:r>
        <w:r w:rsidR="00C069BC" w:rsidRPr="00787196">
          <w:rPr>
            <w:webHidden/>
          </w:rPr>
          <w:t>131</w:t>
        </w:r>
        <w:r w:rsidR="00443019" w:rsidRPr="00787196">
          <w:rPr>
            <w:webHidden/>
          </w:rPr>
          <w:fldChar w:fldCharType="end"/>
        </w:r>
      </w:hyperlink>
    </w:p>
    <w:p w14:paraId="6AE9404B"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8"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29. Stepwise multiple regression model for chewing ability at follow-up (T2)</w:t>
        </w:r>
        <w:r w:rsidR="00443019" w:rsidRPr="00787196">
          <w:rPr>
            <w:webHidden/>
          </w:rPr>
          <w:tab/>
        </w:r>
        <w:r w:rsidR="00443019" w:rsidRPr="00787196">
          <w:rPr>
            <w:webHidden/>
          </w:rPr>
          <w:fldChar w:fldCharType="begin"/>
        </w:r>
        <w:r w:rsidR="00443019" w:rsidRPr="00787196">
          <w:rPr>
            <w:webHidden/>
          </w:rPr>
          <w:instrText xml:space="preserve"> PAGEREF _Toc488655558 \h </w:instrText>
        </w:r>
        <w:r w:rsidR="00443019" w:rsidRPr="00787196">
          <w:rPr>
            <w:webHidden/>
          </w:rPr>
        </w:r>
        <w:r w:rsidR="00443019" w:rsidRPr="00787196">
          <w:rPr>
            <w:webHidden/>
          </w:rPr>
          <w:fldChar w:fldCharType="separate"/>
        </w:r>
        <w:r w:rsidR="00C069BC" w:rsidRPr="00787196">
          <w:rPr>
            <w:webHidden/>
          </w:rPr>
          <w:t>131</w:t>
        </w:r>
        <w:r w:rsidR="00443019" w:rsidRPr="00787196">
          <w:rPr>
            <w:webHidden/>
          </w:rPr>
          <w:fldChar w:fldCharType="end"/>
        </w:r>
      </w:hyperlink>
    </w:p>
    <w:p w14:paraId="1154621A"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59"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30. Stepwise forward multiple regression model for Inadequate/negative/avoidant Brief COPE factor at follow-up (T2)</w:t>
        </w:r>
        <w:r w:rsidR="00443019" w:rsidRPr="00787196">
          <w:rPr>
            <w:webHidden/>
          </w:rPr>
          <w:tab/>
        </w:r>
        <w:r w:rsidR="00443019" w:rsidRPr="00787196">
          <w:rPr>
            <w:webHidden/>
          </w:rPr>
          <w:fldChar w:fldCharType="begin"/>
        </w:r>
        <w:r w:rsidR="00443019" w:rsidRPr="00787196">
          <w:rPr>
            <w:webHidden/>
          </w:rPr>
          <w:instrText xml:space="preserve"> PAGEREF _Toc488655559 \h </w:instrText>
        </w:r>
        <w:r w:rsidR="00443019" w:rsidRPr="00787196">
          <w:rPr>
            <w:webHidden/>
          </w:rPr>
        </w:r>
        <w:r w:rsidR="00443019" w:rsidRPr="00787196">
          <w:rPr>
            <w:webHidden/>
          </w:rPr>
          <w:fldChar w:fldCharType="separate"/>
        </w:r>
        <w:r w:rsidR="00C069BC" w:rsidRPr="00787196">
          <w:rPr>
            <w:webHidden/>
          </w:rPr>
          <w:t>132</w:t>
        </w:r>
        <w:r w:rsidR="00443019" w:rsidRPr="00787196">
          <w:rPr>
            <w:webHidden/>
          </w:rPr>
          <w:fldChar w:fldCharType="end"/>
        </w:r>
      </w:hyperlink>
    </w:p>
    <w:p w14:paraId="6D4445CD"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60"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31. Stepwise forward multiple regression model for positive/ adequate Brief COPE factor follow-up (T2)</w:t>
        </w:r>
        <w:r w:rsidR="00443019" w:rsidRPr="00787196">
          <w:rPr>
            <w:webHidden/>
          </w:rPr>
          <w:tab/>
        </w:r>
        <w:r w:rsidR="00443019" w:rsidRPr="00787196">
          <w:rPr>
            <w:webHidden/>
          </w:rPr>
          <w:fldChar w:fldCharType="begin"/>
        </w:r>
        <w:r w:rsidR="00443019" w:rsidRPr="00787196">
          <w:rPr>
            <w:webHidden/>
          </w:rPr>
          <w:instrText xml:space="preserve"> PAGEREF _Toc488655560 \h </w:instrText>
        </w:r>
        <w:r w:rsidR="00443019" w:rsidRPr="00787196">
          <w:rPr>
            <w:webHidden/>
          </w:rPr>
        </w:r>
        <w:r w:rsidR="00443019" w:rsidRPr="00787196">
          <w:rPr>
            <w:webHidden/>
          </w:rPr>
          <w:fldChar w:fldCharType="separate"/>
        </w:r>
        <w:r w:rsidR="00C069BC" w:rsidRPr="00787196">
          <w:rPr>
            <w:webHidden/>
          </w:rPr>
          <w:t>133</w:t>
        </w:r>
        <w:r w:rsidR="00443019" w:rsidRPr="00787196">
          <w:rPr>
            <w:webHidden/>
          </w:rPr>
          <w:fldChar w:fldCharType="end"/>
        </w:r>
      </w:hyperlink>
    </w:p>
    <w:p w14:paraId="6F36B8D0"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61"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32. Stepwise forward multiple regression model for self-blame factor at follow-up (T2)</w:t>
        </w:r>
        <w:r w:rsidR="00443019" w:rsidRPr="00787196">
          <w:rPr>
            <w:webHidden/>
          </w:rPr>
          <w:tab/>
        </w:r>
        <w:r w:rsidR="00443019" w:rsidRPr="00787196">
          <w:rPr>
            <w:webHidden/>
          </w:rPr>
          <w:fldChar w:fldCharType="begin"/>
        </w:r>
        <w:r w:rsidR="00443019" w:rsidRPr="00787196">
          <w:rPr>
            <w:webHidden/>
          </w:rPr>
          <w:instrText xml:space="preserve"> PAGEREF _Toc488655561 \h </w:instrText>
        </w:r>
        <w:r w:rsidR="00443019" w:rsidRPr="00787196">
          <w:rPr>
            <w:webHidden/>
          </w:rPr>
        </w:r>
        <w:r w:rsidR="00443019" w:rsidRPr="00787196">
          <w:rPr>
            <w:webHidden/>
          </w:rPr>
          <w:fldChar w:fldCharType="separate"/>
        </w:r>
        <w:r w:rsidR="00C069BC" w:rsidRPr="00787196">
          <w:rPr>
            <w:webHidden/>
          </w:rPr>
          <w:t>134</w:t>
        </w:r>
        <w:r w:rsidR="00443019" w:rsidRPr="00787196">
          <w:rPr>
            <w:webHidden/>
          </w:rPr>
          <w:fldChar w:fldCharType="end"/>
        </w:r>
      </w:hyperlink>
    </w:p>
    <w:p w14:paraId="215D00C5" w14:textId="77777777" w:rsidR="00443019" w:rsidRPr="00787196" w:rsidRDefault="006E7D7A" w:rsidP="00787196">
      <w:pPr>
        <w:pStyle w:val="TableofFigures"/>
        <w:spacing w:line="360" w:lineRule="auto"/>
        <w:rPr>
          <w:rFonts w:asciiTheme="minorHAnsi" w:eastAsiaTheme="minorEastAsia" w:hAnsiTheme="minorHAnsi" w:cs="Latha"/>
          <w:lang w:val="en-GB" w:eastAsia="en-GB" w:bidi="ta-IN"/>
        </w:rPr>
      </w:pPr>
      <w:hyperlink w:anchor="_Toc488655562" w:history="1">
        <w:r w:rsidR="00443019" w:rsidRPr="00787196">
          <w:rPr>
            <w:rStyle w:val="Hyperlink"/>
          </w:rPr>
          <w:t xml:space="preserve">Table </w:t>
        </w:r>
        <w:r w:rsidR="00443019" w:rsidRPr="00787196">
          <w:rPr>
            <w:rStyle w:val="Hyperlink"/>
            <w:cs/>
          </w:rPr>
          <w:t>‎</w:t>
        </w:r>
        <w:r w:rsidR="00443019" w:rsidRPr="00787196">
          <w:rPr>
            <w:rStyle w:val="Hyperlink"/>
          </w:rPr>
          <w:t>5</w:t>
        </w:r>
        <w:r w:rsidR="00443019" w:rsidRPr="00787196">
          <w:rPr>
            <w:rStyle w:val="Hyperlink"/>
          </w:rPr>
          <w:noBreakHyphen/>
          <w:t>33. Stepwise forward multiple regression model for Religion factor at follow-up (T2)</w:t>
        </w:r>
        <w:r w:rsidR="00443019" w:rsidRPr="00787196">
          <w:rPr>
            <w:webHidden/>
          </w:rPr>
          <w:tab/>
        </w:r>
        <w:r w:rsidR="00443019" w:rsidRPr="00787196">
          <w:rPr>
            <w:webHidden/>
          </w:rPr>
          <w:fldChar w:fldCharType="begin"/>
        </w:r>
        <w:r w:rsidR="00443019" w:rsidRPr="00787196">
          <w:rPr>
            <w:webHidden/>
          </w:rPr>
          <w:instrText xml:space="preserve"> PAGEREF _Toc488655562 \h </w:instrText>
        </w:r>
        <w:r w:rsidR="00443019" w:rsidRPr="00787196">
          <w:rPr>
            <w:webHidden/>
          </w:rPr>
        </w:r>
        <w:r w:rsidR="00443019" w:rsidRPr="00787196">
          <w:rPr>
            <w:webHidden/>
          </w:rPr>
          <w:fldChar w:fldCharType="separate"/>
        </w:r>
        <w:r w:rsidR="00C069BC" w:rsidRPr="00787196">
          <w:rPr>
            <w:webHidden/>
          </w:rPr>
          <w:t>134</w:t>
        </w:r>
        <w:r w:rsidR="00443019" w:rsidRPr="00787196">
          <w:rPr>
            <w:webHidden/>
          </w:rPr>
          <w:fldChar w:fldCharType="end"/>
        </w:r>
      </w:hyperlink>
    </w:p>
    <w:p w14:paraId="29C007EB" w14:textId="0EE812FC" w:rsidR="003A4C70" w:rsidRPr="00787196" w:rsidRDefault="00155E97" w:rsidP="00787196">
      <w:pPr>
        <w:pStyle w:val="TableofFigures"/>
        <w:spacing w:line="360" w:lineRule="auto"/>
      </w:pPr>
      <w:r w:rsidRPr="00787196">
        <w:fldChar w:fldCharType="end"/>
      </w:r>
      <w:r w:rsidR="007D6B7F" w:rsidRPr="00787196">
        <w:rPr>
          <w:b/>
          <w:bCs/>
        </w:rPr>
        <w:fldChar w:fldCharType="begin"/>
      </w:r>
      <w:r w:rsidR="00644F48" w:rsidRPr="00787196">
        <w:instrText xml:space="preserve"> TOC \h \z \c "Table" </w:instrText>
      </w:r>
      <w:r w:rsidR="007D6B7F" w:rsidRPr="00787196">
        <w:rPr>
          <w:b/>
          <w:bCs/>
        </w:rPr>
        <w:fldChar w:fldCharType="separate"/>
      </w:r>
    </w:p>
    <w:p w14:paraId="5D336835" w14:textId="77777777" w:rsidR="004C6495" w:rsidRPr="00787196" w:rsidRDefault="007D6B7F" w:rsidP="00155E97">
      <w:pPr>
        <w:rPr>
          <w:rFonts w:cs="Arial"/>
        </w:rPr>
        <w:sectPr w:rsidR="004C6495" w:rsidRPr="00787196" w:rsidSect="00BA200A">
          <w:footerReference w:type="default" r:id="rId11"/>
          <w:type w:val="nextColumn"/>
          <w:pgSz w:w="11906" w:h="16838"/>
          <w:pgMar w:top="1134" w:right="1134" w:bottom="1134" w:left="2268" w:header="708" w:footer="708" w:gutter="0"/>
          <w:pgNumType w:fmt="lowerRoman"/>
          <w:cols w:space="708"/>
          <w:docGrid w:linePitch="360"/>
        </w:sectPr>
      </w:pPr>
      <w:r w:rsidRPr="00787196">
        <w:rPr>
          <w:rFonts w:eastAsia="Calibri" w:cs="Arial"/>
          <w:lang w:eastAsia="en-US" w:bidi="ar-SA"/>
        </w:rPr>
        <w:fldChar w:fldCharType="end"/>
      </w:r>
    </w:p>
    <w:p w14:paraId="50243616" w14:textId="5E48EB96" w:rsidR="00BB11B1" w:rsidRPr="00787196" w:rsidRDefault="00BB11B1" w:rsidP="00EA67DB">
      <w:pPr>
        <w:pStyle w:val="Heading1"/>
        <w:numPr>
          <w:ilvl w:val="0"/>
          <w:numId w:val="0"/>
        </w:numPr>
        <w:ind w:left="432"/>
      </w:pPr>
      <w:bookmarkStart w:id="10" w:name="_Toc488655601"/>
      <w:r w:rsidRPr="00787196">
        <w:lastRenderedPageBreak/>
        <w:t>ABBREVIATIONS</w:t>
      </w:r>
      <w:bookmarkEnd w:id="10"/>
    </w:p>
    <w:tbl>
      <w:tblPr>
        <w:tblStyle w:val="TableGrid"/>
        <w:tblW w:w="0" w:type="auto"/>
        <w:tblBorders>
          <w:insideH w:val="none" w:sz="0" w:space="0" w:color="auto"/>
        </w:tblBorders>
        <w:tblLook w:val="04A0" w:firstRow="1" w:lastRow="0" w:firstColumn="1" w:lastColumn="0" w:noHBand="0" w:noVBand="1"/>
      </w:tblPr>
      <w:tblGrid>
        <w:gridCol w:w="1555"/>
        <w:gridCol w:w="7018"/>
      </w:tblGrid>
      <w:tr w:rsidR="0042078A" w:rsidRPr="00787196" w14:paraId="049DAC6E" w14:textId="77777777" w:rsidTr="008D3FC1">
        <w:trPr>
          <w:trHeight w:val="284"/>
        </w:trPr>
        <w:tc>
          <w:tcPr>
            <w:tcW w:w="1555" w:type="dxa"/>
          </w:tcPr>
          <w:p w14:paraId="5C5B27D4" w14:textId="604A89C2" w:rsidR="0042078A" w:rsidRPr="00787196" w:rsidRDefault="0042078A" w:rsidP="00977234">
            <w:pPr>
              <w:spacing w:before="0" w:after="0" w:line="276" w:lineRule="auto"/>
              <w:jc w:val="left"/>
              <w:rPr>
                <w:rFonts w:cs="Arial"/>
                <w:sz w:val="22"/>
              </w:rPr>
            </w:pPr>
            <w:r w:rsidRPr="00787196">
              <w:rPr>
                <w:rFonts w:cs="Arial"/>
                <w:sz w:val="22"/>
              </w:rPr>
              <w:t>ACH</w:t>
            </w:r>
          </w:p>
        </w:tc>
        <w:tc>
          <w:tcPr>
            <w:tcW w:w="7018" w:type="dxa"/>
          </w:tcPr>
          <w:p w14:paraId="3013D9F7" w14:textId="2EB74A2E" w:rsidR="0042078A" w:rsidRPr="00787196" w:rsidRDefault="0042078A" w:rsidP="00977234">
            <w:pPr>
              <w:spacing w:before="0" w:after="0" w:line="276" w:lineRule="auto"/>
              <w:jc w:val="left"/>
              <w:rPr>
                <w:rFonts w:cs="Arial"/>
                <w:sz w:val="22"/>
              </w:rPr>
            </w:pPr>
            <w:r w:rsidRPr="00787196">
              <w:rPr>
                <w:rFonts w:cs="Arial"/>
                <w:sz w:val="22"/>
              </w:rPr>
              <w:t>Alveolar Crestal Height</w:t>
            </w:r>
          </w:p>
        </w:tc>
      </w:tr>
      <w:tr w:rsidR="00136257" w:rsidRPr="00787196" w14:paraId="2DCA4F90" w14:textId="77777777" w:rsidTr="008D3FC1">
        <w:trPr>
          <w:trHeight w:val="284"/>
        </w:trPr>
        <w:tc>
          <w:tcPr>
            <w:tcW w:w="1555" w:type="dxa"/>
          </w:tcPr>
          <w:p w14:paraId="0CCAC6C3" w14:textId="76DBD1C0" w:rsidR="00136257" w:rsidRPr="00787196" w:rsidRDefault="00136257" w:rsidP="00977234">
            <w:pPr>
              <w:spacing w:before="0" w:after="0" w:line="276" w:lineRule="auto"/>
              <w:jc w:val="left"/>
              <w:rPr>
                <w:rFonts w:cs="Arial"/>
                <w:sz w:val="22"/>
              </w:rPr>
            </w:pPr>
            <w:r w:rsidRPr="00787196">
              <w:rPr>
                <w:rFonts w:cs="Arial"/>
                <w:sz w:val="22"/>
              </w:rPr>
              <w:t>ADL</w:t>
            </w:r>
          </w:p>
        </w:tc>
        <w:tc>
          <w:tcPr>
            <w:tcW w:w="7018" w:type="dxa"/>
          </w:tcPr>
          <w:p w14:paraId="5A37E7F4" w14:textId="4FC749CF" w:rsidR="00136257" w:rsidRPr="00787196" w:rsidRDefault="00136257" w:rsidP="00977234">
            <w:pPr>
              <w:spacing w:before="0" w:after="0" w:line="276" w:lineRule="auto"/>
              <w:jc w:val="left"/>
              <w:rPr>
                <w:rFonts w:cs="Arial"/>
                <w:sz w:val="22"/>
              </w:rPr>
            </w:pPr>
            <w:r w:rsidRPr="00787196">
              <w:rPr>
                <w:rFonts w:cs="Arial"/>
                <w:sz w:val="22"/>
              </w:rPr>
              <w:t>Activities of Daily Living</w:t>
            </w:r>
          </w:p>
        </w:tc>
      </w:tr>
      <w:tr w:rsidR="00772546" w:rsidRPr="00787196" w14:paraId="6587B1C4" w14:textId="77777777" w:rsidTr="008D3FC1">
        <w:trPr>
          <w:trHeight w:val="284"/>
        </w:trPr>
        <w:tc>
          <w:tcPr>
            <w:tcW w:w="1555" w:type="dxa"/>
          </w:tcPr>
          <w:p w14:paraId="2DC77A68" w14:textId="065D8223" w:rsidR="00772546" w:rsidRPr="00787196" w:rsidRDefault="00772546" w:rsidP="00977234">
            <w:pPr>
              <w:spacing w:before="0" w:after="0" w:line="276" w:lineRule="auto"/>
              <w:jc w:val="left"/>
              <w:rPr>
                <w:rFonts w:cs="Arial"/>
                <w:sz w:val="22"/>
              </w:rPr>
            </w:pPr>
            <w:r w:rsidRPr="00787196">
              <w:rPr>
                <w:rFonts w:cs="Arial"/>
                <w:sz w:val="22"/>
              </w:rPr>
              <w:t>ADS</w:t>
            </w:r>
          </w:p>
        </w:tc>
        <w:tc>
          <w:tcPr>
            <w:tcW w:w="7018" w:type="dxa"/>
          </w:tcPr>
          <w:p w14:paraId="58AFA632" w14:textId="7692B126" w:rsidR="00772546" w:rsidRPr="00787196" w:rsidRDefault="00772546" w:rsidP="00977234">
            <w:pPr>
              <w:spacing w:before="0" w:after="0" w:line="276" w:lineRule="auto"/>
              <w:jc w:val="left"/>
              <w:rPr>
                <w:rFonts w:cs="Arial"/>
                <w:sz w:val="22"/>
              </w:rPr>
            </w:pPr>
            <w:r w:rsidRPr="00787196">
              <w:rPr>
                <w:rFonts w:cs="Arial"/>
                <w:sz w:val="22"/>
              </w:rPr>
              <w:t>Asymptomatic Dental Score</w:t>
            </w:r>
          </w:p>
        </w:tc>
      </w:tr>
      <w:tr w:rsidR="00C175A5" w:rsidRPr="00787196" w14:paraId="2C248F40" w14:textId="6EF7AE17" w:rsidTr="008D3FC1">
        <w:trPr>
          <w:trHeight w:val="299"/>
        </w:trPr>
        <w:tc>
          <w:tcPr>
            <w:tcW w:w="1555" w:type="dxa"/>
          </w:tcPr>
          <w:p w14:paraId="2F7EBCFA" w14:textId="0DF3E8E2" w:rsidR="00C175A5" w:rsidRPr="00787196" w:rsidRDefault="00C175A5" w:rsidP="00977234">
            <w:pPr>
              <w:spacing w:before="0" w:after="0" w:line="276" w:lineRule="auto"/>
              <w:jc w:val="left"/>
              <w:rPr>
                <w:rFonts w:cs="Arial"/>
                <w:sz w:val="22"/>
              </w:rPr>
            </w:pPr>
            <w:r w:rsidRPr="00787196">
              <w:rPr>
                <w:rFonts w:cs="Arial"/>
                <w:sz w:val="22"/>
              </w:rPr>
              <w:t>ERA</w:t>
            </w:r>
          </w:p>
        </w:tc>
        <w:tc>
          <w:tcPr>
            <w:tcW w:w="7018" w:type="dxa"/>
          </w:tcPr>
          <w:p w14:paraId="2EDE9E98" w14:textId="070F8CEA" w:rsidR="00C175A5" w:rsidRPr="00787196" w:rsidRDefault="00C175A5" w:rsidP="00977234">
            <w:pPr>
              <w:spacing w:before="0" w:after="0" w:line="276" w:lineRule="auto"/>
              <w:jc w:val="left"/>
              <w:rPr>
                <w:rFonts w:cs="Arial"/>
                <w:sz w:val="22"/>
              </w:rPr>
            </w:pPr>
            <w:r w:rsidRPr="00787196">
              <w:rPr>
                <w:rFonts w:cs="Arial"/>
                <w:sz w:val="22"/>
              </w:rPr>
              <w:t>Expectations Regarding Ageing</w:t>
            </w:r>
          </w:p>
        </w:tc>
      </w:tr>
      <w:tr w:rsidR="00C175A5" w:rsidRPr="00787196" w14:paraId="1A174824" w14:textId="2D76F8F9" w:rsidTr="008D3FC1">
        <w:trPr>
          <w:trHeight w:val="284"/>
        </w:trPr>
        <w:tc>
          <w:tcPr>
            <w:tcW w:w="1555" w:type="dxa"/>
          </w:tcPr>
          <w:p w14:paraId="11984838" w14:textId="6139D3F5" w:rsidR="00C175A5" w:rsidRPr="00787196" w:rsidRDefault="00C175A5" w:rsidP="00977234">
            <w:pPr>
              <w:spacing w:before="0" w:after="0" w:line="276" w:lineRule="auto"/>
              <w:jc w:val="left"/>
              <w:rPr>
                <w:rFonts w:eastAsia="Arial" w:cs="Arial"/>
                <w:sz w:val="22"/>
              </w:rPr>
            </w:pPr>
            <w:r w:rsidRPr="00787196">
              <w:rPr>
                <w:rFonts w:eastAsia="Arial" w:cs="Arial"/>
                <w:sz w:val="22"/>
              </w:rPr>
              <w:t>FAD</w:t>
            </w:r>
          </w:p>
        </w:tc>
        <w:tc>
          <w:tcPr>
            <w:tcW w:w="7018" w:type="dxa"/>
          </w:tcPr>
          <w:p w14:paraId="483A346F" w14:textId="3D5238EB" w:rsidR="00C175A5" w:rsidRPr="00787196" w:rsidRDefault="00C175A5" w:rsidP="00977234">
            <w:pPr>
              <w:spacing w:before="0" w:after="0" w:line="276" w:lineRule="auto"/>
              <w:jc w:val="left"/>
              <w:rPr>
                <w:rFonts w:eastAsia="Arial" w:cs="Arial"/>
                <w:sz w:val="22"/>
              </w:rPr>
            </w:pPr>
            <w:r w:rsidRPr="00787196">
              <w:rPr>
                <w:rFonts w:eastAsia="Arial" w:cs="Arial"/>
                <w:sz w:val="22"/>
              </w:rPr>
              <w:t>Functional Assessment of Dentures</w:t>
            </w:r>
          </w:p>
        </w:tc>
      </w:tr>
      <w:tr w:rsidR="00C175A5" w:rsidRPr="00787196" w14:paraId="3AFA491A" w14:textId="1599F193" w:rsidTr="008D3FC1">
        <w:trPr>
          <w:trHeight w:val="299"/>
        </w:trPr>
        <w:tc>
          <w:tcPr>
            <w:tcW w:w="1555" w:type="dxa"/>
          </w:tcPr>
          <w:p w14:paraId="62AA5135" w14:textId="02853E24" w:rsidR="00C175A5" w:rsidRPr="00787196" w:rsidRDefault="00C175A5" w:rsidP="00977234">
            <w:pPr>
              <w:spacing w:before="0" w:after="0" w:line="276" w:lineRule="auto"/>
              <w:jc w:val="left"/>
              <w:rPr>
                <w:rFonts w:cs="Arial"/>
                <w:sz w:val="22"/>
              </w:rPr>
            </w:pPr>
            <w:r w:rsidRPr="00787196">
              <w:rPr>
                <w:rFonts w:cs="Arial"/>
                <w:color w:val="333333"/>
                <w:sz w:val="22"/>
                <w:shd w:val="clear" w:color="auto" w:fill="FFFFFF"/>
              </w:rPr>
              <w:t>DIDL</w:t>
            </w:r>
          </w:p>
        </w:tc>
        <w:tc>
          <w:tcPr>
            <w:tcW w:w="7018" w:type="dxa"/>
          </w:tcPr>
          <w:p w14:paraId="4DD55F7B" w14:textId="0FF9ACDD" w:rsidR="00C175A5" w:rsidRPr="00787196" w:rsidRDefault="00C175A5"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Dental Impact of Daily Living</w:t>
            </w:r>
          </w:p>
        </w:tc>
      </w:tr>
      <w:tr w:rsidR="00727B08" w:rsidRPr="00787196" w14:paraId="45D02EAE" w14:textId="77777777" w:rsidTr="008D3FC1">
        <w:trPr>
          <w:trHeight w:val="299"/>
        </w:trPr>
        <w:tc>
          <w:tcPr>
            <w:tcW w:w="1555" w:type="dxa"/>
          </w:tcPr>
          <w:p w14:paraId="1C856936" w14:textId="387947FE" w:rsidR="00727B08" w:rsidRPr="00787196" w:rsidRDefault="00727B08"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GAS</w:t>
            </w:r>
          </w:p>
        </w:tc>
        <w:tc>
          <w:tcPr>
            <w:tcW w:w="7018" w:type="dxa"/>
          </w:tcPr>
          <w:p w14:paraId="4522096B" w14:textId="31807029" w:rsidR="00727B08" w:rsidRPr="00787196" w:rsidRDefault="00727B08"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General Adaptation Syndrome</w:t>
            </w:r>
          </w:p>
        </w:tc>
      </w:tr>
      <w:tr w:rsidR="00772546" w:rsidRPr="00787196" w14:paraId="09FC6FC4" w14:textId="77777777" w:rsidTr="008D3FC1">
        <w:trPr>
          <w:trHeight w:val="284"/>
        </w:trPr>
        <w:tc>
          <w:tcPr>
            <w:tcW w:w="1555" w:type="dxa"/>
          </w:tcPr>
          <w:p w14:paraId="5B663B83" w14:textId="4CADA047" w:rsidR="00772546" w:rsidRPr="00787196" w:rsidRDefault="00772546" w:rsidP="00977234">
            <w:pPr>
              <w:spacing w:before="0" w:after="0" w:line="276" w:lineRule="auto"/>
              <w:jc w:val="left"/>
              <w:rPr>
                <w:rFonts w:cs="Arial"/>
                <w:color w:val="333333"/>
                <w:sz w:val="22"/>
                <w:shd w:val="clear" w:color="auto" w:fill="FFFFFF"/>
              </w:rPr>
            </w:pPr>
            <w:r w:rsidRPr="00787196">
              <w:rPr>
                <w:rFonts w:cs="Arial"/>
                <w:sz w:val="22"/>
              </w:rPr>
              <w:t>GOHAI</w:t>
            </w:r>
          </w:p>
        </w:tc>
        <w:tc>
          <w:tcPr>
            <w:tcW w:w="7018" w:type="dxa"/>
          </w:tcPr>
          <w:p w14:paraId="7C05EA5A" w14:textId="3C9F2F57" w:rsidR="00772546" w:rsidRPr="00787196" w:rsidRDefault="00772546" w:rsidP="00977234">
            <w:pPr>
              <w:spacing w:before="0" w:after="0" w:line="276" w:lineRule="auto"/>
              <w:jc w:val="left"/>
              <w:rPr>
                <w:rFonts w:cs="Arial"/>
                <w:color w:val="333333"/>
                <w:sz w:val="22"/>
                <w:shd w:val="clear" w:color="auto" w:fill="FFFFFF"/>
              </w:rPr>
            </w:pPr>
            <w:r w:rsidRPr="00787196">
              <w:rPr>
                <w:rFonts w:cs="Arial"/>
                <w:sz w:val="22"/>
              </w:rPr>
              <w:t>Geriatric Oral Health Assessment Index</w:t>
            </w:r>
          </w:p>
        </w:tc>
      </w:tr>
      <w:tr w:rsidR="00772546" w:rsidRPr="00787196" w14:paraId="79A9B134" w14:textId="77777777" w:rsidTr="008D3FC1">
        <w:trPr>
          <w:trHeight w:val="284"/>
        </w:trPr>
        <w:tc>
          <w:tcPr>
            <w:tcW w:w="1555" w:type="dxa"/>
          </w:tcPr>
          <w:p w14:paraId="297B75E5" w14:textId="3A0C4B1A" w:rsidR="00772546" w:rsidRPr="00787196" w:rsidRDefault="00772546"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HRA-O</w:t>
            </w:r>
          </w:p>
        </w:tc>
        <w:tc>
          <w:tcPr>
            <w:tcW w:w="7018" w:type="dxa"/>
          </w:tcPr>
          <w:p w14:paraId="00668FDD" w14:textId="3FC5D568" w:rsidR="00772546" w:rsidRPr="00787196" w:rsidRDefault="00772546"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Health Risk Appraisal – for Older people</w:t>
            </w:r>
          </w:p>
        </w:tc>
      </w:tr>
      <w:tr w:rsidR="00772546" w:rsidRPr="00787196" w14:paraId="06F315D9" w14:textId="77777777" w:rsidTr="008D3FC1">
        <w:trPr>
          <w:trHeight w:val="299"/>
        </w:trPr>
        <w:tc>
          <w:tcPr>
            <w:tcW w:w="1555" w:type="dxa"/>
          </w:tcPr>
          <w:p w14:paraId="12377334" w14:textId="11E058DA" w:rsidR="00772546" w:rsidRPr="00787196" w:rsidRDefault="00772546"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HRQoL</w:t>
            </w:r>
          </w:p>
        </w:tc>
        <w:tc>
          <w:tcPr>
            <w:tcW w:w="7018" w:type="dxa"/>
          </w:tcPr>
          <w:p w14:paraId="744B4716" w14:textId="258C0C4A" w:rsidR="00772546" w:rsidRPr="00787196" w:rsidRDefault="00772546" w:rsidP="00977234">
            <w:pPr>
              <w:spacing w:before="0" w:after="0" w:line="276" w:lineRule="auto"/>
              <w:jc w:val="left"/>
              <w:rPr>
                <w:rFonts w:cs="Arial"/>
                <w:color w:val="333333"/>
                <w:sz w:val="22"/>
                <w:shd w:val="clear" w:color="auto" w:fill="FFFFFF"/>
              </w:rPr>
            </w:pPr>
            <w:r w:rsidRPr="00787196">
              <w:rPr>
                <w:rFonts w:cs="Arial"/>
                <w:color w:val="333333"/>
                <w:sz w:val="22"/>
                <w:shd w:val="clear" w:color="auto" w:fill="FFFFFF"/>
              </w:rPr>
              <w:t>Health Related Quality of Life</w:t>
            </w:r>
          </w:p>
        </w:tc>
      </w:tr>
      <w:tr w:rsidR="00C175A5" w:rsidRPr="00787196" w14:paraId="7A0C34E5" w14:textId="0DBCCBAD" w:rsidTr="008D3FC1">
        <w:trPr>
          <w:trHeight w:val="284"/>
        </w:trPr>
        <w:tc>
          <w:tcPr>
            <w:tcW w:w="1555" w:type="dxa"/>
          </w:tcPr>
          <w:p w14:paraId="2ED34509" w14:textId="3BEA9C49" w:rsidR="00C175A5" w:rsidRPr="00787196" w:rsidRDefault="00C175A5" w:rsidP="00977234">
            <w:pPr>
              <w:spacing w:before="0" w:after="0" w:line="276" w:lineRule="auto"/>
              <w:jc w:val="left"/>
              <w:rPr>
                <w:rFonts w:cs="Arial"/>
                <w:sz w:val="22"/>
              </w:rPr>
            </w:pPr>
            <w:r w:rsidRPr="00787196">
              <w:rPr>
                <w:rFonts w:cs="Arial"/>
                <w:sz w:val="22"/>
              </w:rPr>
              <w:t>ICF</w:t>
            </w:r>
          </w:p>
        </w:tc>
        <w:tc>
          <w:tcPr>
            <w:tcW w:w="7018" w:type="dxa"/>
          </w:tcPr>
          <w:p w14:paraId="1EDE6518" w14:textId="64E2C456" w:rsidR="00C175A5" w:rsidRPr="00787196" w:rsidRDefault="00C175A5" w:rsidP="00977234">
            <w:pPr>
              <w:spacing w:before="0" w:after="0" w:line="276" w:lineRule="auto"/>
              <w:jc w:val="left"/>
              <w:rPr>
                <w:rFonts w:cs="Arial"/>
                <w:sz w:val="22"/>
              </w:rPr>
            </w:pPr>
            <w:r w:rsidRPr="00787196">
              <w:rPr>
                <w:rFonts w:cs="Arial"/>
                <w:sz w:val="22"/>
              </w:rPr>
              <w:t>International Classification of Functioning, Disability and Health</w:t>
            </w:r>
          </w:p>
        </w:tc>
      </w:tr>
      <w:tr w:rsidR="00C175A5" w:rsidRPr="00787196" w14:paraId="22CCBB21" w14:textId="54D91ADD" w:rsidTr="008D3FC1">
        <w:trPr>
          <w:trHeight w:val="299"/>
        </w:trPr>
        <w:tc>
          <w:tcPr>
            <w:tcW w:w="1555" w:type="dxa"/>
          </w:tcPr>
          <w:p w14:paraId="41563219" w14:textId="20D4CB62" w:rsidR="00C175A5" w:rsidRPr="00787196" w:rsidRDefault="00C175A5" w:rsidP="00977234">
            <w:pPr>
              <w:spacing w:before="0" w:after="0" w:line="276" w:lineRule="auto"/>
              <w:jc w:val="left"/>
              <w:rPr>
                <w:rFonts w:cs="Arial"/>
                <w:sz w:val="22"/>
              </w:rPr>
            </w:pPr>
            <w:r w:rsidRPr="00787196">
              <w:rPr>
                <w:rFonts w:cs="Arial"/>
                <w:sz w:val="22"/>
              </w:rPr>
              <w:t>MEDLINE</w:t>
            </w:r>
          </w:p>
        </w:tc>
        <w:tc>
          <w:tcPr>
            <w:tcW w:w="7018" w:type="dxa"/>
          </w:tcPr>
          <w:p w14:paraId="27E885A0" w14:textId="530C3FDB" w:rsidR="00C175A5" w:rsidRPr="00787196" w:rsidRDefault="00C175A5" w:rsidP="00977234">
            <w:pPr>
              <w:spacing w:before="0" w:after="0" w:line="276" w:lineRule="auto"/>
              <w:jc w:val="left"/>
              <w:rPr>
                <w:rFonts w:cs="Arial"/>
                <w:sz w:val="22"/>
              </w:rPr>
            </w:pPr>
            <w:r w:rsidRPr="00787196">
              <w:rPr>
                <w:rFonts w:cs="Arial"/>
                <w:sz w:val="22"/>
              </w:rPr>
              <w:t>Medical Literature Analysis and Retrieval System Online</w:t>
            </w:r>
          </w:p>
        </w:tc>
      </w:tr>
      <w:tr w:rsidR="00C175A5" w:rsidRPr="00787196" w14:paraId="11FACF8B" w14:textId="1E5B0FD6" w:rsidTr="008D3FC1">
        <w:trPr>
          <w:trHeight w:val="272"/>
        </w:trPr>
        <w:tc>
          <w:tcPr>
            <w:tcW w:w="1555" w:type="dxa"/>
          </w:tcPr>
          <w:p w14:paraId="2333B6DC" w14:textId="327A7ADB" w:rsidR="00C175A5" w:rsidRPr="00787196" w:rsidRDefault="00C175A5" w:rsidP="00977234">
            <w:pPr>
              <w:spacing w:before="0" w:after="0" w:line="276" w:lineRule="auto"/>
              <w:jc w:val="left"/>
              <w:rPr>
                <w:rFonts w:cs="Arial"/>
                <w:sz w:val="22"/>
              </w:rPr>
            </w:pPr>
            <w:r w:rsidRPr="00787196">
              <w:rPr>
                <w:rFonts w:cs="Arial"/>
                <w:sz w:val="22"/>
              </w:rPr>
              <w:t>OHIP</w:t>
            </w:r>
          </w:p>
        </w:tc>
        <w:tc>
          <w:tcPr>
            <w:tcW w:w="7018" w:type="dxa"/>
          </w:tcPr>
          <w:p w14:paraId="267B4DE0" w14:textId="400F6ED4" w:rsidR="00C175A5" w:rsidRPr="00787196" w:rsidRDefault="00C175A5" w:rsidP="00977234">
            <w:pPr>
              <w:spacing w:before="0" w:after="0" w:line="276" w:lineRule="auto"/>
              <w:jc w:val="left"/>
              <w:rPr>
                <w:rFonts w:cs="Arial"/>
                <w:sz w:val="22"/>
              </w:rPr>
            </w:pPr>
            <w:r w:rsidRPr="00787196">
              <w:rPr>
                <w:rFonts w:cs="Arial"/>
                <w:sz w:val="22"/>
              </w:rPr>
              <w:t>Oral Health Impacts Profile</w:t>
            </w:r>
          </w:p>
        </w:tc>
      </w:tr>
      <w:tr w:rsidR="00C175A5" w:rsidRPr="00787196" w14:paraId="2E14E6FF" w14:textId="636748A3" w:rsidTr="00457EA0">
        <w:trPr>
          <w:trHeight w:val="259"/>
        </w:trPr>
        <w:tc>
          <w:tcPr>
            <w:tcW w:w="1555" w:type="dxa"/>
          </w:tcPr>
          <w:p w14:paraId="5DF8D51F" w14:textId="7D5D1031" w:rsidR="00C175A5" w:rsidRPr="00787196" w:rsidRDefault="00C175A5" w:rsidP="00977234">
            <w:pPr>
              <w:spacing w:before="0" w:after="0" w:line="276" w:lineRule="auto"/>
              <w:jc w:val="left"/>
              <w:rPr>
                <w:rFonts w:cs="Arial"/>
                <w:sz w:val="22"/>
              </w:rPr>
            </w:pPr>
            <w:r w:rsidRPr="00787196">
              <w:rPr>
                <w:rFonts w:cs="Arial"/>
                <w:sz w:val="22"/>
              </w:rPr>
              <w:t xml:space="preserve">OHIP- </w:t>
            </w:r>
            <w:r w:rsidRPr="00787196">
              <w:rPr>
                <w:rFonts w:cs="Arial"/>
                <w:sz w:val="20"/>
                <w:szCs w:val="20"/>
              </w:rPr>
              <w:t>EDENT</w:t>
            </w:r>
          </w:p>
        </w:tc>
        <w:tc>
          <w:tcPr>
            <w:tcW w:w="7018" w:type="dxa"/>
          </w:tcPr>
          <w:p w14:paraId="0C5A933F" w14:textId="2BB0245A" w:rsidR="00C175A5" w:rsidRPr="00787196" w:rsidRDefault="00C175A5" w:rsidP="00977234">
            <w:pPr>
              <w:spacing w:before="0" w:after="0" w:line="276" w:lineRule="auto"/>
              <w:jc w:val="left"/>
              <w:rPr>
                <w:rFonts w:cs="Arial"/>
                <w:sz w:val="22"/>
              </w:rPr>
            </w:pPr>
            <w:r w:rsidRPr="00787196">
              <w:rPr>
                <w:rFonts w:cs="Arial"/>
                <w:sz w:val="22"/>
              </w:rPr>
              <w:t>Oral Health Impacts Profile -Edentulous</w:t>
            </w:r>
          </w:p>
        </w:tc>
      </w:tr>
      <w:tr w:rsidR="00C175A5" w:rsidRPr="00787196" w14:paraId="445FC13B" w14:textId="09CF9F4C" w:rsidTr="008D3FC1">
        <w:trPr>
          <w:trHeight w:val="284"/>
        </w:trPr>
        <w:tc>
          <w:tcPr>
            <w:tcW w:w="1555" w:type="dxa"/>
          </w:tcPr>
          <w:p w14:paraId="72EE8B37" w14:textId="1FC7F156" w:rsidR="00C175A5" w:rsidRPr="00787196" w:rsidRDefault="00C175A5" w:rsidP="00977234">
            <w:pPr>
              <w:spacing w:before="0" w:after="0" w:line="276" w:lineRule="auto"/>
              <w:jc w:val="left"/>
              <w:rPr>
                <w:rFonts w:cs="Arial"/>
                <w:sz w:val="22"/>
              </w:rPr>
            </w:pPr>
            <w:r w:rsidRPr="00787196">
              <w:rPr>
                <w:rFonts w:cs="Arial"/>
                <w:sz w:val="22"/>
              </w:rPr>
              <w:t>OHQoL</w:t>
            </w:r>
          </w:p>
        </w:tc>
        <w:tc>
          <w:tcPr>
            <w:tcW w:w="7018" w:type="dxa"/>
          </w:tcPr>
          <w:p w14:paraId="7D1EDE0E" w14:textId="434D0148" w:rsidR="00C175A5" w:rsidRPr="00787196" w:rsidRDefault="00C175A5" w:rsidP="00977234">
            <w:pPr>
              <w:spacing w:before="0" w:after="0" w:line="276" w:lineRule="auto"/>
              <w:jc w:val="left"/>
              <w:rPr>
                <w:rFonts w:cs="Arial"/>
                <w:sz w:val="22"/>
              </w:rPr>
            </w:pPr>
            <w:r w:rsidRPr="00787196">
              <w:rPr>
                <w:rFonts w:cs="Arial"/>
                <w:sz w:val="22"/>
              </w:rPr>
              <w:t>Oral Health related Quality of Life</w:t>
            </w:r>
          </w:p>
        </w:tc>
      </w:tr>
      <w:tr w:rsidR="00136257" w:rsidRPr="00787196" w14:paraId="3A6B8D41" w14:textId="77777777" w:rsidTr="008D3FC1">
        <w:trPr>
          <w:trHeight w:val="299"/>
        </w:trPr>
        <w:tc>
          <w:tcPr>
            <w:tcW w:w="1555" w:type="dxa"/>
          </w:tcPr>
          <w:p w14:paraId="68922C5A" w14:textId="1B0795E4" w:rsidR="00136257" w:rsidRPr="00787196" w:rsidRDefault="00136257" w:rsidP="00977234">
            <w:pPr>
              <w:spacing w:before="0" w:after="0" w:line="276" w:lineRule="auto"/>
              <w:jc w:val="left"/>
              <w:rPr>
                <w:rFonts w:cs="Arial"/>
                <w:sz w:val="22"/>
              </w:rPr>
            </w:pPr>
            <w:r w:rsidRPr="00787196">
              <w:rPr>
                <w:rFonts w:cs="Arial"/>
                <w:sz w:val="22"/>
              </w:rPr>
              <w:t>OIDP</w:t>
            </w:r>
          </w:p>
        </w:tc>
        <w:tc>
          <w:tcPr>
            <w:tcW w:w="7018" w:type="dxa"/>
          </w:tcPr>
          <w:p w14:paraId="4ABC71EE" w14:textId="6B6C7207" w:rsidR="00136257" w:rsidRPr="00787196" w:rsidRDefault="00136257" w:rsidP="00977234">
            <w:pPr>
              <w:spacing w:before="0" w:after="0" w:line="276" w:lineRule="auto"/>
              <w:jc w:val="left"/>
              <w:rPr>
                <w:rFonts w:cs="Arial"/>
                <w:sz w:val="22"/>
              </w:rPr>
            </w:pPr>
            <w:r w:rsidRPr="00787196">
              <w:rPr>
                <w:rFonts w:cs="Arial"/>
                <w:sz w:val="22"/>
              </w:rPr>
              <w:t>Oral Impacts on Daily Performance</w:t>
            </w:r>
          </w:p>
        </w:tc>
      </w:tr>
      <w:tr w:rsidR="00851921" w:rsidRPr="00787196" w14:paraId="57CA98D7" w14:textId="77777777" w:rsidTr="008D3FC1">
        <w:trPr>
          <w:trHeight w:val="284"/>
        </w:trPr>
        <w:tc>
          <w:tcPr>
            <w:tcW w:w="1555" w:type="dxa"/>
          </w:tcPr>
          <w:p w14:paraId="5CF6722D" w14:textId="19A39AA6" w:rsidR="00851921" w:rsidRPr="00787196" w:rsidRDefault="00851921" w:rsidP="00977234">
            <w:pPr>
              <w:spacing w:before="0" w:after="0" w:line="276" w:lineRule="auto"/>
              <w:jc w:val="left"/>
              <w:rPr>
                <w:rFonts w:cs="Arial"/>
                <w:sz w:val="22"/>
              </w:rPr>
            </w:pPr>
            <w:r w:rsidRPr="00787196">
              <w:rPr>
                <w:rFonts w:cs="Arial"/>
                <w:sz w:val="22"/>
              </w:rPr>
              <w:t>QoL</w:t>
            </w:r>
          </w:p>
        </w:tc>
        <w:tc>
          <w:tcPr>
            <w:tcW w:w="7018" w:type="dxa"/>
          </w:tcPr>
          <w:p w14:paraId="758704A8" w14:textId="715986F7" w:rsidR="00851921" w:rsidRPr="00787196" w:rsidRDefault="00851921" w:rsidP="00977234">
            <w:pPr>
              <w:spacing w:before="0" w:after="0" w:line="276" w:lineRule="auto"/>
              <w:jc w:val="left"/>
              <w:rPr>
                <w:rFonts w:cs="Arial"/>
                <w:sz w:val="22"/>
              </w:rPr>
            </w:pPr>
            <w:r w:rsidRPr="00787196">
              <w:rPr>
                <w:rFonts w:cs="Arial"/>
                <w:sz w:val="22"/>
              </w:rPr>
              <w:t>Quality of Life</w:t>
            </w:r>
          </w:p>
        </w:tc>
      </w:tr>
      <w:tr w:rsidR="00772546" w:rsidRPr="00787196" w14:paraId="4A3027C0" w14:textId="77777777" w:rsidTr="008D3FC1">
        <w:trPr>
          <w:trHeight w:val="284"/>
        </w:trPr>
        <w:tc>
          <w:tcPr>
            <w:tcW w:w="1555" w:type="dxa"/>
          </w:tcPr>
          <w:p w14:paraId="408B9FCB" w14:textId="6A78F105" w:rsidR="00772546" w:rsidRPr="00787196" w:rsidRDefault="00772546" w:rsidP="00977234">
            <w:pPr>
              <w:spacing w:before="0" w:after="0" w:line="276" w:lineRule="auto"/>
              <w:jc w:val="left"/>
              <w:rPr>
                <w:rFonts w:cs="Arial"/>
                <w:sz w:val="22"/>
              </w:rPr>
            </w:pPr>
            <w:r w:rsidRPr="00787196">
              <w:rPr>
                <w:rFonts w:cs="Arial"/>
                <w:sz w:val="22"/>
              </w:rPr>
              <w:t>PRO</w:t>
            </w:r>
          </w:p>
        </w:tc>
        <w:tc>
          <w:tcPr>
            <w:tcW w:w="7018" w:type="dxa"/>
          </w:tcPr>
          <w:p w14:paraId="477E0FC7" w14:textId="67656AB8" w:rsidR="00772546" w:rsidRPr="00787196" w:rsidRDefault="00772546" w:rsidP="00977234">
            <w:pPr>
              <w:spacing w:before="0" w:after="0" w:line="276" w:lineRule="auto"/>
              <w:jc w:val="left"/>
              <w:rPr>
                <w:rFonts w:cs="Arial"/>
                <w:sz w:val="22"/>
              </w:rPr>
            </w:pPr>
            <w:r w:rsidRPr="00787196">
              <w:rPr>
                <w:rFonts w:cs="Arial"/>
                <w:sz w:val="22"/>
              </w:rPr>
              <w:t>Patient Reported Outcomes</w:t>
            </w:r>
          </w:p>
        </w:tc>
      </w:tr>
      <w:tr w:rsidR="00C175A5" w:rsidRPr="00787196" w14:paraId="0799FFBF" w14:textId="2439A8D0" w:rsidTr="008D3FC1">
        <w:trPr>
          <w:trHeight w:val="299"/>
        </w:trPr>
        <w:tc>
          <w:tcPr>
            <w:tcW w:w="1555" w:type="dxa"/>
          </w:tcPr>
          <w:p w14:paraId="2884BED7" w14:textId="5482388C" w:rsidR="00C175A5" w:rsidRPr="00787196" w:rsidRDefault="00C175A5" w:rsidP="00977234">
            <w:pPr>
              <w:spacing w:before="0" w:after="0" w:line="276" w:lineRule="auto"/>
              <w:jc w:val="left"/>
              <w:rPr>
                <w:rFonts w:cs="Arial"/>
                <w:sz w:val="22"/>
              </w:rPr>
            </w:pPr>
            <w:r w:rsidRPr="00787196">
              <w:rPr>
                <w:rFonts w:cs="Arial"/>
                <w:sz w:val="22"/>
              </w:rPr>
              <w:t>PSS</w:t>
            </w:r>
          </w:p>
        </w:tc>
        <w:tc>
          <w:tcPr>
            <w:tcW w:w="7018" w:type="dxa"/>
          </w:tcPr>
          <w:p w14:paraId="530DF26D" w14:textId="36794384" w:rsidR="00C175A5" w:rsidRPr="00787196" w:rsidRDefault="00C175A5" w:rsidP="00977234">
            <w:pPr>
              <w:spacing w:before="0" w:after="0" w:line="276" w:lineRule="auto"/>
              <w:jc w:val="left"/>
              <w:rPr>
                <w:rFonts w:cs="Arial"/>
                <w:sz w:val="22"/>
              </w:rPr>
            </w:pPr>
            <w:r w:rsidRPr="00787196">
              <w:rPr>
                <w:rFonts w:cs="Arial"/>
                <w:sz w:val="22"/>
              </w:rPr>
              <w:t>Perceived Stress Scale</w:t>
            </w:r>
          </w:p>
        </w:tc>
      </w:tr>
      <w:tr w:rsidR="00136257" w:rsidRPr="00787196" w14:paraId="41ACF7BD" w14:textId="77777777" w:rsidTr="008D3FC1">
        <w:trPr>
          <w:trHeight w:val="284"/>
        </w:trPr>
        <w:tc>
          <w:tcPr>
            <w:tcW w:w="1555" w:type="dxa"/>
          </w:tcPr>
          <w:p w14:paraId="45EAE000" w14:textId="6659A649" w:rsidR="00136257" w:rsidRPr="00787196" w:rsidRDefault="00136257" w:rsidP="00977234">
            <w:pPr>
              <w:spacing w:before="0" w:after="0" w:line="276" w:lineRule="auto"/>
              <w:jc w:val="left"/>
              <w:rPr>
                <w:rFonts w:cs="Arial"/>
                <w:sz w:val="22"/>
              </w:rPr>
            </w:pPr>
            <w:r w:rsidRPr="00787196">
              <w:rPr>
                <w:rFonts w:cs="Arial"/>
                <w:sz w:val="22"/>
              </w:rPr>
              <w:t>PSQ</w:t>
            </w:r>
          </w:p>
        </w:tc>
        <w:tc>
          <w:tcPr>
            <w:tcW w:w="7018" w:type="dxa"/>
          </w:tcPr>
          <w:p w14:paraId="5EA02B60" w14:textId="340DA492" w:rsidR="00136257" w:rsidRPr="00787196" w:rsidRDefault="00136257" w:rsidP="00977234">
            <w:pPr>
              <w:spacing w:before="0" w:after="0" w:line="276" w:lineRule="auto"/>
              <w:jc w:val="left"/>
              <w:rPr>
                <w:rFonts w:cs="Arial"/>
                <w:sz w:val="22"/>
              </w:rPr>
            </w:pPr>
            <w:r w:rsidRPr="00787196">
              <w:rPr>
                <w:rFonts w:cs="Arial"/>
                <w:sz w:val="22"/>
              </w:rPr>
              <w:t>Perceived Stress Questionnaire</w:t>
            </w:r>
          </w:p>
        </w:tc>
      </w:tr>
      <w:tr w:rsidR="008D6A8E" w:rsidRPr="00787196" w14:paraId="0FE4C4CF" w14:textId="77777777" w:rsidTr="008D3FC1">
        <w:trPr>
          <w:trHeight w:val="299"/>
        </w:trPr>
        <w:tc>
          <w:tcPr>
            <w:tcW w:w="1555" w:type="dxa"/>
          </w:tcPr>
          <w:p w14:paraId="41C8C0B7" w14:textId="2308B6E2" w:rsidR="008D6A8E" w:rsidRPr="00787196" w:rsidRDefault="008D6A8E" w:rsidP="00977234">
            <w:pPr>
              <w:spacing w:before="0" w:after="0" w:line="276" w:lineRule="auto"/>
              <w:jc w:val="left"/>
              <w:rPr>
                <w:rFonts w:cs="Arial"/>
                <w:sz w:val="22"/>
              </w:rPr>
            </w:pPr>
            <w:r w:rsidRPr="00787196">
              <w:rPr>
                <w:rFonts w:cs="Arial"/>
                <w:sz w:val="22"/>
              </w:rPr>
              <w:t>SDA</w:t>
            </w:r>
          </w:p>
        </w:tc>
        <w:tc>
          <w:tcPr>
            <w:tcW w:w="7018" w:type="dxa"/>
          </w:tcPr>
          <w:p w14:paraId="4D960904" w14:textId="00BF75EE" w:rsidR="008D6A8E" w:rsidRPr="00787196" w:rsidRDefault="008D6A8E" w:rsidP="00977234">
            <w:pPr>
              <w:spacing w:before="0" w:after="0" w:line="276" w:lineRule="auto"/>
              <w:jc w:val="left"/>
              <w:rPr>
                <w:rFonts w:cs="Arial"/>
                <w:sz w:val="22"/>
              </w:rPr>
            </w:pPr>
            <w:r w:rsidRPr="00787196">
              <w:rPr>
                <w:rFonts w:cs="Arial"/>
                <w:sz w:val="22"/>
              </w:rPr>
              <w:t>Shortened Dental Arches</w:t>
            </w:r>
          </w:p>
        </w:tc>
      </w:tr>
      <w:tr w:rsidR="00136257" w:rsidRPr="00787196" w14:paraId="1052F373" w14:textId="77777777" w:rsidTr="008D3FC1">
        <w:trPr>
          <w:trHeight w:val="569"/>
        </w:trPr>
        <w:tc>
          <w:tcPr>
            <w:tcW w:w="1555" w:type="dxa"/>
          </w:tcPr>
          <w:p w14:paraId="02768CD7" w14:textId="29CDAFAC" w:rsidR="00136257" w:rsidRPr="00787196" w:rsidRDefault="00136257" w:rsidP="00977234">
            <w:pPr>
              <w:spacing w:before="0" w:after="0" w:line="276" w:lineRule="auto"/>
              <w:jc w:val="left"/>
              <w:rPr>
                <w:rFonts w:cs="Arial"/>
                <w:sz w:val="22"/>
              </w:rPr>
            </w:pPr>
            <w:r w:rsidRPr="00787196">
              <w:rPr>
                <w:rFonts w:cs="Arial"/>
                <w:sz w:val="22"/>
              </w:rPr>
              <w:t>SEIQoL</w:t>
            </w:r>
            <w:r w:rsidR="00772546" w:rsidRPr="00787196">
              <w:rPr>
                <w:rFonts w:cs="Arial"/>
                <w:sz w:val="22"/>
              </w:rPr>
              <w:t>- DW</w:t>
            </w:r>
          </w:p>
        </w:tc>
        <w:tc>
          <w:tcPr>
            <w:tcW w:w="7018" w:type="dxa"/>
          </w:tcPr>
          <w:p w14:paraId="1905D898" w14:textId="764762EB" w:rsidR="00136257" w:rsidRPr="00787196" w:rsidRDefault="00136257" w:rsidP="00977234">
            <w:pPr>
              <w:spacing w:before="0" w:after="0" w:line="276" w:lineRule="auto"/>
              <w:jc w:val="left"/>
              <w:rPr>
                <w:rFonts w:cs="Arial"/>
                <w:sz w:val="22"/>
              </w:rPr>
            </w:pPr>
            <w:r w:rsidRPr="00787196">
              <w:rPr>
                <w:rFonts w:cs="Arial"/>
                <w:sz w:val="22"/>
              </w:rPr>
              <w:t>Schedule for the Evaluation of Individual Quality of Life</w:t>
            </w:r>
            <w:r w:rsidR="00772546" w:rsidRPr="00787196">
              <w:rPr>
                <w:rFonts w:cs="Arial"/>
                <w:sz w:val="22"/>
              </w:rPr>
              <w:t xml:space="preserve"> –Direct Weighting</w:t>
            </w:r>
          </w:p>
        </w:tc>
      </w:tr>
      <w:tr w:rsidR="00C175A5" w:rsidRPr="00787196" w14:paraId="06356934" w14:textId="591A28A5" w:rsidTr="008D3FC1">
        <w:trPr>
          <w:trHeight w:val="299"/>
        </w:trPr>
        <w:tc>
          <w:tcPr>
            <w:tcW w:w="1555" w:type="dxa"/>
          </w:tcPr>
          <w:p w14:paraId="39F4FA5C" w14:textId="071D7DE8" w:rsidR="00C175A5" w:rsidRPr="00787196" w:rsidRDefault="007332C4" w:rsidP="00977234">
            <w:pPr>
              <w:spacing w:before="0" w:after="0" w:line="276" w:lineRule="auto"/>
              <w:jc w:val="left"/>
              <w:rPr>
                <w:rFonts w:cs="Arial"/>
                <w:sz w:val="22"/>
              </w:rPr>
            </w:pPr>
            <w:r w:rsidRPr="00787196">
              <w:rPr>
                <w:rFonts w:cs="Arial"/>
                <w:sz w:val="22"/>
              </w:rPr>
              <w:t>SES</w:t>
            </w:r>
          </w:p>
        </w:tc>
        <w:tc>
          <w:tcPr>
            <w:tcW w:w="7018" w:type="dxa"/>
          </w:tcPr>
          <w:p w14:paraId="5B96351B" w14:textId="00217B6D" w:rsidR="00C175A5" w:rsidRPr="00787196" w:rsidRDefault="00C175A5" w:rsidP="00977234">
            <w:pPr>
              <w:spacing w:before="0" w:after="0" w:line="276" w:lineRule="auto"/>
              <w:jc w:val="left"/>
              <w:rPr>
                <w:rFonts w:cs="Arial"/>
                <w:sz w:val="22"/>
              </w:rPr>
            </w:pPr>
            <w:r w:rsidRPr="00787196">
              <w:rPr>
                <w:rFonts w:cs="Arial"/>
                <w:sz w:val="22"/>
              </w:rPr>
              <w:t>Socio Economic Status</w:t>
            </w:r>
          </w:p>
        </w:tc>
      </w:tr>
      <w:tr w:rsidR="00291428" w:rsidRPr="00787196" w14:paraId="7C97ACDB" w14:textId="77777777" w:rsidTr="008D3FC1">
        <w:trPr>
          <w:trHeight w:val="284"/>
        </w:trPr>
        <w:tc>
          <w:tcPr>
            <w:tcW w:w="1555" w:type="dxa"/>
          </w:tcPr>
          <w:p w14:paraId="75EC1346" w14:textId="398AB191" w:rsidR="00291428" w:rsidRPr="00787196" w:rsidRDefault="00291428" w:rsidP="00977234">
            <w:pPr>
              <w:spacing w:before="0" w:after="0" w:line="276" w:lineRule="auto"/>
              <w:jc w:val="left"/>
              <w:rPr>
                <w:rFonts w:cs="Arial"/>
                <w:sz w:val="22"/>
              </w:rPr>
            </w:pPr>
            <w:r w:rsidRPr="00787196">
              <w:rPr>
                <w:rFonts w:cs="Arial"/>
                <w:sz w:val="22"/>
              </w:rPr>
              <w:t>SIQ</w:t>
            </w:r>
          </w:p>
        </w:tc>
        <w:tc>
          <w:tcPr>
            <w:tcW w:w="7018" w:type="dxa"/>
          </w:tcPr>
          <w:p w14:paraId="7CAC647B" w14:textId="59BDB81D" w:rsidR="00291428" w:rsidRPr="00787196" w:rsidRDefault="00291428" w:rsidP="00977234">
            <w:pPr>
              <w:spacing w:before="0" w:after="0" w:line="276" w:lineRule="auto"/>
              <w:jc w:val="left"/>
              <w:rPr>
                <w:rFonts w:cs="Arial"/>
                <w:sz w:val="22"/>
              </w:rPr>
            </w:pPr>
            <w:r w:rsidRPr="00787196">
              <w:rPr>
                <w:rFonts w:cs="Arial"/>
                <w:sz w:val="22"/>
              </w:rPr>
              <w:t>Social Impacts Questionnaire</w:t>
            </w:r>
          </w:p>
        </w:tc>
      </w:tr>
      <w:tr w:rsidR="00C175A5" w:rsidRPr="00787196" w14:paraId="1ADF8CFE" w14:textId="0669EB0C" w:rsidTr="008D3FC1">
        <w:trPr>
          <w:trHeight w:val="299"/>
        </w:trPr>
        <w:tc>
          <w:tcPr>
            <w:tcW w:w="1555" w:type="dxa"/>
          </w:tcPr>
          <w:p w14:paraId="700F6D43" w14:textId="22C03791" w:rsidR="00C175A5" w:rsidRPr="00787196" w:rsidRDefault="00851921" w:rsidP="00977234">
            <w:pPr>
              <w:spacing w:before="0" w:after="0" w:line="276" w:lineRule="auto"/>
              <w:jc w:val="left"/>
              <w:rPr>
                <w:rFonts w:cs="Arial"/>
                <w:sz w:val="22"/>
              </w:rPr>
            </w:pPr>
            <w:r w:rsidRPr="00787196">
              <w:rPr>
                <w:rFonts w:cs="Arial"/>
                <w:sz w:val="22"/>
              </w:rPr>
              <w:t>SF</w:t>
            </w:r>
            <w:r w:rsidR="00C175A5" w:rsidRPr="00787196">
              <w:rPr>
                <w:rFonts w:cs="Arial"/>
                <w:sz w:val="22"/>
              </w:rPr>
              <w:t>–</w:t>
            </w:r>
            <w:r w:rsidRPr="00787196">
              <w:rPr>
                <w:rFonts w:cs="Arial"/>
                <w:sz w:val="22"/>
              </w:rPr>
              <w:t>36</w:t>
            </w:r>
          </w:p>
        </w:tc>
        <w:tc>
          <w:tcPr>
            <w:tcW w:w="7018" w:type="dxa"/>
          </w:tcPr>
          <w:p w14:paraId="286ACFB4" w14:textId="7CD91623" w:rsidR="00C175A5" w:rsidRPr="00787196" w:rsidRDefault="00851921" w:rsidP="00977234">
            <w:pPr>
              <w:spacing w:before="0" w:after="0" w:line="276" w:lineRule="auto"/>
              <w:jc w:val="left"/>
              <w:rPr>
                <w:rFonts w:cs="Arial"/>
                <w:sz w:val="22"/>
              </w:rPr>
            </w:pPr>
            <w:r w:rsidRPr="00787196">
              <w:rPr>
                <w:rFonts w:cs="Arial"/>
                <w:sz w:val="22"/>
              </w:rPr>
              <w:t>Short form 36</w:t>
            </w:r>
          </w:p>
        </w:tc>
      </w:tr>
      <w:tr w:rsidR="00851921" w:rsidRPr="00787196" w14:paraId="1D61B133" w14:textId="77777777" w:rsidTr="008D3FC1">
        <w:trPr>
          <w:trHeight w:val="284"/>
        </w:trPr>
        <w:tc>
          <w:tcPr>
            <w:tcW w:w="1555" w:type="dxa"/>
          </w:tcPr>
          <w:p w14:paraId="41930917" w14:textId="337CD7A7" w:rsidR="00851921" w:rsidRPr="00787196" w:rsidRDefault="00851921" w:rsidP="00977234">
            <w:pPr>
              <w:spacing w:before="0" w:after="0" w:line="276" w:lineRule="auto"/>
              <w:jc w:val="left"/>
              <w:rPr>
                <w:rFonts w:cs="Arial"/>
                <w:sz w:val="22"/>
              </w:rPr>
            </w:pPr>
            <w:r w:rsidRPr="00787196">
              <w:rPr>
                <w:rFonts w:cs="Arial"/>
                <w:sz w:val="22"/>
              </w:rPr>
              <w:t>SPSS</w:t>
            </w:r>
          </w:p>
        </w:tc>
        <w:tc>
          <w:tcPr>
            <w:tcW w:w="7018" w:type="dxa"/>
          </w:tcPr>
          <w:p w14:paraId="40D097F0" w14:textId="4EE738D5" w:rsidR="00851921" w:rsidRPr="00787196" w:rsidRDefault="00851921" w:rsidP="00977234">
            <w:pPr>
              <w:spacing w:before="0" w:after="0" w:line="276" w:lineRule="auto"/>
              <w:jc w:val="left"/>
              <w:rPr>
                <w:rFonts w:cs="Arial"/>
                <w:sz w:val="22"/>
              </w:rPr>
            </w:pPr>
            <w:r w:rsidRPr="00787196">
              <w:rPr>
                <w:rFonts w:cs="Arial"/>
                <w:sz w:val="22"/>
              </w:rPr>
              <w:t>Statistical Package for the Social Sciences</w:t>
            </w:r>
          </w:p>
        </w:tc>
      </w:tr>
      <w:tr w:rsidR="00457EA0" w:rsidRPr="00787196" w14:paraId="72CB09BF" w14:textId="77777777" w:rsidTr="008D3FC1">
        <w:trPr>
          <w:trHeight w:val="284"/>
        </w:trPr>
        <w:tc>
          <w:tcPr>
            <w:tcW w:w="1555" w:type="dxa"/>
          </w:tcPr>
          <w:p w14:paraId="158A49A3" w14:textId="43206DF2" w:rsidR="00457EA0" w:rsidRPr="00787196" w:rsidRDefault="00457EA0" w:rsidP="00977234">
            <w:pPr>
              <w:spacing w:before="0" w:after="0" w:line="276" w:lineRule="auto"/>
              <w:jc w:val="left"/>
              <w:rPr>
                <w:rFonts w:cs="Arial"/>
                <w:sz w:val="22"/>
              </w:rPr>
            </w:pPr>
            <w:r w:rsidRPr="00787196">
              <w:rPr>
                <w:rFonts w:cs="Arial"/>
                <w:sz w:val="22"/>
              </w:rPr>
              <w:t>SRRS</w:t>
            </w:r>
          </w:p>
        </w:tc>
        <w:tc>
          <w:tcPr>
            <w:tcW w:w="7018" w:type="dxa"/>
          </w:tcPr>
          <w:p w14:paraId="7537A53D" w14:textId="4E26C690" w:rsidR="00457EA0" w:rsidRPr="00787196" w:rsidRDefault="00457EA0" w:rsidP="00977234">
            <w:pPr>
              <w:spacing w:before="0" w:after="0" w:line="276" w:lineRule="auto"/>
              <w:jc w:val="left"/>
              <w:rPr>
                <w:rFonts w:cs="Arial"/>
                <w:sz w:val="22"/>
              </w:rPr>
            </w:pPr>
            <w:r w:rsidRPr="00787196">
              <w:rPr>
                <w:rFonts w:cs="Arial"/>
                <w:sz w:val="22"/>
              </w:rPr>
              <w:t>Social Readjustment and Rating Questionnaire (SRRS)</w:t>
            </w:r>
          </w:p>
        </w:tc>
      </w:tr>
      <w:tr w:rsidR="00C55DE7" w:rsidRPr="00787196" w14:paraId="413B7335" w14:textId="77777777" w:rsidTr="008D3FC1">
        <w:trPr>
          <w:trHeight w:val="284"/>
        </w:trPr>
        <w:tc>
          <w:tcPr>
            <w:tcW w:w="1555" w:type="dxa"/>
          </w:tcPr>
          <w:p w14:paraId="248CB90E" w14:textId="169FC7AA" w:rsidR="00C55DE7" w:rsidRPr="00787196" w:rsidRDefault="00C55DE7" w:rsidP="00977234">
            <w:pPr>
              <w:spacing w:before="0" w:after="0" w:line="276" w:lineRule="auto"/>
              <w:jc w:val="left"/>
              <w:rPr>
                <w:rFonts w:cs="Arial"/>
                <w:sz w:val="22"/>
              </w:rPr>
            </w:pPr>
            <w:r w:rsidRPr="00787196">
              <w:rPr>
                <w:rFonts w:cs="Arial"/>
                <w:sz w:val="22"/>
              </w:rPr>
              <w:t>VAS</w:t>
            </w:r>
          </w:p>
        </w:tc>
        <w:tc>
          <w:tcPr>
            <w:tcW w:w="7018" w:type="dxa"/>
          </w:tcPr>
          <w:p w14:paraId="45A40AB4" w14:textId="1CA4BBD8" w:rsidR="00C55DE7" w:rsidRPr="00787196" w:rsidRDefault="00C55DE7" w:rsidP="00977234">
            <w:pPr>
              <w:spacing w:before="0" w:after="0" w:line="276" w:lineRule="auto"/>
              <w:jc w:val="left"/>
              <w:rPr>
                <w:rFonts w:cs="Arial"/>
                <w:sz w:val="22"/>
              </w:rPr>
            </w:pPr>
            <w:r w:rsidRPr="00787196">
              <w:rPr>
                <w:rFonts w:cs="Arial"/>
                <w:sz w:val="22"/>
              </w:rPr>
              <w:t>Visual Analogue Scale</w:t>
            </w:r>
          </w:p>
        </w:tc>
      </w:tr>
      <w:tr w:rsidR="00C175A5" w:rsidRPr="00787196" w14:paraId="1E19D2AA" w14:textId="24AEE38A" w:rsidTr="008D3FC1">
        <w:trPr>
          <w:trHeight w:val="299"/>
        </w:trPr>
        <w:tc>
          <w:tcPr>
            <w:tcW w:w="1555" w:type="dxa"/>
          </w:tcPr>
          <w:p w14:paraId="0D30A440" w14:textId="409C607F" w:rsidR="00C175A5" w:rsidRPr="00787196" w:rsidRDefault="00C175A5" w:rsidP="00977234">
            <w:pPr>
              <w:spacing w:before="0" w:after="0" w:line="276" w:lineRule="auto"/>
              <w:jc w:val="left"/>
              <w:rPr>
                <w:rFonts w:cs="Arial"/>
                <w:sz w:val="22"/>
              </w:rPr>
            </w:pPr>
            <w:r w:rsidRPr="00787196">
              <w:rPr>
                <w:sz w:val="22"/>
              </w:rPr>
              <w:t>WHO-</w:t>
            </w:r>
          </w:p>
        </w:tc>
        <w:tc>
          <w:tcPr>
            <w:tcW w:w="7018" w:type="dxa"/>
          </w:tcPr>
          <w:p w14:paraId="645BF2FB" w14:textId="4C5370B3" w:rsidR="00C175A5" w:rsidRPr="00787196" w:rsidRDefault="00851921" w:rsidP="00977234">
            <w:pPr>
              <w:spacing w:before="0" w:after="0" w:line="276" w:lineRule="auto"/>
              <w:jc w:val="left"/>
              <w:rPr>
                <w:sz w:val="22"/>
              </w:rPr>
            </w:pPr>
            <w:r w:rsidRPr="00787196">
              <w:rPr>
                <w:sz w:val="22"/>
              </w:rPr>
              <w:t>World Health Organisation</w:t>
            </w:r>
          </w:p>
        </w:tc>
      </w:tr>
      <w:tr w:rsidR="00C175A5" w:rsidRPr="00787196" w14:paraId="06112685" w14:textId="36857CD2" w:rsidTr="008D3FC1">
        <w:trPr>
          <w:trHeight w:val="569"/>
        </w:trPr>
        <w:tc>
          <w:tcPr>
            <w:tcW w:w="1555" w:type="dxa"/>
          </w:tcPr>
          <w:p w14:paraId="5FB38C10" w14:textId="4A2ECE57" w:rsidR="00C175A5" w:rsidRPr="00787196" w:rsidRDefault="008D3FC1" w:rsidP="00977234">
            <w:pPr>
              <w:spacing w:before="0" w:after="0" w:line="276" w:lineRule="auto"/>
              <w:jc w:val="left"/>
              <w:rPr>
                <w:sz w:val="22"/>
              </w:rPr>
            </w:pPr>
            <w:r w:rsidRPr="00787196">
              <w:rPr>
                <w:sz w:val="22"/>
              </w:rPr>
              <w:t>WHO CSDH</w:t>
            </w:r>
          </w:p>
        </w:tc>
        <w:tc>
          <w:tcPr>
            <w:tcW w:w="7018" w:type="dxa"/>
          </w:tcPr>
          <w:p w14:paraId="3A1264DF" w14:textId="0909F531" w:rsidR="00C175A5" w:rsidRPr="00787196" w:rsidRDefault="00851921" w:rsidP="00977234">
            <w:pPr>
              <w:spacing w:before="0" w:after="0" w:line="276" w:lineRule="auto"/>
              <w:jc w:val="left"/>
              <w:rPr>
                <w:sz w:val="22"/>
              </w:rPr>
            </w:pPr>
            <w:r w:rsidRPr="00787196">
              <w:rPr>
                <w:sz w:val="22"/>
              </w:rPr>
              <w:t>World Health Organisation Commission on Social Determinants of Health</w:t>
            </w:r>
          </w:p>
        </w:tc>
      </w:tr>
      <w:tr w:rsidR="008D3FC1" w:rsidRPr="00787196" w14:paraId="782B1C58" w14:textId="77777777" w:rsidTr="008D3FC1">
        <w:trPr>
          <w:trHeight w:val="569"/>
        </w:trPr>
        <w:tc>
          <w:tcPr>
            <w:tcW w:w="1555" w:type="dxa"/>
          </w:tcPr>
          <w:p w14:paraId="27A256B2" w14:textId="00AEB028" w:rsidR="008D3FC1" w:rsidRPr="00787196" w:rsidRDefault="008D3FC1" w:rsidP="00977234">
            <w:pPr>
              <w:spacing w:before="0" w:after="0" w:line="276" w:lineRule="auto"/>
              <w:jc w:val="left"/>
              <w:rPr>
                <w:sz w:val="22"/>
              </w:rPr>
            </w:pPr>
            <w:r w:rsidRPr="00787196">
              <w:rPr>
                <w:sz w:val="22"/>
              </w:rPr>
              <w:t>WHOQOL-OLD</w:t>
            </w:r>
          </w:p>
        </w:tc>
        <w:tc>
          <w:tcPr>
            <w:tcW w:w="7018" w:type="dxa"/>
          </w:tcPr>
          <w:p w14:paraId="19E4C375" w14:textId="48A8AC1F" w:rsidR="008D3FC1" w:rsidRPr="00787196" w:rsidRDefault="008D3FC1" w:rsidP="00977234">
            <w:pPr>
              <w:spacing w:before="0" w:after="0" w:line="276" w:lineRule="auto"/>
              <w:jc w:val="left"/>
              <w:rPr>
                <w:sz w:val="22"/>
              </w:rPr>
            </w:pPr>
            <w:r w:rsidRPr="00787196">
              <w:rPr>
                <w:sz w:val="22"/>
              </w:rPr>
              <w:t>World Health Organisation Quality of Life- Older people</w:t>
            </w:r>
          </w:p>
        </w:tc>
      </w:tr>
    </w:tbl>
    <w:p w14:paraId="6BF96C05" w14:textId="77777777" w:rsidR="00C175A5" w:rsidRPr="00787196" w:rsidRDefault="00C175A5" w:rsidP="00C175A5">
      <w:pPr>
        <w:sectPr w:rsidR="00C175A5" w:rsidRPr="00787196" w:rsidSect="002855DF">
          <w:footerReference w:type="default" r:id="rId12"/>
          <w:footerReference w:type="first" r:id="rId13"/>
          <w:pgSz w:w="12240" w:h="15840"/>
          <w:pgMar w:top="1134" w:right="1134" w:bottom="1134" w:left="2268" w:header="709" w:footer="709" w:gutter="0"/>
          <w:pgNumType w:fmt="lowerRoman"/>
          <w:cols w:space="708"/>
          <w:titlePg/>
          <w:docGrid w:linePitch="360"/>
        </w:sectPr>
      </w:pPr>
    </w:p>
    <w:p w14:paraId="783EC292" w14:textId="77609AEC" w:rsidR="00F25DED" w:rsidRPr="00787196" w:rsidRDefault="00F25DED">
      <w:pPr>
        <w:spacing w:before="0" w:after="0" w:line="240" w:lineRule="auto"/>
        <w:jc w:val="left"/>
        <w:rPr>
          <w:rFonts w:asciiTheme="minorHAnsi" w:hAnsiTheme="minorHAnsi" w:cs="Arial"/>
          <w:b/>
          <w:bCs/>
          <w:caps/>
          <w:sz w:val="20"/>
          <w:szCs w:val="20"/>
        </w:rPr>
      </w:pPr>
    </w:p>
    <w:p w14:paraId="2903A98C" w14:textId="7DDC05E1" w:rsidR="00C60B1C" w:rsidRPr="00787196" w:rsidRDefault="00284C60" w:rsidP="00CD0F2A">
      <w:pPr>
        <w:pStyle w:val="Heading1"/>
      </w:pPr>
      <w:bookmarkStart w:id="11" w:name="_Toc488655602"/>
      <w:bookmarkStart w:id="12" w:name="_Toc456211121"/>
      <w:r w:rsidRPr="00787196">
        <w:t xml:space="preserve">CHAPTER ONE </w:t>
      </w:r>
      <w:r w:rsidR="00C60B1C" w:rsidRPr="00787196">
        <w:t>INTRODUCTION</w:t>
      </w:r>
      <w:bookmarkEnd w:id="11"/>
    </w:p>
    <w:p w14:paraId="2E897848" w14:textId="3C385D3E" w:rsidR="00797F19" w:rsidRPr="00787196" w:rsidRDefault="000A2437" w:rsidP="00142DF5">
      <w:r w:rsidRPr="00787196">
        <w:t xml:space="preserve">In recent years, there has been </w:t>
      </w:r>
      <w:r w:rsidR="006A1399" w:rsidRPr="00787196">
        <w:t xml:space="preserve">a </w:t>
      </w:r>
      <w:r w:rsidRPr="00787196">
        <w:t xml:space="preserve">paradigm </w:t>
      </w:r>
      <w:r w:rsidR="00AD64E2" w:rsidRPr="00787196">
        <w:t xml:space="preserve">change </w:t>
      </w:r>
      <w:r w:rsidR="001C5759" w:rsidRPr="00787196">
        <w:t>in oral health</w:t>
      </w:r>
      <w:r w:rsidR="00890037" w:rsidRPr="00787196">
        <w:t xml:space="preserve"> </w:t>
      </w:r>
      <w:r w:rsidR="00AD64E2" w:rsidRPr="00787196">
        <w:t>research. Studies</w:t>
      </w:r>
      <w:r w:rsidR="00B341D1" w:rsidRPr="00787196">
        <w:t xml:space="preserve"> </w:t>
      </w:r>
      <w:r w:rsidR="00787196" w:rsidRPr="00787196">
        <w:t>increasingly</w:t>
      </w:r>
      <w:r w:rsidR="001C5759" w:rsidRPr="00787196">
        <w:t xml:space="preserve"> evaluat</w:t>
      </w:r>
      <w:r w:rsidR="00787196" w:rsidRPr="00787196">
        <w:t>e</w:t>
      </w:r>
      <w:r w:rsidR="001C5759" w:rsidRPr="00787196">
        <w:t xml:space="preserve"> </w:t>
      </w:r>
      <w:r w:rsidRPr="00787196">
        <w:t>subjective patient</w:t>
      </w:r>
      <w:r w:rsidR="00B341D1" w:rsidRPr="00787196">
        <w:t>-reported outcomes</w:t>
      </w:r>
      <w:r w:rsidR="00DA53A1" w:rsidRPr="00787196">
        <w:t xml:space="preserve"> apart from </w:t>
      </w:r>
      <w:r w:rsidR="005D53E4">
        <w:t xml:space="preserve">using </w:t>
      </w:r>
      <w:r w:rsidR="001C5759" w:rsidRPr="00787196">
        <w:t xml:space="preserve">conventional </w:t>
      </w:r>
      <w:r w:rsidR="00DA53A1" w:rsidRPr="00787196">
        <w:t xml:space="preserve">clinical </w:t>
      </w:r>
      <w:r w:rsidR="00890037" w:rsidRPr="00787196">
        <w:t>measures</w:t>
      </w:r>
      <w:r w:rsidR="001C5759" w:rsidRPr="00787196">
        <w:t xml:space="preserve"> </w:t>
      </w:r>
      <w:r w:rsidR="005D53E4">
        <w:t>to</w:t>
      </w:r>
      <w:r w:rsidR="00F537DB" w:rsidRPr="00787196">
        <w:t xml:space="preserve"> </w:t>
      </w:r>
      <w:r w:rsidR="001C5759" w:rsidRPr="00787196">
        <w:t>assess</w:t>
      </w:r>
      <w:r w:rsidR="00F537DB" w:rsidRPr="00787196">
        <w:t xml:space="preserve"> treatment </w:t>
      </w:r>
      <w:r w:rsidR="00B341D1" w:rsidRPr="00787196">
        <w:t>interventions</w:t>
      </w:r>
      <w:r w:rsidRPr="00787196">
        <w:t xml:space="preserve">. Oral health-related quality of life (OHQoL) </w:t>
      </w:r>
      <w:r w:rsidR="00C41475" w:rsidRPr="00787196">
        <w:t>d</w:t>
      </w:r>
      <w:r w:rsidRPr="00787196">
        <w:t xml:space="preserve">efined as “ </w:t>
      </w:r>
      <w:r w:rsidRPr="00787196">
        <w:rPr>
          <w:i/>
        </w:rPr>
        <w:t>the impact of oral disease and disorders on aspects of everyday life that a patient or person values, that are of sufficient magnitude, in terms of frequency, severity or duration to affect their experience and perception of their life overall</w:t>
      </w:r>
      <w:r w:rsidRPr="00787196">
        <w:t>”</w:t>
      </w:r>
      <w:r w:rsidR="006F6192" w:rsidRPr="00787196">
        <w:fldChar w:fldCharType="begin"/>
      </w:r>
      <w:r w:rsidR="00AF47F6" w:rsidRPr="00787196">
        <w:instrText xml:space="preserve"> ADDIN EN.CITE &lt;EndNote&gt;&lt;Cite&gt;&lt;Author&gt;Locker&lt;/Author&gt;&lt;Year&gt;2007&lt;/Year&gt;&lt;IDText&gt;What do measures of &amp;apos;oral health-related quality of life&amp;apos; measure?&lt;/IDText&gt;&lt;DisplayText&gt;(Locker and Allen, 2007)&lt;/DisplayText&gt;&lt;record&gt;&lt;dates&gt;&lt;pub-dates&gt;&lt;date&gt;Dec&lt;/date&gt;&lt;/pub-dates&gt;&lt;year&gt;2007&lt;/year&gt;&lt;/dates&gt;&lt;keywords&gt;&lt;keyword&gt;Activities of Daily Living&lt;/keyword&gt;&lt;keyword&gt;Adolescent&lt;/keyword&gt;&lt;keyword&gt;Aged&lt;/keyword&gt;&lt;keyword&gt;Child&lt;/keyword&gt;&lt;keyword&gt;Child Welfare/psychology&lt;/keyword&gt;&lt;keyword&gt;Evaluation Studies as Topic&lt;/keyword&gt;&lt;keyword&gt;Geriatric Assessment&lt;/keyword&gt;&lt;keyword&gt;Health Status Indicators&lt;/keyword&gt;&lt;keyword&gt;Humans&lt;/keyword&gt;&lt;keyword&gt;Oral Health/*standards&lt;/keyword&gt;&lt;keyword&gt;*Quality of Life&lt;/keyword&gt;&lt;keyword&gt;Questionnaires&lt;/keyword&gt;&lt;keyword&gt;Self-Assessment&lt;/keyword&gt;&lt;keyword&gt;Sickness Impact Profile&lt;/keyword&gt;&lt;keyword&gt;Terminology as Topic&lt;/keyword&gt;&lt;/keywords&gt;&lt;isbn&gt;0301-5661&lt;/isbn&gt;&lt;titles&gt;&lt;title&gt;What do measures of &amp;apos;oral health-related quality of life&amp;apos; measure?&lt;/title&gt;&lt;secondary-title&gt;Community Dentistry and Oral Epidemiology&lt;/secondary-title&gt;&lt;alt-title&gt;Community dentistry and oral epidemiology&lt;/alt-title&gt;&lt;/titles&gt;&lt;pages&gt;401-11&lt;/pages&gt;&lt;number&gt;6&lt;/number&gt;&lt;contributors&gt;&lt;authors&gt;&lt;author&gt;Locker, D.&lt;/author&gt;&lt;author&gt;Allen, F.&lt;/author&gt;&lt;/authors&gt;&lt;/contributors&gt;&lt;edition&gt;2007/11/28&lt;/edition&gt;&lt;language&gt;eng&lt;/language&gt;&lt;added-date format="utc"&gt;1372666412&lt;/added-date&gt;&lt;ref-type name="Journal Article"&gt;17&lt;/ref-type&gt;&lt;auth-address&gt;Community Dental Health Services Research Unit, Faculty of Dentistry, University of Toronto, Canada. david.locker@utoronto.ca&lt;/auth-address&gt;&lt;remote-database-provider&gt;Nlm&lt;/remote-database-provider&gt;&lt;rec-number&gt;821&lt;/rec-number&gt;&lt;last-updated-date format="utc"&gt;1483574475&lt;/last-updated-date&gt;&lt;accession-num&gt;18039281&lt;/accession-num&gt;&lt;electronic-resource-num&gt;10.1111/j.1600-0528.2007.00418.x&lt;/electronic-resource-num&gt;&lt;volume&gt;35(6)&lt;/volume&gt;&lt;/record&gt;&lt;/Cite&gt;&lt;/EndNote&gt;</w:instrText>
      </w:r>
      <w:r w:rsidR="006F6192" w:rsidRPr="00787196">
        <w:fldChar w:fldCharType="separate"/>
      </w:r>
      <w:r w:rsidR="006F6192" w:rsidRPr="00787196">
        <w:rPr>
          <w:noProof/>
        </w:rPr>
        <w:t>(Locker and Allen, 2007)</w:t>
      </w:r>
      <w:r w:rsidR="006F6192" w:rsidRPr="00787196">
        <w:fldChar w:fldCharType="end"/>
      </w:r>
      <w:r w:rsidR="001762E7" w:rsidRPr="00787196">
        <w:t xml:space="preserve">, </w:t>
      </w:r>
      <w:r w:rsidR="00C41475" w:rsidRPr="00787196">
        <w:t xml:space="preserve">is one such patient reported outcome, extensively used to assess the impact of oral health conditions and interventions </w:t>
      </w:r>
      <w:r w:rsidR="00C41475" w:rsidRPr="00787196">
        <w:fldChar w:fldCharType="begin">
          <w:fldData xml:space="preserve">PEVuZE5vdGU+PENpdGU+PEF1dGhvcj5BbGxlbjwvQXV0aG9yPjxZZWFyPjIwMDE8L1llYXI+PElE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</w:fldData>
        </w:fldChar>
      </w:r>
      <w:r w:rsidR="00C41475" w:rsidRPr="00787196">
        <w:instrText xml:space="preserve"> ADDIN EN.CITE </w:instrText>
      </w:r>
      <w:r w:rsidR="00C41475" w:rsidRPr="00787196">
        <w:fldChar w:fldCharType="begin">
          <w:fldData xml:space="preserve">PEVuZE5vdGU+PENpdGU+PEF1dGhvcj5BbGxlbjwvQXV0aG9yPjxZZWFyPjIwMDE8L1llYXI+PElE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</w:fldData>
        </w:fldChar>
      </w:r>
      <w:r w:rsidR="00C41475" w:rsidRPr="00787196">
        <w:instrText xml:space="preserve"> ADDIN EN.CITE.DATA </w:instrText>
      </w:r>
      <w:r w:rsidR="00C41475" w:rsidRPr="00787196">
        <w:fldChar w:fldCharType="end"/>
      </w:r>
      <w:r w:rsidR="00C41475" w:rsidRPr="00787196">
        <w:fldChar w:fldCharType="separate"/>
      </w:r>
      <w:r w:rsidR="00C41475" w:rsidRPr="00787196">
        <w:rPr>
          <w:noProof/>
        </w:rPr>
        <w:t>(Allen et al., 2001, Locker, 2004, Marshman and Robinson, 2007)</w:t>
      </w:r>
      <w:r w:rsidR="00C41475" w:rsidRPr="00787196">
        <w:fldChar w:fldCharType="end"/>
      </w:r>
      <w:r w:rsidR="00C41475" w:rsidRPr="00787196">
        <w:t xml:space="preserve">. </w:t>
      </w:r>
      <w:r w:rsidR="00B675AB" w:rsidRPr="00787196">
        <w:t xml:space="preserve"> </w:t>
      </w:r>
    </w:p>
    <w:p w14:paraId="1F178F85" w14:textId="610DAE33" w:rsidR="00443019" w:rsidRPr="00787196" w:rsidRDefault="00717107" w:rsidP="00B26314">
      <w:r w:rsidRPr="00787196">
        <w:rPr>
          <w:rFonts w:eastAsia="Arial" w:cs="Arial"/>
        </w:rPr>
        <w:t xml:space="preserve">Despite the </w:t>
      </w:r>
      <w:r w:rsidR="00DF64F6">
        <w:rPr>
          <w:rFonts w:eastAsia="Arial" w:cs="Arial"/>
        </w:rPr>
        <w:t>increasing use of</w:t>
      </w:r>
      <w:r w:rsidRPr="00787196">
        <w:rPr>
          <w:rFonts w:eastAsia="Arial" w:cs="Arial"/>
        </w:rPr>
        <w:t xml:space="preserve"> </w:t>
      </w:r>
      <w:r w:rsidR="005D53E4">
        <w:rPr>
          <w:rFonts w:eastAsia="Arial" w:cs="Arial"/>
        </w:rPr>
        <w:t xml:space="preserve">dental </w:t>
      </w:r>
      <w:r w:rsidRPr="00787196">
        <w:rPr>
          <w:rFonts w:eastAsia="Arial" w:cs="Arial"/>
        </w:rPr>
        <w:t>implants and other fixed prostheses, c</w:t>
      </w:r>
      <w:r w:rsidR="00797F19" w:rsidRPr="00787196">
        <w:rPr>
          <w:rFonts w:eastAsia="Arial" w:cs="Arial"/>
        </w:rPr>
        <w:t>onventional removable dentures</w:t>
      </w:r>
      <w:r w:rsidR="008C079E" w:rsidRPr="00787196">
        <w:rPr>
          <w:rFonts w:eastAsia="Arial" w:cs="Arial"/>
        </w:rPr>
        <w:t xml:space="preserve"> are </w:t>
      </w:r>
      <w:r w:rsidR="00275CD5" w:rsidRPr="00787196">
        <w:rPr>
          <w:rFonts w:eastAsia="Arial" w:cs="Arial"/>
        </w:rPr>
        <w:t>e</w:t>
      </w:r>
      <w:r w:rsidR="00797F19" w:rsidRPr="00787196">
        <w:rPr>
          <w:rFonts w:eastAsia="Arial" w:cs="Arial"/>
        </w:rPr>
        <w:t xml:space="preserve">xpected to remain the </w:t>
      </w:r>
      <w:r w:rsidRPr="00787196">
        <w:rPr>
          <w:rFonts w:eastAsia="Arial" w:cs="Arial"/>
        </w:rPr>
        <w:t xml:space="preserve">common </w:t>
      </w:r>
      <w:r w:rsidR="00F2398D" w:rsidRPr="00787196">
        <w:rPr>
          <w:rFonts w:eastAsia="Arial" w:cs="Arial"/>
        </w:rPr>
        <w:t xml:space="preserve">treatment </w:t>
      </w:r>
      <w:r w:rsidR="00275CD5" w:rsidRPr="00787196">
        <w:rPr>
          <w:rFonts w:eastAsia="Arial" w:cs="Arial"/>
        </w:rPr>
        <w:t xml:space="preserve">choice </w:t>
      </w:r>
      <w:r w:rsidR="005D53E4">
        <w:rPr>
          <w:rFonts w:eastAsia="Arial" w:cs="Arial"/>
        </w:rPr>
        <w:t xml:space="preserve">for </w:t>
      </w:r>
      <w:r w:rsidR="00835FED" w:rsidRPr="00787196">
        <w:rPr>
          <w:rFonts w:eastAsia="Arial" w:cs="Arial"/>
        </w:rPr>
        <w:t>prosthesis</w:t>
      </w:r>
      <w:r w:rsidR="00275CD5" w:rsidRPr="00787196">
        <w:rPr>
          <w:rFonts w:eastAsia="Arial" w:cs="Arial"/>
        </w:rPr>
        <w:t xml:space="preserve"> </w:t>
      </w:r>
      <w:r w:rsidR="007759D5" w:rsidRPr="00787196">
        <w:rPr>
          <w:rFonts w:eastAsia="Arial" w:cs="Arial"/>
        </w:rPr>
        <w:t xml:space="preserve">across </w:t>
      </w:r>
      <w:r w:rsidR="008C079E" w:rsidRPr="00787196">
        <w:rPr>
          <w:rFonts w:eastAsia="Arial" w:cs="Arial"/>
        </w:rPr>
        <w:t>populations</w:t>
      </w:r>
      <w:r w:rsidR="00797F19" w:rsidRPr="00787196">
        <w:rPr>
          <w:rFonts w:eastAsia="Arial" w:cs="Arial"/>
        </w:rPr>
        <w:t xml:space="preserve"> with missing teeth</w:t>
      </w:r>
      <w:r w:rsidR="00C71597" w:rsidRPr="00787196">
        <w:rPr>
          <w:rFonts w:eastAsia="Arial" w:cs="Arial"/>
        </w:rPr>
        <w:t xml:space="preserve"> </w:t>
      </w:r>
      <w:r w:rsidR="008C079E" w:rsidRPr="00787196">
        <w:rPr>
          <w:rFonts w:eastAsia="Arial" w:cs="Arial"/>
        </w:rPr>
        <w:fldChar w:fldCharType="begin">
          <w:fldData xml:space="preserve">PEVuZE5vdGU+PENpdGU+PEF1dGhvcj5EaWVobDwvQXV0aG9yPjxZZWFyPjE5OTY8L1llYXI+PElE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</w:fldData>
        </w:fldChar>
      </w:r>
      <w:r w:rsidR="00A45BAA" w:rsidRPr="00787196">
        <w:rPr>
          <w:rFonts w:eastAsia="Arial" w:cs="Arial"/>
        </w:rPr>
        <w:instrText xml:space="preserve"> ADDIN EN.CITE </w:instrText>
      </w:r>
      <w:r w:rsidR="00A45BAA" w:rsidRPr="00787196">
        <w:rPr>
          <w:rFonts w:eastAsia="Arial" w:cs="Arial"/>
        </w:rPr>
        <w:fldChar w:fldCharType="begin">
          <w:fldData xml:space="preserve">PEVuZE5vdGU+PENpdGU+PEF1dGhvcj5EaWVobDwvQXV0aG9yPjxZZWFyPjE5OTY8L1llYXI+PElE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</w:fldData>
        </w:fldChar>
      </w:r>
      <w:r w:rsidR="00A45BAA" w:rsidRPr="00787196">
        <w:rPr>
          <w:rFonts w:eastAsia="Arial" w:cs="Arial"/>
        </w:rPr>
        <w:instrText xml:space="preserve"> ADDIN EN.CITE.DATA </w:instrText>
      </w:r>
      <w:r w:rsidR="00A45BAA" w:rsidRPr="00787196">
        <w:rPr>
          <w:rFonts w:eastAsia="Arial" w:cs="Arial"/>
        </w:rPr>
      </w:r>
      <w:r w:rsidR="00A45BAA" w:rsidRPr="00787196">
        <w:rPr>
          <w:rFonts w:eastAsia="Arial" w:cs="Arial"/>
        </w:rPr>
        <w:fldChar w:fldCharType="end"/>
      </w:r>
      <w:r w:rsidR="008C079E" w:rsidRPr="00787196">
        <w:rPr>
          <w:rFonts w:eastAsia="Arial" w:cs="Arial"/>
        </w:rPr>
      </w:r>
      <w:r w:rsidR="008C079E" w:rsidRPr="00787196">
        <w:rPr>
          <w:rFonts w:eastAsia="Arial" w:cs="Arial"/>
        </w:rPr>
        <w:fldChar w:fldCharType="separate"/>
      </w:r>
      <w:r w:rsidR="00A45BAA" w:rsidRPr="00787196">
        <w:rPr>
          <w:rFonts w:eastAsia="Arial" w:cs="Arial"/>
          <w:noProof/>
        </w:rPr>
        <w:t>(Diehl et al., 1996, Petersen and Yamamoto, 2005, Petersen, 2009)</w:t>
      </w:r>
      <w:r w:rsidR="008C079E" w:rsidRPr="00787196">
        <w:rPr>
          <w:rFonts w:eastAsia="Arial" w:cs="Arial"/>
        </w:rPr>
        <w:fldChar w:fldCharType="end"/>
      </w:r>
      <w:r w:rsidR="00797F19" w:rsidRPr="00787196">
        <w:rPr>
          <w:rFonts w:eastAsia="Arial" w:cs="Arial"/>
        </w:rPr>
        <w:t>.</w:t>
      </w:r>
      <w:r w:rsidR="00A45BAA" w:rsidRPr="00787196">
        <w:rPr>
          <w:rFonts w:eastAsia="Arial" w:cs="Arial"/>
        </w:rPr>
        <w:t xml:space="preserve"> </w:t>
      </w:r>
      <w:r w:rsidR="005D53E4">
        <w:rPr>
          <w:rFonts w:eastAsia="Arial" w:cs="Arial"/>
        </w:rPr>
        <w:t>Understandably, c</w:t>
      </w:r>
      <w:r w:rsidR="008C079E" w:rsidRPr="00787196">
        <w:rPr>
          <w:rFonts w:eastAsia="Arial" w:cs="Arial"/>
        </w:rPr>
        <w:t>onventional denture</w:t>
      </w:r>
      <w:r w:rsidR="00A45BAA" w:rsidRPr="00787196">
        <w:rPr>
          <w:rFonts w:eastAsia="Arial" w:cs="Arial"/>
        </w:rPr>
        <w:t xml:space="preserve"> treatment</w:t>
      </w:r>
      <w:r w:rsidR="005D53E4">
        <w:rPr>
          <w:rFonts w:eastAsia="Arial" w:cs="Arial"/>
        </w:rPr>
        <w:t xml:space="preserve"> success remains</w:t>
      </w:r>
      <w:r w:rsidR="00A45BAA" w:rsidRPr="00787196">
        <w:rPr>
          <w:rFonts w:eastAsia="Arial" w:cs="Arial"/>
        </w:rPr>
        <w:t xml:space="preserve"> </w:t>
      </w:r>
      <w:r w:rsidRPr="00787196">
        <w:rPr>
          <w:rFonts w:eastAsia="Arial" w:cs="Arial"/>
        </w:rPr>
        <w:t>vital</w:t>
      </w:r>
      <w:r w:rsidR="005D53E4">
        <w:rPr>
          <w:rFonts w:eastAsia="Arial" w:cs="Arial"/>
        </w:rPr>
        <w:t xml:space="preserve"> from both clinical and public health perspective</w:t>
      </w:r>
      <w:r w:rsidR="00797F19" w:rsidRPr="00787196">
        <w:rPr>
          <w:rFonts w:eastAsia="Arial" w:cs="Arial"/>
        </w:rPr>
        <w:t>.</w:t>
      </w:r>
      <w:r w:rsidR="00275CD5" w:rsidRPr="00787196">
        <w:rPr>
          <w:rFonts w:eastAsia="Arial" w:cs="Arial"/>
        </w:rPr>
        <w:t xml:space="preserve"> </w:t>
      </w:r>
      <w:r w:rsidR="007759D5" w:rsidRPr="00787196">
        <w:rPr>
          <w:rFonts w:eastAsia="Arial" w:cs="Arial"/>
        </w:rPr>
        <w:t>However, r</w:t>
      </w:r>
      <w:r w:rsidR="00275CD5" w:rsidRPr="00787196">
        <w:rPr>
          <w:rFonts w:eastAsia="Arial" w:cs="Arial"/>
        </w:rPr>
        <w:t xml:space="preserve">eceiving </w:t>
      </w:r>
      <w:r w:rsidR="00F2398D" w:rsidRPr="00787196">
        <w:rPr>
          <w:rFonts w:eastAsia="Arial" w:cs="Arial"/>
        </w:rPr>
        <w:t xml:space="preserve">dentures is </w:t>
      </w:r>
      <w:r w:rsidR="005D53E4">
        <w:rPr>
          <w:rFonts w:eastAsia="Arial" w:cs="Arial"/>
        </w:rPr>
        <w:t>perceived</w:t>
      </w:r>
      <w:r w:rsidR="00275CD5" w:rsidRPr="00787196">
        <w:rPr>
          <w:rFonts w:eastAsia="Arial" w:cs="Arial"/>
        </w:rPr>
        <w:t xml:space="preserve"> a</w:t>
      </w:r>
      <w:r w:rsidR="005D53E4">
        <w:rPr>
          <w:rFonts w:eastAsia="Arial" w:cs="Arial"/>
        </w:rPr>
        <w:t>s a</w:t>
      </w:r>
      <w:r w:rsidR="00275CD5" w:rsidRPr="00787196">
        <w:rPr>
          <w:rFonts w:eastAsia="Arial" w:cs="Arial"/>
        </w:rPr>
        <w:t xml:space="preserve"> stressful life event </w:t>
      </w:r>
      <w:r w:rsidR="005D53E4">
        <w:rPr>
          <w:rFonts w:eastAsia="Arial" w:cs="Arial"/>
        </w:rPr>
        <w:t>by</w:t>
      </w:r>
      <w:r w:rsidRPr="00787196">
        <w:rPr>
          <w:rFonts w:eastAsia="Arial" w:cs="Arial"/>
        </w:rPr>
        <w:t xml:space="preserve"> in</w:t>
      </w:r>
      <w:r w:rsidR="004702DF" w:rsidRPr="00787196">
        <w:rPr>
          <w:rFonts w:eastAsia="Arial" w:cs="Arial"/>
        </w:rPr>
        <w:t>di</w:t>
      </w:r>
      <w:r w:rsidRPr="00787196">
        <w:rPr>
          <w:rFonts w:eastAsia="Arial" w:cs="Arial"/>
        </w:rPr>
        <w:t xml:space="preserve">viduals </w:t>
      </w:r>
      <w:r w:rsidR="00726FEB">
        <w:rPr>
          <w:rFonts w:eastAsia="Arial" w:cs="Arial"/>
        </w:rPr>
        <w:t xml:space="preserve">and </w:t>
      </w:r>
      <w:r w:rsidR="000E38A2">
        <w:rPr>
          <w:rFonts w:eastAsia="Arial" w:cs="Arial"/>
        </w:rPr>
        <w:t>hence</w:t>
      </w:r>
      <w:r w:rsidR="00F2398D" w:rsidRPr="00787196">
        <w:rPr>
          <w:rFonts w:eastAsia="Arial" w:cs="Arial"/>
        </w:rPr>
        <w:t xml:space="preserve"> </w:t>
      </w:r>
      <w:r w:rsidR="00EA416A">
        <w:rPr>
          <w:rFonts w:eastAsia="Arial" w:cs="Arial"/>
        </w:rPr>
        <w:t xml:space="preserve">may </w:t>
      </w:r>
      <w:r w:rsidR="00275CD5" w:rsidRPr="00787196">
        <w:rPr>
          <w:rFonts w:eastAsia="Arial" w:cs="Arial"/>
        </w:rPr>
        <w:t>requir</w:t>
      </w:r>
      <w:r w:rsidR="00F2398D" w:rsidRPr="00787196">
        <w:rPr>
          <w:rFonts w:eastAsia="Arial" w:cs="Arial"/>
        </w:rPr>
        <w:t>e</w:t>
      </w:r>
      <w:r w:rsidR="00275CD5" w:rsidRPr="00787196">
        <w:rPr>
          <w:rFonts w:eastAsia="Arial" w:cs="Arial"/>
        </w:rPr>
        <w:t xml:space="preserve"> considerable coping skills</w:t>
      </w:r>
      <w:r w:rsidR="000E38A2">
        <w:rPr>
          <w:rFonts w:eastAsia="Arial" w:cs="Arial"/>
        </w:rPr>
        <w:t xml:space="preserve"> </w:t>
      </w:r>
      <w:r w:rsidR="00275CD5" w:rsidRPr="00787196">
        <w:rPr>
          <w:rFonts w:eastAsia="Arial" w:cs="Arial"/>
        </w:rPr>
        <w:t xml:space="preserve">(Bergendal, 1989, Haugejorden et al., 1993, Klock and Haugejorden, 2002). </w:t>
      </w:r>
      <w:r w:rsidR="00F55409">
        <w:rPr>
          <w:rFonts w:eastAsia="Arial" w:cs="Arial"/>
        </w:rPr>
        <w:t>Although c</w:t>
      </w:r>
      <w:r w:rsidR="00275CD5" w:rsidRPr="00787196">
        <w:t xml:space="preserve">oping strategies </w:t>
      </w:r>
      <w:r w:rsidR="008364E8">
        <w:t xml:space="preserve">in </w:t>
      </w:r>
      <w:r w:rsidR="00275CD5" w:rsidRPr="00787196">
        <w:t xml:space="preserve">individuals </w:t>
      </w:r>
      <w:r w:rsidR="008364E8">
        <w:t xml:space="preserve">with </w:t>
      </w:r>
      <w:r w:rsidR="00275CD5" w:rsidRPr="00787196">
        <w:t>long term health conditions</w:t>
      </w:r>
      <w:r w:rsidR="008364E8">
        <w:t xml:space="preserve"> has been widely researched</w:t>
      </w:r>
      <w:r w:rsidR="00F55409">
        <w:t>, they</w:t>
      </w:r>
      <w:r w:rsidR="00F9790C">
        <w:t xml:space="preserve"> are </w:t>
      </w:r>
      <w:r w:rsidR="008364E8">
        <w:t xml:space="preserve">relatively </w:t>
      </w:r>
      <w:r w:rsidR="00B51B38" w:rsidRPr="00787196">
        <w:t>underexplored in dentistry</w:t>
      </w:r>
      <w:r w:rsidRPr="00787196">
        <w:t>.</w:t>
      </w:r>
    </w:p>
    <w:p w14:paraId="4E45C9AD" w14:textId="77777777" w:rsidR="00443019" w:rsidRPr="00787196" w:rsidRDefault="00443019">
      <w:pPr>
        <w:spacing w:before="0" w:after="0" w:line="240" w:lineRule="auto"/>
        <w:jc w:val="left"/>
      </w:pPr>
      <w:r w:rsidRPr="00787196">
        <w:br w:type="page"/>
      </w:r>
    </w:p>
    <w:p w14:paraId="74DE4F4A" w14:textId="65E99D56" w:rsidR="00B26314" w:rsidRPr="00787196" w:rsidRDefault="003263FE" w:rsidP="00B26314">
      <w:r w:rsidRPr="00787196">
        <w:lastRenderedPageBreak/>
        <w:t xml:space="preserve">To date, several studies have explored </w:t>
      </w:r>
      <w:r w:rsidR="00E35024" w:rsidRPr="00787196">
        <w:t xml:space="preserve">denture treatment success using normative </w:t>
      </w:r>
      <w:r w:rsidR="00CE68FB" w:rsidRPr="00787196">
        <w:t xml:space="preserve">measures of </w:t>
      </w:r>
      <w:r w:rsidR="00E35024" w:rsidRPr="00787196">
        <w:t>clinical outcome</w:t>
      </w:r>
      <w:r w:rsidR="00CE68FB" w:rsidRPr="00787196">
        <w:t>s</w:t>
      </w:r>
      <w:r w:rsidR="00DE5890" w:rsidRPr="00787196">
        <w:t>, processes</w:t>
      </w:r>
      <w:r w:rsidR="00396A12" w:rsidRPr="00787196">
        <w:t xml:space="preserve"> and also patient reported outcomes such as denture satisfaction, chewing ability etc. </w:t>
      </w:r>
      <w:r w:rsidR="004772E2" w:rsidRPr="00787196">
        <w:t>However, n</w:t>
      </w:r>
      <w:r w:rsidRPr="00787196">
        <w:t xml:space="preserve">one of these studies </w:t>
      </w:r>
      <w:r w:rsidR="00CE68FB" w:rsidRPr="00787196">
        <w:t xml:space="preserve">used coping strategies </w:t>
      </w:r>
      <w:r w:rsidR="004772E2" w:rsidRPr="00787196">
        <w:t>as a factor</w:t>
      </w:r>
      <w:r w:rsidR="007D1B47" w:rsidRPr="00787196">
        <w:t>,</w:t>
      </w:r>
      <w:r w:rsidR="004772E2" w:rsidRPr="00787196">
        <w:t xml:space="preserve"> </w:t>
      </w:r>
      <w:r w:rsidR="00CE68FB" w:rsidRPr="00787196">
        <w:t xml:space="preserve">except for </w:t>
      </w:r>
      <w:r w:rsidR="000D364F" w:rsidRPr="00787196">
        <w:t>one study</w:t>
      </w:r>
      <w:r w:rsidR="004772E2" w:rsidRPr="00787196">
        <w:t xml:space="preserve"> which </w:t>
      </w:r>
      <w:r w:rsidR="000D364F" w:rsidRPr="00787196">
        <w:t xml:space="preserve">was </w:t>
      </w:r>
      <w:r w:rsidR="004772E2" w:rsidRPr="00787196">
        <w:t xml:space="preserve">a </w:t>
      </w:r>
      <w:r w:rsidR="000D364F" w:rsidRPr="00787196">
        <w:t xml:space="preserve">cross-sectional </w:t>
      </w:r>
      <w:r w:rsidR="004772E2" w:rsidRPr="00787196">
        <w:t>observation</w:t>
      </w:r>
      <w:r w:rsidR="007D1B47" w:rsidRPr="00787196">
        <w:t xml:space="preserve">, </w:t>
      </w:r>
      <w:r w:rsidR="000D364F" w:rsidRPr="00787196">
        <w:t xml:space="preserve">not </w:t>
      </w:r>
      <w:r w:rsidR="007D1B47" w:rsidRPr="00787196">
        <w:t>backed</w:t>
      </w:r>
      <w:r w:rsidR="000D364F" w:rsidRPr="00787196">
        <w:t xml:space="preserve"> by a</w:t>
      </w:r>
      <w:r w:rsidR="007D1B47" w:rsidRPr="00787196">
        <w:t>ny</w:t>
      </w:r>
      <w:r w:rsidR="000D364F" w:rsidRPr="00787196">
        <w:t xml:space="preserve"> </w:t>
      </w:r>
      <w:r w:rsidR="004772E2" w:rsidRPr="00787196">
        <w:t>theory-</w:t>
      </w:r>
      <w:r w:rsidR="000D364F" w:rsidRPr="00787196">
        <w:t>based model</w:t>
      </w:r>
      <w:r w:rsidR="004772E2" w:rsidRPr="00787196">
        <w:t xml:space="preserve"> (Heydecke et al. 2004).</w:t>
      </w:r>
      <w:r w:rsidR="00924F13" w:rsidRPr="00787196">
        <w:t xml:space="preserve"> </w:t>
      </w:r>
      <w:r w:rsidR="000D364F" w:rsidRPr="00787196">
        <w:t>Th</w:t>
      </w:r>
      <w:r w:rsidR="002C5BD1" w:rsidRPr="00787196">
        <w:t>e aim of thi</w:t>
      </w:r>
      <w:r w:rsidR="000D364F" w:rsidRPr="00787196">
        <w:t xml:space="preserve">s research </w:t>
      </w:r>
      <w:r w:rsidR="002C5BD1" w:rsidRPr="00787196">
        <w:t xml:space="preserve">was to </w:t>
      </w:r>
      <w:r w:rsidR="000D364F" w:rsidRPr="00787196">
        <w:t>identif</w:t>
      </w:r>
      <w:r w:rsidR="002C5BD1" w:rsidRPr="00787196">
        <w:t xml:space="preserve">y </w:t>
      </w:r>
      <w:r w:rsidR="00C0701C" w:rsidRPr="00787196">
        <w:t>and observe</w:t>
      </w:r>
      <w:r w:rsidR="00DB5473" w:rsidRPr="00787196">
        <w:t xml:space="preserve"> longitudinally</w:t>
      </w:r>
      <w:r w:rsidR="00C0701C" w:rsidRPr="00787196">
        <w:t xml:space="preserve"> </w:t>
      </w:r>
      <w:r w:rsidR="000D364F" w:rsidRPr="00787196">
        <w:t xml:space="preserve">whether coping strategies influence denture success to improve OHQoL in </w:t>
      </w:r>
      <w:r w:rsidR="00DB5473" w:rsidRPr="00787196">
        <w:t>individuals receiving dentures.</w:t>
      </w:r>
    </w:p>
    <w:p w14:paraId="7167DB3F" w14:textId="641348C1" w:rsidR="0020473D" w:rsidRPr="00787196" w:rsidRDefault="0020473D" w:rsidP="00B26314">
      <w:pPr>
        <w:rPr>
          <w:rFonts w:cs="Arial"/>
          <w:color w:val="000000"/>
          <w:szCs w:val="24"/>
        </w:rPr>
      </w:pPr>
      <w:r w:rsidRPr="00787196">
        <w:rPr>
          <w:rFonts w:cs="Arial"/>
          <w:color w:val="000000"/>
          <w:szCs w:val="24"/>
        </w:rPr>
        <w:t>Th</w:t>
      </w:r>
      <w:r w:rsidR="00E04FEF" w:rsidRPr="00787196">
        <w:rPr>
          <w:rFonts w:cs="Arial"/>
          <w:color w:val="000000"/>
          <w:szCs w:val="24"/>
        </w:rPr>
        <w:t xml:space="preserve">e following </w:t>
      </w:r>
      <w:r w:rsidRPr="00787196">
        <w:rPr>
          <w:rFonts w:cs="Arial"/>
          <w:color w:val="000000"/>
          <w:szCs w:val="24"/>
        </w:rPr>
        <w:t xml:space="preserve">thesis is </w:t>
      </w:r>
      <w:r w:rsidR="00E04FEF" w:rsidRPr="00787196">
        <w:rPr>
          <w:rFonts w:cs="Arial"/>
          <w:color w:val="000000"/>
          <w:szCs w:val="24"/>
        </w:rPr>
        <w:t xml:space="preserve">organised </w:t>
      </w:r>
      <w:r w:rsidRPr="00787196">
        <w:rPr>
          <w:rFonts w:cs="Arial"/>
          <w:color w:val="000000"/>
          <w:szCs w:val="24"/>
        </w:rPr>
        <w:t>as follows:</w:t>
      </w:r>
    </w:p>
    <w:p w14:paraId="5D4B08A2" w14:textId="77777777" w:rsidR="00DF0E7D" w:rsidRPr="00787196" w:rsidRDefault="00DF0E7D" w:rsidP="0020473D">
      <w:pPr>
        <w:spacing w:before="0" w:after="0" w:line="240" w:lineRule="auto"/>
        <w:rPr>
          <w:rFonts w:cs="Arial"/>
          <w:color w:val="000000"/>
          <w:szCs w:val="24"/>
        </w:rPr>
      </w:pPr>
    </w:p>
    <w:p w14:paraId="1BBB9542" w14:textId="084EB1E4" w:rsidR="0020473D" w:rsidRPr="00787196" w:rsidRDefault="0020473D" w:rsidP="0020473D">
      <w:pPr>
        <w:spacing w:before="0" w:after="0" w:line="240" w:lineRule="auto"/>
        <w:rPr>
          <w:rFonts w:cs="Arial"/>
          <w:color w:val="000000"/>
          <w:szCs w:val="24"/>
        </w:rPr>
      </w:pPr>
      <w:r w:rsidRPr="00787196">
        <w:rPr>
          <w:rFonts w:cs="Arial"/>
          <w:b/>
          <w:bCs/>
          <w:color w:val="000000"/>
          <w:szCs w:val="24"/>
        </w:rPr>
        <w:t xml:space="preserve">Chapter One </w:t>
      </w:r>
      <w:r w:rsidR="00265074" w:rsidRPr="00787196">
        <w:rPr>
          <w:rFonts w:cs="Arial"/>
          <w:color w:val="000000"/>
          <w:szCs w:val="24"/>
        </w:rPr>
        <w:t xml:space="preserve">gives </w:t>
      </w:r>
      <w:r w:rsidRPr="00787196">
        <w:rPr>
          <w:rFonts w:cs="Arial"/>
          <w:color w:val="000000"/>
          <w:szCs w:val="24"/>
        </w:rPr>
        <w:t>the overview of th</w:t>
      </w:r>
      <w:r w:rsidR="00265074" w:rsidRPr="00787196">
        <w:rPr>
          <w:rFonts w:cs="Arial"/>
          <w:color w:val="000000"/>
          <w:szCs w:val="24"/>
        </w:rPr>
        <w:t>is</w:t>
      </w:r>
      <w:r w:rsidRPr="00787196">
        <w:rPr>
          <w:rFonts w:cs="Arial"/>
          <w:color w:val="000000"/>
          <w:szCs w:val="24"/>
        </w:rPr>
        <w:t xml:space="preserve"> </w:t>
      </w:r>
      <w:r w:rsidR="00265074" w:rsidRPr="00787196">
        <w:rPr>
          <w:rFonts w:cs="Arial"/>
          <w:color w:val="000000"/>
          <w:szCs w:val="24"/>
        </w:rPr>
        <w:t>study</w:t>
      </w:r>
      <w:r w:rsidRPr="00787196">
        <w:rPr>
          <w:rFonts w:cs="Arial"/>
          <w:color w:val="000000"/>
          <w:szCs w:val="24"/>
        </w:rPr>
        <w:t xml:space="preserve">. </w:t>
      </w:r>
    </w:p>
    <w:p w14:paraId="686A9EC2" w14:textId="77777777" w:rsidR="00716E6A" w:rsidRPr="00787196" w:rsidRDefault="00716E6A" w:rsidP="0020473D">
      <w:pPr>
        <w:spacing w:before="0" w:after="0" w:line="240" w:lineRule="auto"/>
        <w:rPr>
          <w:rFonts w:cs="Arial"/>
          <w:color w:val="000000"/>
          <w:szCs w:val="24"/>
        </w:rPr>
      </w:pPr>
    </w:p>
    <w:p w14:paraId="1896089E" w14:textId="75EA8FF2" w:rsidR="00716E6A" w:rsidRPr="00787196" w:rsidRDefault="0020473D" w:rsidP="004C297B">
      <w:pPr>
        <w:rPr>
          <w:szCs w:val="24"/>
        </w:rPr>
      </w:pPr>
      <w:r w:rsidRPr="00787196">
        <w:rPr>
          <w:rFonts w:cs="Arial"/>
          <w:b/>
          <w:bCs/>
          <w:szCs w:val="24"/>
        </w:rPr>
        <w:t xml:space="preserve">Chapter Two </w:t>
      </w:r>
      <w:r w:rsidR="0021027D" w:rsidRPr="00787196">
        <w:rPr>
          <w:rFonts w:cs="Arial"/>
          <w:szCs w:val="24"/>
        </w:rPr>
        <w:t>gives a</w:t>
      </w:r>
      <w:r w:rsidRPr="00787196">
        <w:rPr>
          <w:rFonts w:cs="Arial"/>
          <w:szCs w:val="24"/>
        </w:rPr>
        <w:t xml:space="preserve"> narrative review </w:t>
      </w:r>
      <w:r w:rsidR="00B675AB" w:rsidRPr="00787196">
        <w:rPr>
          <w:rFonts w:cs="Arial"/>
          <w:szCs w:val="24"/>
        </w:rPr>
        <w:t>of the</w:t>
      </w:r>
      <w:r w:rsidR="0021027D" w:rsidRPr="00787196">
        <w:rPr>
          <w:rFonts w:cs="Arial"/>
          <w:szCs w:val="24"/>
        </w:rPr>
        <w:t xml:space="preserve"> existing</w:t>
      </w:r>
      <w:r w:rsidR="00B675AB" w:rsidRPr="00787196">
        <w:rPr>
          <w:rFonts w:cs="Arial"/>
          <w:szCs w:val="24"/>
        </w:rPr>
        <w:t xml:space="preserve"> literature</w:t>
      </w:r>
      <w:r w:rsidR="000F3AA4" w:rsidRPr="00787196">
        <w:rPr>
          <w:rFonts w:cs="Arial"/>
          <w:szCs w:val="24"/>
        </w:rPr>
        <w:t xml:space="preserve"> on</w:t>
      </w:r>
      <w:r w:rsidR="00B675AB" w:rsidRPr="00787196">
        <w:rPr>
          <w:rFonts w:cs="Arial"/>
          <w:szCs w:val="24"/>
        </w:rPr>
        <w:t xml:space="preserve"> denture success</w:t>
      </w:r>
      <w:r w:rsidR="00924F13" w:rsidRPr="00787196">
        <w:rPr>
          <w:rFonts w:cs="Arial"/>
          <w:szCs w:val="24"/>
        </w:rPr>
        <w:t>, t</w:t>
      </w:r>
      <w:r w:rsidR="00B675AB" w:rsidRPr="00787196">
        <w:rPr>
          <w:rFonts w:cs="Arial"/>
          <w:szCs w:val="24"/>
        </w:rPr>
        <w:t xml:space="preserve">he </w:t>
      </w:r>
      <w:r w:rsidR="004C297B" w:rsidRPr="00787196">
        <w:rPr>
          <w:rFonts w:cs="Arial"/>
          <w:szCs w:val="24"/>
        </w:rPr>
        <w:t>lack of</w:t>
      </w:r>
      <w:r w:rsidR="00B675AB" w:rsidRPr="00787196">
        <w:rPr>
          <w:rFonts w:cs="Arial"/>
          <w:szCs w:val="24"/>
        </w:rPr>
        <w:t xml:space="preserve"> conceptualisation </w:t>
      </w:r>
      <w:r w:rsidR="00A341F7" w:rsidRPr="00787196">
        <w:rPr>
          <w:rFonts w:cs="Arial"/>
          <w:szCs w:val="24"/>
        </w:rPr>
        <w:t>about</w:t>
      </w:r>
      <w:r w:rsidR="004C297B" w:rsidRPr="00787196">
        <w:rPr>
          <w:rFonts w:cs="Arial"/>
          <w:szCs w:val="24"/>
        </w:rPr>
        <w:t xml:space="preserve"> </w:t>
      </w:r>
      <w:r w:rsidR="00B675AB" w:rsidRPr="00787196">
        <w:rPr>
          <w:rFonts w:cs="Arial"/>
          <w:szCs w:val="24"/>
        </w:rPr>
        <w:t>denture s</w:t>
      </w:r>
      <w:r w:rsidR="004C297B" w:rsidRPr="00787196">
        <w:rPr>
          <w:rFonts w:cs="Arial"/>
          <w:szCs w:val="24"/>
        </w:rPr>
        <w:t xml:space="preserve">atisfaction and </w:t>
      </w:r>
      <w:r w:rsidR="00A341F7" w:rsidRPr="00787196">
        <w:rPr>
          <w:rFonts w:cs="Arial"/>
          <w:szCs w:val="24"/>
        </w:rPr>
        <w:t xml:space="preserve">the </w:t>
      </w:r>
      <w:r w:rsidR="00924F13" w:rsidRPr="00787196">
        <w:rPr>
          <w:rFonts w:cs="Arial"/>
          <w:szCs w:val="24"/>
        </w:rPr>
        <w:t xml:space="preserve">knowledge gaps in understanding denture success. </w:t>
      </w:r>
      <w:r w:rsidR="004C297B" w:rsidRPr="00787196">
        <w:rPr>
          <w:rFonts w:cs="Arial"/>
          <w:szCs w:val="24"/>
        </w:rPr>
        <w:t xml:space="preserve">The </w:t>
      </w:r>
      <w:r w:rsidR="00924F13" w:rsidRPr="00787196">
        <w:rPr>
          <w:rFonts w:cs="Arial"/>
          <w:szCs w:val="24"/>
        </w:rPr>
        <w:t>r</w:t>
      </w:r>
      <w:r w:rsidR="004C297B" w:rsidRPr="00787196">
        <w:rPr>
          <w:rFonts w:cs="Arial"/>
          <w:szCs w:val="24"/>
        </w:rPr>
        <w:t xml:space="preserve">eview then </w:t>
      </w:r>
      <w:r w:rsidR="00924F13" w:rsidRPr="00787196">
        <w:rPr>
          <w:rFonts w:cs="Arial"/>
          <w:szCs w:val="24"/>
        </w:rPr>
        <w:t>focuses on</w:t>
      </w:r>
      <w:r w:rsidR="004C297B" w:rsidRPr="00787196">
        <w:rPr>
          <w:rFonts w:cs="Arial"/>
          <w:szCs w:val="24"/>
        </w:rPr>
        <w:t xml:space="preserve"> </w:t>
      </w:r>
      <w:r w:rsidRPr="00787196">
        <w:rPr>
          <w:rFonts w:cs="Arial"/>
          <w:szCs w:val="24"/>
        </w:rPr>
        <w:t>health</w:t>
      </w:r>
      <w:r w:rsidR="00924F13" w:rsidRPr="00787196">
        <w:rPr>
          <w:rFonts w:cs="Arial"/>
          <w:szCs w:val="24"/>
        </w:rPr>
        <w:t xml:space="preserve"> concepts, health related quality of life and OHQoL</w:t>
      </w:r>
      <w:r w:rsidR="004C297B" w:rsidRPr="00787196">
        <w:rPr>
          <w:rFonts w:cs="Arial"/>
          <w:szCs w:val="24"/>
        </w:rPr>
        <w:t>.</w:t>
      </w:r>
      <w:r w:rsidRPr="00787196">
        <w:rPr>
          <w:rFonts w:cs="Arial"/>
          <w:szCs w:val="24"/>
        </w:rPr>
        <w:t xml:space="preserve"> </w:t>
      </w:r>
      <w:r w:rsidR="00924F13" w:rsidRPr="00787196">
        <w:rPr>
          <w:rFonts w:cs="Arial"/>
          <w:szCs w:val="24"/>
        </w:rPr>
        <w:t>It then</w:t>
      </w:r>
      <w:r w:rsidRPr="00787196">
        <w:rPr>
          <w:rFonts w:cs="Arial"/>
          <w:szCs w:val="24"/>
        </w:rPr>
        <w:t xml:space="preserve"> </w:t>
      </w:r>
      <w:r w:rsidR="00A341F7" w:rsidRPr="00787196">
        <w:rPr>
          <w:rFonts w:cs="Arial"/>
          <w:szCs w:val="24"/>
        </w:rPr>
        <w:t xml:space="preserve">outlines and discusses about </w:t>
      </w:r>
      <w:r w:rsidR="00CF33A2" w:rsidRPr="00787196">
        <w:rPr>
          <w:rFonts w:cs="Arial"/>
          <w:szCs w:val="24"/>
        </w:rPr>
        <w:t xml:space="preserve">theoretical </w:t>
      </w:r>
      <w:r w:rsidR="00A341F7" w:rsidRPr="00787196">
        <w:rPr>
          <w:rFonts w:cs="Arial"/>
          <w:szCs w:val="24"/>
        </w:rPr>
        <w:t xml:space="preserve">models </w:t>
      </w:r>
      <w:r w:rsidR="00CF33A2" w:rsidRPr="00787196">
        <w:rPr>
          <w:rFonts w:cs="Arial"/>
          <w:szCs w:val="24"/>
        </w:rPr>
        <w:t>such as t</w:t>
      </w:r>
      <w:r w:rsidRPr="00787196">
        <w:rPr>
          <w:rFonts w:cs="Arial"/>
          <w:szCs w:val="24"/>
        </w:rPr>
        <w:t>he Wilson and Cleary</w:t>
      </w:r>
      <w:r w:rsidR="004C297B" w:rsidRPr="00787196">
        <w:rPr>
          <w:rFonts w:cs="Arial"/>
          <w:szCs w:val="24"/>
        </w:rPr>
        <w:t xml:space="preserve"> (1995)</w:t>
      </w:r>
      <w:r w:rsidRPr="00787196">
        <w:rPr>
          <w:rFonts w:cs="Arial"/>
          <w:szCs w:val="24"/>
        </w:rPr>
        <w:t xml:space="preserve"> </w:t>
      </w:r>
      <w:r w:rsidR="00CF33A2" w:rsidRPr="00787196">
        <w:rPr>
          <w:rFonts w:cs="Arial"/>
          <w:szCs w:val="24"/>
        </w:rPr>
        <w:t xml:space="preserve">and its suitability to this study. This chapter then </w:t>
      </w:r>
      <w:r w:rsidR="00A341F7" w:rsidRPr="00787196">
        <w:rPr>
          <w:rFonts w:cs="Arial"/>
          <w:szCs w:val="24"/>
        </w:rPr>
        <w:t>elaborate</w:t>
      </w:r>
      <w:r w:rsidR="00CF33A2" w:rsidRPr="00787196">
        <w:rPr>
          <w:rFonts w:cs="Arial"/>
          <w:szCs w:val="24"/>
        </w:rPr>
        <w:t>s the results of the literature review on determinants of denture success through which the variables were identified to be used for the study</w:t>
      </w:r>
      <w:r w:rsidR="00AD15D0" w:rsidRPr="00787196">
        <w:rPr>
          <w:rFonts w:cs="Arial"/>
          <w:szCs w:val="24"/>
        </w:rPr>
        <w:t xml:space="preserve">. </w:t>
      </w:r>
      <w:r w:rsidR="00E734F8" w:rsidRPr="00787196">
        <w:rPr>
          <w:rFonts w:cs="Arial"/>
          <w:szCs w:val="24"/>
        </w:rPr>
        <w:t xml:space="preserve">An elaborate </w:t>
      </w:r>
      <w:r w:rsidR="00AD15D0" w:rsidRPr="00787196">
        <w:rPr>
          <w:rFonts w:cs="Arial"/>
          <w:szCs w:val="24"/>
        </w:rPr>
        <w:t xml:space="preserve">explanation </w:t>
      </w:r>
      <w:r w:rsidRPr="00787196">
        <w:rPr>
          <w:rFonts w:cs="Arial"/>
          <w:szCs w:val="24"/>
        </w:rPr>
        <w:t xml:space="preserve">on </w:t>
      </w:r>
      <w:r w:rsidR="004C297B" w:rsidRPr="00787196">
        <w:rPr>
          <w:rFonts w:cs="Arial"/>
          <w:szCs w:val="24"/>
        </w:rPr>
        <w:t xml:space="preserve">coping strategies, individual </w:t>
      </w:r>
      <w:r w:rsidR="00AD15D0" w:rsidRPr="00787196">
        <w:rPr>
          <w:rFonts w:cs="Arial"/>
          <w:szCs w:val="24"/>
        </w:rPr>
        <w:t>factors (</w:t>
      </w:r>
      <w:r w:rsidR="004C297B" w:rsidRPr="00787196">
        <w:rPr>
          <w:rFonts w:cs="Arial"/>
          <w:szCs w:val="24"/>
        </w:rPr>
        <w:t>ageing expectations, concern about oral health</w:t>
      </w:r>
      <w:r w:rsidR="00A4019E" w:rsidRPr="00787196">
        <w:rPr>
          <w:rFonts w:cs="Arial"/>
          <w:szCs w:val="24"/>
        </w:rPr>
        <w:t xml:space="preserve"> and</w:t>
      </w:r>
      <w:r w:rsidR="004C297B" w:rsidRPr="00787196">
        <w:rPr>
          <w:rFonts w:cs="Arial"/>
          <w:szCs w:val="24"/>
        </w:rPr>
        <w:t xml:space="preserve"> perceived stress</w:t>
      </w:r>
      <w:r w:rsidR="00AD15D0" w:rsidRPr="00787196">
        <w:rPr>
          <w:rFonts w:cs="Arial"/>
          <w:szCs w:val="24"/>
        </w:rPr>
        <w:t>), e</w:t>
      </w:r>
      <w:r w:rsidRPr="00787196">
        <w:rPr>
          <w:rFonts w:cs="Arial"/>
          <w:szCs w:val="24"/>
        </w:rPr>
        <w:t>nvironmental</w:t>
      </w:r>
      <w:r w:rsidR="00716E6A" w:rsidRPr="00787196">
        <w:rPr>
          <w:rFonts w:cs="Arial"/>
          <w:szCs w:val="24"/>
        </w:rPr>
        <w:t xml:space="preserve"> </w:t>
      </w:r>
      <w:r w:rsidRPr="00787196">
        <w:rPr>
          <w:rFonts w:cs="Arial"/>
          <w:szCs w:val="24"/>
        </w:rPr>
        <w:t xml:space="preserve">factors </w:t>
      </w:r>
      <w:r w:rsidR="00AD15D0" w:rsidRPr="00787196">
        <w:rPr>
          <w:rFonts w:cs="Arial"/>
          <w:szCs w:val="24"/>
        </w:rPr>
        <w:t>(</w:t>
      </w:r>
      <w:r w:rsidR="004C297B" w:rsidRPr="00787196">
        <w:rPr>
          <w:rFonts w:cs="Arial"/>
          <w:szCs w:val="24"/>
        </w:rPr>
        <w:t xml:space="preserve">income, education, caste </w:t>
      </w:r>
      <w:r w:rsidRPr="00787196">
        <w:rPr>
          <w:rFonts w:cs="Arial"/>
          <w:szCs w:val="24"/>
        </w:rPr>
        <w:t>and work status</w:t>
      </w:r>
      <w:r w:rsidR="00AD15D0" w:rsidRPr="00787196">
        <w:rPr>
          <w:rFonts w:cs="Arial"/>
          <w:szCs w:val="24"/>
        </w:rPr>
        <w:t>)</w:t>
      </w:r>
      <w:r w:rsidR="00A4019E" w:rsidRPr="00787196">
        <w:rPr>
          <w:rFonts w:cs="Arial"/>
          <w:szCs w:val="24"/>
        </w:rPr>
        <w:t xml:space="preserve"> </w:t>
      </w:r>
      <w:r w:rsidR="005C5A79" w:rsidRPr="00787196">
        <w:rPr>
          <w:rFonts w:cs="Arial"/>
          <w:szCs w:val="24"/>
        </w:rPr>
        <w:t>and outcomes</w:t>
      </w:r>
      <w:r w:rsidR="00AD15D0" w:rsidRPr="00787196">
        <w:rPr>
          <w:rFonts w:cs="Arial"/>
          <w:szCs w:val="24"/>
        </w:rPr>
        <w:t xml:space="preserve"> (OHQoL, denture satisfaction and chewing ability) populated within the theoretical model </w:t>
      </w:r>
      <w:r w:rsidR="00E734F8" w:rsidRPr="00787196">
        <w:rPr>
          <w:rFonts w:cs="Arial"/>
          <w:szCs w:val="24"/>
        </w:rPr>
        <w:t>is given</w:t>
      </w:r>
      <w:r w:rsidR="00AD15D0" w:rsidRPr="00787196">
        <w:rPr>
          <w:rFonts w:cs="Arial"/>
          <w:szCs w:val="24"/>
        </w:rPr>
        <w:t xml:space="preserve"> followed by the justification of using OHQoL as the primary outcome variable</w:t>
      </w:r>
      <w:r w:rsidR="00E734F8" w:rsidRPr="00787196">
        <w:rPr>
          <w:rFonts w:cs="Arial"/>
          <w:szCs w:val="24"/>
        </w:rPr>
        <w:t xml:space="preserve"> for denture success.</w:t>
      </w:r>
    </w:p>
    <w:p w14:paraId="002DF3A9" w14:textId="3014E1FB" w:rsidR="00DB5473" w:rsidRPr="00787196" w:rsidRDefault="0020473D" w:rsidP="00B53E1A">
      <w:pPr>
        <w:rPr>
          <w:rFonts w:cs="Arial"/>
          <w:szCs w:val="24"/>
        </w:rPr>
      </w:pPr>
      <w:r w:rsidRPr="00787196">
        <w:rPr>
          <w:rFonts w:cs="Arial"/>
          <w:b/>
          <w:bCs/>
          <w:szCs w:val="24"/>
        </w:rPr>
        <w:t xml:space="preserve">Chapter Three </w:t>
      </w:r>
      <w:r w:rsidR="00B26314" w:rsidRPr="00787196">
        <w:rPr>
          <w:rFonts w:cs="Arial"/>
          <w:szCs w:val="24"/>
        </w:rPr>
        <w:t>su</w:t>
      </w:r>
      <w:r w:rsidRPr="00787196">
        <w:rPr>
          <w:rFonts w:cs="Arial"/>
          <w:szCs w:val="24"/>
        </w:rPr>
        <w:t xml:space="preserve">mmarises </w:t>
      </w:r>
      <w:r w:rsidR="00A4019E" w:rsidRPr="00787196">
        <w:rPr>
          <w:rFonts w:cs="Arial"/>
          <w:szCs w:val="24"/>
        </w:rPr>
        <w:t xml:space="preserve">the </w:t>
      </w:r>
      <w:r w:rsidRPr="00787196">
        <w:rPr>
          <w:rFonts w:cs="Arial"/>
          <w:szCs w:val="24"/>
        </w:rPr>
        <w:t xml:space="preserve">aim and objectives of the </w:t>
      </w:r>
      <w:r w:rsidR="00F03962" w:rsidRPr="00787196">
        <w:rPr>
          <w:rFonts w:cs="Arial"/>
          <w:szCs w:val="24"/>
        </w:rPr>
        <w:t>study. This</w:t>
      </w:r>
      <w:r w:rsidRPr="00787196">
        <w:rPr>
          <w:rFonts w:cs="Arial"/>
          <w:szCs w:val="24"/>
        </w:rPr>
        <w:t xml:space="preserve"> study aimed</w:t>
      </w:r>
      <w:r w:rsidR="00716E6A" w:rsidRPr="00787196">
        <w:rPr>
          <w:rFonts w:cs="Arial"/>
          <w:szCs w:val="24"/>
        </w:rPr>
        <w:t xml:space="preserve"> </w:t>
      </w:r>
      <w:r w:rsidRPr="00787196">
        <w:rPr>
          <w:rFonts w:cs="Arial"/>
          <w:szCs w:val="24"/>
        </w:rPr>
        <w:t xml:space="preserve">to identify </w:t>
      </w:r>
      <w:r w:rsidR="00F03962" w:rsidRPr="00787196">
        <w:rPr>
          <w:rFonts w:cs="Arial"/>
          <w:szCs w:val="24"/>
        </w:rPr>
        <w:t xml:space="preserve">whether </w:t>
      </w:r>
      <w:r w:rsidR="000F3AA4" w:rsidRPr="00787196">
        <w:rPr>
          <w:rFonts w:cs="Arial"/>
          <w:szCs w:val="24"/>
        </w:rPr>
        <w:t xml:space="preserve">the </w:t>
      </w:r>
      <w:r w:rsidR="00F03962" w:rsidRPr="00787196">
        <w:rPr>
          <w:rFonts w:cs="Arial"/>
          <w:szCs w:val="24"/>
        </w:rPr>
        <w:t>coping strategies of individuals receiving dentures determined success</w:t>
      </w:r>
      <w:r w:rsidR="00A4019E" w:rsidRPr="00787196">
        <w:rPr>
          <w:rFonts w:cs="Arial"/>
          <w:szCs w:val="24"/>
        </w:rPr>
        <w:t xml:space="preserve"> </w:t>
      </w:r>
      <w:r w:rsidR="00F03962" w:rsidRPr="00787196">
        <w:rPr>
          <w:rFonts w:cs="Arial"/>
          <w:szCs w:val="24"/>
        </w:rPr>
        <w:t xml:space="preserve">to improve their </w:t>
      </w:r>
      <w:r w:rsidRPr="00787196">
        <w:rPr>
          <w:rFonts w:cs="Arial"/>
          <w:szCs w:val="24"/>
        </w:rPr>
        <w:t>oral health related quality of</w:t>
      </w:r>
      <w:r w:rsidR="0056500E" w:rsidRPr="00787196">
        <w:rPr>
          <w:rFonts w:cs="Arial"/>
          <w:szCs w:val="24"/>
        </w:rPr>
        <w:t xml:space="preserve"> </w:t>
      </w:r>
      <w:r w:rsidRPr="00787196">
        <w:rPr>
          <w:rFonts w:cs="Arial"/>
          <w:szCs w:val="24"/>
        </w:rPr>
        <w:t>life.</w:t>
      </w:r>
      <w:r w:rsidR="00716E6A" w:rsidRPr="00787196">
        <w:rPr>
          <w:rFonts w:cs="Arial"/>
          <w:szCs w:val="24"/>
        </w:rPr>
        <w:t xml:space="preserve"> </w:t>
      </w:r>
    </w:p>
    <w:p w14:paraId="1D45DA8E" w14:textId="77777777" w:rsidR="00443019" w:rsidRPr="00787196" w:rsidRDefault="00443019">
      <w:pPr>
        <w:spacing w:before="0" w:after="0" w:line="240" w:lineRule="auto"/>
        <w:jc w:val="left"/>
        <w:rPr>
          <w:rFonts w:cs="Arial"/>
          <w:szCs w:val="24"/>
        </w:rPr>
      </w:pPr>
      <w:r w:rsidRPr="00787196">
        <w:rPr>
          <w:rFonts w:cs="Arial"/>
          <w:szCs w:val="24"/>
        </w:rPr>
        <w:br w:type="page"/>
      </w:r>
    </w:p>
    <w:p w14:paraId="1CFFABB6" w14:textId="3DE88BBE" w:rsidR="00716E6A" w:rsidRPr="00787196" w:rsidRDefault="0020473D" w:rsidP="00F03962">
      <w:pPr>
        <w:rPr>
          <w:rFonts w:cs="Arial"/>
          <w:szCs w:val="24"/>
        </w:rPr>
      </w:pPr>
      <w:r w:rsidRPr="00787196">
        <w:rPr>
          <w:rFonts w:cs="Arial"/>
          <w:szCs w:val="24"/>
        </w:rPr>
        <w:lastRenderedPageBreak/>
        <w:t>The objectives are as follows;</w:t>
      </w:r>
    </w:p>
    <w:p w14:paraId="714F1294" w14:textId="6B2DF8DA" w:rsidR="00F03962" w:rsidRPr="00787196" w:rsidRDefault="00F03962" w:rsidP="00F03962">
      <w:pPr>
        <w:pStyle w:val="ListParagraph"/>
        <w:numPr>
          <w:ilvl w:val="0"/>
          <w:numId w:val="43"/>
        </w:numPr>
        <w:spacing w:before="0"/>
        <w:ind w:left="567" w:hanging="425"/>
        <w:rPr>
          <w:rFonts w:cs="Arial"/>
          <w:color w:val="000000"/>
          <w:szCs w:val="24"/>
        </w:rPr>
      </w:pPr>
      <w:r w:rsidRPr="00787196">
        <w:rPr>
          <w:rFonts w:cs="Arial"/>
          <w:color w:val="000000"/>
          <w:szCs w:val="24"/>
        </w:rPr>
        <w:t xml:space="preserve">Recruit complete/partially edentulous adults </w:t>
      </w:r>
      <w:r w:rsidR="000F3AA4" w:rsidRPr="00787196">
        <w:rPr>
          <w:rFonts w:cs="Arial"/>
          <w:color w:val="000000"/>
          <w:szCs w:val="24"/>
        </w:rPr>
        <w:t xml:space="preserve">receiving new </w:t>
      </w:r>
      <w:r w:rsidRPr="00787196">
        <w:rPr>
          <w:rFonts w:cs="Arial"/>
          <w:color w:val="000000"/>
          <w:szCs w:val="24"/>
        </w:rPr>
        <w:t xml:space="preserve">dentures (irrespective of </w:t>
      </w:r>
      <w:r w:rsidR="000F3AA4" w:rsidRPr="00787196">
        <w:rPr>
          <w:rFonts w:cs="Arial"/>
          <w:color w:val="000000"/>
          <w:szCs w:val="24"/>
        </w:rPr>
        <w:t xml:space="preserve">previous </w:t>
      </w:r>
      <w:r w:rsidRPr="00787196">
        <w:rPr>
          <w:rFonts w:cs="Arial"/>
          <w:color w:val="000000"/>
          <w:szCs w:val="24"/>
        </w:rPr>
        <w:t>denture history)</w:t>
      </w:r>
    </w:p>
    <w:p w14:paraId="29CCAF0C" w14:textId="76936937" w:rsidR="00F03962" w:rsidRPr="00787196" w:rsidRDefault="00F03962" w:rsidP="0083201A">
      <w:pPr>
        <w:pStyle w:val="ListParagraph"/>
        <w:numPr>
          <w:ilvl w:val="0"/>
          <w:numId w:val="43"/>
        </w:numPr>
        <w:spacing w:before="0" w:after="0"/>
        <w:ind w:left="567" w:hanging="425"/>
        <w:rPr>
          <w:rFonts w:cs="Arial"/>
          <w:color w:val="000000"/>
          <w:szCs w:val="24"/>
        </w:rPr>
      </w:pPr>
      <w:r w:rsidRPr="00787196">
        <w:rPr>
          <w:rFonts w:cs="Arial"/>
          <w:color w:val="000000"/>
          <w:szCs w:val="24"/>
        </w:rPr>
        <w:t>To collect and record data on clinical variables, coping, individual and environmental factors, oral health related quality of life and other outcome variables populated within the Wilson and Cleary model</w:t>
      </w:r>
    </w:p>
    <w:p w14:paraId="18A0517B" w14:textId="5CB59790" w:rsidR="00F03962" w:rsidRPr="00787196" w:rsidRDefault="00F03962" w:rsidP="0083201A">
      <w:pPr>
        <w:pStyle w:val="ListParagraph"/>
        <w:numPr>
          <w:ilvl w:val="0"/>
          <w:numId w:val="43"/>
        </w:numPr>
        <w:spacing w:before="0" w:after="0"/>
        <w:ind w:left="567" w:hanging="425"/>
        <w:rPr>
          <w:rFonts w:cs="Arial"/>
          <w:color w:val="000000"/>
          <w:szCs w:val="24"/>
        </w:rPr>
      </w:pPr>
      <w:r w:rsidRPr="00787196">
        <w:rPr>
          <w:rFonts w:cs="Arial"/>
          <w:color w:val="000000"/>
          <w:szCs w:val="24"/>
        </w:rPr>
        <w:t>To determine if coping strategies influence OHQoL in people receiving new dentures.</w:t>
      </w:r>
    </w:p>
    <w:p w14:paraId="399E7594" w14:textId="4945BFD6" w:rsidR="00F03962" w:rsidRPr="00787196" w:rsidRDefault="00F03962" w:rsidP="0083201A">
      <w:pPr>
        <w:pStyle w:val="ListParagraph"/>
        <w:numPr>
          <w:ilvl w:val="0"/>
          <w:numId w:val="43"/>
        </w:numPr>
        <w:spacing w:before="0" w:after="0"/>
        <w:ind w:left="567" w:hanging="425"/>
        <w:rPr>
          <w:rFonts w:cs="Arial"/>
          <w:color w:val="000000"/>
          <w:szCs w:val="24"/>
        </w:rPr>
      </w:pPr>
      <w:r w:rsidRPr="00787196">
        <w:rPr>
          <w:rFonts w:cs="Arial"/>
          <w:color w:val="000000"/>
          <w:szCs w:val="24"/>
        </w:rPr>
        <w:t>To determine and identify clinical, individual and environmental factors that influence OHQoL and other patient reported outcomes (denture satisfaction and chewing ability).</w:t>
      </w:r>
    </w:p>
    <w:p w14:paraId="0F11811D" w14:textId="2240A310" w:rsidR="00F03962" w:rsidRPr="00787196" w:rsidRDefault="00F03962" w:rsidP="00F03962">
      <w:pPr>
        <w:pStyle w:val="ListParagraph"/>
        <w:numPr>
          <w:ilvl w:val="0"/>
          <w:numId w:val="43"/>
        </w:numPr>
        <w:spacing w:before="0"/>
        <w:ind w:left="567" w:hanging="425"/>
        <w:rPr>
          <w:rFonts w:cs="Arial"/>
          <w:color w:val="000000"/>
          <w:szCs w:val="24"/>
        </w:rPr>
      </w:pPr>
      <w:r w:rsidRPr="00787196">
        <w:rPr>
          <w:rFonts w:cs="Arial"/>
          <w:color w:val="000000"/>
          <w:szCs w:val="24"/>
        </w:rPr>
        <w:t>To determine if clinical, individual and environmental factors influence</w:t>
      </w:r>
      <w:r w:rsidR="00A4019E" w:rsidRPr="00787196">
        <w:rPr>
          <w:rFonts w:cs="Arial"/>
          <w:color w:val="000000"/>
          <w:szCs w:val="24"/>
        </w:rPr>
        <w:t xml:space="preserve"> the</w:t>
      </w:r>
      <w:r w:rsidRPr="00787196">
        <w:rPr>
          <w:rFonts w:cs="Arial"/>
          <w:color w:val="000000"/>
          <w:szCs w:val="24"/>
        </w:rPr>
        <w:t xml:space="preserve"> coping strategies of individuals receiving new dentures over time.</w:t>
      </w:r>
    </w:p>
    <w:p w14:paraId="2E398103" w14:textId="77777777" w:rsidR="008D23D0" w:rsidRPr="00787196" w:rsidRDefault="008D23D0" w:rsidP="00DF0E7D">
      <w:pPr>
        <w:pStyle w:val="ListParagraph"/>
        <w:spacing w:before="0" w:after="0"/>
        <w:ind w:left="0"/>
        <w:rPr>
          <w:rFonts w:cs="Arial"/>
          <w:szCs w:val="24"/>
        </w:rPr>
      </w:pPr>
    </w:p>
    <w:p w14:paraId="34B0A060" w14:textId="427D8CD3" w:rsidR="00CF5FE3" w:rsidRPr="00787196" w:rsidRDefault="0020473D" w:rsidP="00F03962">
      <w:pPr>
        <w:spacing w:before="0" w:after="0"/>
        <w:rPr>
          <w:rFonts w:cs="Arial"/>
          <w:color w:val="000000"/>
          <w:szCs w:val="24"/>
        </w:rPr>
      </w:pPr>
      <w:r w:rsidRPr="00787196">
        <w:rPr>
          <w:rFonts w:cs="Arial"/>
          <w:b/>
          <w:bCs/>
          <w:color w:val="000000"/>
          <w:szCs w:val="24"/>
        </w:rPr>
        <w:t xml:space="preserve">Chapter Four </w:t>
      </w:r>
      <w:r w:rsidR="00F03962" w:rsidRPr="00787196">
        <w:rPr>
          <w:rFonts w:cs="Arial"/>
          <w:color w:val="000000"/>
          <w:szCs w:val="24"/>
        </w:rPr>
        <w:t>details the material</w:t>
      </w:r>
      <w:r w:rsidR="00884E93" w:rsidRPr="00787196">
        <w:rPr>
          <w:rFonts w:cs="Arial"/>
          <w:color w:val="000000"/>
          <w:szCs w:val="24"/>
        </w:rPr>
        <w:t>s</w:t>
      </w:r>
      <w:r w:rsidR="00F03962" w:rsidRPr="00787196">
        <w:rPr>
          <w:rFonts w:cs="Arial"/>
          <w:color w:val="000000"/>
          <w:szCs w:val="24"/>
        </w:rPr>
        <w:t xml:space="preserve"> and methods including a brief description </w:t>
      </w:r>
      <w:r w:rsidR="00884E93" w:rsidRPr="00787196">
        <w:rPr>
          <w:rFonts w:cs="Arial"/>
          <w:color w:val="000000"/>
          <w:szCs w:val="24"/>
        </w:rPr>
        <w:t>of</w:t>
      </w:r>
      <w:r w:rsidR="00F03962" w:rsidRPr="00787196">
        <w:rPr>
          <w:rFonts w:cs="Arial"/>
          <w:color w:val="000000"/>
          <w:szCs w:val="24"/>
        </w:rPr>
        <w:t xml:space="preserve"> the data analysis strategy and data management. </w:t>
      </w:r>
    </w:p>
    <w:p w14:paraId="0D2A5B11" w14:textId="77777777" w:rsidR="00CF5FE3" w:rsidRPr="00787196" w:rsidRDefault="00CF5FE3" w:rsidP="008D23D0">
      <w:pPr>
        <w:spacing w:before="0" w:after="0" w:line="240" w:lineRule="auto"/>
        <w:ind w:left="420" w:hanging="420"/>
        <w:rPr>
          <w:rFonts w:ascii="Times-Roman" w:hAnsi="Times-Roman"/>
          <w:color w:val="000000"/>
          <w:sz w:val="26"/>
          <w:szCs w:val="26"/>
        </w:rPr>
      </w:pPr>
    </w:p>
    <w:p w14:paraId="69BE400D" w14:textId="524C1141" w:rsidR="00F03962" w:rsidRPr="00787196" w:rsidRDefault="0020473D" w:rsidP="00CD512D">
      <w:pPr>
        <w:spacing w:before="0" w:after="0"/>
        <w:rPr>
          <w:rFonts w:cs="Arial"/>
          <w:color w:val="000000"/>
          <w:szCs w:val="24"/>
        </w:rPr>
      </w:pPr>
      <w:r w:rsidRPr="00787196">
        <w:rPr>
          <w:rFonts w:cs="Arial"/>
          <w:b/>
          <w:bCs/>
          <w:color w:val="000000"/>
          <w:szCs w:val="24"/>
        </w:rPr>
        <w:t xml:space="preserve">Chapter Five </w:t>
      </w:r>
      <w:r w:rsidR="00F03962" w:rsidRPr="00787196">
        <w:rPr>
          <w:rFonts w:cs="Arial"/>
          <w:color w:val="000000"/>
          <w:szCs w:val="24"/>
        </w:rPr>
        <w:t xml:space="preserve">presents the </w:t>
      </w:r>
      <w:r w:rsidR="00F843C0" w:rsidRPr="00787196">
        <w:rPr>
          <w:rFonts w:cs="Arial"/>
          <w:color w:val="000000"/>
          <w:szCs w:val="24"/>
        </w:rPr>
        <w:t>results</w:t>
      </w:r>
      <w:r w:rsidR="00884E93" w:rsidRPr="00787196">
        <w:rPr>
          <w:rFonts w:cs="Arial"/>
          <w:color w:val="000000"/>
          <w:szCs w:val="24"/>
        </w:rPr>
        <w:t xml:space="preserve"> of the study</w:t>
      </w:r>
      <w:r w:rsidR="00F843C0" w:rsidRPr="00787196">
        <w:rPr>
          <w:rFonts w:cs="Arial"/>
          <w:color w:val="000000"/>
          <w:szCs w:val="24"/>
        </w:rPr>
        <w:t>.</w:t>
      </w:r>
      <w:r w:rsidR="00CD512D" w:rsidRPr="00787196">
        <w:rPr>
          <w:rFonts w:cs="Arial"/>
          <w:color w:val="000000"/>
          <w:szCs w:val="24"/>
        </w:rPr>
        <w:t xml:space="preserve"> </w:t>
      </w:r>
      <w:r w:rsidR="00F03962" w:rsidRPr="00787196">
        <w:rPr>
          <w:rFonts w:cs="Arial"/>
          <w:color w:val="000000"/>
          <w:szCs w:val="24"/>
        </w:rPr>
        <w:t>Broadly speaking in lagged analyses</w:t>
      </w:r>
      <w:r w:rsidR="00884E93" w:rsidRPr="00787196">
        <w:rPr>
          <w:rFonts w:cs="Arial"/>
          <w:color w:val="000000"/>
          <w:szCs w:val="24"/>
        </w:rPr>
        <w:t>,</w:t>
      </w:r>
      <w:r w:rsidR="00F03962" w:rsidRPr="00787196">
        <w:rPr>
          <w:rFonts w:cs="Arial"/>
          <w:color w:val="000000"/>
          <w:szCs w:val="24"/>
        </w:rPr>
        <w:t xml:space="preserve"> </w:t>
      </w:r>
      <w:r w:rsidR="00CD512D" w:rsidRPr="00787196">
        <w:rPr>
          <w:rFonts w:cs="Arial"/>
          <w:color w:val="000000"/>
          <w:szCs w:val="24"/>
        </w:rPr>
        <w:t xml:space="preserve">coping strategies </w:t>
      </w:r>
      <w:r w:rsidR="00F03962" w:rsidRPr="00787196">
        <w:rPr>
          <w:rFonts w:cs="Arial"/>
          <w:color w:val="000000"/>
          <w:szCs w:val="24"/>
        </w:rPr>
        <w:t xml:space="preserve">were not </w:t>
      </w:r>
      <w:r w:rsidR="00CD512D" w:rsidRPr="00787196">
        <w:rPr>
          <w:rFonts w:cs="Arial"/>
          <w:color w:val="000000"/>
          <w:szCs w:val="24"/>
        </w:rPr>
        <w:t xml:space="preserve">associated with OHQoL. </w:t>
      </w:r>
      <w:r w:rsidR="00F843C0" w:rsidRPr="00787196">
        <w:rPr>
          <w:rFonts w:cs="Arial"/>
          <w:color w:val="000000"/>
          <w:szCs w:val="24"/>
        </w:rPr>
        <w:t>Whereas</w:t>
      </w:r>
      <w:r w:rsidR="00CD512D" w:rsidRPr="00787196">
        <w:rPr>
          <w:rFonts w:cs="Arial"/>
          <w:color w:val="000000"/>
          <w:szCs w:val="24"/>
        </w:rPr>
        <w:t xml:space="preserve"> clinical</w:t>
      </w:r>
      <w:r w:rsidR="00F03962" w:rsidRPr="00787196">
        <w:rPr>
          <w:rFonts w:cs="Arial"/>
          <w:color w:val="000000"/>
          <w:szCs w:val="24"/>
        </w:rPr>
        <w:t xml:space="preserve"> factors, notably </w:t>
      </w:r>
      <w:r w:rsidR="00CD512D" w:rsidRPr="00787196">
        <w:rPr>
          <w:rFonts w:cs="Arial"/>
          <w:color w:val="000000"/>
          <w:szCs w:val="24"/>
        </w:rPr>
        <w:t>number of teeth, occluding were consistently linked to OHQoL</w:t>
      </w:r>
      <w:r w:rsidR="00F03962" w:rsidRPr="00787196">
        <w:rPr>
          <w:rFonts w:cs="Arial"/>
          <w:color w:val="000000"/>
          <w:szCs w:val="24"/>
        </w:rPr>
        <w:t>.</w:t>
      </w:r>
    </w:p>
    <w:p w14:paraId="153A7216" w14:textId="77777777" w:rsidR="008C7DBD" w:rsidRPr="00787196" w:rsidRDefault="008C7DBD" w:rsidP="008C7DBD">
      <w:pPr>
        <w:spacing w:before="0" w:after="0"/>
        <w:rPr>
          <w:rFonts w:cs="Arial"/>
          <w:color w:val="000000"/>
          <w:szCs w:val="24"/>
        </w:rPr>
      </w:pPr>
    </w:p>
    <w:p w14:paraId="2888AB4B" w14:textId="4651C2D8" w:rsidR="008C7DBD" w:rsidRPr="00787196" w:rsidRDefault="0020473D" w:rsidP="00CD512D">
      <w:pPr>
        <w:spacing w:before="0" w:after="0"/>
        <w:rPr>
          <w:rFonts w:cs="Arial"/>
          <w:color w:val="000000"/>
          <w:szCs w:val="24"/>
        </w:rPr>
      </w:pPr>
      <w:r w:rsidRPr="00787196">
        <w:rPr>
          <w:rFonts w:cs="Arial"/>
          <w:b/>
          <w:bCs/>
          <w:color w:val="000000"/>
          <w:szCs w:val="24"/>
        </w:rPr>
        <w:t>Chapter Six</w:t>
      </w:r>
      <w:r w:rsidRPr="00787196">
        <w:rPr>
          <w:rFonts w:cs="Arial"/>
          <w:color w:val="000000"/>
          <w:szCs w:val="24"/>
        </w:rPr>
        <w:t xml:space="preserve"> discuss</w:t>
      </w:r>
      <w:r w:rsidR="00CD512D" w:rsidRPr="00787196">
        <w:rPr>
          <w:rFonts w:cs="Arial"/>
          <w:color w:val="000000"/>
          <w:szCs w:val="24"/>
        </w:rPr>
        <w:t xml:space="preserve">es </w:t>
      </w:r>
      <w:r w:rsidRPr="00787196">
        <w:rPr>
          <w:rFonts w:cs="Arial"/>
          <w:color w:val="000000"/>
          <w:szCs w:val="24"/>
        </w:rPr>
        <w:t>the findings</w:t>
      </w:r>
      <w:r w:rsidR="00CD512D" w:rsidRPr="00787196">
        <w:rPr>
          <w:rFonts w:cs="Arial"/>
          <w:color w:val="000000"/>
          <w:szCs w:val="24"/>
        </w:rPr>
        <w:t xml:space="preserve"> </w:t>
      </w:r>
      <w:r w:rsidR="00F843C0" w:rsidRPr="00787196">
        <w:rPr>
          <w:rFonts w:cs="Arial"/>
          <w:color w:val="000000"/>
          <w:szCs w:val="24"/>
        </w:rPr>
        <w:t xml:space="preserve">from </w:t>
      </w:r>
      <w:r w:rsidR="00CD512D" w:rsidRPr="00787196">
        <w:rPr>
          <w:rFonts w:cs="Arial"/>
          <w:color w:val="000000"/>
          <w:szCs w:val="24"/>
        </w:rPr>
        <w:t>this study</w:t>
      </w:r>
      <w:r w:rsidR="00F843C0" w:rsidRPr="00787196">
        <w:rPr>
          <w:rFonts w:cs="Arial"/>
          <w:color w:val="000000"/>
          <w:szCs w:val="24"/>
        </w:rPr>
        <w:t xml:space="preserve"> in depth</w:t>
      </w:r>
      <w:r w:rsidRPr="00787196">
        <w:rPr>
          <w:rFonts w:cs="Arial"/>
          <w:color w:val="000000"/>
          <w:szCs w:val="24"/>
        </w:rPr>
        <w:t>.</w:t>
      </w:r>
    </w:p>
    <w:p w14:paraId="539FA8FC" w14:textId="77777777" w:rsidR="008C7DBD" w:rsidRPr="00787196" w:rsidRDefault="008C7DBD" w:rsidP="008C7DBD">
      <w:pPr>
        <w:spacing w:before="0" w:after="0"/>
        <w:rPr>
          <w:rFonts w:cs="Arial"/>
          <w:color w:val="000000"/>
          <w:szCs w:val="24"/>
        </w:rPr>
      </w:pPr>
    </w:p>
    <w:p w14:paraId="20B54403" w14:textId="58AF1069" w:rsidR="008C7DBD" w:rsidRPr="00787196" w:rsidRDefault="0020473D" w:rsidP="00CD512D">
      <w:pPr>
        <w:spacing w:before="0" w:after="0"/>
        <w:rPr>
          <w:rFonts w:cs="Arial"/>
          <w:color w:val="000000"/>
          <w:szCs w:val="24"/>
        </w:rPr>
      </w:pPr>
      <w:r w:rsidRPr="00787196">
        <w:rPr>
          <w:rFonts w:cs="Arial"/>
          <w:b/>
          <w:bCs/>
          <w:color w:val="000000"/>
          <w:szCs w:val="24"/>
        </w:rPr>
        <w:t xml:space="preserve">Chapter </w:t>
      </w:r>
      <w:r w:rsidR="00CD512D" w:rsidRPr="00787196">
        <w:rPr>
          <w:rFonts w:cs="Arial"/>
          <w:b/>
          <w:bCs/>
          <w:color w:val="000000"/>
          <w:szCs w:val="24"/>
        </w:rPr>
        <w:t>Seven</w:t>
      </w:r>
      <w:r w:rsidRPr="00787196">
        <w:rPr>
          <w:rFonts w:cs="Arial"/>
          <w:color w:val="000000"/>
          <w:szCs w:val="24"/>
        </w:rPr>
        <w:t xml:space="preserve"> </w:t>
      </w:r>
      <w:r w:rsidR="00F843C0" w:rsidRPr="00787196">
        <w:rPr>
          <w:rFonts w:cs="Arial"/>
          <w:color w:val="000000"/>
          <w:szCs w:val="24"/>
        </w:rPr>
        <w:t>summarises the</w:t>
      </w:r>
      <w:r w:rsidRPr="00787196">
        <w:rPr>
          <w:rFonts w:cs="Arial"/>
          <w:color w:val="000000"/>
          <w:szCs w:val="24"/>
        </w:rPr>
        <w:t xml:space="preserve"> conclusions and the </w:t>
      </w:r>
      <w:r w:rsidR="00B53E1A" w:rsidRPr="00787196">
        <w:rPr>
          <w:rFonts w:cs="Arial"/>
          <w:color w:val="000000"/>
          <w:szCs w:val="24"/>
        </w:rPr>
        <w:t>recommendations provided</w:t>
      </w:r>
      <w:r w:rsidR="00F843C0" w:rsidRPr="00787196">
        <w:rPr>
          <w:rFonts w:cs="Arial"/>
          <w:color w:val="000000"/>
          <w:szCs w:val="24"/>
        </w:rPr>
        <w:t xml:space="preserve"> </w:t>
      </w:r>
      <w:r w:rsidRPr="00787196">
        <w:rPr>
          <w:rFonts w:cs="Arial"/>
          <w:color w:val="000000"/>
          <w:szCs w:val="24"/>
        </w:rPr>
        <w:t xml:space="preserve">from the </w:t>
      </w:r>
      <w:r w:rsidR="00F843C0" w:rsidRPr="00787196">
        <w:rPr>
          <w:rFonts w:cs="Arial"/>
          <w:color w:val="000000"/>
          <w:szCs w:val="24"/>
        </w:rPr>
        <w:t xml:space="preserve">finding of </w:t>
      </w:r>
      <w:r w:rsidR="00B53E1A" w:rsidRPr="00787196">
        <w:rPr>
          <w:rFonts w:cs="Arial"/>
          <w:color w:val="000000"/>
          <w:szCs w:val="24"/>
        </w:rPr>
        <w:t>this</w:t>
      </w:r>
      <w:r w:rsidR="00F843C0" w:rsidRPr="00787196">
        <w:rPr>
          <w:rFonts w:cs="Arial"/>
          <w:color w:val="000000"/>
          <w:szCs w:val="24"/>
        </w:rPr>
        <w:t xml:space="preserve"> </w:t>
      </w:r>
      <w:r w:rsidRPr="00787196">
        <w:rPr>
          <w:rFonts w:cs="Arial"/>
          <w:color w:val="000000"/>
          <w:szCs w:val="24"/>
        </w:rPr>
        <w:t>research.</w:t>
      </w:r>
    </w:p>
    <w:p w14:paraId="20F6D422" w14:textId="77777777" w:rsidR="008C7DBD" w:rsidRPr="00787196" w:rsidRDefault="008C7DBD" w:rsidP="008C7DBD">
      <w:pPr>
        <w:spacing w:before="0" w:after="0"/>
        <w:rPr>
          <w:rFonts w:cs="Arial"/>
          <w:color w:val="000000"/>
          <w:szCs w:val="24"/>
        </w:rPr>
      </w:pPr>
    </w:p>
    <w:p w14:paraId="5FF88873" w14:textId="5639ECF1" w:rsidR="008C7DBD" w:rsidRPr="00787196" w:rsidRDefault="0020473D" w:rsidP="00CD512D">
      <w:pPr>
        <w:spacing w:before="0" w:after="0"/>
        <w:rPr>
          <w:rFonts w:cs="Arial"/>
          <w:color w:val="000000"/>
          <w:szCs w:val="24"/>
        </w:rPr>
      </w:pPr>
      <w:r w:rsidRPr="00787196">
        <w:rPr>
          <w:rFonts w:cs="Arial"/>
          <w:b/>
          <w:bCs/>
          <w:color w:val="000000"/>
          <w:szCs w:val="24"/>
        </w:rPr>
        <w:t xml:space="preserve">Chapter </w:t>
      </w:r>
      <w:r w:rsidR="00CD512D" w:rsidRPr="00787196">
        <w:rPr>
          <w:rFonts w:cs="Arial"/>
          <w:b/>
          <w:bCs/>
          <w:color w:val="000000"/>
          <w:szCs w:val="24"/>
        </w:rPr>
        <w:t>Eight</w:t>
      </w:r>
      <w:r w:rsidRPr="00787196">
        <w:rPr>
          <w:rFonts w:cs="Arial"/>
          <w:color w:val="000000"/>
          <w:szCs w:val="24"/>
        </w:rPr>
        <w:t xml:space="preserve"> lists the references.</w:t>
      </w:r>
    </w:p>
    <w:p w14:paraId="093D2783" w14:textId="77777777" w:rsidR="00CD512D" w:rsidRPr="00787196" w:rsidRDefault="00CD512D" w:rsidP="008C7DBD">
      <w:pPr>
        <w:spacing w:before="0" w:after="0"/>
        <w:rPr>
          <w:rFonts w:cs="Arial"/>
          <w:b/>
          <w:bCs/>
          <w:color w:val="000000"/>
          <w:szCs w:val="24"/>
        </w:rPr>
      </w:pPr>
    </w:p>
    <w:p w14:paraId="78AE4F4B" w14:textId="19666BAA" w:rsidR="008C7DBD" w:rsidRPr="00787196" w:rsidRDefault="0020473D" w:rsidP="008C7DBD">
      <w:pPr>
        <w:spacing w:before="0" w:after="0"/>
        <w:rPr>
          <w:rFonts w:cs="Arial"/>
          <w:color w:val="000000"/>
          <w:szCs w:val="24"/>
        </w:rPr>
      </w:pPr>
      <w:r w:rsidRPr="00787196">
        <w:rPr>
          <w:rFonts w:cs="Arial"/>
          <w:b/>
          <w:bCs/>
          <w:color w:val="000000"/>
          <w:szCs w:val="24"/>
        </w:rPr>
        <w:t>Appendices</w:t>
      </w:r>
      <w:r w:rsidRPr="00787196">
        <w:rPr>
          <w:rFonts w:cs="Arial"/>
          <w:color w:val="000000"/>
          <w:szCs w:val="24"/>
        </w:rPr>
        <w:t xml:space="preserve"> section contains copies of key research documents.</w:t>
      </w:r>
    </w:p>
    <w:p w14:paraId="0AD07BA6" w14:textId="77777777" w:rsidR="008C7DBD" w:rsidRPr="00787196" w:rsidRDefault="008C7DBD">
      <w:pPr>
        <w:spacing w:before="0" w:after="0" w:line="240" w:lineRule="auto"/>
        <w:jc w:val="left"/>
        <w:rPr>
          <w:rFonts w:cs="Arial"/>
          <w:color w:val="000000"/>
          <w:szCs w:val="24"/>
        </w:rPr>
      </w:pPr>
      <w:r w:rsidRPr="00787196">
        <w:rPr>
          <w:rFonts w:cs="Arial"/>
          <w:color w:val="000000"/>
          <w:szCs w:val="24"/>
        </w:rPr>
        <w:br w:type="page"/>
      </w:r>
    </w:p>
    <w:p w14:paraId="55628C5F" w14:textId="2DB7CA0D" w:rsidR="00BE28E0" w:rsidRPr="00787196" w:rsidRDefault="00284C60" w:rsidP="002C4FCD">
      <w:pPr>
        <w:pStyle w:val="Heading1"/>
        <w:spacing w:after="0"/>
      </w:pPr>
      <w:bookmarkStart w:id="13" w:name="_Toc488655603"/>
      <w:r w:rsidRPr="00787196">
        <w:lastRenderedPageBreak/>
        <w:t xml:space="preserve">CHAPTER TWO </w:t>
      </w:r>
      <w:r w:rsidR="00BE28E0" w:rsidRPr="00787196">
        <w:t>LITERATURE REVIEW</w:t>
      </w:r>
      <w:bookmarkEnd w:id="12"/>
      <w:bookmarkEnd w:id="13"/>
    </w:p>
    <w:p w14:paraId="40AFFC8B" w14:textId="066AC1CB" w:rsidR="00D53DB8" w:rsidRPr="00787196" w:rsidRDefault="00300B5A" w:rsidP="0037043B">
      <w:pPr>
        <w:pStyle w:val="Heading2"/>
        <w:numPr>
          <w:ilvl w:val="0"/>
          <w:numId w:val="0"/>
        </w:numPr>
        <w:tabs>
          <w:tab w:val="clear" w:pos="567"/>
          <w:tab w:val="left" w:pos="0"/>
        </w:tabs>
      </w:pPr>
      <w:bookmarkStart w:id="14" w:name="_Toc456211122"/>
      <w:bookmarkStart w:id="15" w:name="_Toc488655604"/>
      <w:r w:rsidRPr="00787196">
        <w:t>INTRODUCTION</w:t>
      </w:r>
      <w:bookmarkEnd w:id="14"/>
      <w:bookmarkEnd w:id="15"/>
    </w:p>
    <w:p w14:paraId="1588B279" w14:textId="77777777" w:rsidR="005974B5" w:rsidRPr="00787196" w:rsidRDefault="000629A0" w:rsidP="00300B5A">
      <w:pPr>
        <w:spacing w:after="240"/>
        <w:rPr>
          <w:rFonts w:eastAsia="Arial" w:cs="Arial"/>
        </w:rPr>
      </w:pPr>
      <w:r w:rsidRPr="00787196">
        <w:rPr>
          <w:rFonts w:eastAsia="Arial" w:cs="Arial"/>
        </w:rPr>
        <w:t xml:space="preserve">Receiving dentures is </w:t>
      </w:r>
      <w:r w:rsidR="003E4372" w:rsidRPr="00787196">
        <w:rPr>
          <w:rFonts w:eastAsia="Arial" w:cs="Arial"/>
        </w:rPr>
        <w:t>considered a stressful</w:t>
      </w:r>
      <w:r w:rsidRPr="00787196">
        <w:rPr>
          <w:rFonts w:eastAsia="Arial" w:cs="Arial"/>
        </w:rPr>
        <w:t xml:space="preserve"> life event (Bergendal, 1989, Haugejorden et al., 1993, Klock and Haugejorden, 2002). Despite advance</w:t>
      </w:r>
      <w:r w:rsidR="003E4372" w:rsidRPr="00787196">
        <w:rPr>
          <w:rFonts w:eastAsia="Arial" w:cs="Arial"/>
        </w:rPr>
        <w:t>s and</w:t>
      </w:r>
      <w:r w:rsidRPr="00787196">
        <w:rPr>
          <w:rFonts w:eastAsia="Arial" w:cs="Arial"/>
        </w:rPr>
        <w:t xml:space="preserve"> innovations in dental prostheses </w:t>
      </w:r>
      <w:r w:rsidR="00A063BF" w:rsidRPr="00787196">
        <w:rPr>
          <w:rFonts w:eastAsia="Arial" w:cs="Arial"/>
        </w:rPr>
        <w:t xml:space="preserve">such as </w:t>
      </w:r>
      <w:r w:rsidRPr="00787196">
        <w:rPr>
          <w:rFonts w:eastAsia="Arial" w:cs="Arial"/>
        </w:rPr>
        <w:t>dental implants and implant-supported over-dentures,</w:t>
      </w:r>
      <w:r w:rsidR="007F2F93" w:rsidRPr="00787196">
        <w:rPr>
          <w:rFonts w:eastAsia="Arial" w:cs="Arial"/>
        </w:rPr>
        <w:t xml:space="preserve"> their</w:t>
      </w:r>
      <w:r w:rsidRPr="00787196">
        <w:rPr>
          <w:rFonts w:eastAsia="Arial" w:cs="Arial"/>
        </w:rPr>
        <w:t xml:space="preserve"> manufacturing costs</w:t>
      </w:r>
      <w:r w:rsidR="00A063BF" w:rsidRPr="00787196">
        <w:rPr>
          <w:rFonts w:eastAsia="Arial" w:cs="Arial"/>
        </w:rPr>
        <w:t>,</w:t>
      </w:r>
      <w:r w:rsidR="007F2F93" w:rsidRPr="00787196">
        <w:rPr>
          <w:rFonts w:eastAsia="Arial" w:cs="Arial"/>
        </w:rPr>
        <w:t xml:space="preserve"> lack of</w:t>
      </w:r>
      <w:r w:rsidR="00A063BF" w:rsidRPr="00787196">
        <w:rPr>
          <w:rFonts w:eastAsia="Arial" w:cs="Arial"/>
        </w:rPr>
        <w:t xml:space="preserve"> </w:t>
      </w:r>
      <w:r w:rsidRPr="00787196">
        <w:rPr>
          <w:rFonts w:eastAsia="Arial" w:cs="Arial"/>
        </w:rPr>
        <w:t xml:space="preserve">training expertise limit their affordability and availability </w:t>
      </w:r>
      <w:r w:rsidRPr="00787196">
        <w:fldChar w:fldCharType="begin"/>
      </w:r>
      <w:r w:rsidR="00AF47F6" w:rsidRPr="00787196">
        <w:instrText xml:space="preserve"> ADDIN EN.CITE &lt;EndNote&gt;&lt;Cite&gt;&lt;Author&gt;Critchlow&lt;/Author&gt;&lt;Year&gt;2010&lt;/Year&gt;&lt;IDText&gt;Prognostic indicators for conventional complete denture therapy: A review of the literature&lt;/IDText&gt;&lt;DisplayText&gt;(Critchlow and Ellis, 2010)&lt;/DisplayText&gt;&lt;record&gt;&lt;dates&gt;&lt;pub-dates&gt;&lt;date&gt;1//&lt;/date&gt;&lt;/pub-dates&gt;&lt;year&gt;2010&lt;/year&gt;&lt;/dates&gt;&lt;keywords&gt;&lt;keyword&gt;Complete&lt;/keyword&gt;&lt;keyword&gt;Dentures&lt;/keyword&gt;&lt;keyword&gt;Prognosis&lt;/keyword&gt;&lt;keyword&gt;Review&lt;/keyword&gt;&lt;/keywords&gt;&lt;urls&gt;&lt;related-urls&gt;&lt;url&gt;http://www.sciencedirect.com/science/article/pii/S0300571209002024&lt;/url&gt;&lt;/related-urls&gt;&lt;/urls&gt;&lt;isbn&gt;0300-5712&lt;/isbn&gt;&lt;titles&gt;&lt;title&gt;Prognostic indicators for conventional complete denture therapy: A review of the literature&lt;/title&gt;&lt;secondary-title&gt;Journal of Dentistry&lt;/secondary-title&gt;&lt;/titles&gt;&lt;pages&gt;2-9&lt;/pages&gt;&lt;number&gt;1&lt;/number&gt;&lt;contributors&gt;&lt;authors&gt;&lt;author&gt;Critchlow, Simon B.&lt;/author&gt;&lt;author&gt;Ellis, Janice S.&lt;/author&gt;&lt;/authors&gt;&lt;/contributors&gt;&lt;added-date format="utc"&gt;1383164950&lt;/added-date&gt;&lt;ref-type name="Journal Article"&gt;17&lt;/ref-type&gt;&lt;rec-number&gt;1230&lt;/rec-number&gt;&lt;last-updated-date format="utc"&gt;1483574420&lt;/last-updated-date&gt;&lt;electronic-resource-num&gt;http://dx.doi.org/10.1016/j.jdent.2009.08.004&lt;/electronic-resource-num&gt;&lt;volume&gt;38(1)&lt;/volume&gt;&lt;/record&gt;&lt;/Cite&gt;&lt;/EndNote&gt;</w:instrText>
      </w:r>
      <w:r w:rsidRPr="00787196">
        <w:rPr>
          <w:rFonts w:cs="Arial"/>
          <w:szCs w:val="24"/>
        </w:rPr>
        <w:fldChar w:fldCharType="separate"/>
      </w:r>
      <w:r w:rsidRPr="00787196">
        <w:rPr>
          <w:rFonts w:eastAsia="Arial" w:cs="Arial"/>
          <w:noProof/>
        </w:rPr>
        <w:t>(Critchlow and Ellis, 2010)</w:t>
      </w:r>
      <w:r w:rsidRPr="00787196">
        <w:fldChar w:fldCharType="end"/>
      </w:r>
      <w:r w:rsidRPr="00787196">
        <w:rPr>
          <w:rFonts w:eastAsia="Arial" w:cs="Arial"/>
        </w:rPr>
        <w:t xml:space="preserve">. </w:t>
      </w:r>
    </w:p>
    <w:p w14:paraId="2B673648" w14:textId="38337731" w:rsidR="00E35269" w:rsidRPr="00787196" w:rsidRDefault="000629A0" w:rsidP="00300B5A">
      <w:pPr>
        <w:spacing w:after="240"/>
      </w:pPr>
      <w:r w:rsidRPr="00787196">
        <w:rPr>
          <w:rFonts w:eastAsia="Arial" w:cs="Arial"/>
        </w:rPr>
        <w:t xml:space="preserve">Conventional removable dentures are </w:t>
      </w:r>
      <w:r w:rsidR="007F2F93" w:rsidRPr="00787196">
        <w:rPr>
          <w:rFonts w:eastAsia="Arial" w:cs="Arial"/>
        </w:rPr>
        <w:t xml:space="preserve">the </w:t>
      </w:r>
      <w:r w:rsidR="003E26AA" w:rsidRPr="00787196">
        <w:rPr>
          <w:rFonts w:eastAsia="Arial" w:cs="Arial"/>
        </w:rPr>
        <w:t xml:space="preserve">most commonly used prosthesis across populations </w:t>
      </w:r>
      <w:r w:rsidR="003E26AA" w:rsidRPr="00787196">
        <w:rPr>
          <w:rFonts w:eastAsia="Arial" w:cs="Arial"/>
        </w:rPr>
        <w:fldChar w:fldCharType="begin"/>
      </w:r>
      <w:r w:rsidR="003E26AA" w:rsidRPr="00787196">
        <w:rPr>
          <w:rFonts w:eastAsia="Arial" w:cs="Arial"/>
        </w:rPr>
        <w:instrText xml:space="preserve"> ADDIN EN.CITE &lt;EndNote&gt;&lt;Cite&gt;&lt;Author&gt;Petersen&lt;/Author&gt;&lt;Year&gt;2009&lt;/Year&gt;&lt;IDText&gt;Global policy for improvement of oral health in the 21st century – implications to oral health research of World Health Assembly 2007, World Health Organization&lt;/IDText&gt;&lt;DisplayText&gt;(Petersen, 2009)&lt;/DisplayText&gt;&lt;record&gt;&lt;keywords&gt;&lt;keyword&gt;global research priorities&lt;/keyword&gt;&lt;keyword&gt;health promotion&lt;/keyword&gt;&lt;keyword&gt;integrated oral disease prevention&lt;/keyword&gt;&lt;keyword&gt;oral health policy&lt;/keyword&gt;&lt;keyword&gt;public health&lt;/keyword&gt;&lt;keyword&gt;social determinants of oral disease&lt;/keyword&gt;&lt;/keywords&gt;&lt;urls&gt;&lt;related-urls&gt;&lt;url&gt;http://dx.doi.org/10.1111/j.1600-0528.2008.00448.x&lt;/url&gt;&lt;/related-urls&gt;&lt;/urls&gt;&lt;isbn&gt;1600-0528&lt;/isbn&gt;&lt;titles&gt;&lt;title&gt;Global policy for improvement of oral health in the 21st century – implications to oral health research of World Health Assembly 2007, World Health Organization&lt;/title&gt;&lt;secondary-title&gt;Community Dentistry and Oral Epidemiology&lt;/secondary-title&gt;&lt;/titles&gt;&lt;pages&gt;1-8&lt;/pages&gt;&lt;number&gt;1&lt;/number&gt;&lt;contributors&gt;&lt;authors&gt;&lt;author&gt;Petersen, Poul Erik&lt;/author&gt;&lt;/authors&gt;&lt;/contributors&gt;&lt;added-date format="utc"&gt;1352886482&lt;/added-date&gt;&lt;ref-type name="Journal Article"&gt;17&lt;/ref-type&gt;&lt;dates&gt;&lt;year&gt;2009&lt;/year&gt;&lt;/dates&gt;&lt;rec-number&gt;155&lt;/rec-number&gt;&lt;publisher&gt;Blackwell Publishing Ltd&lt;/publisher&gt;&lt;last-updated-date format="utc"&gt;1352886482&lt;/last-updated-date&gt;&lt;electronic-resource-num&gt;10.1111/j.1600-0528.2008.00448.x&lt;/electronic-resource-num&gt;&lt;volume&gt;37&lt;/volume&gt;&lt;/record&gt;&lt;/Cite&gt;&lt;/EndNote&gt;</w:instrText>
      </w:r>
      <w:r w:rsidR="003E26AA" w:rsidRPr="00787196">
        <w:rPr>
          <w:rFonts w:eastAsia="Arial" w:cs="Arial"/>
        </w:rPr>
        <w:fldChar w:fldCharType="separate"/>
      </w:r>
      <w:r w:rsidR="003E26AA" w:rsidRPr="00787196">
        <w:rPr>
          <w:rFonts w:eastAsia="Arial" w:cs="Arial"/>
          <w:noProof/>
        </w:rPr>
        <w:t>(Petersen, 2009)</w:t>
      </w:r>
      <w:r w:rsidR="003E26AA" w:rsidRPr="00787196">
        <w:rPr>
          <w:rFonts w:eastAsia="Arial" w:cs="Arial"/>
        </w:rPr>
        <w:fldChar w:fldCharType="end"/>
      </w:r>
      <w:r w:rsidR="005F0741" w:rsidRPr="00787196">
        <w:rPr>
          <w:rFonts w:eastAsia="Arial" w:cs="Arial"/>
        </w:rPr>
        <w:t>. They are</w:t>
      </w:r>
      <w:r w:rsidRPr="00787196">
        <w:rPr>
          <w:rFonts w:eastAsia="Arial" w:cs="Arial"/>
        </w:rPr>
        <w:t xml:space="preserve"> expected to remain the obvious choice of treatment for </w:t>
      </w:r>
      <w:r w:rsidR="00A063BF" w:rsidRPr="00787196">
        <w:rPr>
          <w:rFonts w:eastAsia="Arial" w:cs="Arial"/>
        </w:rPr>
        <w:t xml:space="preserve">most </w:t>
      </w:r>
      <w:r w:rsidRPr="00787196">
        <w:rPr>
          <w:rFonts w:eastAsia="Arial" w:cs="Arial"/>
        </w:rPr>
        <w:t xml:space="preserve">adults with missing teeth in the foreseeable future </w:t>
      </w:r>
      <w:r w:rsidR="00AF47F6" w:rsidRPr="00787196">
        <w:rPr>
          <w:rFonts w:eastAsia="Arial" w:cs="Arial"/>
        </w:rPr>
        <w:fldChar w:fldCharType="begin">
          <w:fldData xml:space="preserve">PEVuZE5vdGU+PENpdGU+PEF1dGhvcj5EaWVobDwvQXV0aG9yPjxZZWFyPjE5OTY8L1llYXI+PElE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</w:fldData>
        </w:fldChar>
      </w:r>
      <w:r w:rsidR="005F0741" w:rsidRPr="00787196">
        <w:rPr>
          <w:rFonts w:eastAsia="Arial" w:cs="Arial"/>
        </w:rPr>
        <w:instrText xml:space="preserve"> ADDIN EN.CITE </w:instrText>
      </w:r>
      <w:r w:rsidR="005F0741" w:rsidRPr="00787196">
        <w:rPr>
          <w:rFonts w:eastAsia="Arial" w:cs="Arial"/>
        </w:rPr>
        <w:fldChar w:fldCharType="begin">
          <w:fldData xml:space="preserve">PEVuZE5vdGU+PENpdGU+PEF1dGhvcj5EaWVobDwvQXV0aG9yPjxZZWFyPjE5OTY8L1llYXI+PElE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</w:fldData>
        </w:fldChar>
      </w:r>
      <w:r w:rsidR="005F0741" w:rsidRPr="00787196">
        <w:rPr>
          <w:rFonts w:eastAsia="Arial" w:cs="Arial"/>
        </w:rPr>
        <w:instrText xml:space="preserve"> ADDIN EN.CITE.DATA </w:instrText>
      </w:r>
      <w:r w:rsidR="005F0741" w:rsidRPr="00787196">
        <w:rPr>
          <w:rFonts w:eastAsia="Arial" w:cs="Arial"/>
        </w:rPr>
      </w:r>
      <w:r w:rsidR="005F0741" w:rsidRPr="00787196">
        <w:rPr>
          <w:rFonts w:eastAsia="Arial" w:cs="Arial"/>
        </w:rPr>
        <w:fldChar w:fldCharType="end"/>
      </w:r>
      <w:r w:rsidR="00AF47F6" w:rsidRPr="00787196">
        <w:rPr>
          <w:rFonts w:eastAsia="Arial" w:cs="Arial"/>
        </w:rPr>
      </w:r>
      <w:r w:rsidR="00AF47F6" w:rsidRPr="00787196">
        <w:rPr>
          <w:rFonts w:eastAsia="Arial" w:cs="Arial"/>
        </w:rPr>
        <w:fldChar w:fldCharType="separate"/>
      </w:r>
      <w:r w:rsidR="005F0741" w:rsidRPr="00787196">
        <w:rPr>
          <w:rFonts w:eastAsia="Arial" w:cs="Arial"/>
          <w:noProof/>
        </w:rPr>
        <w:t>(Diehl et al., 1996, Petersen and Yamamoto, 2005)</w:t>
      </w:r>
      <w:r w:rsidR="00AF47F6" w:rsidRPr="00787196">
        <w:rPr>
          <w:rFonts w:eastAsia="Arial" w:cs="Arial"/>
        </w:rPr>
        <w:fldChar w:fldCharType="end"/>
      </w:r>
      <w:r w:rsidR="005F0741" w:rsidRPr="00787196">
        <w:rPr>
          <w:rFonts w:eastAsia="Arial" w:cs="Arial"/>
        </w:rPr>
        <w:t xml:space="preserve">. </w:t>
      </w:r>
      <w:r w:rsidRPr="00787196">
        <w:rPr>
          <w:rFonts w:eastAsia="Arial" w:cs="Arial"/>
        </w:rPr>
        <w:t xml:space="preserve">Understandably, </w:t>
      </w:r>
      <w:r w:rsidR="005F0741" w:rsidRPr="00787196">
        <w:rPr>
          <w:rFonts w:eastAsia="Arial" w:cs="Arial"/>
        </w:rPr>
        <w:t xml:space="preserve">the success of </w:t>
      </w:r>
      <w:r w:rsidRPr="00787196">
        <w:rPr>
          <w:rFonts w:eastAsia="Arial" w:cs="Arial"/>
        </w:rPr>
        <w:t xml:space="preserve">conventional denture treatment </w:t>
      </w:r>
      <w:r w:rsidR="005F0741" w:rsidRPr="00787196">
        <w:rPr>
          <w:rFonts w:eastAsia="Arial" w:cs="Arial"/>
        </w:rPr>
        <w:t xml:space="preserve">is imperative </w:t>
      </w:r>
      <w:r w:rsidR="00AB7AD0" w:rsidRPr="00787196">
        <w:rPr>
          <w:rFonts w:eastAsia="Arial" w:cs="Arial"/>
        </w:rPr>
        <w:t>from both</w:t>
      </w:r>
      <w:r w:rsidR="005F0741" w:rsidRPr="00787196">
        <w:rPr>
          <w:rFonts w:eastAsia="Arial" w:cs="Arial"/>
        </w:rPr>
        <w:t xml:space="preserve"> clinical and public health perspectives</w:t>
      </w:r>
      <w:r w:rsidRPr="00787196">
        <w:rPr>
          <w:rFonts w:eastAsia="Arial" w:cs="Arial"/>
        </w:rPr>
        <w:t>.</w:t>
      </w:r>
    </w:p>
    <w:p w14:paraId="29706539" w14:textId="77777777" w:rsidR="005974B5" w:rsidRPr="00787196" w:rsidRDefault="476ABA5D" w:rsidP="076543BE">
      <w:pPr>
        <w:spacing w:after="240"/>
        <w:rPr>
          <w:rFonts w:eastAsia="Arial" w:cs="Arial"/>
        </w:rPr>
      </w:pPr>
      <w:r w:rsidRPr="00787196">
        <w:rPr>
          <w:rFonts w:eastAsia="Arial" w:cs="Arial"/>
        </w:rPr>
        <w:t>The following chapter</w:t>
      </w:r>
      <w:r w:rsidR="00E35269" w:rsidRPr="00787196">
        <w:rPr>
          <w:rFonts w:eastAsia="Arial" w:cs="Arial"/>
        </w:rPr>
        <w:t xml:space="preserve"> gives a brief historical note and</w:t>
      </w:r>
      <w:r w:rsidRPr="00787196">
        <w:rPr>
          <w:rFonts w:eastAsia="Arial" w:cs="Arial"/>
        </w:rPr>
        <w:t xml:space="preserve"> reviews </w:t>
      </w:r>
      <w:r w:rsidR="00884542" w:rsidRPr="00787196">
        <w:rPr>
          <w:rFonts w:eastAsia="Arial" w:cs="Arial"/>
        </w:rPr>
        <w:t xml:space="preserve">the existing </w:t>
      </w:r>
      <w:r w:rsidRPr="00787196">
        <w:rPr>
          <w:rFonts w:eastAsia="Arial" w:cs="Arial"/>
        </w:rPr>
        <w:t xml:space="preserve">literature on denture success. </w:t>
      </w:r>
      <w:r w:rsidR="00E35269" w:rsidRPr="00787196">
        <w:rPr>
          <w:rFonts w:eastAsia="Arial" w:cs="Arial"/>
        </w:rPr>
        <w:t>The c</w:t>
      </w:r>
      <w:r w:rsidRPr="00787196">
        <w:rPr>
          <w:rFonts w:eastAsia="Arial" w:cs="Arial"/>
        </w:rPr>
        <w:t xml:space="preserve">linical parameters often attributed to denture success </w:t>
      </w:r>
      <w:r w:rsidR="00AD46D0" w:rsidRPr="00787196">
        <w:rPr>
          <w:rFonts w:eastAsia="Arial" w:cs="Arial"/>
        </w:rPr>
        <w:t>are</w:t>
      </w:r>
      <w:r w:rsidRPr="00787196">
        <w:rPr>
          <w:rFonts w:eastAsia="Arial" w:cs="Arial"/>
        </w:rPr>
        <w:t xml:space="preserve"> explored alongside</w:t>
      </w:r>
      <w:r w:rsidR="00AD46D0" w:rsidRPr="00787196">
        <w:rPr>
          <w:rFonts w:eastAsia="Arial" w:cs="Arial"/>
        </w:rPr>
        <w:t xml:space="preserve"> </w:t>
      </w:r>
      <w:r w:rsidRPr="00787196">
        <w:rPr>
          <w:rFonts w:eastAsia="Arial" w:cs="Arial"/>
        </w:rPr>
        <w:t xml:space="preserve">patient perspectives. </w:t>
      </w:r>
      <w:r w:rsidR="00AB7AD0" w:rsidRPr="00787196">
        <w:rPr>
          <w:rFonts w:eastAsia="Arial" w:cs="Arial"/>
        </w:rPr>
        <w:t xml:space="preserve">The critical gaps that exist on conceptualisation and usage </w:t>
      </w:r>
      <w:r w:rsidR="00AD46D0" w:rsidRPr="00787196">
        <w:rPr>
          <w:rFonts w:eastAsia="Arial" w:cs="Arial"/>
        </w:rPr>
        <w:t>of ‘denture success’ are</w:t>
      </w:r>
      <w:r w:rsidR="00AB7AD0" w:rsidRPr="00787196">
        <w:rPr>
          <w:rFonts w:eastAsia="Arial" w:cs="Arial"/>
        </w:rPr>
        <w:t xml:space="preserve"> highlighted. </w:t>
      </w:r>
      <w:r w:rsidR="00AD46D0" w:rsidRPr="00787196">
        <w:rPr>
          <w:rFonts w:eastAsia="Arial" w:cs="Arial"/>
        </w:rPr>
        <w:t>The</w:t>
      </w:r>
      <w:r w:rsidR="00E35269" w:rsidRPr="00787196">
        <w:rPr>
          <w:rFonts w:eastAsia="Arial" w:cs="Arial"/>
        </w:rPr>
        <w:t xml:space="preserve"> </w:t>
      </w:r>
      <w:r w:rsidR="00AD46D0" w:rsidRPr="00787196">
        <w:rPr>
          <w:rFonts w:eastAsia="Arial" w:cs="Arial"/>
        </w:rPr>
        <w:t>review w</w:t>
      </w:r>
      <w:r w:rsidR="00E35269" w:rsidRPr="00787196">
        <w:rPr>
          <w:rFonts w:eastAsia="Arial" w:cs="Arial"/>
        </w:rPr>
        <w:t>ill then discuss existing literature on d</w:t>
      </w:r>
      <w:r w:rsidR="001F5490" w:rsidRPr="00787196">
        <w:rPr>
          <w:rFonts w:eastAsia="Arial" w:cs="Arial"/>
        </w:rPr>
        <w:t>enture satisfaction including its lack of conceptualisation and the term’s use i</w:t>
      </w:r>
      <w:r w:rsidR="00E35269" w:rsidRPr="00787196">
        <w:rPr>
          <w:rFonts w:eastAsia="Arial" w:cs="Arial"/>
        </w:rPr>
        <w:t xml:space="preserve">nterchangeably with </w:t>
      </w:r>
      <w:r w:rsidR="001F5490" w:rsidRPr="00787196">
        <w:rPr>
          <w:rFonts w:eastAsia="Arial" w:cs="Arial"/>
        </w:rPr>
        <w:t>‘</w:t>
      </w:r>
      <w:r w:rsidR="00E35269" w:rsidRPr="00787196">
        <w:rPr>
          <w:rFonts w:eastAsia="Arial" w:cs="Arial"/>
        </w:rPr>
        <w:t>denture success</w:t>
      </w:r>
      <w:r w:rsidR="001F5490" w:rsidRPr="00787196">
        <w:rPr>
          <w:rFonts w:eastAsia="Arial" w:cs="Arial"/>
        </w:rPr>
        <w:t>’</w:t>
      </w:r>
      <w:r w:rsidR="00E35269" w:rsidRPr="00787196">
        <w:rPr>
          <w:rFonts w:eastAsia="Arial" w:cs="Arial"/>
        </w:rPr>
        <w:t>.</w:t>
      </w:r>
    </w:p>
    <w:p w14:paraId="2E7488AB" w14:textId="671FB321" w:rsidR="005974B5" w:rsidRPr="00787196" w:rsidRDefault="00E35269" w:rsidP="076543BE">
      <w:pPr>
        <w:spacing w:after="240"/>
        <w:rPr>
          <w:rFonts w:eastAsia="Arial" w:cs="Arial"/>
        </w:rPr>
      </w:pPr>
      <w:r w:rsidRPr="00787196">
        <w:rPr>
          <w:rFonts w:eastAsia="Arial" w:cs="Arial"/>
        </w:rPr>
        <w:t xml:space="preserve"> The chapter will be completed with </w:t>
      </w:r>
      <w:r w:rsidR="001F5490" w:rsidRPr="00787196">
        <w:rPr>
          <w:rFonts w:eastAsia="Arial" w:cs="Arial"/>
        </w:rPr>
        <w:t>detailed</w:t>
      </w:r>
      <w:r w:rsidR="476ABA5D" w:rsidRPr="00787196">
        <w:rPr>
          <w:rFonts w:eastAsia="Arial" w:cs="Arial"/>
        </w:rPr>
        <w:t xml:space="preserve"> discuss</w:t>
      </w:r>
      <w:r w:rsidRPr="00787196">
        <w:rPr>
          <w:rFonts w:eastAsia="Arial" w:cs="Arial"/>
        </w:rPr>
        <w:t>ion o</w:t>
      </w:r>
      <w:r w:rsidR="001F5490" w:rsidRPr="00787196">
        <w:rPr>
          <w:rFonts w:eastAsia="Arial" w:cs="Arial"/>
        </w:rPr>
        <w:t>f</w:t>
      </w:r>
      <w:r w:rsidRPr="00787196">
        <w:rPr>
          <w:rFonts w:eastAsia="Arial" w:cs="Arial"/>
        </w:rPr>
        <w:t xml:space="preserve"> </w:t>
      </w:r>
      <w:r w:rsidR="476ABA5D" w:rsidRPr="00787196">
        <w:rPr>
          <w:rFonts w:eastAsia="Arial" w:cs="Arial"/>
        </w:rPr>
        <w:t xml:space="preserve">the multi- dimensional concept </w:t>
      </w:r>
      <w:r w:rsidR="00884542" w:rsidRPr="00787196">
        <w:rPr>
          <w:rFonts w:eastAsia="Arial" w:cs="Arial"/>
        </w:rPr>
        <w:t xml:space="preserve">of </w:t>
      </w:r>
      <w:r w:rsidR="476ABA5D" w:rsidRPr="00787196">
        <w:rPr>
          <w:rFonts w:eastAsia="Arial" w:cs="Arial"/>
        </w:rPr>
        <w:t>Oral Health Related Quality of Life (OHQoL)</w:t>
      </w:r>
      <w:r w:rsidR="001F5490" w:rsidRPr="00787196">
        <w:rPr>
          <w:rFonts w:eastAsia="Arial" w:cs="Arial"/>
        </w:rPr>
        <w:t>, justifying</w:t>
      </w:r>
      <w:r w:rsidRPr="00787196">
        <w:rPr>
          <w:rFonts w:eastAsia="Arial" w:cs="Arial"/>
        </w:rPr>
        <w:t xml:space="preserve"> </w:t>
      </w:r>
      <w:r w:rsidR="476ABA5D" w:rsidRPr="00787196">
        <w:rPr>
          <w:rFonts w:eastAsia="Arial" w:cs="Arial"/>
        </w:rPr>
        <w:t>its use to assess denture success.</w:t>
      </w:r>
    </w:p>
    <w:p w14:paraId="4627F90A" w14:textId="77777777" w:rsidR="005974B5" w:rsidRPr="00787196" w:rsidRDefault="005974B5">
      <w:pPr>
        <w:spacing w:before="0" w:after="0" w:line="240" w:lineRule="auto"/>
        <w:jc w:val="left"/>
        <w:rPr>
          <w:rFonts w:eastAsia="Arial" w:cs="Arial"/>
        </w:rPr>
      </w:pPr>
      <w:r w:rsidRPr="00787196">
        <w:rPr>
          <w:rFonts w:eastAsia="Arial" w:cs="Arial"/>
        </w:rPr>
        <w:br w:type="page"/>
      </w:r>
    </w:p>
    <w:p w14:paraId="5D6D62F3" w14:textId="0795C3A7" w:rsidR="001F14E6" w:rsidRPr="00787196" w:rsidRDefault="00300B5A" w:rsidP="00300B5A">
      <w:pPr>
        <w:pStyle w:val="Heading2"/>
      </w:pPr>
      <w:bookmarkStart w:id="16" w:name="_Toc488655605"/>
      <w:r w:rsidRPr="00787196">
        <w:lastRenderedPageBreak/>
        <w:t>DENTURE SUCCESS, ASSESSMENTS, DENTURE SATISFACTION</w:t>
      </w:r>
      <w:bookmarkEnd w:id="16"/>
    </w:p>
    <w:p w14:paraId="714229C3" w14:textId="3DC95D93" w:rsidR="00300B5A" w:rsidRPr="00787196" w:rsidRDefault="001F5490" w:rsidP="005974B5">
      <w:pPr>
        <w:spacing w:after="240"/>
        <w:rPr>
          <w:rFonts w:eastAsia="Arial,SimSun" w:cs="Arial"/>
        </w:rPr>
      </w:pPr>
      <w:r w:rsidRPr="00787196">
        <w:rPr>
          <w:rFonts w:eastAsia="Arial,SimSun" w:cs="Arial"/>
        </w:rPr>
        <w:t>A</w:t>
      </w:r>
      <w:r w:rsidR="002E1AF5" w:rsidRPr="00787196">
        <w:rPr>
          <w:rFonts w:eastAsia="Arial,SimSun" w:cs="Arial"/>
        </w:rPr>
        <w:t>ttitudes towards missing teeth and wearing dentures ha</w:t>
      </w:r>
      <w:r w:rsidR="00B75BA6" w:rsidRPr="00787196">
        <w:rPr>
          <w:rFonts w:eastAsia="Arial,SimSun" w:cs="Arial"/>
        </w:rPr>
        <w:t>v</w:t>
      </w:r>
      <w:r w:rsidR="00B12670" w:rsidRPr="00787196">
        <w:rPr>
          <w:rFonts w:eastAsia="Arial,SimSun" w:cs="Arial"/>
        </w:rPr>
        <w:t>e</w:t>
      </w:r>
      <w:r w:rsidR="002E1AF5" w:rsidRPr="00787196">
        <w:rPr>
          <w:rFonts w:eastAsia="Arial,SimSun" w:cs="Arial"/>
        </w:rPr>
        <w:t xml:space="preserve"> radically changed over time with the advances </w:t>
      </w:r>
      <w:r w:rsidR="0003484E" w:rsidRPr="00787196">
        <w:rPr>
          <w:rFonts w:eastAsia="Arial,SimSun" w:cs="Arial"/>
        </w:rPr>
        <w:t>in</w:t>
      </w:r>
      <w:r w:rsidR="002E1AF5" w:rsidRPr="00787196">
        <w:rPr>
          <w:rFonts w:eastAsia="Arial,SimSun" w:cs="Arial"/>
        </w:rPr>
        <w:t xml:space="preserve"> fixed prostheses and dental </w:t>
      </w:r>
      <w:r w:rsidR="007E68DD" w:rsidRPr="00787196">
        <w:rPr>
          <w:rFonts w:eastAsia="Arial,SimSun" w:cs="Arial"/>
        </w:rPr>
        <w:t>implants</w:t>
      </w:r>
      <w:r w:rsidR="00A33B4A" w:rsidRPr="00787196">
        <w:rPr>
          <w:rFonts w:eastAsia="Arial,SimSun" w:cs="Arial"/>
        </w:rPr>
        <w:t xml:space="preserve"> </w:t>
      </w:r>
      <w:r w:rsidR="00A33B4A" w:rsidRPr="00787196">
        <w:rPr>
          <w:rFonts w:eastAsia="Arial,SimSun" w:cs="Arial"/>
        </w:rPr>
        <w:fldChar w:fldCharType="begin">
          <w:fldData xml:space="preserve">PEVuZE5vdGU+PENpdGU+PEF1dGhvcj5Ba2FnYXdhPC9BdXRob3I+PFllYXI+MTk4ODwvWWVhcj48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</w:fldData>
        </w:fldChar>
      </w:r>
      <w:r w:rsidR="00A85EBD" w:rsidRPr="00787196">
        <w:rPr>
          <w:rFonts w:eastAsia="Arial,SimSun" w:cs="Arial"/>
        </w:rPr>
        <w:instrText xml:space="preserve"> ADDIN EN.CITE </w:instrText>
      </w:r>
      <w:r w:rsidR="00A85EBD" w:rsidRPr="00787196">
        <w:rPr>
          <w:rFonts w:eastAsia="Arial,SimSun" w:cs="Arial"/>
        </w:rPr>
        <w:fldChar w:fldCharType="begin">
          <w:fldData xml:space="preserve">PEVuZE5vdGU+PENpdGU+PEF1dGhvcj5Ba2FnYXdhPC9BdXRob3I+PFllYXI+MTk4ODwvWWVhcj48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</w:fldData>
        </w:fldChar>
      </w:r>
      <w:r w:rsidR="00A85EBD" w:rsidRPr="00787196">
        <w:rPr>
          <w:rFonts w:eastAsia="Arial,SimSun" w:cs="Arial"/>
        </w:rPr>
        <w:instrText xml:space="preserve"> ADDIN EN.CITE.DATA </w:instrText>
      </w:r>
      <w:r w:rsidR="00A85EBD" w:rsidRPr="00787196">
        <w:rPr>
          <w:rFonts w:eastAsia="Arial,SimSun" w:cs="Arial"/>
        </w:rPr>
      </w:r>
      <w:r w:rsidR="00A85EBD" w:rsidRPr="00787196">
        <w:rPr>
          <w:rFonts w:eastAsia="Arial,SimSun" w:cs="Arial"/>
        </w:rPr>
        <w:fldChar w:fldCharType="end"/>
      </w:r>
      <w:r w:rsidR="00A33B4A" w:rsidRPr="00787196">
        <w:rPr>
          <w:rFonts w:eastAsia="Arial,SimSun" w:cs="Arial"/>
        </w:rPr>
      </w:r>
      <w:r w:rsidR="00A33B4A" w:rsidRPr="00787196">
        <w:rPr>
          <w:rFonts w:eastAsia="Arial,SimSun" w:cs="Arial"/>
        </w:rPr>
        <w:fldChar w:fldCharType="separate"/>
      </w:r>
      <w:r w:rsidR="00A85EBD" w:rsidRPr="00787196">
        <w:rPr>
          <w:rFonts w:eastAsia="Arial,SimSun" w:cs="Arial"/>
          <w:noProof/>
        </w:rPr>
        <w:t>(Akagawa et al., 1988, Grogono et al., 1989, Bradnock et al., 2001)</w:t>
      </w:r>
      <w:r w:rsidR="00A33B4A" w:rsidRPr="00787196">
        <w:rPr>
          <w:rFonts w:eastAsia="Arial,SimSun" w:cs="Arial"/>
        </w:rPr>
        <w:fldChar w:fldCharType="end"/>
      </w:r>
      <w:r w:rsidR="007E68DD" w:rsidRPr="00787196">
        <w:rPr>
          <w:rFonts w:eastAsia="Arial,SimSun" w:cs="Arial"/>
        </w:rPr>
        <w:t xml:space="preserve">. </w:t>
      </w:r>
      <w:r w:rsidR="002E1AF5" w:rsidRPr="00787196">
        <w:rPr>
          <w:rFonts w:eastAsia="Arial,SimSun" w:cs="Arial"/>
        </w:rPr>
        <w:t xml:space="preserve">Understandably, the meaning of </w:t>
      </w:r>
      <w:r w:rsidR="0003484E" w:rsidRPr="00787196">
        <w:rPr>
          <w:rFonts w:eastAsia="Arial,SimSun" w:cs="Arial"/>
        </w:rPr>
        <w:t>‘</w:t>
      </w:r>
      <w:r w:rsidR="002E1AF5" w:rsidRPr="00787196">
        <w:rPr>
          <w:rFonts w:eastAsia="Arial,SimSun" w:cs="Arial"/>
        </w:rPr>
        <w:t>denture success</w:t>
      </w:r>
      <w:r w:rsidR="0003484E" w:rsidRPr="00787196">
        <w:rPr>
          <w:rFonts w:eastAsia="Arial,SimSun" w:cs="Arial"/>
        </w:rPr>
        <w:t>’</w:t>
      </w:r>
      <w:r w:rsidR="002E1AF5" w:rsidRPr="00787196">
        <w:rPr>
          <w:rFonts w:eastAsia="Arial,SimSun" w:cs="Arial"/>
        </w:rPr>
        <w:t xml:space="preserve"> has </w:t>
      </w:r>
      <w:r w:rsidR="000B7DFC" w:rsidRPr="00787196">
        <w:rPr>
          <w:rFonts w:eastAsia="Arial,SimSun" w:cs="Arial"/>
        </w:rPr>
        <w:t xml:space="preserve">evolved and </w:t>
      </w:r>
      <w:r w:rsidR="003A737A" w:rsidRPr="00787196">
        <w:rPr>
          <w:rFonts w:eastAsia="Arial,SimSun" w:cs="Arial"/>
        </w:rPr>
        <w:t>d</w:t>
      </w:r>
      <w:r w:rsidR="0003484E" w:rsidRPr="00787196">
        <w:rPr>
          <w:rFonts w:eastAsia="Arial,SimSun" w:cs="Arial"/>
        </w:rPr>
        <w:t>eveloped</w:t>
      </w:r>
    </w:p>
    <w:p w14:paraId="3DF26AFD" w14:textId="6E78D598" w:rsidR="00A256B1" w:rsidRPr="00787196" w:rsidRDefault="00A256B1" w:rsidP="00632989">
      <w:pPr>
        <w:spacing w:after="240"/>
        <w:rPr>
          <w:rFonts w:eastAsia="Arial,SimSun" w:cs="Arial"/>
        </w:rPr>
      </w:pPr>
      <w:r w:rsidRPr="00787196">
        <w:rPr>
          <w:rFonts w:eastAsia="Arial,SimSun" w:cs="Arial"/>
        </w:rPr>
        <w:t xml:space="preserve">Dentures have been used for many years in the field of dentistry </w:t>
      </w:r>
      <w:r w:rsidR="0020262B" w:rsidRPr="00787196">
        <w:rPr>
          <w:rFonts w:eastAsia="Arial,SimSun" w:cs="Arial"/>
        </w:rPr>
        <w:t xml:space="preserve">and </w:t>
      </w:r>
      <w:r w:rsidRPr="00787196">
        <w:rPr>
          <w:rFonts w:eastAsia="Arial,SimSun" w:cs="Arial"/>
        </w:rPr>
        <w:t>yet</w:t>
      </w:r>
      <w:r w:rsidR="0020262B" w:rsidRPr="00787196">
        <w:rPr>
          <w:rFonts w:eastAsia="Arial,SimSun" w:cs="Arial"/>
        </w:rPr>
        <w:t>,</w:t>
      </w:r>
      <w:r w:rsidRPr="00787196">
        <w:rPr>
          <w:rFonts w:eastAsia="Arial,SimSun" w:cs="Arial"/>
        </w:rPr>
        <w:t xml:space="preserve"> there is no </w:t>
      </w:r>
      <w:r w:rsidR="0020262B" w:rsidRPr="00787196">
        <w:rPr>
          <w:rFonts w:eastAsia="Arial,SimSun" w:cs="Arial"/>
        </w:rPr>
        <w:t xml:space="preserve">clear </w:t>
      </w:r>
      <w:r w:rsidRPr="00787196">
        <w:rPr>
          <w:rFonts w:eastAsia="Arial,SimSun" w:cs="Arial"/>
        </w:rPr>
        <w:t>consensus</w:t>
      </w:r>
      <w:r w:rsidR="007B4313" w:rsidRPr="00787196">
        <w:rPr>
          <w:rFonts w:eastAsia="Arial,SimSun" w:cs="Arial"/>
        </w:rPr>
        <w:t>,</w:t>
      </w:r>
      <w:r w:rsidRPr="00787196">
        <w:rPr>
          <w:rFonts w:eastAsia="Arial,SimSun" w:cs="Arial"/>
        </w:rPr>
        <w:t xml:space="preserve"> </w:t>
      </w:r>
      <w:r w:rsidR="0020262B" w:rsidRPr="00787196">
        <w:rPr>
          <w:rFonts w:eastAsia="Arial,SimSun" w:cs="Arial"/>
        </w:rPr>
        <w:t>n</w:t>
      </w:r>
      <w:r w:rsidRPr="00787196">
        <w:rPr>
          <w:rFonts w:eastAsia="Arial,SimSun" w:cs="Arial"/>
        </w:rPr>
        <w:t xml:space="preserve">or </w:t>
      </w:r>
      <w:r w:rsidR="0020262B" w:rsidRPr="00787196">
        <w:rPr>
          <w:rFonts w:eastAsia="Arial,SimSun" w:cs="Arial"/>
        </w:rPr>
        <w:t>a definition o</w:t>
      </w:r>
      <w:r w:rsidR="007B4313" w:rsidRPr="00787196">
        <w:rPr>
          <w:rFonts w:eastAsia="Arial,SimSun" w:cs="Arial"/>
        </w:rPr>
        <w:t>f</w:t>
      </w:r>
      <w:r w:rsidR="0020262B" w:rsidRPr="00787196">
        <w:rPr>
          <w:rFonts w:eastAsia="Arial,SimSun" w:cs="Arial"/>
        </w:rPr>
        <w:t xml:space="preserve"> the meaning of denture success. However, studies from the early </w:t>
      </w:r>
      <w:r w:rsidR="007B4313" w:rsidRPr="00787196">
        <w:rPr>
          <w:rFonts w:eastAsia="Arial,SimSun" w:cs="Arial"/>
        </w:rPr>
        <w:t>19</w:t>
      </w:r>
      <w:r w:rsidR="0020262B" w:rsidRPr="00787196">
        <w:rPr>
          <w:rFonts w:eastAsia="Arial,SimSun" w:cs="Arial"/>
        </w:rPr>
        <w:t xml:space="preserve">60’s have discussed </w:t>
      </w:r>
      <w:r w:rsidR="007B4313" w:rsidRPr="00787196">
        <w:rPr>
          <w:rFonts w:eastAsia="Arial,SimSun" w:cs="Arial"/>
        </w:rPr>
        <w:t>the term</w:t>
      </w:r>
      <w:r w:rsidR="0020262B" w:rsidRPr="00787196">
        <w:rPr>
          <w:rFonts w:eastAsia="Arial,SimSun" w:cs="Arial"/>
        </w:rPr>
        <w:t xml:space="preserve">. </w:t>
      </w:r>
    </w:p>
    <w:p w14:paraId="23D0B860" w14:textId="5369F46C" w:rsidR="00BA200A" w:rsidRPr="00787196" w:rsidRDefault="64E3F238" w:rsidP="00632989">
      <w:pPr>
        <w:spacing w:after="240"/>
        <w:rPr>
          <w:rFonts w:eastAsia="Arial,SimSun" w:cs="Arial"/>
        </w:rPr>
      </w:pPr>
      <w:r w:rsidRPr="00787196">
        <w:rPr>
          <w:rFonts w:eastAsia="Arial,SimSun" w:cs="Arial"/>
        </w:rPr>
        <w:t>Boucher (1960) raised</w:t>
      </w:r>
      <w:r w:rsidR="00482EBA" w:rsidRPr="00787196">
        <w:rPr>
          <w:rFonts w:eastAsia="Arial,SimSun" w:cs="Arial"/>
        </w:rPr>
        <w:t xml:space="preserve"> </w:t>
      </w:r>
      <w:r w:rsidR="005C1060" w:rsidRPr="00787196">
        <w:rPr>
          <w:rFonts w:eastAsia="Arial,SimSun" w:cs="Arial"/>
        </w:rPr>
        <w:t xml:space="preserve">the </w:t>
      </w:r>
      <w:r w:rsidR="00482EBA" w:rsidRPr="00787196">
        <w:rPr>
          <w:rFonts w:eastAsia="Arial,SimSun" w:cs="Arial"/>
        </w:rPr>
        <w:t xml:space="preserve">initial </w:t>
      </w:r>
      <w:r w:rsidRPr="00787196">
        <w:rPr>
          <w:rFonts w:eastAsia="Arial,SimSun" w:cs="Arial"/>
        </w:rPr>
        <w:t xml:space="preserve">concerns </w:t>
      </w:r>
      <w:r w:rsidR="00CE438F" w:rsidRPr="00787196">
        <w:rPr>
          <w:rFonts w:eastAsia="Arial,SimSun" w:cs="Arial"/>
        </w:rPr>
        <w:t>with the d</w:t>
      </w:r>
      <w:r w:rsidR="00482EBA" w:rsidRPr="00787196">
        <w:rPr>
          <w:rFonts w:eastAsia="Arial,SimSun" w:cs="Arial"/>
        </w:rPr>
        <w:t>efini</w:t>
      </w:r>
      <w:r w:rsidR="00CE438F" w:rsidRPr="00787196">
        <w:rPr>
          <w:rFonts w:eastAsia="Arial,SimSun" w:cs="Arial"/>
        </w:rPr>
        <w:t xml:space="preserve">tion of </w:t>
      </w:r>
      <w:r w:rsidRPr="00787196">
        <w:rPr>
          <w:rFonts w:eastAsia="Arial,SimSun" w:cs="Arial"/>
        </w:rPr>
        <w:t>prosthodontic success</w:t>
      </w:r>
      <w:r w:rsidR="005C1060" w:rsidRPr="00787196">
        <w:rPr>
          <w:rFonts w:eastAsia="Arial,SimSun" w:cs="Arial"/>
        </w:rPr>
        <w:t xml:space="preserve">. He </w:t>
      </w:r>
      <w:r w:rsidR="00D95B27" w:rsidRPr="00787196">
        <w:rPr>
          <w:rFonts w:eastAsia="Arial,SimSun" w:cs="Arial"/>
        </w:rPr>
        <w:t>argu</w:t>
      </w:r>
      <w:r w:rsidR="005C1060" w:rsidRPr="00787196">
        <w:rPr>
          <w:rFonts w:eastAsia="Arial,SimSun" w:cs="Arial"/>
        </w:rPr>
        <w:t>ed</w:t>
      </w:r>
      <w:r w:rsidR="00D95B27" w:rsidRPr="00787196">
        <w:rPr>
          <w:rFonts w:eastAsia="Arial,SimSun" w:cs="Arial"/>
        </w:rPr>
        <w:t xml:space="preserve"> </w:t>
      </w:r>
      <w:r w:rsidR="000E7674" w:rsidRPr="00787196">
        <w:rPr>
          <w:rFonts w:eastAsia="Arial,SimSun" w:cs="Arial"/>
        </w:rPr>
        <w:t>th</w:t>
      </w:r>
      <w:r w:rsidR="005C1060" w:rsidRPr="00787196">
        <w:rPr>
          <w:rFonts w:eastAsia="Arial,SimSun" w:cs="Arial"/>
        </w:rPr>
        <w:t xml:space="preserve">at the </w:t>
      </w:r>
      <w:r w:rsidR="00482EBA" w:rsidRPr="00787196">
        <w:rPr>
          <w:rFonts w:eastAsia="Arial,SimSun" w:cs="Arial"/>
        </w:rPr>
        <w:t>meaning of</w:t>
      </w:r>
      <w:r w:rsidR="005C1060" w:rsidRPr="00787196">
        <w:rPr>
          <w:rFonts w:eastAsia="Arial,SimSun" w:cs="Arial"/>
        </w:rPr>
        <w:t xml:space="preserve"> denture success of</w:t>
      </w:r>
      <w:r w:rsidR="00482EBA" w:rsidRPr="00787196">
        <w:rPr>
          <w:rFonts w:eastAsia="Arial,SimSun" w:cs="Arial"/>
        </w:rPr>
        <w:t xml:space="preserve">ten gets </w:t>
      </w:r>
      <w:r w:rsidRPr="00787196">
        <w:rPr>
          <w:rFonts w:eastAsia="Arial,SimSun" w:cs="Arial"/>
        </w:rPr>
        <w:t xml:space="preserve">restricted </w:t>
      </w:r>
      <w:r w:rsidR="00D95B27" w:rsidRPr="00787196">
        <w:rPr>
          <w:rFonts w:eastAsia="Arial,SimSun" w:cs="Arial"/>
        </w:rPr>
        <w:t>within</w:t>
      </w:r>
      <w:r w:rsidR="00F72825" w:rsidRPr="00787196">
        <w:rPr>
          <w:rFonts w:eastAsia="Arial,SimSun" w:cs="Arial"/>
        </w:rPr>
        <w:t xml:space="preserve"> </w:t>
      </w:r>
      <w:r w:rsidR="005C1060" w:rsidRPr="00787196">
        <w:rPr>
          <w:rFonts w:eastAsia="Arial,SimSun" w:cs="Arial"/>
        </w:rPr>
        <w:t xml:space="preserve">the view of </w:t>
      </w:r>
      <w:r w:rsidR="00F72825" w:rsidRPr="00787196">
        <w:rPr>
          <w:rFonts w:eastAsia="Arial,SimSun" w:cs="Arial"/>
        </w:rPr>
        <w:t>dentists</w:t>
      </w:r>
      <w:r w:rsidRPr="00787196">
        <w:rPr>
          <w:rFonts w:eastAsia="Arial,SimSun" w:cs="Arial"/>
        </w:rPr>
        <w:t xml:space="preserve">. </w:t>
      </w:r>
      <w:r w:rsidR="00F72825" w:rsidRPr="00787196">
        <w:rPr>
          <w:rFonts w:eastAsia="Arial,SimSun" w:cs="Arial"/>
        </w:rPr>
        <w:t>Patients</w:t>
      </w:r>
      <w:r w:rsidR="004B38E2" w:rsidRPr="00787196">
        <w:rPr>
          <w:rFonts w:eastAsia="Arial,SimSun" w:cs="Arial"/>
        </w:rPr>
        <w:t xml:space="preserve"> </w:t>
      </w:r>
      <w:r w:rsidR="00CC59EB" w:rsidRPr="00787196">
        <w:rPr>
          <w:rFonts w:eastAsia="Arial,SimSun" w:cs="Arial"/>
        </w:rPr>
        <w:t>receiving</w:t>
      </w:r>
      <w:r w:rsidR="00F72825" w:rsidRPr="00787196">
        <w:rPr>
          <w:rFonts w:eastAsia="Arial,SimSun" w:cs="Arial"/>
        </w:rPr>
        <w:t xml:space="preserve"> new dentures </w:t>
      </w:r>
      <w:r w:rsidR="00D95B27" w:rsidRPr="00787196">
        <w:rPr>
          <w:rFonts w:eastAsia="Arial,SimSun" w:cs="Arial"/>
        </w:rPr>
        <w:t xml:space="preserve">may not necessarily </w:t>
      </w:r>
      <w:r w:rsidR="00CC59EB" w:rsidRPr="00787196">
        <w:rPr>
          <w:rFonts w:eastAsia="Arial,SimSun" w:cs="Arial"/>
        </w:rPr>
        <w:t>adjust</w:t>
      </w:r>
      <w:r w:rsidR="00B26140" w:rsidRPr="00787196">
        <w:rPr>
          <w:rFonts w:eastAsia="Arial,SimSun" w:cs="Arial"/>
        </w:rPr>
        <w:t xml:space="preserve"> </w:t>
      </w:r>
      <w:r w:rsidR="000E7674" w:rsidRPr="00787196">
        <w:rPr>
          <w:rFonts w:eastAsia="Arial,SimSun" w:cs="Arial"/>
        </w:rPr>
        <w:t>or</w:t>
      </w:r>
      <w:r w:rsidR="00482EBA" w:rsidRPr="00787196">
        <w:rPr>
          <w:rFonts w:eastAsia="Arial,SimSun" w:cs="Arial"/>
        </w:rPr>
        <w:t xml:space="preserve"> </w:t>
      </w:r>
      <w:r w:rsidR="00CC59EB" w:rsidRPr="00787196">
        <w:rPr>
          <w:rFonts w:eastAsia="Arial,SimSun" w:cs="Arial"/>
        </w:rPr>
        <w:t xml:space="preserve">adapt </w:t>
      </w:r>
      <w:r w:rsidR="00CE438F" w:rsidRPr="00787196">
        <w:rPr>
          <w:rFonts w:eastAsia="Arial,SimSun" w:cs="Arial"/>
        </w:rPr>
        <w:t>with</w:t>
      </w:r>
      <w:r w:rsidR="00CC59EB" w:rsidRPr="00787196">
        <w:rPr>
          <w:rFonts w:eastAsia="Arial,SimSun" w:cs="Arial"/>
        </w:rPr>
        <w:t xml:space="preserve"> them</w:t>
      </w:r>
      <w:r w:rsidR="001656A4" w:rsidRPr="00787196">
        <w:rPr>
          <w:rFonts w:eastAsia="Arial,SimSun" w:cs="Arial"/>
        </w:rPr>
        <w:t>. I</w:t>
      </w:r>
      <w:r w:rsidR="00B6037B" w:rsidRPr="00787196">
        <w:rPr>
          <w:rFonts w:eastAsia="Arial,SimSun" w:cs="Arial"/>
        </w:rPr>
        <w:t xml:space="preserve">f </w:t>
      </w:r>
      <w:r w:rsidR="00CC59EB" w:rsidRPr="00787196">
        <w:rPr>
          <w:rFonts w:eastAsia="Arial,SimSun" w:cs="Arial"/>
        </w:rPr>
        <w:t>dentures</w:t>
      </w:r>
      <w:r w:rsidR="00167E7A" w:rsidRPr="00787196">
        <w:rPr>
          <w:rFonts w:eastAsia="Arial,SimSun" w:cs="Arial"/>
        </w:rPr>
        <w:t xml:space="preserve"> </w:t>
      </w:r>
      <w:r w:rsidR="00CE438F" w:rsidRPr="00787196">
        <w:rPr>
          <w:rFonts w:eastAsia="Arial,SimSun" w:cs="Arial"/>
        </w:rPr>
        <w:t xml:space="preserve">are </w:t>
      </w:r>
      <w:r w:rsidR="00B6037B" w:rsidRPr="00787196">
        <w:rPr>
          <w:rFonts w:eastAsia="Arial,SimSun" w:cs="Arial"/>
        </w:rPr>
        <w:t>problematic</w:t>
      </w:r>
      <w:r w:rsidR="001656A4" w:rsidRPr="00787196">
        <w:rPr>
          <w:rFonts w:eastAsia="Arial,SimSun" w:cs="Arial"/>
        </w:rPr>
        <w:t xml:space="preserve"> or unsatisfactory</w:t>
      </w:r>
      <w:r w:rsidR="004B16BC" w:rsidRPr="00787196">
        <w:rPr>
          <w:rFonts w:eastAsia="Arial,SimSun" w:cs="Arial"/>
        </w:rPr>
        <w:t xml:space="preserve">, they </w:t>
      </w:r>
      <w:r w:rsidR="00D95B27" w:rsidRPr="00787196">
        <w:rPr>
          <w:rFonts w:eastAsia="Arial,SimSun" w:cs="Arial"/>
        </w:rPr>
        <w:t>g</w:t>
      </w:r>
      <w:r w:rsidR="004B16BC" w:rsidRPr="00787196">
        <w:rPr>
          <w:rFonts w:eastAsia="Arial,SimSun" w:cs="Arial"/>
        </w:rPr>
        <w:t>et them r</w:t>
      </w:r>
      <w:r w:rsidR="00D95B27" w:rsidRPr="00787196">
        <w:rPr>
          <w:rFonts w:eastAsia="Arial,SimSun" w:cs="Arial"/>
        </w:rPr>
        <w:t>epaired</w:t>
      </w:r>
      <w:r w:rsidR="000E7674" w:rsidRPr="00787196">
        <w:rPr>
          <w:rFonts w:eastAsia="Arial,SimSun" w:cs="Arial"/>
        </w:rPr>
        <w:t xml:space="preserve">, </w:t>
      </w:r>
      <w:r w:rsidR="00D95B27" w:rsidRPr="00787196">
        <w:rPr>
          <w:rFonts w:eastAsia="Arial,SimSun" w:cs="Arial"/>
        </w:rPr>
        <w:t>r</w:t>
      </w:r>
      <w:r w:rsidR="004B16BC" w:rsidRPr="00787196">
        <w:rPr>
          <w:rFonts w:eastAsia="Arial,SimSun" w:cs="Arial"/>
        </w:rPr>
        <w:t xml:space="preserve">eplaced or </w:t>
      </w:r>
      <w:r w:rsidR="00CE438F" w:rsidRPr="00787196">
        <w:rPr>
          <w:rFonts w:eastAsia="Arial,SimSun" w:cs="Arial"/>
        </w:rPr>
        <w:t xml:space="preserve">simply </w:t>
      </w:r>
      <w:r w:rsidR="004B16BC" w:rsidRPr="00787196">
        <w:rPr>
          <w:rFonts w:eastAsia="Arial,SimSun" w:cs="Arial"/>
        </w:rPr>
        <w:t xml:space="preserve">discontinue wearing them. </w:t>
      </w:r>
      <w:r w:rsidR="00CE438F" w:rsidRPr="00787196">
        <w:rPr>
          <w:rFonts w:eastAsia="Arial,SimSun" w:cs="Arial"/>
        </w:rPr>
        <w:t xml:space="preserve">In the latter </w:t>
      </w:r>
      <w:r w:rsidR="00D70A17" w:rsidRPr="00787196">
        <w:rPr>
          <w:rFonts w:eastAsia="Arial,SimSun" w:cs="Arial"/>
        </w:rPr>
        <w:t>instance</w:t>
      </w:r>
      <w:r w:rsidR="00CE438F" w:rsidRPr="00787196">
        <w:rPr>
          <w:rFonts w:eastAsia="Arial,SimSun" w:cs="Arial"/>
        </w:rPr>
        <w:t>, u</w:t>
      </w:r>
      <w:r w:rsidR="004B16BC" w:rsidRPr="00787196">
        <w:rPr>
          <w:rFonts w:eastAsia="Arial,SimSun" w:cs="Arial"/>
        </w:rPr>
        <w:t>nless</w:t>
      </w:r>
      <w:r w:rsidR="00482EBA" w:rsidRPr="00787196">
        <w:rPr>
          <w:rFonts w:eastAsia="Arial,SimSun" w:cs="Arial"/>
        </w:rPr>
        <w:t xml:space="preserve"> </w:t>
      </w:r>
      <w:r w:rsidR="00CE438F" w:rsidRPr="00787196">
        <w:rPr>
          <w:rFonts w:eastAsia="Arial,SimSun" w:cs="Arial"/>
        </w:rPr>
        <w:t xml:space="preserve">the </w:t>
      </w:r>
      <w:r w:rsidR="000E7674" w:rsidRPr="00787196">
        <w:rPr>
          <w:rFonts w:eastAsia="Arial,SimSun" w:cs="Arial"/>
        </w:rPr>
        <w:t>issue</w:t>
      </w:r>
      <w:r w:rsidR="00CE438F" w:rsidRPr="00787196">
        <w:rPr>
          <w:rFonts w:eastAsia="Arial,SimSun" w:cs="Arial"/>
        </w:rPr>
        <w:t xml:space="preserve"> is</w:t>
      </w:r>
      <w:r w:rsidR="000F481F" w:rsidRPr="00787196">
        <w:rPr>
          <w:rFonts w:eastAsia="Arial,SimSun" w:cs="Arial"/>
        </w:rPr>
        <w:t xml:space="preserve"> reported</w:t>
      </w:r>
      <w:r w:rsidR="00482EBA" w:rsidRPr="00787196">
        <w:rPr>
          <w:rFonts w:eastAsia="Arial,SimSun" w:cs="Arial"/>
        </w:rPr>
        <w:t xml:space="preserve"> </w:t>
      </w:r>
      <w:r w:rsidR="00527D1E" w:rsidRPr="00787196">
        <w:rPr>
          <w:rFonts w:eastAsia="Arial,SimSun" w:cs="Arial"/>
        </w:rPr>
        <w:t>to</w:t>
      </w:r>
      <w:r w:rsidR="00B6037B" w:rsidRPr="00787196">
        <w:rPr>
          <w:rFonts w:eastAsia="Arial,SimSun" w:cs="Arial"/>
        </w:rPr>
        <w:t xml:space="preserve"> th</w:t>
      </w:r>
      <w:r w:rsidR="00167E7A" w:rsidRPr="00787196">
        <w:rPr>
          <w:rFonts w:eastAsia="Arial,SimSun" w:cs="Arial"/>
        </w:rPr>
        <w:t>e</w:t>
      </w:r>
      <w:r w:rsidR="00F230AD" w:rsidRPr="00787196">
        <w:rPr>
          <w:rFonts w:eastAsia="Arial,SimSun" w:cs="Arial"/>
        </w:rPr>
        <w:t xml:space="preserve"> </w:t>
      </w:r>
      <w:r w:rsidR="000E7674" w:rsidRPr="00787196">
        <w:rPr>
          <w:rFonts w:eastAsia="Arial,SimSun" w:cs="Arial"/>
        </w:rPr>
        <w:t>dentist (who</w:t>
      </w:r>
      <w:r w:rsidR="00D95B27" w:rsidRPr="00787196">
        <w:rPr>
          <w:rFonts w:eastAsia="Arial,SimSun" w:cs="Arial"/>
        </w:rPr>
        <w:t xml:space="preserve"> </w:t>
      </w:r>
      <w:r w:rsidR="000E7674" w:rsidRPr="00787196">
        <w:rPr>
          <w:rFonts w:eastAsia="Arial,SimSun" w:cs="Arial"/>
        </w:rPr>
        <w:t xml:space="preserve">delivered </w:t>
      </w:r>
      <w:r w:rsidR="00FB6236" w:rsidRPr="00787196">
        <w:rPr>
          <w:rFonts w:eastAsia="Arial,SimSun" w:cs="Arial"/>
        </w:rPr>
        <w:t>th</w:t>
      </w:r>
      <w:r w:rsidR="000E7674" w:rsidRPr="00787196">
        <w:rPr>
          <w:rFonts w:eastAsia="Arial,SimSun" w:cs="Arial"/>
        </w:rPr>
        <w:t>e</w:t>
      </w:r>
      <w:r w:rsidR="00F230AD" w:rsidRPr="00787196">
        <w:rPr>
          <w:rFonts w:eastAsia="Arial,SimSun" w:cs="Arial"/>
        </w:rPr>
        <w:t xml:space="preserve"> dentures</w:t>
      </w:r>
      <w:r w:rsidR="000E7674" w:rsidRPr="00787196">
        <w:rPr>
          <w:rFonts w:eastAsia="Arial,SimSun" w:cs="Arial"/>
        </w:rPr>
        <w:t>),</w:t>
      </w:r>
      <w:r w:rsidR="004B16BC" w:rsidRPr="00787196">
        <w:rPr>
          <w:rFonts w:eastAsia="Arial,SimSun" w:cs="Arial"/>
        </w:rPr>
        <w:t xml:space="preserve"> </w:t>
      </w:r>
      <w:r w:rsidR="00CE438F" w:rsidRPr="00787196">
        <w:rPr>
          <w:rFonts w:eastAsia="Arial,SimSun" w:cs="Arial"/>
        </w:rPr>
        <w:t xml:space="preserve">he/she </w:t>
      </w:r>
      <w:r w:rsidR="000E7674" w:rsidRPr="00787196">
        <w:rPr>
          <w:rFonts w:eastAsia="Arial,SimSun" w:cs="Arial"/>
        </w:rPr>
        <w:t xml:space="preserve">assumes </w:t>
      </w:r>
      <w:r w:rsidR="00CE438F" w:rsidRPr="00787196">
        <w:rPr>
          <w:rFonts w:eastAsia="Arial,SimSun" w:cs="Arial"/>
        </w:rPr>
        <w:t>to have d</w:t>
      </w:r>
      <w:r w:rsidR="000E7674" w:rsidRPr="00787196">
        <w:rPr>
          <w:rFonts w:eastAsia="Arial,SimSun" w:cs="Arial"/>
        </w:rPr>
        <w:t>elivered</w:t>
      </w:r>
      <w:r w:rsidRPr="00787196">
        <w:rPr>
          <w:rFonts w:eastAsia="Arial,SimSun" w:cs="Arial"/>
        </w:rPr>
        <w:t xml:space="preserve"> </w:t>
      </w:r>
      <w:r w:rsidR="000E7674" w:rsidRPr="00787196">
        <w:rPr>
          <w:rFonts w:eastAsia="Arial,SimSun" w:cs="Arial"/>
        </w:rPr>
        <w:t xml:space="preserve">a </w:t>
      </w:r>
      <w:r w:rsidRPr="00787196">
        <w:rPr>
          <w:rFonts w:eastAsia="Arial,SimSun" w:cs="Arial"/>
        </w:rPr>
        <w:t xml:space="preserve">successful </w:t>
      </w:r>
      <w:r w:rsidR="0079553A" w:rsidRPr="00787196">
        <w:rPr>
          <w:rFonts w:eastAsia="Arial,SimSun" w:cs="Arial"/>
        </w:rPr>
        <w:t>denture. The author</w:t>
      </w:r>
      <w:r w:rsidR="00D70A17" w:rsidRPr="00787196">
        <w:rPr>
          <w:rFonts w:eastAsia="Arial,SimSun" w:cs="Arial"/>
        </w:rPr>
        <w:t xml:space="preserve"> t</w:t>
      </w:r>
      <w:r w:rsidR="000E7674" w:rsidRPr="00787196">
        <w:rPr>
          <w:rFonts w:eastAsia="Arial,SimSun" w:cs="Arial"/>
        </w:rPr>
        <w:t>hus</w:t>
      </w:r>
      <w:r w:rsidR="000F481F" w:rsidRPr="00787196">
        <w:rPr>
          <w:rFonts w:eastAsia="Arial,SimSun" w:cs="Arial"/>
        </w:rPr>
        <w:t xml:space="preserve"> </w:t>
      </w:r>
      <w:r w:rsidR="00F546B2" w:rsidRPr="00787196">
        <w:rPr>
          <w:rFonts w:eastAsia="Arial,SimSun" w:cs="Arial"/>
        </w:rPr>
        <w:t>argued that</w:t>
      </w:r>
      <w:r w:rsidR="00482EBA" w:rsidRPr="00787196">
        <w:rPr>
          <w:rFonts w:eastAsia="Arial,SimSun" w:cs="Arial"/>
        </w:rPr>
        <w:t xml:space="preserve"> the </w:t>
      </w:r>
      <w:r w:rsidR="00DC4E8B" w:rsidRPr="00787196">
        <w:rPr>
          <w:rFonts w:eastAsia="Arial,SimSun" w:cs="Arial"/>
        </w:rPr>
        <w:t xml:space="preserve">meaning of </w:t>
      </w:r>
      <w:r w:rsidRPr="00787196">
        <w:rPr>
          <w:rFonts w:eastAsia="Arial,SimSun" w:cs="Arial"/>
        </w:rPr>
        <w:t xml:space="preserve">denture success </w:t>
      </w:r>
      <w:r w:rsidR="000F481F" w:rsidRPr="00787196">
        <w:rPr>
          <w:rFonts w:eastAsia="Arial,SimSun" w:cs="Arial"/>
        </w:rPr>
        <w:t>with</w:t>
      </w:r>
      <w:r w:rsidR="006C1ECA" w:rsidRPr="00787196">
        <w:rPr>
          <w:rFonts w:eastAsia="Arial,SimSun" w:cs="Arial"/>
        </w:rPr>
        <w:t>in</w:t>
      </w:r>
      <w:r w:rsidRPr="00787196">
        <w:rPr>
          <w:rFonts w:eastAsia="Arial,SimSun" w:cs="Arial"/>
        </w:rPr>
        <w:t xml:space="preserve"> the purview </w:t>
      </w:r>
      <w:r w:rsidR="00355EE8" w:rsidRPr="00787196">
        <w:rPr>
          <w:rFonts w:eastAsia="Arial,SimSun" w:cs="Arial"/>
        </w:rPr>
        <w:t xml:space="preserve">of </w:t>
      </w:r>
      <w:r w:rsidR="006C1ECA" w:rsidRPr="00787196">
        <w:rPr>
          <w:rFonts w:eastAsia="Arial,SimSun" w:cs="Arial"/>
        </w:rPr>
        <w:t xml:space="preserve">the normative assessments of </w:t>
      </w:r>
      <w:r w:rsidR="000F481F" w:rsidRPr="00787196">
        <w:rPr>
          <w:rFonts w:eastAsia="Arial,SimSun" w:cs="Arial"/>
        </w:rPr>
        <w:t xml:space="preserve">clinicians </w:t>
      </w:r>
      <w:r w:rsidR="00D70A17" w:rsidRPr="00787196">
        <w:rPr>
          <w:rFonts w:eastAsia="Arial,SimSun" w:cs="Arial"/>
        </w:rPr>
        <w:t xml:space="preserve">may not </w:t>
      </w:r>
      <w:r w:rsidR="000F481F" w:rsidRPr="00787196">
        <w:rPr>
          <w:rFonts w:eastAsia="Arial,SimSun" w:cs="Arial"/>
        </w:rPr>
        <w:t>alone</w:t>
      </w:r>
      <w:r w:rsidR="00D70A17" w:rsidRPr="00787196">
        <w:rPr>
          <w:rFonts w:eastAsia="Arial,SimSun" w:cs="Arial"/>
        </w:rPr>
        <w:t xml:space="preserve"> define them</w:t>
      </w:r>
      <w:r w:rsidR="00632989" w:rsidRPr="00787196">
        <w:rPr>
          <w:rFonts w:eastAsia="Arial,SimSun" w:cs="Arial"/>
        </w:rPr>
        <w:t>.</w:t>
      </w:r>
    </w:p>
    <w:p w14:paraId="556FA633" w14:textId="77777777" w:rsidR="0037043B" w:rsidRPr="00787196" w:rsidRDefault="00D53DB8" w:rsidP="0020262B">
      <w:pPr>
        <w:spacing w:after="240"/>
        <w:rPr>
          <w:rFonts w:eastAsia="Arial,SimSun" w:cs="Arial"/>
        </w:rPr>
      </w:pPr>
      <w:r w:rsidRPr="00787196">
        <w:rPr>
          <w:rFonts w:eastAsia="Arial,SimSun" w:cs="Arial"/>
        </w:rPr>
        <w:t xml:space="preserve">Langer and colleagues </w:t>
      </w:r>
      <w:r w:rsidR="007D6B7F" w:rsidRPr="00787196">
        <w:rPr>
          <w:rFonts w:cs="Arial"/>
        </w:rPr>
        <w:fldChar w:fldCharType="begin"/>
      </w:r>
      <w:r w:rsidR="00B26140" w:rsidRPr="00787196">
        <w:rPr>
          <w:rFonts w:cs="Arial"/>
        </w:rPr>
        <w:instrText xml:space="preserve"> ADDIN EN.CITE &lt;EndNote&gt;&lt;Cite ExcludeAuth="1"&gt;&lt;Author&gt;Langer&lt;/Author&gt;&lt;Year&gt;1961&lt;/Year&gt;&lt;RecNum&gt;0&lt;/RecNum&gt;&lt;IDText&gt;Factors influencing satisfaction with complete dentures in geriatric patients&lt;/IDText&gt;&lt;DisplayText&gt;(1961)&lt;/DisplayText&gt;&lt;record&gt;&lt;isbn&gt;0022-3913&lt;/isbn&gt;&lt;titles&gt;&lt;title&gt;Factors influencing satisfaction with complete dentures in geriatric patients&lt;/title&gt;&lt;secondary-title&gt;The Journal of Prosthetic Dentistry&lt;/secondary-title&gt;&lt;/titles&gt;&lt;pages&gt;1019-1031&lt;/pages&gt;&lt;number&gt;6&lt;/number&gt;&lt;contributors&gt;&lt;authors&gt;&lt;author&gt;Langer, A&lt;/author&gt;&lt;author&gt;Michman, J&lt;/author&gt;&lt;author&gt;Seifert, I&lt;/author&gt;&lt;/authors&gt;&lt;/contributors&gt;&lt;added-date format="utc"&gt;1377637455&lt;/added-date&gt;&lt;ref-type name="Journal Article"&gt;17&lt;/ref-type&gt;&lt;dates&gt;&lt;year&gt;1961&lt;/year&gt;&lt;/dates&gt;&lt;rec-number&gt;1142&lt;/rec-number&gt;&lt;last-updated-date format="utc"&gt;1377637455&lt;/last-updated-date&gt;&lt;volume&gt;11&lt;/volume&gt;&lt;/record&gt;&lt;/Cite&gt;&lt;/EndNote&gt;</w:instrText>
      </w:r>
      <w:r w:rsidR="007D6B7F" w:rsidRPr="00787196">
        <w:rPr>
          <w:rFonts w:cs="Arial"/>
          <w:szCs w:val="24"/>
        </w:rPr>
        <w:fldChar w:fldCharType="separate"/>
      </w:r>
      <w:r w:rsidR="00B26140" w:rsidRPr="00787196">
        <w:rPr>
          <w:rFonts w:cs="Arial"/>
        </w:rPr>
        <w:t>(1961)</w:t>
      </w:r>
      <w:r w:rsidR="007D6B7F" w:rsidRPr="00787196">
        <w:rPr>
          <w:rFonts w:cs="Arial"/>
        </w:rPr>
        <w:fldChar w:fldCharType="end"/>
      </w:r>
      <w:r w:rsidR="00F546B2" w:rsidRPr="00787196">
        <w:rPr>
          <w:rFonts w:cs="Arial"/>
        </w:rPr>
        <w:t xml:space="preserve"> went on similar lines to </w:t>
      </w:r>
      <w:r w:rsidRPr="00787196">
        <w:rPr>
          <w:rFonts w:eastAsia="Arial,SimSun" w:cs="Arial"/>
        </w:rPr>
        <w:t>state</w:t>
      </w:r>
      <w:r w:rsidR="00F546B2" w:rsidRPr="00787196">
        <w:rPr>
          <w:rFonts w:eastAsia="Arial,SimSun" w:cs="Arial"/>
        </w:rPr>
        <w:t xml:space="preserve"> that</w:t>
      </w:r>
      <w:r w:rsidRPr="00787196">
        <w:rPr>
          <w:rFonts w:eastAsia="Arial,SimSun" w:cs="Arial"/>
        </w:rPr>
        <w:t xml:space="preserve"> </w:t>
      </w:r>
      <w:r w:rsidRPr="00787196">
        <w:rPr>
          <w:rFonts w:eastAsia="Arial,SimSun" w:cs="Arial"/>
          <w:i/>
          <w:iCs/>
        </w:rPr>
        <w:t xml:space="preserve">“The complete satisfaction of both patients and dentists in evaluating dentures is a necessary condition for success in complete denture construction. Whenever the patient and the dentist are both dissatisfied with the respective evaluation, such dentures may be regarded as failures. When one party is satisfied (patient or dentist) and the other is not, the dentures fall somewhere between the two categories.” </w:t>
      </w:r>
      <w:r w:rsidR="0020262B" w:rsidRPr="00787196">
        <w:rPr>
          <w:rFonts w:cs="Arial"/>
          <w:i/>
          <w:szCs w:val="24"/>
        </w:rPr>
        <w:t xml:space="preserve"> </w:t>
      </w:r>
      <w:r w:rsidR="0020262B" w:rsidRPr="00787196">
        <w:rPr>
          <w:rFonts w:eastAsia="Arial,SimSun" w:cs="Arial"/>
        </w:rPr>
        <w:t xml:space="preserve">Their </w:t>
      </w:r>
      <w:r w:rsidR="00F546B2" w:rsidRPr="00787196">
        <w:rPr>
          <w:rFonts w:eastAsia="Arial,SimSun" w:cs="Arial"/>
        </w:rPr>
        <w:t>statement</w:t>
      </w:r>
      <w:r w:rsidR="00ED342A" w:rsidRPr="00787196">
        <w:rPr>
          <w:rFonts w:eastAsia="Arial,SimSun" w:cs="Arial"/>
        </w:rPr>
        <w:t xml:space="preserve"> </w:t>
      </w:r>
      <w:r w:rsidR="004C186B" w:rsidRPr="00787196">
        <w:rPr>
          <w:rFonts w:eastAsia="Arial,SimSun" w:cs="Arial"/>
        </w:rPr>
        <w:t>suggest</w:t>
      </w:r>
      <w:r w:rsidR="0020262B" w:rsidRPr="00787196">
        <w:rPr>
          <w:rFonts w:eastAsia="Arial,SimSun" w:cs="Arial"/>
        </w:rPr>
        <w:t xml:space="preserve">ed </w:t>
      </w:r>
      <w:r w:rsidR="00CB2D4B" w:rsidRPr="00787196">
        <w:rPr>
          <w:rFonts w:eastAsia="Arial,SimSun" w:cs="Arial"/>
        </w:rPr>
        <w:t>that</w:t>
      </w:r>
      <w:r w:rsidR="004C186B" w:rsidRPr="00787196">
        <w:rPr>
          <w:rFonts w:eastAsia="Arial,SimSun" w:cs="Arial"/>
        </w:rPr>
        <w:t xml:space="preserve"> denture success</w:t>
      </w:r>
      <w:r w:rsidR="00585DCD" w:rsidRPr="00787196">
        <w:rPr>
          <w:rFonts w:eastAsia="Arial,SimSun" w:cs="Arial"/>
        </w:rPr>
        <w:t xml:space="preserve"> </w:t>
      </w:r>
      <w:r w:rsidR="0020262B" w:rsidRPr="00787196">
        <w:rPr>
          <w:rFonts w:eastAsia="Arial,SimSun" w:cs="Arial"/>
        </w:rPr>
        <w:t>was a</w:t>
      </w:r>
      <w:r w:rsidR="006C1ECA" w:rsidRPr="00787196">
        <w:rPr>
          <w:rFonts w:eastAsia="Arial,SimSun" w:cs="Arial"/>
        </w:rPr>
        <w:t xml:space="preserve"> balance</w:t>
      </w:r>
      <w:r w:rsidR="00044D9F" w:rsidRPr="00787196">
        <w:rPr>
          <w:rFonts w:eastAsia="Arial,SimSun" w:cs="Arial"/>
        </w:rPr>
        <w:t xml:space="preserve"> between</w:t>
      </w:r>
      <w:r w:rsidR="006C1ECA" w:rsidRPr="00787196">
        <w:rPr>
          <w:rFonts w:eastAsia="Arial,SimSun" w:cs="Arial"/>
        </w:rPr>
        <w:t xml:space="preserve"> the</w:t>
      </w:r>
      <w:r w:rsidR="00585DCD" w:rsidRPr="00787196">
        <w:rPr>
          <w:rFonts w:eastAsia="Arial,SimSun" w:cs="Arial"/>
        </w:rPr>
        <w:t xml:space="preserve"> perspectives</w:t>
      </w:r>
      <w:r w:rsidR="006C1ECA" w:rsidRPr="00787196">
        <w:rPr>
          <w:rFonts w:eastAsia="Arial,SimSun" w:cs="Arial"/>
        </w:rPr>
        <w:t xml:space="preserve"> of patients and the dentists</w:t>
      </w:r>
      <w:r w:rsidR="00F546B2" w:rsidRPr="00787196">
        <w:rPr>
          <w:rFonts w:eastAsia="Arial,SimSun" w:cs="Arial"/>
        </w:rPr>
        <w:t>.</w:t>
      </w:r>
    </w:p>
    <w:p w14:paraId="7716DAD6" w14:textId="3EB891FA" w:rsidR="0037043B" w:rsidRPr="00787196" w:rsidRDefault="00F546B2" w:rsidP="0037043B">
      <w:pPr>
        <w:spacing w:after="240"/>
        <w:rPr>
          <w:rFonts w:cs="Arial"/>
        </w:rPr>
      </w:pPr>
      <w:r w:rsidRPr="00787196">
        <w:rPr>
          <w:rFonts w:eastAsia="Arial,SimSun" w:cs="Arial"/>
        </w:rPr>
        <w:t>The</w:t>
      </w:r>
      <w:r w:rsidR="0020262B" w:rsidRPr="00787196">
        <w:rPr>
          <w:rFonts w:eastAsia="Arial,SimSun" w:cs="Arial"/>
        </w:rPr>
        <w:t xml:space="preserve"> above</w:t>
      </w:r>
      <w:r w:rsidRPr="00787196">
        <w:rPr>
          <w:rFonts w:eastAsia="Arial,SimSun" w:cs="Arial"/>
        </w:rPr>
        <w:t xml:space="preserve"> views were reiterated by </w:t>
      </w:r>
      <w:r w:rsidR="0020262B" w:rsidRPr="00787196">
        <w:rPr>
          <w:rFonts w:eastAsia="Arial,SimSun" w:cs="Arial"/>
        </w:rPr>
        <w:t xml:space="preserve">subsequent </w:t>
      </w:r>
      <w:r w:rsidRPr="00787196">
        <w:rPr>
          <w:rFonts w:eastAsia="Arial,SimSun" w:cs="Arial"/>
        </w:rPr>
        <w:t>studies</w:t>
      </w:r>
      <w:r w:rsidR="002152E2" w:rsidRPr="00787196">
        <w:rPr>
          <w:rFonts w:eastAsia="Arial,SimSun" w:cs="Arial"/>
        </w:rPr>
        <w:t xml:space="preserve"> </w:t>
      </w:r>
      <w:r w:rsidR="00D5059D" w:rsidRPr="00787196">
        <w:rPr>
          <w:rFonts w:cs="Arial"/>
        </w:rPr>
        <w:fldChar w:fldCharType="begin"/>
      </w:r>
      <w:r w:rsidRPr="00787196">
        <w:rPr>
          <w:rFonts w:cs="Arial"/>
        </w:rPr>
        <w:instrText xml:space="preserve"> ADDIN EN.CITE &lt;EndNote&gt;&lt;Cite&gt;&lt;Author&gt;Smith&lt;/Author&gt;&lt;Year&gt;1976&lt;/Year&gt;&lt;RecNum&gt;0&lt;/RecNum&gt;&lt;IDText&gt;Measurement of personality traits and their relation to patient satisfaction with complete dentures&lt;/IDText&gt;&lt;DisplayText&gt;(Smith, 1976)&lt;/DisplayText&gt;&lt;record&gt;&lt;dates&gt;&lt;pub-dates&gt;&lt;date&gt;05/&lt;/date&gt;&lt;/pub-dates&gt;&lt;year&gt;1976&lt;/year&gt;&lt;/dates&gt;&lt;urls&gt;&lt;related-urls&gt;&lt;url&gt;http://europepmc.org/abstract/MED/775057&lt;/url&gt;&lt;/related-urls&gt;&lt;/urls&gt;&lt;titles&gt;&lt;title&gt;Measurement of personality traits and their relation to patient satisfaction with complete dentures&lt;/title&gt;&lt;secondary-title&gt;The Journal of prosthetic dentistry&lt;/secondary-title&gt;&lt;/titles&gt;&lt;pages&gt;492-503&lt;/pages&gt;&lt;number&gt;5&lt;/number&gt;&lt;contributors&gt;&lt;authors&gt;&lt;author&gt;Smith, M.&lt;/author&gt;&lt;/authors&gt;&lt;/contributors&gt;&lt;added-date format="utc"&gt;1370002952&lt;/added-date&gt;&lt;ref-type name="Journal Article"&gt;17&lt;/ref-type&gt;&lt;rec-number&gt;724&lt;/rec-number&gt;&lt;last-updated-date format="utc"&gt;1385713712&lt;/last-updated-date&gt;&lt;volume&gt;35&lt;/volume&gt;&lt;/record&gt;&lt;/Cite&gt;&lt;/EndNote&gt;</w:instrText>
      </w:r>
      <w:r w:rsidR="00D5059D" w:rsidRPr="00787196">
        <w:rPr>
          <w:rFonts w:cs="Arial"/>
          <w:szCs w:val="24"/>
        </w:rPr>
        <w:fldChar w:fldCharType="separate"/>
      </w:r>
      <w:r w:rsidRPr="00787196">
        <w:rPr>
          <w:rFonts w:cs="Arial"/>
          <w:noProof/>
        </w:rPr>
        <w:t>(Smith, 1976)</w:t>
      </w:r>
      <w:r w:rsidR="00D5059D" w:rsidRPr="00787196">
        <w:rPr>
          <w:rFonts w:cs="Arial"/>
        </w:rPr>
        <w:fldChar w:fldCharType="end"/>
      </w:r>
      <w:r w:rsidR="002152E2" w:rsidRPr="00787196">
        <w:rPr>
          <w:rFonts w:cs="Arial"/>
        </w:rPr>
        <w:t xml:space="preserve">. </w:t>
      </w:r>
      <w:r w:rsidR="000B3E87" w:rsidRPr="00787196">
        <w:rPr>
          <w:rFonts w:cs="Arial"/>
        </w:rPr>
        <w:t xml:space="preserve">However, </w:t>
      </w:r>
      <w:r w:rsidR="002152E2" w:rsidRPr="00787196">
        <w:rPr>
          <w:rFonts w:cs="Arial"/>
        </w:rPr>
        <w:t>relatively recent studies</w:t>
      </w:r>
      <w:r w:rsidR="0020262B" w:rsidRPr="00787196">
        <w:rPr>
          <w:rFonts w:cs="Arial"/>
        </w:rPr>
        <w:t>,</w:t>
      </w:r>
      <w:r w:rsidR="002152E2" w:rsidRPr="00787196">
        <w:rPr>
          <w:rFonts w:eastAsia="Arial,SimSun" w:cs="Arial"/>
        </w:rPr>
        <w:t xml:space="preserve"> suggest </w:t>
      </w:r>
      <w:r w:rsidR="002152E2" w:rsidRPr="00787196">
        <w:rPr>
          <w:rFonts w:cs="Arial"/>
        </w:rPr>
        <w:t>th</w:t>
      </w:r>
      <w:r w:rsidR="000B3E87" w:rsidRPr="00787196">
        <w:rPr>
          <w:rFonts w:cs="Arial"/>
        </w:rPr>
        <w:t xml:space="preserve">at </w:t>
      </w:r>
      <w:r w:rsidR="002152E2" w:rsidRPr="00787196">
        <w:rPr>
          <w:rFonts w:eastAsia="Arial" w:cs="Arial"/>
        </w:rPr>
        <w:t xml:space="preserve">concerted efforts of both patients and clinicians are required </w:t>
      </w:r>
      <w:r w:rsidR="0020262B" w:rsidRPr="00787196">
        <w:rPr>
          <w:rFonts w:eastAsia="Arial" w:cs="Arial"/>
        </w:rPr>
        <w:t xml:space="preserve">in order </w:t>
      </w:r>
      <w:r w:rsidR="002152E2" w:rsidRPr="00787196">
        <w:rPr>
          <w:rFonts w:eastAsia="Arial" w:cs="Arial"/>
        </w:rPr>
        <w:t xml:space="preserve">to achieve denture success </w:t>
      </w:r>
      <w:r w:rsidR="002152E2" w:rsidRPr="00787196">
        <w:rPr>
          <w:rFonts w:cs="Arial"/>
        </w:rPr>
        <w:fldChar w:fldCharType="begin"/>
      </w:r>
      <w:r w:rsidR="002152E2" w:rsidRPr="00787196">
        <w:rPr>
          <w:rFonts w:cs="Arial"/>
        </w:rPr>
        <w:instrText xml:space="preserve"> ADDIN EN.CITE &lt;EndNote&gt;&lt;Cite&gt;&lt;Author&gt;Smith&lt;/Author&gt;&lt;Year&gt;2004&lt;/Year&gt;&lt;RecNum&gt;0&lt;/RecNum&gt;&lt;IDText&gt;What do patients expect from complete dentures?&lt;/IDText&gt;&lt;DisplayText&gt;(Smith and McCord, 2004)&lt;/DisplayText&gt;&lt;record&gt;&lt;isbn&gt;0300-5712&lt;/isbn&gt;&lt;titles&gt;&lt;title&gt;What do patients expect from complete dentures?&lt;/title&gt;&lt;secondary-title&gt;Journal of dentistry&lt;/secondary-title&gt;&lt;/titles&gt;&lt;pages&gt;3-7&lt;/pages&gt;&lt;number&gt;1&lt;/number&gt;&lt;contributors&gt;&lt;authors&gt;&lt;author&gt;Smith, PW&lt;/author&gt;&lt;author&gt;McCord, JF&lt;/author&gt;&lt;/authors&gt;&lt;/contributors&gt;&lt;added-date format="utc"&gt;1377138240&lt;/added-date&gt;&lt;ref-type name="Journal Article"&gt;17&lt;/ref-type&gt;&lt;dates&gt;&lt;year&gt;2004&lt;/year&gt;&lt;/dates&gt;&lt;rec-number&gt;1137&lt;/rec-number&gt;&lt;last-updated-date format="utc"&gt;1377138240&lt;/last-updated-date&gt;&lt;volume&gt;32&lt;/volume&gt;&lt;/record&gt;&lt;/Cite&gt;&lt;/EndNote&gt;</w:instrText>
      </w:r>
      <w:r w:rsidR="002152E2" w:rsidRPr="00787196">
        <w:rPr>
          <w:rFonts w:cs="Arial"/>
          <w:szCs w:val="24"/>
        </w:rPr>
        <w:fldChar w:fldCharType="separate"/>
      </w:r>
      <w:r w:rsidR="002152E2" w:rsidRPr="00787196">
        <w:rPr>
          <w:rFonts w:eastAsia="Arial" w:cs="Arial"/>
        </w:rPr>
        <w:t>(Smith and McCord, 2004)</w:t>
      </w:r>
      <w:r w:rsidR="002152E2" w:rsidRPr="00787196">
        <w:rPr>
          <w:rFonts w:cs="Arial"/>
        </w:rPr>
        <w:fldChar w:fldCharType="end"/>
      </w:r>
      <w:r w:rsidR="002152E2" w:rsidRPr="00787196">
        <w:rPr>
          <w:rFonts w:cs="Arial"/>
        </w:rPr>
        <w:t>.</w:t>
      </w:r>
      <w:r w:rsidR="0037043B" w:rsidRPr="00787196">
        <w:rPr>
          <w:rFonts w:cs="Arial"/>
        </w:rPr>
        <w:br w:type="page"/>
      </w:r>
    </w:p>
    <w:p w14:paraId="1FD434FB" w14:textId="77368D73" w:rsidR="00632989" w:rsidRPr="00787196" w:rsidRDefault="00132F99" w:rsidP="00655537">
      <w:pPr>
        <w:spacing w:after="240"/>
        <w:rPr>
          <w:rFonts w:eastAsia="Arial,SimSun" w:cs="Arial"/>
        </w:rPr>
      </w:pPr>
      <w:r w:rsidRPr="00787196">
        <w:rPr>
          <w:rFonts w:cs="Arial"/>
        </w:rPr>
        <w:lastRenderedPageBreak/>
        <w:t>Th</w:t>
      </w:r>
      <w:r w:rsidR="00D8299B" w:rsidRPr="00787196">
        <w:rPr>
          <w:rFonts w:cs="Arial"/>
        </w:rPr>
        <w:t>is highlights a</w:t>
      </w:r>
      <w:r w:rsidR="00E748C0" w:rsidRPr="00787196">
        <w:rPr>
          <w:rFonts w:cs="Arial"/>
        </w:rPr>
        <w:t xml:space="preserve"> shift in the meaning and understanding of denture success. </w:t>
      </w:r>
      <w:r w:rsidR="007A513B" w:rsidRPr="00787196">
        <w:rPr>
          <w:rFonts w:cs="Arial"/>
        </w:rPr>
        <w:t>(i.e.) f</w:t>
      </w:r>
      <w:r w:rsidR="00E748C0" w:rsidRPr="00787196">
        <w:rPr>
          <w:rFonts w:cs="Arial"/>
        </w:rPr>
        <w:t xml:space="preserve">rom concerns </w:t>
      </w:r>
      <w:r w:rsidR="00D8299B" w:rsidRPr="00787196">
        <w:rPr>
          <w:rFonts w:cs="Arial"/>
        </w:rPr>
        <w:t>about including</w:t>
      </w:r>
      <w:r w:rsidR="007A513B" w:rsidRPr="00787196">
        <w:rPr>
          <w:rFonts w:cs="Arial"/>
        </w:rPr>
        <w:t xml:space="preserve"> </w:t>
      </w:r>
      <w:r w:rsidR="00E748C0" w:rsidRPr="00787196">
        <w:rPr>
          <w:rFonts w:cs="Arial"/>
        </w:rPr>
        <w:t>patient perspectives</w:t>
      </w:r>
      <w:r w:rsidR="003244FB" w:rsidRPr="00787196">
        <w:rPr>
          <w:rFonts w:cs="Arial"/>
        </w:rPr>
        <w:t>,</w:t>
      </w:r>
      <w:r w:rsidR="00E748C0" w:rsidRPr="00787196">
        <w:rPr>
          <w:rFonts w:cs="Arial"/>
        </w:rPr>
        <w:t xml:space="preserve"> to</w:t>
      </w:r>
      <w:r w:rsidR="00D8299B" w:rsidRPr="00787196">
        <w:rPr>
          <w:rFonts w:cs="Arial"/>
        </w:rPr>
        <w:t xml:space="preserve"> one of</w:t>
      </w:r>
      <w:r w:rsidR="00E748C0" w:rsidRPr="00787196">
        <w:rPr>
          <w:rFonts w:cs="Arial"/>
        </w:rPr>
        <w:t xml:space="preserve"> combined efforts </w:t>
      </w:r>
      <w:r w:rsidR="007A513B" w:rsidRPr="00787196">
        <w:rPr>
          <w:rFonts w:cs="Arial"/>
        </w:rPr>
        <w:t>between patient and</w:t>
      </w:r>
      <w:r w:rsidR="00E748C0" w:rsidRPr="00787196">
        <w:rPr>
          <w:rFonts w:cs="Arial"/>
        </w:rPr>
        <w:t xml:space="preserve"> clinicians</w:t>
      </w:r>
      <w:r w:rsidR="007A513B" w:rsidRPr="00787196">
        <w:rPr>
          <w:rFonts w:cs="Arial"/>
        </w:rPr>
        <w:t xml:space="preserve">. </w:t>
      </w:r>
      <w:r w:rsidR="00655537" w:rsidRPr="00787196">
        <w:rPr>
          <w:rFonts w:cs="Arial"/>
        </w:rPr>
        <w:t xml:space="preserve"> </w:t>
      </w:r>
      <w:r w:rsidR="00D97DBB" w:rsidRPr="00787196">
        <w:rPr>
          <w:rFonts w:eastAsia="Arial,SimSun" w:cs="Arial"/>
        </w:rPr>
        <w:t xml:space="preserve">Dentists </w:t>
      </w:r>
      <w:r w:rsidR="00940067" w:rsidRPr="00787196">
        <w:rPr>
          <w:rFonts w:eastAsia="Arial,SimSun" w:cs="Arial"/>
        </w:rPr>
        <w:t>evaluate</w:t>
      </w:r>
      <w:r w:rsidR="00D66A7B" w:rsidRPr="00787196">
        <w:rPr>
          <w:rFonts w:eastAsia="Arial,SimSun" w:cs="Arial"/>
        </w:rPr>
        <w:t xml:space="preserve"> dentures u</w:t>
      </w:r>
      <w:r w:rsidR="00D501CF" w:rsidRPr="00787196">
        <w:rPr>
          <w:rFonts w:eastAsia="Arial,SimSun" w:cs="Arial"/>
        </w:rPr>
        <w:t xml:space="preserve">sing </w:t>
      </w:r>
      <w:r w:rsidR="00D66A7B" w:rsidRPr="00787196">
        <w:rPr>
          <w:rFonts w:eastAsia="Arial,SimSun" w:cs="Arial"/>
        </w:rPr>
        <w:t>a set of</w:t>
      </w:r>
      <w:r w:rsidR="00D97DBB" w:rsidRPr="00787196">
        <w:rPr>
          <w:rFonts w:eastAsia="Arial,SimSun" w:cs="Arial"/>
        </w:rPr>
        <w:t xml:space="preserve"> technical and clinical standards </w:t>
      </w:r>
      <w:r w:rsidR="00D501CF" w:rsidRPr="00787196">
        <w:rPr>
          <w:rFonts w:eastAsia="Arial,SimSun" w:cs="Arial"/>
        </w:rPr>
        <w:t>based on</w:t>
      </w:r>
      <w:r w:rsidR="00D66A7B" w:rsidRPr="00787196">
        <w:rPr>
          <w:rFonts w:eastAsia="Arial,SimSun" w:cs="Arial"/>
        </w:rPr>
        <w:t xml:space="preserve"> </w:t>
      </w:r>
      <w:r w:rsidR="00D97DBB" w:rsidRPr="00787196">
        <w:rPr>
          <w:rFonts w:eastAsia="Arial,SimSun" w:cs="Arial"/>
        </w:rPr>
        <w:t>normative assessment</w:t>
      </w:r>
      <w:r w:rsidR="00D66A7B" w:rsidRPr="00787196">
        <w:rPr>
          <w:rFonts w:eastAsia="Arial,SimSun" w:cs="Arial"/>
        </w:rPr>
        <w:t>s. P</w:t>
      </w:r>
      <w:r w:rsidR="00D97DBB" w:rsidRPr="00787196">
        <w:rPr>
          <w:rFonts w:eastAsia="Arial,SimSun" w:cs="Arial"/>
        </w:rPr>
        <w:t>atients</w:t>
      </w:r>
      <w:r w:rsidR="008C7A49" w:rsidRPr="00787196">
        <w:rPr>
          <w:rFonts w:eastAsia="Arial,SimSun" w:cs="Arial"/>
        </w:rPr>
        <w:t xml:space="preserve"> </w:t>
      </w:r>
      <w:r w:rsidR="00D66A7B" w:rsidRPr="00787196">
        <w:rPr>
          <w:rFonts w:eastAsia="Arial,SimSun" w:cs="Arial"/>
        </w:rPr>
        <w:t xml:space="preserve">assess </w:t>
      </w:r>
      <w:r w:rsidR="00D97DBB" w:rsidRPr="00787196">
        <w:rPr>
          <w:rFonts w:eastAsia="Arial,SimSun" w:cs="Arial"/>
        </w:rPr>
        <w:t xml:space="preserve">dentures </w:t>
      </w:r>
      <w:r w:rsidR="00D66A7B" w:rsidRPr="00787196">
        <w:rPr>
          <w:rFonts w:eastAsia="Arial,SimSun" w:cs="Arial"/>
        </w:rPr>
        <w:t xml:space="preserve">based on their level of satisfaction </w:t>
      </w:r>
      <w:r w:rsidR="00D97DBB" w:rsidRPr="00787196">
        <w:rPr>
          <w:rFonts w:cs="Arial"/>
        </w:rPr>
        <w:fldChar w:fldCharType="begin">
          <w:fldData xml:space="preserve">PEVuZE5vdGU+PENpdGU+PEF1dGhvcj5TbWl0aDwvQXV0aG9yPjxZZWFyPjE5NzY8L1llYXI+PFJl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</w:fldData>
        </w:fldChar>
      </w:r>
      <w:r w:rsidR="00223957" w:rsidRPr="00787196">
        <w:rPr>
          <w:rFonts w:cs="Arial"/>
        </w:rPr>
        <w:instrText xml:space="preserve"> ADDIN EN.CITE </w:instrText>
      </w:r>
      <w:r w:rsidR="00223957" w:rsidRPr="00787196">
        <w:rPr>
          <w:rFonts w:cs="Arial"/>
        </w:rPr>
        <w:fldChar w:fldCharType="begin">
          <w:fldData xml:space="preserve">PEVuZE5vdGU+PENpdGU+PEF1dGhvcj5TbWl0aDwvQXV0aG9yPjxZZWFyPjE5NzY8L1llYXI+PFJl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</w:fldData>
        </w:fldChar>
      </w:r>
      <w:r w:rsidR="00223957" w:rsidRPr="00787196">
        <w:rPr>
          <w:rFonts w:cs="Arial"/>
        </w:rPr>
        <w:instrText xml:space="preserve"> ADDIN EN.CITE.DATA </w:instrText>
      </w:r>
      <w:r w:rsidR="00223957" w:rsidRPr="00787196">
        <w:rPr>
          <w:rFonts w:cs="Arial"/>
        </w:rPr>
      </w:r>
      <w:r w:rsidR="00223957" w:rsidRPr="00787196">
        <w:rPr>
          <w:rFonts w:cs="Arial"/>
        </w:rPr>
        <w:fldChar w:fldCharType="end"/>
      </w:r>
      <w:r w:rsidR="00D97DBB" w:rsidRPr="00787196">
        <w:rPr>
          <w:rFonts w:cs="Arial"/>
          <w:szCs w:val="24"/>
        </w:rPr>
      </w:r>
      <w:r w:rsidR="00D97DBB" w:rsidRPr="00787196">
        <w:rPr>
          <w:rFonts w:cs="Arial"/>
          <w:szCs w:val="24"/>
        </w:rPr>
        <w:fldChar w:fldCharType="separate"/>
      </w:r>
      <w:r w:rsidR="00AE27DF" w:rsidRPr="00787196">
        <w:rPr>
          <w:rFonts w:cs="Arial"/>
        </w:rPr>
        <w:t>(Smith, 1976, Wakabayashi et al., 1998, Thalji et al., 2015, Byun et al., 2016)</w:t>
      </w:r>
      <w:r w:rsidR="00D97DBB" w:rsidRPr="00787196">
        <w:rPr>
          <w:rFonts w:cs="Arial"/>
        </w:rPr>
        <w:fldChar w:fldCharType="end"/>
      </w:r>
      <w:r w:rsidR="00D97DBB" w:rsidRPr="00787196">
        <w:rPr>
          <w:rFonts w:eastAsia="Arial,SimSun" w:cs="Arial"/>
        </w:rPr>
        <w:t>.</w:t>
      </w:r>
      <w:r w:rsidR="00D501CF" w:rsidRPr="00787196">
        <w:rPr>
          <w:rFonts w:eastAsia="Arial,SimSun" w:cs="Arial"/>
        </w:rPr>
        <w:t xml:space="preserve"> </w:t>
      </w:r>
    </w:p>
    <w:p w14:paraId="39634ED0" w14:textId="469A4202" w:rsidR="00655537" w:rsidRPr="00787196" w:rsidRDefault="00655537" w:rsidP="00655537">
      <w:pPr>
        <w:spacing w:after="240"/>
        <w:rPr>
          <w:rFonts w:cs="Arial"/>
        </w:rPr>
      </w:pPr>
      <w:r w:rsidRPr="00787196">
        <w:rPr>
          <w:rFonts w:cs="Arial"/>
        </w:rPr>
        <w:t xml:space="preserve">Hence, there is still a lack of clarity on </w:t>
      </w:r>
      <w:r w:rsidR="006A0C6D" w:rsidRPr="00787196">
        <w:rPr>
          <w:rFonts w:cs="Arial"/>
        </w:rPr>
        <w:t xml:space="preserve">the </w:t>
      </w:r>
      <w:r w:rsidRPr="00787196">
        <w:rPr>
          <w:rFonts w:cs="Arial"/>
        </w:rPr>
        <w:t xml:space="preserve">understanding </w:t>
      </w:r>
      <w:r w:rsidR="006A0C6D" w:rsidRPr="00787196">
        <w:rPr>
          <w:rFonts w:cs="Arial"/>
        </w:rPr>
        <w:t xml:space="preserve">of </w:t>
      </w:r>
      <w:r w:rsidRPr="00787196">
        <w:rPr>
          <w:rFonts w:cs="Arial"/>
        </w:rPr>
        <w:t>denture success</w:t>
      </w:r>
      <w:r w:rsidR="006A0C6D" w:rsidRPr="00787196">
        <w:rPr>
          <w:rFonts w:cs="Arial"/>
        </w:rPr>
        <w:t>,</w:t>
      </w:r>
      <w:r w:rsidRPr="00787196">
        <w:rPr>
          <w:rFonts w:cs="Arial"/>
        </w:rPr>
        <w:t xml:space="preserve"> which means its interpretation and evaluation</w:t>
      </w:r>
      <w:r w:rsidR="006A0C6D" w:rsidRPr="00787196">
        <w:rPr>
          <w:rFonts w:cs="Arial"/>
        </w:rPr>
        <w:t xml:space="preserve"> </w:t>
      </w:r>
      <w:r w:rsidRPr="00787196">
        <w:rPr>
          <w:rFonts w:cs="Arial"/>
        </w:rPr>
        <w:t xml:space="preserve">differs </w:t>
      </w:r>
      <w:r w:rsidR="006A0C6D" w:rsidRPr="00787196">
        <w:rPr>
          <w:rFonts w:cs="Arial"/>
        </w:rPr>
        <w:t xml:space="preserve">considerably between </w:t>
      </w:r>
      <w:r w:rsidRPr="00787196">
        <w:rPr>
          <w:rFonts w:cs="Arial"/>
        </w:rPr>
        <w:t xml:space="preserve">studies. This section explores </w:t>
      </w:r>
      <w:r w:rsidR="006A0C6D" w:rsidRPr="00787196">
        <w:rPr>
          <w:rFonts w:cs="Arial"/>
        </w:rPr>
        <w:t xml:space="preserve">the </w:t>
      </w:r>
      <w:r w:rsidRPr="00787196">
        <w:rPr>
          <w:rFonts w:cs="Arial"/>
        </w:rPr>
        <w:t xml:space="preserve">literature evaluating denture success using normative clinical parameters, the </w:t>
      </w:r>
      <w:r w:rsidR="006A0C6D" w:rsidRPr="00787196">
        <w:rPr>
          <w:rFonts w:cs="Arial"/>
        </w:rPr>
        <w:t xml:space="preserve">critiques of that approach </w:t>
      </w:r>
      <w:r w:rsidRPr="00787196">
        <w:rPr>
          <w:rFonts w:cs="Arial"/>
        </w:rPr>
        <w:t xml:space="preserve">and also </w:t>
      </w:r>
      <w:r w:rsidR="006A0C6D" w:rsidRPr="00787196">
        <w:rPr>
          <w:rFonts w:cs="Arial"/>
        </w:rPr>
        <w:t xml:space="preserve">the use of </w:t>
      </w:r>
      <w:r w:rsidRPr="00787196">
        <w:rPr>
          <w:rFonts w:cs="Arial"/>
        </w:rPr>
        <w:t xml:space="preserve">patient reported outcomes.   </w:t>
      </w:r>
    </w:p>
    <w:p w14:paraId="29D5137A" w14:textId="7E878764" w:rsidR="000546FE" w:rsidRPr="00787196" w:rsidRDefault="00D43BED" w:rsidP="00D9694A">
      <w:pPr>
        <w:pStyle w:val="Heading3"/>
      </w:pPr>
      <w:bookmarkStart w:id="17" w:name="_Toc456211124"/>
      <w:bookmarkStart w:id="18" w:name="_Toc488655606"/>
      <w:r w:rsidRPr="00787196">
        <w:t>Evaluating d</w:t>
      </w:r>
      <w:r w:rsidR="0027109F" w:rsidRPr="00787196">
        <w:t>enture s</w:t>
      </w:r>
      <w:r w:rsidR="00D53DB8" w:rsidRPr="00787196">
        <w:t>uccess</w:t>
      </w:r>
      <w:r w:rsidRPr="00787196">
        <w:t xml:space="preserve"> using </w:t>
      </w:r>
      <w:r w:rsidR="00AF5AA4" w:rsidRPr="00787196">
        <w:t>normative</w:t>
      </w:r>
      <w:r w:rsidR="0027109F" w:rsidRPr="00787196">
        <w:t xml:space="preserve"> </w:t>
      </w:r>
      <w:r w:rsidR="00DB0A47" w:rsidRPr="00787196">
        <w:t>p</w:t>
      </w:r>
      <w:r w:rsidRPr="00787196">
        <w:t>arameters</w:t>
      </w:r>
      <w:bookmarkEnd w:id="17"/>
      <w:bookmarkEnd w:id="18"/>
    </w:p>
    <w:p w14:paraId="3533D457" w14:textId="21EE2B84" w:rsidR="001310CD" w:rsidRPr="00787196" w:rsidRDefault="00D43BED" w:rsidP="002C4FCD">
      <w:pPr>
        <w:spacing w:after="0"/>
        <w:rPr>
          <w:rFonts w:eastAsia="Arial" w:cs="Arial"/>
        </w:rPr>
      </w:pPr>
      <w:r w:rsidRPr="00787196">
        <w:rPr>
          <w:rFonts w:eastAsia="Arial,SimSun" w:cs="Arial"/>
        </w:rPr>
        <w:t>E</w:t>
      </w:r>
      <w:r w:rsidR="00BD134D" w:rsidRPr="00787196">
        <w:rPr>
          <w:rFonts w:eastAsia="Arial,SimSun" w:cs="Arial"/>
        </w:rPr>
        <w:t xml:space="preserve">valuation of denture success </w:t>
      </w:r>
      <w:r w:rsidR="00655537" w:rsidRPr="00787196">
        <w:rPr>
          <w:rFonts w:eastAsia="Arial,SimSun" w:cs="Arial"/>
        </w:rPr>
        <w:t xml:space="preserve">using normative clinical parameters </w:t>
      </w:r>
      <w:r w:rsidR="00BD134D" w:rsidRPr="00787196">
        <w:rPr>
          <w:rFonts w:eastAsia="Arial,SimSun" w:cs="Arial"/>
        </w:rPr>
        <w:t xml:space="preserve">has been broadly based on </w:t>
      </w:r>
      <w:r w:rsidR="00056544" w:rsidRPr="00787196">
        <w:rPr>
          <w:rFonts w:eastAsia="Arial,SimSun" w:cs="Arial"/>
        </w:rPr>
        <w:t xml:space="preserve">its </w:t>
      </w:r>
      <w:r w:rsidR="00BD134D" w:rsidRPr="00787196">
        <w:rPr>
          <w:rFonts w:eastAsia="Arial,SimSun" w:cs="Arial"/>
        </w:rPr>
        <w:t>clinical denture quality. The quality of denture</w:t>
      </w:r>
      <w:r w:rsidR="00056544" w:rsidRPr="00787196">
        <w:rPr>
          <w:rFonts w:eastAsia="Arial,SimSun" w:cs="Arial"/>
        </w:rPr>
        <w:t>s</w:t>
      </w:r>
      <w:r w:rsidR="00BD134D" w:rsidRPr="00787196">
        <w:rPr>
          <w:rFonts w:eastAsia="Arial,SimSun" w:cs="Arial"/>
        </w:rPr>
        <w:t xml:space="preserve"> has </w:t>
      </w:r>
      <w:r w:rsidR="00056544" w:rsidRPr="00787196">
        <w:rPr>
          <w:rFonts w:eastAsia="Arial,SimSun" w:cs="Arial"/>
        </w:rPr>
        <w:t xml:space="preserve">been </w:t>
      </w:r>
      <w:r w:rsidR="00BD134D" w:rsidRPr="00787196">
        <w:rPr>
          <w:rFonts w:eastAsia="Arial,SimSun" w:cs="Arial"/>
        </w:rPr>
        <w:t xml:space="preserve">assessed based on </w:t>
      </w:r>
      <w:r w:rsidR="00043026" w:rsidRPr="00787196">
        <w:rPr>
          <w:rFonts w:eastAsia="Arial,SimSun" w:cs="Arial"/>
        </w:rPr>
        <w:t xml:space="preserve">the </w:t>
      </w:r>
      <w:r w:rsidR="001310CD" w:rsidRPr="00787196">
        <w:rPr>
          <w:rFonts w:eastAsia="Arial,SimSun" w:cs="Arial"/>
        </w:rPr>
        <w:t>clinical outcomes</w:t>
      </w:r>
      <w:r w:rsidR="00056544" w:rsidRPr="00787196">
        <w:rPr>
          <w:rFonts w:eastAsia="Arial,SimSun" w:cs="Arial"/>
        </w:rPr>
        <w:t xml:space="preserve"> </w:t>
      </w:r>
      <w:r w:rsidR="00456CB4" w:rsidRPr="00787196">
        <w:rPr>
          <w:rFonts w:eastAsia="Arial,SimSun" w:cs="Arial"/>
        </w:rPr>
        <w:t xml:space="preserve">or on the </w:t>
      </w:r>
      <w:r w:rsidR="001310CD" w:rsidRPr="00787196">
        <w:rPr>
          <w:rFonts w:eastAsia="Arial,SimSun" w:cs="Arial"/>
        </w:rPr>
        <w:t xml:space="preserve">clinical </w:t>
      </w:r>
      <w:r w:rsidR="00056544" w:rsidRPr="00787196">
        <w:rPr>
          <w:rFonts w:eastAsia="Arial,SimSun" w:cs="Arial"/>
        </w:rPr>
        <w:t xml:space="preserve">processes of </w:t>
      </w:r>
      <w:r w:rsidR="00043026" w:rsidRPr="00787196">
        <w:rPr>
          <w:rFonts w:eastAsia="Arial,SimSun" w:cs="Arial"/>
        </w:rPr>
        <w:t xml:space="preserve">its </w:t>
      </w:r>
      <w:r w:rsidR="001310CD" w:rsidRPr="00787196">
        <w:rPr>
          <w:rFonts w:eastAsia="Arial,SimSun" w:cs="Arial"/>
        </w:rPr>
        <w:t>fabrication</w:t>
      </w:r>
      <w:r w:rsidR="00AF5AA4" w:rsidRPr="00787196">
        <w:rPr>
          <w:rFonts w:eastAsia="Arial,SimSun" w:cs="Arial"/>
        </w:rPr>
        <w:t xml:space="preserve"> </w:t>
      </w:r>
      <w:r w:rsidR="00456CB4" w:rsidRPr="00787196">
        <w:rPr>
          <w:rFonts w:eastAsia="Arial,SimSun" w:cs="Arial"/>
        </w:rPr>
        <w:t>(e.g. materials and the methods used</w:t>
      </w:r>
      <w:r w:rsidR="00AF5AA4" w:rsidRPr="00787196">
        <w:rPr>
          <w:rFonts w:eastAsia="Arial,SimSun" w:cs="Arial"/>
        </w:rPr>
        <w:t xml:space="preserve">) using a variety of </w:t>
      </w:r>
      <w:r w:rsidR="009D44BA" w:rsidRPr="00787196">
        <w:rPr>
          <w:rFonts w:eastAsia="Arial,SimSun" w:cs="Arial"/>
        </w:rPr>
        <w:t xml:space="preserve">evaluation </w:t>
      </w:r>
      <w:r w:rsidR="004025A1" w:rsidRPr="00787196">
        <w:rPr>
          <w:rFonts w:eastAsia="Arial,SimSun" w:cs="Arial"/>
        </w:rPr>
        <w:t xml:space="preserve">criteria </w:t>
      </w:r>
      <w:r w:rsidR="00043026" w:rsidRPr="00787196">
        <w:fldChar w:fldCharType="begin">
          <w:fldData xml:space="preserve">PEVuZE5vdGU+PENpdGU+PEF1dGhvcj5Zb3NoaXp1bWk8L0F1dGhvcj48WWVhcj4xOTY0PC9ZZWFy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==
</w:fldData>
        </w:fldChar>
      </w:r>
      <w:r w:rsidR="00043026" w:rsidRPr="00787196">
        <w:instrText xml:space="preserve"> ADDIN EN.CITE </w:instrText>
      </w:r>
      <w:r w:rsidR="00043026" w:rsidRPr="00787196">
        <w:fldChar w:fldCharType="begin">
          <w:fldData xml:space="preserve">PEVuZE5vdGU+PENpdGU+PEF1dGhvcj5Zb3NoaXp1bWk8L0F1dGhvcj48WWVhcj4xOTY0PC9ZZWFy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==
</w:fldData>
        </w:fldChar>
      </w:r>
      <w:r w:rsidR="00043026" w:rsidRPr="00787196">
        <w:instrText xml:space="preserve"> ADDIN EN.CITE.DATA </w:instrText>
      </w:r>
      <w:r w:rsidR="00043026" w:rsidRPr="00787196">
        <w:fldChar w:fldCharType="end"/>
      </w:r>
      <w:r w:rsidR="00043026" w:rsidRPr="00787196">
        <w:rPr>
          <w:rFonts w:cs="Arial"/>
          <w:szCs w:val="24"/>
        </w:rPr>
      </w:r>
      <w:r w:rsidR="00043026" w:rsidRPr="00787196">
        <w:rPr>
          <w:rFonts w:cs="Arial"/>
          <w:szCs w:val="24"/>
        </w:rPr>
        <w:fldChar w:fldCharType="separate"/>
      </w:r>
      <w:r w:rsidR="00043026" w:rsidRPr="00787196">
        <w:t>(Yoshizumi, 1964, Rayson et al., 1971, Ramstad et al., 1980, Vervoorn et al., 1987)</w:t>
      </w:r>
      <w:r w:rsidR="00043026" w:rsidRPr="00787196">
        <w:fldChar w:fldCharType="end"/>
      </w:r>
      <w:r w:rsidR="00043026" w:rsidRPr="00787196">
        <w:rPr>
          <w:rFonts w:eastAsia="Arial" w:cs="Arial"/>
        </w:rPr>
        <w:t>.</w:t>
      </w:r>
    </w:p>
    <w:p w14:paraId="652D59AF" w14:textId="56486BF8" w:rsidR="007B7A63" w:rsidRPr="00787196" w:rsidRDefault="00BB74E5" w:rsidP="00632989">
      <w:pPr>
        <w:spacing w:after="240"/>
        <w:rPr>
          <w:rFonts w:eastAsia="Arial" w:cs="Arial"/>
        </w:rPr>
      </w:pPr>
      <w:r w:rsidRPr="00787196">
        <w:rPr>
          <w:rFonts w:eastAsia="Arial" w:cs="Arial"/>
        </w:rPr>
        <w:t xml:space="preserve">Corrigan and colleagues (2002) designed the Functional Assessment of Dentures (FAD) criteria, one of the widely used methods to assess denture quality. </w:t>
      </w:r>
      <w:r w:rsidR="00043026" w:rsidRPr="00787196">
        <w:rPr>
          <w:rFonts w:eastAsia="Arial,SimSun" w:cs="Arial"/>
        </w:rPr>
        <w:t xml:space="preserve">Processes followed in </w:t>
      </w:r>
      <w:r w:rsidR="00AB37D1" w:rsidRPr="00787196">
        <w:rPr>
          <w:rFonts w:eastAsia="Arial,SimSun" w:cs="Arial"/>
        </w:rPr>
        <w:t xml:space="preserve">denture </w:t>
      </w:r>
      <w:r w:rsidR="00043026" w:rsidRPr="00787196">
        <w:rPr>
          <w:rFonts w:eastAsia="Arial,SimSun" w:cs="Arial"/>
        </w:rPr>
        <w:t xml:space="preserve">construction </w:t>
      </w:r>
      <w:r w:rsidR="00AB37D1" w:rsidRPr="00787196">
        <w:rPr>
          <w:rFonts w:eastAsia="Arial,SimSun" w:cs="Arial"/>
        </w:rPr>
        <w:t>were</w:t>
      </w:r>
      <w:r w:rsidR="00043026" w:rsidRPr="00787196">
        <w:rPr>
          <w:rFonts w:eastAsia="Arial,SimSun" w:cs="Arial"/>
        </w:rPr>
        <w:t xml:space="preserve"> assessed</w:t>
      </w:r>
      <w:r w:rsidR="00456CB4" w:rsidRPr="00787196">
        <w:rPr>
          <w:rFonts w:eastAsia="Arial,SimSun" w:cs="Arial"/>
        </w:rPr>
        <w:t xml:space="preserve"> and compared </w:t>
      </w:r>
      <w:r w:rsidR="00876A2A" w:rsidRPr="00787196">
        <w:rPr>
          <w:rFonts w:eastAsia="Arial,SimSun" w:cs="Arial"/>
        </w:rPr>
        <w:t>along with</w:t>
      </w:r>
      <w:r w:rsidR="00043026" w:rsidRPr="00787196">
        <w:rPr>
          <w:rFonts w:eastAsia="Arial,SimSun" w:cs="Arial"/>
        </w:rPr>
        <w:t xml:space="preserve"> the </w:t>
      </w:r>
      <w:r w:rsidR="00AB37D1" w:rsidRPr="00787196">
        <w:rPr>
          <w:rFonts w:eastAsia="Arial,SimSun" w:cs="Arial"/>
        </w:rPr>
        <w:t>clinical outcomes</w:t>
      </w:r>
      <w:r w:rsidR="001310CD" w:rsidRPr="00787196">
        <w:rPr>
          <w:rFonts w:eastAsia="Arial,SimSun" w:cs="Arial"/>
        </w:rPr>
        <w:t>.</w:t>
      </w:r>
      <w:r w:rsidR="00AB37D1" w:rsidRPr="00787196">
        <w:rPr>
          <w:rFonts w:eastAsia="Arial,SimSun" w:cs="Arial"/>
        </w:rPr>
        <w:t xml:space="preserve"> For example, the</w:t>
      </w:r>
      <w:r w:rsidR="00876A2A" w:rsidRPr="00787196">
        <w:rPr>
          <w:rFonts w:eastAsia="Arial,SimSun" w:cs="Arial"/>
        </w:rPr>
        <w:t xml:space="preserve"> materials used for</w:t>
      </w:r>
      <w:r w:rsidR="00AB37D1" w:rsidRPr="00787196">
        <w:rPr>
          <w:rFonts w:eastAsia="Arial,SimSun" w:cs="Arial"/>
        </w:rPr>
        <w:t xml:space="preserve"> </w:t>
      </w:r>
      <w:r w:rsidR="00DE5EA6" w:rsidRPr="00787196">
        <w:rPr>
          <w:rFonts w:eastAsia="Arial,SimSun" w:cs="Arial"/>
        </w:rPr>
        <w:t>impression</w:t>
      </w:r>
      <w:r w:rsidR="00876A2A" w:rsidRPr="00787196">
        <w:rPr>
          <w:rFonts w:eastAsia="Arial,SimSun" w:cs="Arial"/>
        </w:rPr>
        <w:t>s</w:t>
      </w:r>
      <w:r w:rsidR="00DE5EA6" w:rsidRPr="00787196">
        <w:rPr>
          <w:rFonts w:eastAsia="Arial,SimSun" w:cs="Arial"/>
        </w:rPr>
        <w:t>, denture base</w:t>
      </w:r>
      <w:r w:rsidR="00876A2A" w:rsidRPr="00787196">
        <w:rPr>
          <w:rFonts w:eastAsia="Arial,SimSun" w:cs="Arial"/>
        </w:rPr>
        <w:t xml:space="preserve">, </w:t>
      </w:r>
      <w:r w:rsidR="00DE5EA6" w:rsidRPr="00787196">
        <w:rPr>
          <w:rFonts w:eastAsia="Arial,SimSun" w:cs="Arial"/>
        </w:rPr>
        <w:t xml:space="preserve">lining </w:t>
      </w:r>
      <w:r w:rsidR="00456CB4" w:rsidRPr="00787196">
        <w:rPr>
          <w:rFonts w:eastAsia="Arial,SimSun" w:cs="Arial"/>
        </w:rPr>
        <w:t>and</w:t>
      </w:r>
      <w:r w:rsidR="00876A2A" w:rsidRPr="00787196">
        <w:rPr>
          <w:rFonts w:eastAsia="Arial,SimSun" w:cs="Arial"/>
        </w:rPr>
        <w:t xml:space="preserve"> procedures in denture making such </w:t>
      </w:r>
      <w:r w:rsidR="00DE5EA6" w:rsidRPr="00787196">
        <w:rPr>
          <w:rFonts w:eastAsia="Arial,SimSun" w:cs="Arial"/>
        </w:rPr>
        <w:t>as</w:t>
      </w:r>
      <w:r w:rsidR="005A48C7" w:rsidRPr="00787196">
        <w:rPr>
          <w:rFonts w:eastAsia="Arial,SimSun" w:cs="Arial"/>
        </w:rPr>
        <w:t xml:space="preserve"> i</w:t>
      </w:r>
      <w:r w:rsidR="000B37B8" w:rsidRPr="00787196">
        <w:rPr>
          <w:rFonts w:eastAsia="Arial,SimSun" w:cs="Arial"/>
        </w:rPr>
        <w:t>mpression techniques</w:t>
      </w:r>
      <w:r w:rsidR="003A5D80" w:rsidRPr="00787196">
        <w:rPr>
          <w:rFonts w:eastAsia="Arial,SimSun" w:cs="Arial"/>
        </w:rPr>
        <w:t xml:space="preserve"> </w:t>
      </w:r>
      <w:r w:rsidR="003A5D80" w:rsidRPr="00787196">
        <w:rPr>
          <w:rFonts w:cs="Arial"/>
        </w:rPr>
        <w:fldChar w:fldCharType="begin">
          <w:fldData xml:space="preserve">PEVuZE5vdGU+PENpdGU+PEF1dGhvcj5GaXJ0ZWxsPC9BdXRob3I+PFllYXI+MTk5MjwvWWVhcj48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=
</w:fldData>
        </w:fldChar>
      </w:r>
      <w:r w:rsidR="00223957" w:rsidRPr="00787196">
        <w:rPr>
          <w:rFonts w:cs="Arial"/>
        </w:rPr>
        <w:instrText xml:space="preserve"> ADDIN EN.CITE </w:instrText>
      </w:r>
      <w:r w:rsidR="00223957" w:rsidRPr="00787196">
        <w:rPr>
          <w:rFonts w:cs="Arial"/>
        </w:rPr>
        <w:fldChar w:fldCharType="begin">
          <w:fldData xml:space="preserve">PEVuZE5vdGU+PENpdGU+PEF1dGhvcj5GaXJ0ZWxsPC9BdXRob3I+PFllYXI+MTk5MjwvWWVhcj48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=
</w:fldData>
        </w:fldChar>
      </w:r>
      <w:r w:rsidR="00223957" w:rsidRPr="00787196">
        <w:rPr>
          <w:rFonts w:cs="Arial"/>
        </w:rPr>
        <w:instrText xml:space="preserve"> ADDIN EN.CITE.DATA </w:instrText>
      </w:r>
      <w:r w:rsidR="00223957" w:rsidRPr="00787196">
        <w:rPr>
          <w:rFonts w:cs="Arial"/>
        </w:rPr>
      </w:r>
      <w:r w:rsidR="00223957" w:rsidRPr="00787196">
        <w:rPr>
          <w:rFonts w:cs="Arial"/>
        </w:rPr>
        <w:fldChar w:fldCharType="end"/>
      </w:r>
      <w:r w:rsidR="003A5D80" w:rsidRPr="00787196">
        <w:rPr>
          <w:rFonts w:cs="Arial"/>
          <w:szCs w:val="24"/>
        </w:rPr>
      </w:r>
      <w:r w:rsidR="003A5D80" w:rsidRPr="00787196">
        <w:rPr>
          <w:rFonts w:cs="Arial"/>
          <w:szCs w:val="24"/>
        </w:rPr>
        <w:fldChar w:fldCharType="separate"/>
      </w:r>
      <w:r w:rsidR="003A5D80" w:rsidRPr="00787196">
        <w:rPr>
          <w:rFonts w:eastAsia="Arial,SimSun" w:cs="Arial"/>
        </w:rPr>
        <w:t>(Firtell and Koumjian, 1992, Drago, 2003, Massad et al., 2005)</w:t>
      </w:r>
      <w:r w:rsidR="003A5D80" w:rsidRPr="00787196">
        <w:rPr>
          <w:rFonts w:cs="Arial"/>
        </w:rPr>
        <w:fldChar w:fldCharType="end"/>
      </w:r>
      <w:r w:rsidRPr="00787196">
        <w:rPr>
          <w:rFonts w:eastAsia="Arial" w:cs="Arial"/>
        </w:rPr>
        <w:t xml:space="preserve"> face bow transfer</w:t>
      </w:r>
      <w:r w:rsidR="00876A2A" w:rsidRPr="00787196">
        <w:rPr>
          <w:rFonts w:eastAsia="Arial" w:cs="Arial"/>
        </w:rPr>
        <w:t xml:space="preserve"> </w:t>
      </w:r>
      <w:r w:rsidR="00E4238C" w:rsidRPr="00787196">
        <w:fldChar w:fldCharType="begin">
          <w:fldData xml:space="preserve">PEVuZE5vdGU+PENpdGU+PEF1dGhvcj5FbGxpbmdlcjwvQXV0aG9yPjxZZWFyPjE5Nzk8L1llYXI+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==
</w:fldData>
        </w:fldChar>
      </w:r>
      <w:r w:rsidR="00223957" w:rsidRPr="00787196">
        <w:instrText xml:space="preserve"> ADDIN EN.CITE </w:instrText>
      </w:r>
      <w:r w:rsidR="00223957" w:rsidRPr="00787196">
        <w:fldChar w:fldCharType="begin">
          <w:fldData xml:space="preserve">PEVuZE5vdGU+PENpdGU+PEF1dGhvcj5FbGxpbmdlcjwvQXV0aG9yPjxZZWFyPjE5Nzk8L1llYXI+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==
</w:fldData>
        </w:fldChar>
      </w:r>
      <w:r w:rsidR="00223957" w:rsidRPr="00787196">
        <w:instrText xml:space="preserve"> ADDIN EN.CITE.DATA </w:instrText>
      </w:r>
      <w:r w:rsidR="00223957" w:rsidRPr="00787196">
        <w:fldChar w:fldCharType="end"/>
      </w:r>
      <w:r w:rsidR="00E4238C" w:rsidRPr="00787196">
        <w:rPr>
          <w:rFonts w:cs="Arial"/>
          <w:szCs w:val="24"/>
        </w:rPr>
      </w:r>
      <w:r w:rsidR="00E4238C" w:rsidRPr="00787196">
        <w:rPr>
          <w:rFonts w:cs="Arial"/>
          <w:szCs w:val="24"/>
        </w:rPr>
        <w:fldChar w:fldCharType="separate"/>
      </w:r>
      <w:r w:rsidR="005919E5" w:rsidRPr="00787196">
        <w:rPr>
          <w:rFonts w:cs="Arial"/>
          <w:szCs w:val="24"/>
        </w:rPr>
        <w:t>(Ellinger et al., 1979, Nascimento et al., 2004, Kawai et al., 2005, Kawai et al., 2010)</w:t>
      </w:r>
      <w:r w:rsidR="00E4238C" w:rsidRPr="00787196">
        <w:fldChar w:fldCharType="end"/>
      </w:r>
      <w:r w:rsidRPr="00787196">
        <w:rPr>
          <w:rFonts w:eastAsia="Arial" w:cs="Arial"/>
        </w:rPr>
        <w:t xml:space="preserve">, </w:t>
      </w:r>
      <w:r w:rsidR="00DE5EA6" w:rsidRPr="00787196">
        <w:rPr>
          <w:rFonts w:eastAsia="Arial" w:cs="Arial"/>
        </w:rPr>
        <w:t>try-in</w:t>
      </w:r>
      <w:r w:rsidR="00876A2A" w:rsidRPr="00787196">
        <w:rPr>
          <w:rFonts w:eastAsia="Arial" w:cs="Arial"/>
        </w:rPr>
        <w:t xml:space="preserve"> and</w:t>
      </w:r>
      <w:r w:rsidR="00DE5EA6" w:rsidRPr="00787196">
        <w:rPr>
          <w:rFonts w:eastAsia="Arial" w:cs="Arial"/>
        </w:rPr>
        <w:t xml:space="preserve"> processing methods </w:t>
      </w:r>
      <w:r w:rsidR="00DE5EA6" w:rsidRPr="00787196">
        <w:fldChar w:fldCharType="begin">
          <w:fldData xml:space="preserve">PEVuZE5vdGU+PENpdGU+PEF1dGhvcj5LaW1vdG88L0F1dGhvcj48WWVhcj4yMDEwPC9ZZWFyPjxS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</w:fldData>
        </w:fldChar>
      </w:r>
      <w:r w:rsidR="00223957" w:rsidRPr="00787196">
        <w:instrText xml:space="preserve"> ADDIN EN.CITE </w:instrText>
      </w:r>
      <w:r w:rsidR="00223957" w:rsidRPr="00787196">
        <w:fldChar w:fldCharType="begin">
          <w:fldData xml:space="preserve">PEVuZE5vdGU+PENpdGU+PEF1dGhvcj5LaW1vdG88L0F1dGhvcj48WWVhcj4yMDEwPC9ZZWFyPjxS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</w:fldData>
        </w:fldChar>
      </w:r>
      <w:r w:rsidR="00223957" w:rsidRPr="00787196">
        <w:instrText xml:space="preserve"> ADDIN EN.CITE.DATA </w:instrText>
      </w:r>
      <w:r w:rsidR="00223957" w:rsidRPr="00787196">
        <w:fldChar w:fldCharType="end"/>
      </w:r>
      <w:r w:rsidR="00DE5EA6" w:rsidRPr="00787196">
        <w:rPr>
          <w:rFonts w:cs="Arial"/>
          <w:szCs w:val="24"/>
        </w:rPr>
      </w:r>
      <w:r w:rsidR="00DE5EA6" w:rsidRPr="00787196">
        <w:rPr>
          <w:rFonts w:cs="Arial"/>
          <w:szCs w:val="24"/>
        </w:rPr>
        <w:fldChar w:fldCharType="separate"/>
      </w:r>
      <w:r w:rsidR="00DE5EA6" w:rsidRPr="00787196">
        <w:rPr>
          <w:rFonts w:eastAsia="Arial" w:cs="Arial"/>
        </w:rPr>
        <w:t>(Kimoto et al., 2010, Inokoshi et al., 2012, Cunha et al., 2013)</w:t>
      </w:r>
      <w:r w:rsidR="00DE5EA6" w:rsidRPr="00787196">
        <w:fldChar w:fldCharType="end"/>
      </w:r>
      <w:r w:rsidR="00AB37D1" w:rsidRPr="00787196">
        <w:t xml:space="preserve"> </w:t>
      </w:r>
      <w:r w:rsidR="00A60A1B" w:rsidRPr="00787196">
        <w:rPr>
          <w:rFonts w:eastAsia="Arial" w:cs="Arial"/>
        </w:rPr>
        <w:t>were</w:t>
      </w:r>
      <w:r w:rsidRPr="00787196">
        <w:rPr>
          <w:rFonts w:eastAsia="Arial" w:cs="Arial"/>
        </w:rPr>
        <w:t xml:space="preserve"> explored</w:t>
      </w:r>
      <w:r w:rsidR="00DE5EA6" w:rsidRPr="00787196">
        <w:rPr>
          <w:rFonts w:eastAsia="Arial" w:cs="Arial"/>
        </w:rPr>
        <w:t>.</w:t>
      </w:r>
    </w:p>
    <w:p w14:paraId="3362EA34" w14:textId="77777777" w:rsidR="007B7A63" w:rsidRPr="00787196" w:rsidRDefault="007B7A63">
      <w:pPr>
        <w:spacing w:before="0" w:after="0" w:line="240" w:lineRule="auto"/>
        <w:jc w:val="left"/>
        <w:rPr>
          <w:rFonts w:eastAsia="Arial" w:cs="Arial"/>
        </w:rPr>
      </w:pPr>
      <w:r w:rsidRPr="00787196">
        <w:rPr>
          <w:rFonts w:eastAsia="Arial" w:cs="Arial"/>
        </w:rPr>
        <w:br w:type="page"/>
      </w:r>
    </w:p>
    <w:p w14:paraId="0AEA36E3" w14:textId="77777777" w:rsidR="00AF5AA4" w:rsidRPr="00787196" w:rsidRDefault="00AF5AA4" w:rsidP="00632989">
      <w:pPr>
        <w:spacing w:after="240"/>
        <w:rPr>
          <w:rFonts w:eastAsia="Arial" w:cs="Arial"/>
        </w:rPr>
      </w:pPr>
    </w:p>
    <w:p w14:paraId="41E2B4E9" w14:textId="37AF76A3" w:rsidR="00503FE0" w:rsidRPr="00787196" w:rsidRDefault="00876A2A" w:rsidP="005A60E4">
      <w:pPr>
        <w:spacing w:after="240"/>
        <w:rPr>
          <w:rFonts w:eastAsia="Arial" w:cs="Arial"/>
        </w:rPr>
      </w:pPr>
      <w:r w:rsidRPr="00787196">
        <w:rPr>
          <w:rFonts w:eastAsia="Arial" w:cs="Arial"/>
        </w:rPr>
        <w:t>They</w:t>
      </w:r>
      <w:r w:rsidR="005A60E4" w:rsidRPr="00787196">
        <w:rPr>
          <w:rFonts w:eastAsia="Arial" w:cs="Arial"/>
        </w:rPr>
        <w:t xml:space="preserve"> </w:t>
      </w:r>
      <w:r w:rsidRPr="00787196">
        <w:rPr>
          <w:rFonts w:eastAsia="Arial" w:cs="Arial"/>
        </w:rPr>
        <w:t>have been</w:t>
      </w:r>
      <w:r w:rsidR="00FC1E07" w:rsidRPr="00787196">
        <w:rPr>
          <w:rFonts w:eastAsia="Arial" w:cs="Arial"/>
        </w:rPr>
        <w:t xml:space="preserve"> compared </w:t>
      </w:r>
      <w:r w:rsidR="005A60E4" w:rsidRPr="00787196">
        <w:rPr>
          <w:rFonts w:eastAsia="Arial" w:cs="Arial"/>
        </w:rPr>
        <w:t>against clinical outcomes</w:t>
      </w:r>
      <w:r w:rsidR="3E81A111" w:rsidRPr="00787196">
        <w:rPr>
          <w:rFonts w:eastAsia="Arial" w:cs="Arial"/>
        </w:rPr>
        <w:t xml:space="preserve"> </w:t>
      </w:r>
      <w:r w:rsidR="005A60E4" w:rsidRPr="00787196">
        <w:rPr>
          <w:rFonts w:eastAsia="Arial" w:cs="Arial"/>
        </w:rPr>
        <w:t xml:space="preserve">such as </w:t>
      </w:r>
      <w:r w:rsidR="3E81A111" w:rsidRPr="00787196">
        <w:rPr>
          <w:rFonts w:eastAsia="Arial" w:cs="Arial"/>
        </w:rPr>
        <w:t xml:space="preserve">clinician’s time, masticatory performance, </w:t>
      </w:r>
      <w:r w:rsidR="00503FE0" w:rsidRPr="00787196">
        <w:rPr>
          <w:rFonts w:eastAsia="Arial" w:cs="Arial"/>
        </w:rPr>
        <w:t xml:space="preserve">mandibular </w:t>
      </w:r>
      <w:r w:rsidR="3E81A111" w:rsidRPr="00787196">
        <w:rPr>
          <w:rFonts w:eastAsia="Arial" w:cs="Arial"/>
        </w:rPr>
        <w:t xml:space="preserve">movements, denture stability and retention </w:t>
      </w:r>
      <w:r w:rsidR="005A60E4" w:rsidRPr="00787196">
        <w:rPr>
          <w:rFonts w:eastAsia="Arial" w:cs="Arial"/>
        </w:rPr>
        <w:t xml:space="preserve">assessed by the </w:t>
      </w:r>
      <w:r w:rsidR="00EC577D" w:rsidRPr="00787196">
        <w:rPr>
          <w:rFonts w:eastAsia="Arial" w:cs="Arial"/>
        </w:rPr>
        <w:t xml:space="preserve">dentists </w:t>
      </w:r>
      <w:r w:rsidR="001310CD" w:rsidRPr="00787196">
        <w:fldChar w:fldCharType="begin">
          <w:fldData xml:space="preserve">PEVuZE5vdGU+PENpdGU+PEF1dGhvcj5DbG91Z2g8L0F1dGhvcj48WWVhcj4xOTgzPC9ZZWFyPjxS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</w:fldData>
        </w:fldChar>
      </w:r>
      <w:r w:rsidR="001310CD" w:rsidRPr="00787196">
        <w:instrText xml:space="preserve"> ADDIN EN.CITE </w:instrText>
      </w:r>
      <w:r w:rsidR="001310CD" w:rsidRPr="00787196">
        <w:fldChar w:fldCharType="begin">
          <w:fldData xml:space="preserve">PEVuZE5vdGU+PENpdGU+PEF1dGhvcj5DbG91Z2g8L0F1dGhvcj48WWVhcj4xOTgzPC9ZZWFyPjxS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</w:fldData>
        </w:fldChar>
      </w:r>
      <w:r w:rsidR="001310CD" w:rsidRPr="00787196">
        <w:instrText xml:space="preserve"> ADDIN EN.CITE.DATA </w:instrText>
      </w:r>
      <w:r w:rsidR="001310CD" w:rsidRPr="00787196">
        <w:fldChar w:fldCharType="end"/>
      </w:r>
      <w:r w:rsidR="001310CD" w:rsidRPr="00787196">
        <w:rPr>
          <w:rFonts w:cs="Arial"/>
          <w:szCs w:val="24"/>
        </w:rPr>
      </w:r>
      <w:r w:rsidR="001310CD" w:rsidRPr="00787196">
        <w:rPr>
          <w:rFonts w:cs="Arial"/>
          <w:szCs w:val="24"/>
        </w:rPr>
        <w:fldChar w:fldCharType="separate"/>
      </w:r>
      <w:r w:rsidR="001310CD" w:rsidRPr="00787196">
        <w:t>(Clough et al., 1983, Firtell and Koumjian, 1992, Fenlon and Sherriff, 1999, Fenlon et al., 1999, Drago, 2003, Massad et al., 2005, Kimoto et al., 2006, Kawai et al., 2010, Kimoto et al., 2010, Inokoshi et al., 2012, Cunha et al., 2013)</w:t>
      </w:r>
      <w:r w:rsidR="001310CD" w:rsidRPr="00787196">
        <w:fldChar w:fldCharType="end"/>
      </w:r>
      <w:r w:rsidR="00850892" w:rsidRPr="00787196">
        <w:t>.</w:t>
      </w:r>
    </w:p>
    <w:p w14:paraId="5E191111" w14:textId="09AE8006" w:rsidR="0062431F" w:rsidRPr="00787196" w:rsidRDefault="00EE70BB" w:rsidP="00D9694A">
      <w:pPr>
        <w:pStyle w:val="Heading3"/>
      </w:pPr>
      <w:bookmarkStart w:id="19" w:name="_Toc488655607"/>
      <w:r w:rsidRPr="00787196">
        <w:rPr>
          <w:rStyle w:val="Heading2Char"/>
          <w:b/>
          <w:bCs/>
          <w:sz w:val="25"/>
          <w:szCs w:val="22"/>
        </w:rPr>
        <w:t>Problems with normative assessment</w:t>
      </w:r>
      <w:r w:rsidR="00D73404" w:rsidRPr="00787196">
        <w:rPr>
          <w:rStyle w:val="Heading2Char"/>
          <w:b/>
          <w:bCs/>
          <w:sz w:val="25"/>
          <w:szCs w:val="22"/>
        </w:rPr>
        <w:t>s of dentures</w:t>
      </w:r>
      <w:bookmarkEnd w:id="19"/>
    </w:p>
    <w:p w14:paraId="6D3C256F" w14:textId="4B2797D3" w:rsidR="00850892" w:rsidRPr="00787196" w:rsidRDefault="00D73404" w:rsidP="00632989">
      <w:pPr>
        <w:spacing w:after="240"/>
        <w:rPr>
          <w:rFonts w:cs="Arial"/>
          <w:szCs w:val="24"/>
        </w:rPr>
      </w:pPr>
      <w:r w:rsidRPr="00787196">
        <w:rPr>
          <w:rFonts w:cs="Arial"/>
          <w:szCs w:val="24"/>
        </w:rPr>
        <w:t>Both clinical processes and outcomes are assessed nor</w:t>
      </w:r>
      <w:r w:rsidR="0010568E" w:rsidRPr="00787196">
        <w:rPr>
          <w:rFonts w:cs="Arial"/>
          <w:szCs w:val="24"/>
        </w:rPr>
        <w:t>matively; that is, by dentists. However, these exclusively biomedical perspectives have been challenged for a number of reasons. Firstly, there</w:t>
      </w:r>
      <w:r w:rsidR="00807754" w:rsidRPr="00787196">
        <w:rPr>
          <w:rFonts w:cs="Arial"/>
          <w:szCs w:val="24"/>
        </w:rPr>
        <w:t xml:space="preserve"> has been </w:t>
      </w:r>
      <w:r w:rsidR="00502E5E" w:rsidRPr="00787196">
        <w:rPr>
          <w:rFonts w:cs="Arial"/>
          <w:szCs w:val="24"/>
        </w:rPr>
        <w:t xml:space="preserve">growing emphasis </w:t>
      </w:r>
      <w:r w:rsidR="0010568E" w:rsidRPr="00787196">
        <w:rPr>
          <w:rFonts w:cs="Arial"/>
          <w:szCs w:val="24"/>
        </w:rPr>
        <w:t>on</w:t>
      </w:r>
      <w:r w:rsidR="00FA02A8" w:rsidRPr="00787196">
        <w:rPr>
          <w:rFonts w:cs="Arial"/>
          <w:szCs w:val="24"/>
        </w:rPr>
        <w:t xml:space="preserve"> understand</w:t>
      </w:r>
      <w:r w:rsidR="0010568E" w:rsidRPr="00787196">
        <w:rPr>
          <w:rFonts w:cs="Arial"/>
          <w:szCs w:val="24"/>
        </w:rPr>
        <w:t>ing</w:t>
      </w:r>
      <w:r w:rsidR="00FA02A8" w:rsidRPr="00787196">
        <w:rPr>
          <w:rFonts w:cs="Arial"/>
          <w:szCs w:val="24"/>
        </w:rPr>
        <w:t xml:space="preserve"> the </w:t>
      </w:r>
      <w:r w:rsidR="00502E5E" w:rsidRPr="00787196">
        <w:rPr>
          <w:rFonts w:cs="Arial"/>
          <w:szCs w:val="24"/>
        </w:rPr>
        <w:t xml:space="preserve">impacts </w:t>
      </w:r>
      <w:r w:rsidR="00FA02A8" w:rsidRPr="00787196">
        <w:rPr>
          <w:rFonts w:cs="Arial"/>
          <w:szCs w:val="24"/>
        </w:rPr>
        <w:t xml:space="preserve">of oral conditions, </w:t>
      </w:r>
      <w:r w:rsidR="009315C3" w:rsidRPr="00787196">
        <w:rPr>
          <w:rFonts w:cs="Arial"/>
          <w:szCs w:val="24"/>
        </w:rPr>
        <w:t xml:space="preserve">health </w:t>
      </w:r>
      <w:r w:rsidR="00FA02A8" w:rsidRPr="00787196">
        <w:rPr>
          <w:rFonts w:cs="Arial"/>
          <w:szCs w:val="24"/>
        </w:rPr>
        <w:t xml:space="preserve">services and interventions on individuals and society </w:t>
      </w:r>
      <w:r w:rsidR="00502E5E" w:rsidRPr="00787196">
        <w:rPr>
          <w:rFonts w:cs="Arial"/>
          <w:szCs w:val="24"/>
        </w:rPr>
        <w:fldChar w:fldCharType="begin"/>
      </w:r>
      <w:r w:rsidR="00CE759F" w:rsidRPr="00787196">
        <w:rPr>
          <w:rFonts w:cs="Arial"/>
          <w:szCs w:val="24"/>
        </w:rPr>
        <w:instrText xml:space="preserve"> ADDIN EN.CITE &lt;EndNote&gt;&lt;Cite&gt;&lt;Author&gt;Sheiham&lt;/Author&gt;&lt;Year&gt;1982&lt;/Year&gt;&lt;RecNum&gt;0&lt;/RecNum&gt;&lt;IDText&gt;The concept of need in dental care&lt;/IDText&gt;&lt;DisplayText&gt;(Sheiham et al., 1982)&lt;/DisplayText&gt;&lt;record&gt;&lt;isbn&gt;0020-6539&lt;/isbn&gt;&lt;titles&gt;&lt;title&gt;The concept of need in dental care&lt;/title&gt;&lt;secondary-title&gt;International dental journal&lt;/secondary-title&gt;&lt;/titles&gt;&lt;pages&gt;265&lt;/pages&gt;&lt;number&gt;3&lt;/number&gt;&lt;contributors&gt;&lt;authors&gt;&lt;author&gt;Sheiham, A.&lt;/author&gt;&lt;author&gt;Maizels, J. E.&lt;/author&gt;&lt;author&gt;Cushing, A. M.&lt;/author&gt;&lt;/authors&gt;&lt;/contributors&gt;&lt;added-date format="utc"&gt;1387894873&lt;/added-date&gt;&lt;ref-type name="Journal Article"&gt;17&lt;/ref-type&gt;&lt;dates&gt;&lt;year&gt;1982&lt;/year&gt;&lt;/dates&gt;&lt;rec-number&gt;1886&lt;/rec-number&gt;&lt;last-updated-date format="utc"&gt;1387894873&lt;/last-updated-date&gt;&lt;volume&gt;32&lt;/volume&gt;&lt;/record&gt;&lt;/Cite&gt;&lt;/EndNote&gt;</w:instrText>
      </w:r>
      <w:r w:rsidR="00502E5E" w:rsidRPr="00787196">
        <w:rPr>
          <w:rFonts w:cs="Arial"/>
          <w:szCs w:val="24"/>
        </w:rPr>
        <w:fldChar w:fldCharType="separate"/>
      </w:r>
      <w:r w:rsidR="00502E5E" w:rsidRPr="00787196">
        <w:rPr>
          <w:rFonts w:cs="Arial"/>
          <w:szCs w:val="24"/>
        </w:rPr>
        <w:t>(Sheiham et al., 1982)</w:t>
      </w:r>
      <w:r w:rsidR="00502E5E" w:rsidRPr="00787196">
        <w:rPr>
          <w:rFonts w:cs="Arial"/>
          <w:szCs w:val="24"/>
        </w:rPr>
        <w:fldChar w:fldCharType="end"/>
      </w:r>
      <w:r w:rsidR="00807754" w:rsidRPr="00787196">
        <w:rPr>
          <w:rFonts w:cs="Arial"/>
          <w:szCs w:val="24"/>
        </w:rPr>
        <w:t>. O</w:t>
      </w:r>
      <w:r w:rsidR="00A704C7" w:rsidRPr="00787196">
        <w:rPr>
          <w:rFonts w:cs="Arial"/>
          <w:szCs w:val="24"/>
        </w:rPr>
        <w:t>ral health</w:t>
      </w:r>
      <w:r w:rsidR="005A60E4" w:rsidRPr="00787196">
        <w:rPr>
          <w:rFonts w:cs="Arial"/>
          <w:szCs w:val="24"/>
        </w:rPr>
        <w:t xml:space="preserve"> service</w:t>
      </w:r>
      <w:r w:rsidR="00A704C7" w:rsidRPr="00787196">
        <w:rPr>
          <w:rFonts w:cs="Arial"/>
          <w:szCs w:val="24"/>
        </w:rPr>
        <w:t xml:space="preserve"> research is increasingly focussing on patient’s </w:t>
      </w:r>
      <w:r w:rsidR="005A60E4" w:rsidRPr="00787196">
        <w:rPr>
          <w:rFonts w:cs="Arial"/>
          <w:szCs w:val="24"/>
        </w:rPr>
        <w:t>perspectives</w:t>
      </w:r>
      <w:r w:rsidR="00A704C7" w:rsidRPr="00787196">
        <w:rPr>
          <w:rFonts w:cs="Arial"/>
          <w:szCs w:val="24"/>
        </w:rPr>
        <w:t xml:space="preserve"> </w:t>
      </w:r>
      <w:r w:rsidR="00AD5854" w:rsidRPr="00787196">
        <w:rPr>
          <w:rFonts w:cs="Arial"/>
          <w:szCs w:val="24"/>
        </w:rPr>
        <w:fldChar w:fldCharType="begin">
          <w:fldData xml:space="preserve">PEVuZE5vdGU+PENpdGU+PEF1dGhvcj5HZXJkaW48L0F1dGhvcj48WWVhcj4yMDA1PC9ZZWFyPjxJ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</w:fldData>
        </w:fldChar>
      </w:r>
      <w:r w:rsidR="003F4C9F" w:rsidRPr="00787196">
        <w:rPr>
          <w:rFonts w:cs="Arial"/>
          <w:szCs w:val="24"/>
        </w:rPr>
        <w:instrText xml:space="preserve"> ADDIN EN.CITE </w:instrText>
      </w:r>
      <w:r w:rsidR="003F4C9F" w:rsidRPr="00787196">
        <w:rPr>
          <w:rFonts w:cs="Arial"/>
          <w:szCs w:val="24"/>
        </w:rPr>
        <w:fldChar w:fldCharType="begin">
          <w:fldData xml:space="preserve">PEVuZE5vdGU+PENpdGU+PEF1dGhvcj5HZXJkaW48L0F1dGhvcj48WWVhcj4yMDA1PC9ZZWFyPjxJ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</w:fldData>
        </w:fldChar>
      </w:r>
      <w:r w:rsidR="003F4C9F" w:rsidRPr="00787196">
        <w:rPr>
          <w:rFonts w:cs="Arial"/>
          <w:szCs w:val="24"/>
        </w:rPr>
        <w:instrText xml:space="preserve"> ADDIN EN.CITE.DATA </w:instrText>
      </w:r>
      <w:r w:rsidR="003F4C9F" w:rsidRPr="00787196">
        <w:rPr>
          <w:rFonts w:cs="Arial"/>
          <w:szCs w:val="24"/>
        </w:rPr>
      </w:r>
      <w:r w:rsidR="003F4C9F" w:rsidRPr="00787196">
        <w:rPr>
          <w:rFonts w:cs="Arial"/>
          <w:szCs w:val="24"/>
        </w:rPr>
        <w:fldChar w:fldCharType="end"/>
      </w:r>
      <w:r w:rsidR="00AD5854" w:rsidRPr="00787196">
        <w:rPr>
          <w:rFonts w:cs="Arial"/>
          <w:szCs w:val="24"/>
        </w:rPr>
      </w:r>
      <w:r w:rsidR="00AD5854" w:rsidRPr="00787196">
        <w:rPr>
          <w:rFonts w:cs="Arial"/>
          <w:szCs w:val="24"/>
        </w:rPr>
        <w:fldChar w:fldCharType="separate"/>
      </w:r>
      <w:r w:rsidR="003F4C9F" w:rsidRPr="00787196">
        <w:rPr>
          <w:rFonts w:cs="Arial"/>
          <w:noProof/>
          <w:szCs w:val="24"/>
        </w:rPr>
        <w:t>(Gerdin et al., 2005, Gibson et al., 2010, Baker et al., 2010, Gururatana et al., 2013, Nammontri et al., 2013, Marshman et al., 2014, Porritt et al., 2014)</w:t>
      </w:r>
      <w:r w:rsidR="00AD5854" w:rsidRPr="00787196">
        <w:rPr>
          <w:rFonts w:cs="Arial"/>
          <w:szCs w:val="24"/>
        </w:rPr>
        <w:fldChar w:fldCharType="end"/>
      </w:r>
      <w:r w:rsidR="0010568E" w:rsidRPr="00787196">
        <w:rPr>
          <w:rFonts w:cs="Arial"/>
          <w:szCs w:val="24"/>
        </w:rPr>
        <w:t xml:space="preserve">. </w:t>
      </w:r>
      <w:r w:rsidR="005A60E4" w:rsidRPr="00787196">
        <w:rPr>
          <w:rFonts w:cs="Arial"/>
          <w:szCs w:val="24"/>
        </w:rPr>
        <w:t>Individuals’ attitudes</w:t>
      </w:r>
      <w:r w:rsidR="00FA02A8" w:rsidRPr="00787196">
        <w:rPr>
          <w:rFonts w:cs="Arial"/>
          <w:szCs w:val="24"/>
        </w:rPr>
        <w:t>;</w:t>
      </w:r>
      <w:r w:rsidR="00502E5E" w:rsidRPr="00787196">
        <w:rPr>
          <w:rFonts w:cs="Arial"/>
          <w:szCs w:val="24"/>
        </w:rPr>
        <w:t xml:space="preserve"> </w:t>
      </w:r>
      <w:r w:rsidR="005C45F0" w:rsidRPr="00787196">
        <w:rPr>
          <w:rFonts w:cs="Arial"/>
          <w:szCs w:val="24"/>
        </w:rPr>
        <w:t>their</w:t>
      </w:r>
      <w:r w:rsidR="00502E5E" w:rsidRPr="00787196">
        <w:rPr>
          <w:rFonts w:cs="Arial"/>
          <w:szCs w:val="24"/>
        </w:rPr>
        <w:t xml:space="preserve"> degree of disability and dysfunction </w:t>
      </w:r>
      <w:r w:rsidR="003C3620" w:rsidRPr="00787196">
        <w:rPr>
          <w:rFonts w:cs="Arial"/>
          <w:szCs w:val="24"/>
        </w:rPr>
        <w:t xml:space="preserve">are now </w:t>
      </w:r>
      <w:r w:rsidR="00502E5E" w:rsidRPr="00787196">
        <w:rPr>
          <w:rFonts w:cs="Arial"/>
          <w:szCs w:val="24"/>
        </w:rPr>
        <w:t>be</w:t>
      </w:r>
      <w:r w:rsidR="003C3620" w:rsidRPr="00787196">
        <w:rPr>
          <w:rFonts w:cs="Arial"/>
          <w:szCs w:val="24"/>
        </w:rPr>
        <w:t>ing</w:t>
      </w:r>
      <w:r w:rsidR="00502E5E" w:rsidRPr="00787196">
        <w:rPr>
          <w:rFonts w:cs="Arial"/>
          <w:szCs w:val="24"/>
        </w:rPr>
        <w:t xml:space="preserve"> widely discussed</w:t>
      </w:r>
      <w:r w:rsidR="003C3620" w:rsidRPr="00787196">
        <w:rPr>
          <w:rFonts w:cs="Arial"/>
          <w:szCs w:val="24"/>
        </w:rPr>
        <w:t xml:space="preserve"> when planning oral health care needs and</w:t>
      </w:r>
      <w:r w:rsidR="005C45F0" w:rsidRPr="00787196">
        <w:rPr>
          <w:rFonts w:cs="Arial"/>
          <w:szCs w:val="24"/>
        </w:rPr>
        <w:t xml:space="preserve"> evaluating</w:t>
      </w:r>
      <w:r w:rsidR="003C3620" w:rsidRPr="00787196">
        <w:rPr>
          <w:rFonts w:cs="Arial"/>
          <w:szCs w:val="24"/>
        </w:rPr>
        <w:t xml:space="preserve"> services</w:t>
      </w:r>
      <w:r w:rsidR="00502E5E" w:rsidRPr="00787196">
        <w:rPr>
          <w:rFonts w:cs="Arial"/>
          <w:szCs w:val="24"/>
        </w:rPr>
        <w:t>.</w:t>
      </w:r>
      <w:r w:rsidR="00FA02A8" w:rsidRPr="00787196">
        <w:rPr>
          <w:rFonts w:cs="Arial"/>
          <w:szCs w:val="24"/>
        </w:rPr>
        <w:t xml:space="preserve"> </w:t>
      </w:r>
      <w:r w:rsidR="005C45F0" w:rsidRPr="00787196">
        <w:rPr>
          <w:rFonts w:cs="Arial"/>
          <w:szCs w:val="24"/>
        </w:rPr>
        <w:t>O</w:t>
      </w:r>
      <w:r w:rsidR="00FA02A8" w:rsidRPr="00787196">
        <w:rPr>
          <w:rFonts w:cs="Arial"/>
          <w:szCs w:val="24"/>
        </w:rPr>
        <w:t xml:space="preserve">bjective normative assessments </w:t>
      </w:r>
      <w:r w:rsidR="005C45F0" w:rsidRPr="00787196">
        <w:rPr>
          <w:rFonts w:cs="Arial"/>
          <w:szCs w:val="24"/>
        </w:rPr>
        <w:t>ignore</w:t>
      </w:r>
      <w:r w:rsidR="00FA02A8" w:rsidRPr="00787196">
        <w:rPr>
          <w:rFonts w:cs="Arial"/>
          <w:szCs w:val="24"/>
        </w:rPr>
        <w:t xml:space="preserve"> such wider impacts and impairments.</w:t>
      </w:r>
      <w:r w:rsidR="00317333" w:rsidRPr="00787196">
        <w:rPr>
          <w:rFonts w:cs="Arial"/>
          <w:szCs w:val="24"/>
        </w:rPr>
        <w:t xml:space="preserve"> </w:t>
      </w:r>
      <w:r w:rsidR="00502E5E" w:rsidRPr="00787196">
        <w:rPr>
          <w:rFonts w:cs="Arial"/>
          <w:szCs w:val="24"/>
        </w:rPr>
        <w:t xml:space="preserve">Normative assessments </w:t>
      </w:r>
      <w:r w:rsidR="009315C3" w:rsidRPr="00787196">
        <w:rPr>
          <w:rFonts w:cs="Arial"/>
          <w:szCs w:val="24"/>
        </w:rPr>
        <w:t>also face challenge</w:t>
      </w:r>
      <w:r w:rsidR="004E31A7" w:rsidRPr="00787196">
        <w:rPr>
          <w:rFonts w:cs="Arial"/>
          <w:szCs w:val="24"/>
        </w:rPr>
        <w:t xml:space="preserve">s such as </w:t>
      </w:r>
      <w:r w:rsidR="009315C3" w:rsidRPr="00787196">
        <w:rPr>
          <w:rFonts w:cs="Arial"/>
          <w:szCs w:val="24"/>
        </w:rPr>
        <w:t>intra-examiner and inter-examiner variability</w:t>
      </w:r>
      <w:r w:rsidR="005C45F0" w:rsidRPr="00787196">
        <w:rPr>
          <w:rFonts w:cs="Arial"/>
          <w:szCs w:val="24"/>
        </w:rPr>
        <w:t>. For example,</w:t>
      </w:r>
      <w:r w:rsidR="009315C3" w:rsidRPr="00787196">
        <w:rPr>
          <w:rFonts w:cs="Arial"/>
          <w:szCs w:val="24"/>
        </w:rPr>
        <w:t xml:space="preserve"> </w:t>
      </w:r>
      <w:r w:rsidR="00502E5E" w:rsidRPr="00787196">
        <w:rPr>
          <w:rFonts w:cs="Arial"/>
          <w:szCs w:val="24"/>
        </w:rPr>
        <w:t xml:space="preserve">similar clinical indicators </w:t>
      </w:r>
      <w:r w:rsidR="009315C3" w:rsidRPr="00787196">
        <w:rPr>
          <w:rFonts w:cs="Arial"/>
          <w:szCs w:val="24"/>
        </w:rPr>
        <w:t xml:space="preserve">used </w:t>
      </w:r>
      <w:r w:rsidR="00377537" w:rsidRPr="00787196">
        <w:rPr>
          <w:rFonts w:cs="Arial"/>
          <w:szCs w:val="24"/>
        </w:rPr>
        <w:t xml:space="preserve">by different professionals </w:t>
      </w:r>
      <w:r w:rsidR="009315C3" w:rsidRPr="00787196">
        <w:rPr>
          <w:rFonts w:cs="Arial"/>
          <w:szCs w:val="24"/>
        </w:rPr>
        <w:t xml:space="preserve">showed </w:t>
      </w:r>
      <w:r w:rsidR="00502E5E" w:rsidRPr="00787196">
        <w:rPr>
          <w:rFonts w:cs="Arial"/>
          <w:szCs w:val="24"/>
        </w:rPr>
        <w:t xml:space="preserve">discrepancies </w:t>
      </w:r>
      <w:r w:rsidR="00502E5E" w:rsidRPr="00787196">
        <w:rPr>
          <w:rFonts w:cs="Arial"/>
          <w:szCs w:val="24"/>
        </w:rPr>
        <w:fldChar w:fldCharType="begin"/>
      </w:r>
      <w:r w:rsidR="00CE759F" w:rsidRPr="00787196">
        <w:rPr>
          <w:rFonts w:cs="Arial"/>
          <w:szCs w:val="24"/>
        </w:rPr>
        <w:instrText xml:space="preserve"> ADDIN EN.CITE &lt;EndNote&gt;&lt;Cite&gt;&lt;Author&gt;Nikias&lt;/Author&gt;&lt;Year&gt;1979&lt;/Year&gt;&lt;RecNum&gt;0&lt;/RecNum&gt;&lt;IDText&gt;AN ORAL HEALTH INDEX BASED ON RANKING OF ORAL STATUS PROFILES BY PANELS OF DENTAL PROFESSIONALS*&lt;/IDText&gt;&lt;DisplayText&gt;(Nikias et al., 1979)&lt;/DisplayText&gt;&lt;record&gt;&lt;urls&gt;&lt;related-urls&gt;&lt;url&gt;http://dx.doi.org/10.1111/j.1752-7325.1979.tb01833.x&lt;/url&gt;&lt;/related-urls&gt;&lt;/urls&gt;&lt;isbn&gt;1752-7325&lt;/isbn&gt;&lt;titles&gt;&lt;title&gt;AN ORAL HEALTH INDEX BASED ON RANKING OF ORAL STATUS PROFILES BY PANELS OF DENTAL PROFESSIONALS*&lt;/title&gt;&lt;secondary-title&gt;Journal of Public Health Dentistry&lt;/secondary-title&gt;&lt;/titles&gt;&lt;pages&gt;16-26&lt;/pages&gt;&lt;number&gt;1&lt;/number&gt;&lt;contributors&gt;&lt;authors&gt;&lt;author&gt;Nikias, Mata K.&lt;/author&gt;&lt;author&gt;Sollecito, William A.&lt;/author&gt;&lt;author&gt;Fink, Raymond&lt;/author&gt;&lt;/authors&gt;&lt;/contributors&gt;&lt;added-date format="utc"&gt;1387417044&lt;/added-date&gt;&lt;ref-type name="Journal Article"&gt;17&lt;/ref-type&gt;&lt;dates&gt;&lt;year&gt;1979&lt;/year&gt;&lt;/dates&gt;&lt;rec-number&gt;1879&lt;/rec-number&gt;&lt;publisher&gt;Blackwell Publishing Ltd&lt;/publisher&gt;&lt;last-updated-date format="utc"&gt;1387417044&lt;/last-updated-date&gt;&lt;electronic-resource-num&gt;10.1111/j.1752-7325.1979.tb01833.x&lt;/electronic-resource-num&gt;&lt;volume&gt;39&lt;/volume&gt;&lt;/record&gt;&lt;/Cite&gt;&lt;/EndNote&gt;</w:instrText>
      </w:r>
      <w:r w:rsidR="00502E5E" w:rsidRPr="00787196">
        <w:rPr>
          <w:rFonts w:cs="Arial"/>
          <w:szCs w:val="24"/>
        </w:rPr>
        <w:fldChar w:fldCharType="separate"/>
      </w:r>
      <w:r w:rsidR="00502E5E" w:rsidRPr="00787196">
        <w:rPr>
          <w:rFonts w:cs="Arial"/>
          <w:szCs w:val="24"/>
        </w:rPr>
        <w:t>(Nikias et al., 1979)</w:t>
      </w:r>
      <w:r w:rsidR="00502E5E" w:rsidRPr="00787196">
        <w:rPr>
          <w:rFonts w:cs="Arial"/>
          <w:szCs w:val="24"/>
        </w:rPr>
        <w:fldChar w:fldCharType="end"/>
      </w:r>
      <w:r w:rsidR="00502E5E" w:rsidRPr="00787196">
        <w:rPr>
          <w:rFonts w:cs="Arial"/>
          <w:szCs w:val="24"/>
        </w:rPr>
        <w:t>.</w:t>
      </w:r>
    </w:p>
    <w:p w14:paraId="1B39FA26" w14:textId="581DC147" w:rsidR="004E31A7" w:rsidRPr="00787196" w:rsidRDefault="00502E5E" w:rsidP="000E6F9D">
      <w:pPr>
        <w:spacing w:after="240"/>
        <w:rPr>
          <w:rFonts w:cs="Arial"/>
          <w:szCs w:val="24"/>
        </w:rPr>
      </w:pPr>
      <w:r w:rsidRPr="00787196">
        <w:rPr>
          <w:rFonts w:cs="Arial"/>
          <w:szCs w:val="24"/>
        </w:rPr>
        <w:t xml:space="preserve">Cushing and colleagues </w:t>
      </w:r>
      <w:r w:rsidRPr="00787196">
        <w:rPr>
          <w:rFonts w:cs="Arial"/>
          <w:szCs w:val="24"/>
        </w:rPr>
        <w:fldChar w:fldCharType="begin"/>
      </w:r>
      <w:r w:rsidR="00223957" w:rsidRPr="00787196">
        <w:rPr>
          <w:rFonts w:cs="Arial"/>
          <w:szCs w:val="24"/>
        </w:rPr>
        <w:instrText xml:space="preserve"> ADDIN EN.CITE &lt;EndNote&gt;&lt;Cite ExcludeAuth="1"&gt;&lt;Author&gt;Cushing&lt;/Author&gt;&lt;Year&gt;1986&lt;/Year&gt;&lt;RecNum&gt;0&lt;/RecNum&gt;&lt;IDText&gt;Developing socio-dental indicators--the social impact of dental disease&lt;/IDText&gt;&lt;DisplayText&gt;(1986)&lt;/DisplayText&gt;&lt;record&gt;&lt;dates&gt;&lt;pub-dates&gt;&lt;date&gt;Mar&lt;/date&gt;&lt;/pub-dates&gt;&lt;year&gt;1986&lt;/year&gt;&lt;/dates&gt;&lt;isbn&gt;0265-539X (Print)&amp;#xD;0265-539x&lt;/isbn&gt;&lt;titles&gt;&lt;title&gt;Developing socio-dental indicators--the social impact of dental disease&lt;/title&gt;&lt;secondary-title&gt;Community Dent Health&lt;/secondary-title&gt;&lt;alt-title&gt;Community dental health&lt;/alt-title&gt;&lt;/titles&gt;&lt;pages&gt;3-17&lt;/pages&gt;&lt;number&gt;1&lt;/number&gt;&lt;contributors&gt;&lt;authors&gt;&lt;author&gt;Cushing, A. M.&lt;/author&gt;&lt;author&gt;Sheiham, A.&lt;/author&gt;&lt;author&gt;Maizels, J.&lt;/author&gt;&lt;/authors&gt;&lt;/contributors&gt;&lt;edition&gt;1986/03/01&lt;/edition&gt;&lt;language&gt;eng&lt;/language&gt;&lt;added-date format="utc"&gt;1386943234&lt;/added-date&gt;&lt;ref-type name="Journal Article"&gt;17&lt;/ref-type&gt;&lt;remote-database-provider&gt;NLM&lt;/remote-database-provider&gt;&lt;rec-number&gt;1875&lt;/rec-number&gt;&lt;last-updated-date format="utc"&gt;1386943234&lt;/last-updated-date&gt;&lt;accession-num&gt;3516317&lt;/accession-num&gt;&lt;volume&gt;3&lt;/volume&gt;&lt;/record&gt;&lt;/Cite&gt;&lt;/EndNote&gt;</w:instrText>
      </w:r>
      <w:r w:rsidRPr="00787196">
        <w:rPr>
          <w:rFonts w:cs="Arial"/>
          <w:szCs w:val="24"/>
        </w:rPr>
        <w:fldChar w:fldCharType="separate"/>
      </w:r>
      <w:r w:rsidRPr="00787196">
        <w:rPr>
          <w:rFonts w:cs="Arial"/>
          <w:szCs w:val="24"/>
        </w:rPr>
        <w:t>(1986)</w:t>
      </w:r>
      <w:r w:rsidRPr="00787196">
        <w:rPr>
          <w:rFonts w:cs="Arial"/>
          <w:szCs w:val="24"/>
        </w:rPr>
        <w:fldChar w:fldCharType="end"/>
      </w:r>
      <w:r w:rsidRPr="00787196">
        <w:rPr>
          <w:rFonts w:cs="Arial"/>
          <w:szCs w:val="24"/>
        </w:rPr>
        <w:t xml:space="preserve"> </w:t>
      </w:r>
      <w:r w:rsidR="009315C3" w:rsidRPr="00787196">
        <w:rPr>
          <w:rFonts w:cs="Arial"/>
          <w:szCs w:val="24"/>
        </w:rPr>
        <w:t>argued that</w:t>
      </w:r>
      <w:r w:rsidRPr="00787196">
        <w:rPr>
          <w:rFonts w:cs="Arial"/>
          <w:szCs w:val="24"/>
        </w:rPr>
        <w:t xml:space="preserve"> clinical indicators </w:t>
      </w:r>
      <w:r w:rsidR="009315C3" w:rsidRPr="00787196">
        <w:rPr>
          <w:rFonts w:cs="Arial"/>
          <w:szCs w:val="24"/>
        </w:rPr>
        <w:t xml:space="preserve">of oral health outcomes </w:t>
      </w:r>
      <w:r w:rsidRPr="00787196">
        <w:rPr>
          <w:rFonts w:cs="Arial"/>
          <w:szCs w:val="24"/>
        </w:rPr>
        <w:t>overlook</w:t>
      </w:r>
      <w:r w:rsidR="009315C3" w:rsidRPr="00787196">
        <w:rPr>
          <w:rFonts w:cs="Arial"/>
          <w:szCs w:val="24"/>
        </w:rPr>
        <w:t xml:space="preserve"> patient’s perceptions and suggested</w:t>
      </w:r>
      <w:r w:rsidR="005C45F0" w:rsidRPr="00787196">
        <w:rPr>
          <w:rFonts w:cs="Arial"/>
          <w:szCs w:val="24"/>
        </w:rPr>
        <w:t xml:space="preserve"> the</w:t>
      </w:r>
      <w:r w:rsidR="009315C3" w:rsidRPr="00787196">
        <w:rPr>
          <w:rFonts w:cs="Arial"/>
          <w:szCs w:val="24"/>
        </w:rPr>
        <w:t xml:space="preserve"> </w:t>
      </w:r>
      <w:r w:rsidRPr="00787196">
        <w:rPr>
          <w:rFonts w:cs="Arial"/>
          <w:szCs w:val="24"/>
        </w:rPr>
        <w:t>develop</w:t>
      </w:r>
      <w:r w:rsidR="009315C3" w:rsidRPr="00787196">
        <w:rPr>
          <w:rFonts w:cs="Arial"/>
          <w:szCs w:val="24"/>
        </w:rPr>
        <w:t>ment of m</w:t>
      </w:r>
      <w:r w:rsidRPr="00787196">
        <w:rPr>
          <w:rFonts w:cs="Arial"/>
          <w:szCs w:val="24"/>
        </w:rPr>
        <w:t>easures incorporating social-dental indicators</w:t>
      </w:r>
      <w:r w:rsidR="005C45F0" w:rsidRPr="00787196">
        <w:rPr>
          <w:rFonts w:cs="Arial"/>
          <w:szCs w:val="24"/>
        </w:rPr>
        <w:t xml:space="preserve"> to overcome this problem</w:t>
      </w:r>
      <w:r w:rsidRPr="00787196">
        <w:rPr>
          <w:rFonts w:cs="Arial"/>
          <w:szCs w:val="24"/>
        </w:rPr>
        <w:t>.</w:t>
      </w:r>
      <w:r w:rsidR="005C45F0" w:rsidRPr="00787196">
        <w:rPr>
          <w:rFonts w:cs="Arial"/>
          <w:szCs w:val="24"/>
        </w:rPr>
        <w:t xml:space="preserve"> I</w:t>
      </w:r>
      <w:r w:rsidRPr="00787196">
        <w:rPr>
          <w:rFonts w:cs="Arial"/>
          <w:szCs w:val="24"/>
        </w:rPr>
        <w:t>n their study, two thirds of complete denture</w:t>
      </w:r>
      <w:r w:rsidR="00E14349" w:rsidRPr="00787196">
        <w:rPr>
          <w:rFonts w:cs="Arial"/>
          <w:szCs w:val="24"/>
        </w:rPr>
        <w:t>s</w:t>
      </w:r>
      <w:r w:rsidRPr="00787196">
        <w:rPr>
          <w:rFonts w:cs="Arial"/>
          <w:szCs w:val="24"/>
        </w:rPr>
        <w:t xml:space="preserve"> </w:t>
      </w:r>
      <w:r w:rsidR="009315C3" w:rsidRPr="00787196">
        <w:rPr>
          <w:rFonts w:cs="Arial"/>
          <w:szCs w:val="24"/>
        </w:rPr>
        <w:t xml:space="preserve">and a </w:t>
      </w:r>
      <w:r w:rsidRPr="00787196">
        <w:rPr>
          <w:rFonts w:cs="Arial"/>
          <w:szCs w:val="24"/>
        </w:rPr>
        <w:t>third of partial denture wearers</w:t>
      </w:r>
      <w:r w:rsidR="00E14349" w:rsidRPr="00787196">
        <w:rPr>
          <w:rFonts w:cs="Arial"/>
          <w:szCs w:val="24"/>
        </w:rPr>
        <w:t>, who were</w:t>
      </w:r>
      <w:r w:rsidRPr="00787196">
        <w:rPr>
          <w:rFonts w:cs="Arial"/>
          <w:szCs w:val="24"/>
        </w:rPr>
        <w:t xml:space="preserve"> clinically assessed to be in need of replacement or repair</w:t>
      </w:r>
      <w:r w:rsidR="00E14349" w:rsidRPr="00787196">
        <w:rPr>
          <w:rFonts w:cs="Arial"/>
          <w:szCs w:val="24"/>
        </w:rPr>
        <w:t>,</w:t>
      </w:r>
      <w:r w:rsidR="009315C3" w:rsidRPr="00787196">
        <w:rPr>
          <w:rFonts w:cs="Arial"/>
          <w:szCs w:val="24"/>
        </w:rPr>
        <w:t xml:space="preserve"> were satisfied with their dentures</w:t>
      </w:r>
      <w:r w:rsidR="000E6F9D" w:rsidRPr="00787196">
        <w:rPr>
          <w:rFonts w:cs="Arial"/>
          <w:szCs w:val="24"/>
        </w:rPr>
        <w:t xml:space="preserve">. </w:t>
      </w:r>
      <w:r w:rsidRPr="00787196">
        <w:rPr>
          <w:rFonts w:cs="Arial"/>
          <w:szCs w:val="24"/>
        </w:rPr>
        <w:t>Th</w:t>
      </w:r>
      <w:r w:rsidR="009315C3" w:rsidRPr="00787196">
        <w:rPr>
          <w:rFonts w:cs="Arial"/>
          <w:szCs w:val="24"/>
        </w:rPr>
        <w:t xml:space="preserve">is suggested that </w:t>
      </w:r>
      <w:r w:rsidRPr="00787196">
        <w:rPr>
          <w:rFonts w:cs="Arial"/>
          <w:szCs w:val="24"/>
        </w:rPr>
        <w:t xml:space="preserve">clinical indicators </w:t>
      </w:r>
      <w:r w:rsidR="009315C3" w:rsidRPr="00787196">
        <w:rPr>
          <w:rFonts w:cs="Arial"/>
          <w:szCs w:val="24"/>
        </w:rPr>
        <w:t xml:space="preserve">do </w:t>
      </w:r>
      <w:r w:rsidRPr="00787196">
        <w:rPr>
          <w:rFonts w:cs="Arial"/>
          <w:szCs w:val="24"/>
        </w:rPr>
        <w:t>not necessarily</w:t>
      </w:r>
      <w:r w:rsidR="009315C3" w:rsidRPr="00787196">
        <w:rPr>
          <w:rFonts w:cs="Arial"/>
          <w:szCs w:val="24"/>
        </w:rPr>
        <w:t xml:space="preserve"> reflect </w:t>
      </w:r>
      <w:r w:rsidRPr="00787196">
        <w:rPr>
          <w:rFonts w:cs="Arial"/>
          <w:szCs w:val="24"/>
        </w:rPr>
        <w:t>patients’ perceptions</w:t>
      </w:r>
      <w:r w:rsidR="009315C3" w:rsidRPr="00787196">
        <w:rPr>
          <w:rFonts w:cs="Arial"/>
          <w:szCs w:val="24"/>
        </w:rPr>
        <w:t xml:space="preserve">. Such discrepancies have </w:t>
      </w:r>
      <w:r w:rsidR="0008011D" w:rsidRPr="00787196">
        <w:rPr>
          <w:rFonts w:cs="Arial"/>
          <w:szCs w:val="24"/>
        </w:rPr>
        <w:t xml:space="preserve">also </w:t>
      </w:r>
      <w:r w:rsidR="009315C3" w:rsidRPr="00787196">
        <w:rPr>
          <w:rFonts w:cs="Arial"/>
          <w:szCs w:val="24"/>
        </w:rPr>
        <w:t>been</w:t>
      </w:r>
      <w:r w:rsidR="0008011D" w:rsidRPr="00787196">
        <w:rPr>
          <w:rFonts w:cs="Arial"/>
          <w:szCs w:val="24"/>
        </w:rPr>
        <w:t xml:space="preserve"> noticed </w:t>
      </w:r>
      <w:r w:rsidR="009315C3" w:rsidRPr="00787196">
        <w:rPr>
          <w:rFonts w:cs="Arial"/>
          <w:szCs w:val="24"/>
        </w:rPr>
        <w:t xml:space="preserve">in </w:t>
      </w:r>
      <w:r w:rsidR="0008011D" w:rsidRPr="00787196">
        <w:rPr>
          <w:rFonts w:cs="Arial"/>
          <w:szCs w:val="24"/>
        </w:rPr>
        <w:t>periodontal</w:t>
      </w:r>
      <w:r w:rsidR="009315C3" w:rsidRPr="00787196">
        <w:rPr>
          <w:rFonts w:cs="Arial"/>
          <w:szCs w:val="24"/>
        </w:rPr>
        <w:t xml:space="preserve"> diseases </w:t>
      </w:r>
      <w:r w:rsidR="009315C3" w:rsidRPr="00787196">
        <w:rPr>
          <w:rFonts w:cs="Arial"/>
          <w:szCs w:val="24"/>
        </w:rPr>
        <w:fldChar w:fldCharType="begin"/>
      </w:r>
      <w:r w:rsidR="00CE759F" w:rsidRPr="00787196">
        <w:rPr>
          <w:rFonts w:cs="Arial"/>
          <w:szCs w:val="24"/>
        </w:rPr>
        <w:instrText xml:space="preserve"> ADDIN EN.CITE &lt;EndNote&gt;&lt;Cite&gt;&lt;Author&gt;Pilot&lt;/Author&gt;&lt;Year&gt;1980&lt;/Year&gt;&lt;RecNum&gt;0&lt;/RecNum&gt;&lt;IDText&gt;Efficacy of Treatment Procedures in Periodontics&lt;/IDText&gt;&lt;DisplayText&gt;(Pilot, 1980)&lt;/DisplayText&gt;&lt;record&gt;&lt;urls&gt;&lt;related-urls&gt;&lt;url&gt;http://books.google.co.uk/books?id=EspqQgAACAAJ&lt;/url&gt;&lt;/related-urls&gt;&lt;/urls&gt;&lt;isbn&gt;9780931386435&lt;/isbn&gt;&lt;custom1&gt;Chicago&lt;/custom1&gt;&lt;titles&gt;&lt;title&gt;Efficacy of Treatment Procedures in Periodontics&lt;/title&gt;&lt;/titles&gt;&lt;pages&gt;213 -231&lt;/pages&gt;&lt;contributors&gt;&lt;authors&gt;&lt;author&gt;Pilot, T&lt;/author&gt;&lt;/authors&gt;&lt;/contributors&gt;&lt;added-date format="utc"&gt;1387422778&lt;/added-date&gt;&lt;pub-location&gt;Dublin&lt;/pub-location&gt;&lt;ref-type name="Conference Proceedings"&gt;10&lt;/ref-type&gt;&lt;dates&gt;&lt;year&gt;1980&lt;/year&gt;&lt;/dates&gt;&lt;rec-number&gt;1882&lt;/rec-number&gt;&lt;publisher&gt;Quintessence Publishing Company, Inc.&lt;/publisher&gt;&lt;last-updated-date format="utc"&gt;1387423355&lt;/last-updated-date&gt;&lt;contributors&gt;&lt;secondary-authors&gt;&lt;author&gt;Shanley, D B&lt;/author&gt;&lt;/secondary-authors&gt;&lt;/contributors&gt;&lt;/record&gt;&lt;/Cite&gt;&lt;/EndNote&gt;</w:instrText>
      </w:r>
      <w:r w:rsidR="009315C3" w:rsidRPr="00787196">
        <w:rPr>
          <w:rFonts w:cs="Arial"/>
          <w:szCs w:val="24"/>
        </w:rPr>
        <w:fldChar w:fldCharType="separate"/>
      </w:r>
      <w:r w:rsidR="009315C3" w:rsidRPr="00787196">
        <w:rPr>
          <w:rFonts w:cs="Arial"/>
          <w:szCs w:val="24"/>
        </w:rPr>
        <w:t>(Pilot, 1980)</w:t>
      </w:r>
      <w:r w:rsidR="009315C3" w:rsidRPr="00787196">
        <w:rPr>
          <w:rFonts w:cs="Arial"/>
          <w:szCs w:val="24"/>
        </w:rPr>
        <w:fldChar w:fldCharType="end"/>
      </w:r>
      <w:r w:rsidR="009315C3" w:rsidRPr="00787196">
        <w:rPr>
          <w:rFonts w:cs="Arial"/>
          <w:szCs w:val="24"/>
        </w:rPr>
        <w:t xml:space="preserve"> and </w:t>
      </w:r>
      <w:r w:rsidR="0008011D" w:rsidRPr="00787196">
        <w:rPr>
          <w:rFonts w:cs="Arial"/>
          <w:szCs w:val="24"/>
        </w:rPr>
        <w:t xml:space="preserve">orthodontic </w:t>
      </w:r>
      <w:r w:rsidR="009315C3" w:rsidRPr="00787196">
        <w:rPr>
          <w:rFonts w:cs="Arial"/>
          <w:szCs w:val="24"/>
        </w:rPr>
        <w:t xml:space="preserve">interventions </w:t>
      </w:r>
      <w:r w:rsidRPr="00787196">
        <w:rPr>
          <w:rFonts w:cs="Arial"/>
          <w:szCs w:val="24"/>
        </w:rPr>
        <w:fldChar w:fldCharType="begin"/>
      </w:r>
      <w:r w:rsidR="00CE759F" w:rsidRPr="00787196">
        <w:rPr>
          <w:rFonts w:cs="Arial"/>
          <w:szCs w:val="24"/>
        </w:rPr>
        <w:instrText xml:space="preserve"> ADDIN EN.CITE &lt;EndNote&gt;&lt;Cite&gt;&lt;Author&gt;Baldwin&lt;/Author&gt;&lt;Year&gt;1980&lt;/Year&gt;&lt;RecNum&gt;0&lt;/RecNum&gt;&lt;IDText&gt;Appearance and aesthetics in oral health&lt;/IDText&gt;&lt;DisplayText&gt;(Baldwin, 1980)&lt;/DisplayText&gt;&lt;record&gt;&lt;isbn&gt;1600-0528&lt;/isbn&gt;&lt;titles&gt;&lt;title&gt;Appearance and aesthetics in oral health&lt;/title&gt;&lt;secondary-title&gt;Community dentistry and oral epidemiology&lt;/secondary-title&gt;&lt;/titles&gt;&lt;pages&gt;244-256&lt;/pages&gt;&lt;number&gt;5&lt;/number&gt;&lt;contributors&gt;&lt;authors&gt;&lt;author&gt;Baldwin, DeWitt C.&lt;/author&gt;&lt;/authors&gt;&lt;/contributors&gt;&lt;added-date format="utc"&gt;1387423930&lt;/added-date&gt;&lt;ref-type name="Journal Article"&gt;17&lt;/ref-type&gt;&lt;dates&gt;&lt;year&gt;1980&lt;/year&gt;&lt;/dates&gt;&lt;rec-number&gt;1883&lt;/rec-number&gt;&lt;publisher&gt;Wiley Online Library&lt;/publisher&gt;&lt;last-updated-date format="utc"&gt;1387423930&lt;/last-updated-date&gt;&lt;volume&gt;8&lt;/volume&gt;&lt;/record&gt;&lt;/Cite&gt;&lt;/EndNote&gt;</w:instrText>
      </w:r>
      <w:r w:rsidRPr="00787196">
        <w:rPr>
          <w:rFonts w:cs="Arial"/>
          <w:szCs w:val="24"/>
        </w:rPr>
        <w:fldChar w:fldCharType="separate"/>
      </w:r>
      <w:r w:rsidRPr="00787196">
        <w:rPr>
          <w:rFonts w:cs="Arial"/>
          <w:szCs w:val="24"/>
        </w:rPr>
        <w:t>(Baldwin, 1980)</w:t>
      </w:r>
      <w:r w:rsidRPr="00787196">
        <w:rPr>
          <w:rFonts w:cs="Arial"/>
          <w:szCs w:val="24"/>
        </w:rPr>
        <w:fldChar w:fldCharType="end"/>
      </w:r>
      <w:r w:rsidRPr="00787196">
        <w:rPr>
          <w:rFonts w:cs="Arial"/>
          <w:szCs w:val="24"/>
        </w:rPr>
        <w:t xml:space="preserve">. </w:t>
      </w:r>
    </w:p>
    <w:p w14:paraId="1A3E31BD" w14:textId="49A98505" w:rsidR="009F7645" w:rsidRPr="00787196" w:rsidRDefault="0081140C" w:rsidP="00D9694A">
      <w:pPr>
        <w:pStyle w:val="Heading3"/>
      </w:pPr>
      <w:bookmarkStart w:id="20" w:name="_Toc456211125"/>
      <w:bookmarkStart w:id="21" w:name="_Toc488655608"/>
      <w:r w:rsidRPr="00787196">
        <w:lastRenderedPageBreak/>
        <w:t>Evaluating d</w:t>
      </w:r>
      <w:r w:rsidR="0027109F" w:rsidRPr="00787196">
        <w:t xml:space="preserve">enture success </w:t>
      </w:r>
      <w:r w:rsidR="00F17C9C" w:rsidRPr="00787196">
        <w:t>using</w:t>
      </w:r>
      <w:r w:rsidR="0027109F" w:rsidRPr="00787196">
        <w:t xml:space="preserve"> p</w:t>
      </w:r>
      <w:r w:rsidR="009F7645" w:rsidRPr="00787196">
        <w:t>atient reported outcomes</w:t>
      </w:r>
      <w:bookmarkEnd w:id="20"/>
      <w:bookmarkEnd w:id="21"/>
    </w:p>
    <w:p w14:paraId="25DB807F" w14:textId="51D7B5A5" w:rsidR="00BC6009" w:rsidRPr="00787196" w:rsidRDefault="0078556E" w:rsidP="0078556E">
      <w:pPr>
        <w:spacing w:after="240"/>
        <w:rPr>
          <w:rFonts w:cs="Arial"/>
          <w:szCs w:val="24"/>
        </w:rPr>
      </w:pPr>
      <w:r w:rsidRPr="00787196">
        <w:rPr>
          <w:rFonts w:cs="Arial"/>
          <w:szCs w:val="24"/>
        </w:rPr>
        <w:t>T</w:t>
      </w:r>
      <w:r w:rsidR="00473EEC" w:rsidRPr="00787196">
        <w:rPr>
          <w:rFonts w:cs="Arial"/>
          <w:szCs w:val="24"/>
        </w:rPr>
        <w:t>he</w:t>
      </w:r>
      <w:r w:rsidR="003C3620" w:rsidRPr="00787196">
        <w:rPr>
          <w:rFonts w:cs="Arial"/>
          <w:szCs w:val="24"/>
        </w:rPr>
        <w:t xml:space="preserve"> subjective, social and other motivational factors associated with </w:t>
      </w:r>
      <w:r w:rsidR="00473EEC" w:rsidRPr="00787196">
        <w:rPr>
          <w:rFonts w:cs="Arial"/>
          <w:szCs w:val="24"/>
        </w:rPr>
        <w:t xml:space="preserve">wearing </w:t>
      </w:r>
      <w:r w:rsidR="003C3620" w:rsidRPr="00787196">
        <w:rPr>
          <w:rFonts w:cs="Arial"/>
          <w:szCs w:val="24"/>
        </w:rPr>
        <w:t>denture</w:t>
      </w:r>
      <w:r w:rsidR="00473EEC" w:rsidRPr="00787196">
        <w:rPr>
          <w:rFonts w:cs="Arial"/>
          <w:szCs w:val="24"/>
        </w:rPr>
        <w:t>s</w:t>
      </w:r>
      <w:r w:rsidR="003C3620" w:rsidRPr="00787196">
        <w:rPr>
          <w:rFonts w:cs="Arial"/>
          <w:szCs w:val="24"/>
        </w:rPr>
        <w:t xml:space="preserve"> were ignored</w:t>
      </w:r>
      <w:r w:rsidRPr="00787196">
        <w:rPr>
          <w:rFonts w:cs="Arial"/>
          <w:szCs w:val="24"/>
        </w:rPr>
        <w:t xml:space="preserve"> largely ignored by studies in the past. However, subsequent s</w:t>
      </w:r>
      <w:r w:rsidR="003C3620" w:rsidRPr="00787196">
        <w:rPr>
          <w:rFonts w:cs="Arial"/>
          <w:szCs w:val="24"/>
        </w:rPr>
        <w:t>tudies assessed treatment outcomes in denture wearers</w:t>
      </w:r>
      <w:r w:rsidR="00A774D5" w:rsidRPr="00787196">
        <w:rPr>
          <w:rFonts w:cs="Arial"/>
          <w:szCs w:val="24"/>
        </w:rPr>
        <w:t xml:space="preserve"> using </w:t>
      </w:r>
      <w:r w:rsidRPr="00787196">
        <w:rPr>
          <w:rFonts w:cs="Arial"/>
          <w:szCs w:val="24"/>
        </w:rPr>
        <w:t>both</w:t>
      </w:r>
      <w:r w:rsidR="00B60DCB" w:rsidRPr="00787196">
        <w:rPr>
          <w:rFonts w:cs="Arial"/>
          <w:szCs w:val="24"/>
        </w:rPr>
        <w:t xml:space="preserve"> patient reported outcomes such as patient’s satisfaction</w:t>
      </w:r>
      <w:r w:rsidRPr="00787196">
        <w:rPr>
          <w:rFonts w:cs="Arial"/>
          <w:szCs w:val="24"/>
        </w:rPr>
        <w:t>, self-</w:t>
      </w:r>
      <w:r w:rsidR="00D803D2" w:rsidRPr="00787196">
        <w:rPr>
          <w:rFonts w:cs="Arial"/>
          <w:szCs w:val="24"/>
        </w:rPr>
        <w:t xml:space="preserve">reported </w:t>
      </w:r>
      <w:r w:rsidRPr="00787196">
        <w:rPr>
          <w:rFonts w:cs="Arial"/>
          <w:szCs w:val="24"/>
        </w:rPr>
        <w:t>clinical outcomes (</w:t>
      </w:r>
      <w:r w:rsidR="00D803D2" w:rsidRPr="00787196">
        <w:rPr>
          <w:rFonts w:cs="Arial"/>
          <w:szCs w:val="24"/>
        </w:rPr>
        <w:t>denture comfort, retention</w:t>
      </w:r>
      <w:r w:rsidRPr="00787196">
        <w:rPr>
          <w:rFonts w:cs="Arial"/>
          <w:szCs w:val="24"/>
        </w:rPr>
        <w:t>) on the one hand and</w:t>
      </w:r>
      <w:r w:rsidR="003C3620" w:rsidRPr="00787196">
        <w:rPr>
          <w:rFonts w:cs="Arial"/>
          <w:szCs w:val="24"/>
        </w:rPr>
        <w:t xml:space="preserve"> clinical indicators</w:t>
      </w:r>
      <w:r w:rsidR="00BF0256" w:rsidRPr="00787196">
        <w:rPr>
          <w:rFonts w:cs="Arial"/>
          <w:szCs w:val="24"/>
        </w:rPr>
        <w:t xml:space="preserve"> </w:t>
      </w:r>
      <w:r w:rsidRPr="00787196">
        <w:rPr>
          <w:rFonts w:cs="Arial"/>
          <w:szCs w:val="24"/>
        </w:rPr>
        <w:t xml:space="preserve">on the other </w:t>
      </w:r>
      <w:r w:rsidR="003C3620" w:rsidRPr="00787196">
        <w:rPr>
          <w:rFonts w:cs="Arial"/>
          <w:szCs w:val="24"/>
        </w:rPr>
        <w:fldChar w:fldCharType="begin">
          <w:fldData xml:space="preserve">PEVuZE5vdGU+PENpdGU+PEF1dGhvcj5CZXJnPC9BdXRob3I+PFllYXI+MTk4NDwvWWVhcj48UmVj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</w:fldData>
        </w:fldChar>
      </w:r>
      <w:r w:rsidR="00AF47F6" w:rsidRPr="00787196">
        <w:rPr>
          <w:rFonts w:cs="Arial"/>
          <w:szCs w:val="24"/>
        </w:rPr>
        <w:instrText xml:space="preserve"> ADDIN EN.CITE </w:instrText>
      </w:r>
      <w:r w:rsidR="00AF47F6" w:rsidRPr="00787196">
        <w:rPr>
          <w:rFonts w:cs="Arial"/>
          <w:szCs w:val="24"/>
        </w:rPr>
        <w:fldChar w:fldCharType="begin">
          <w:fldData xml:space="preserve">PEVuZE5vdGU+PENpdGU+PEF1dGhvcj5CZXJnPC9BdXRob3I+PFllYXI+MTk4NDwvWWVhcj48UmVj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</w:fldData>
        </w:fldChar>
      </w:r>
      <w:r w:rsidR="00AF47F6" w:rsidRPr="00787196">
        <w:rPr>
          <w:rFonts w:cs="Arial"/>
          <w:szCs w:val="24"/>
        </w:rPr>
        <w:instrText xml:space="preserve"> ADDIN EN.CITE.DATA </w:instrText>
      </w:r>
      <w:r w:rsidR="00AF47F6" w:rsidRPr="00787196">
        <w:rPr>
          <w:rFonts w:cs="Arial"/>
          <w:szCs w:val="24"/>
        </w:rPr>
      </w:r>
      <w:r w:rsidR="00AF47F6" w:rsidRPr="00787196">
        <w:rPr>
          <w:rFonts w:cs="Arial"/>
          <w:szCs w:val="24"/>
        </w:rPr>
        <w:fldChar w:fldCharType="end"/>
      </w:r>
      <w:r w:rsidR="003C3620" w:rsidRPr="00787196">
        <w:rPr>
          <w:rFonts w:cs="Arial"/>
          <w:szCs w:val="24"/>
        </w:rPr>
      </w:r>
      <w:r w:rsidR="003C3620" w:rsidRPr="00787196">
        <w:rPr>
          <w:rFonts w:cs="Arial"/>
          <w:szCs w:val="24"/>
        </w:rPr>
        <w:fldChar w:fldCharType="separate"/>
      </w:r>
      <w:r w:rsidR="003C3620" w:rsidRPr="00787196">
        <w:rPr>
          <w:rFonts w:cs="Arial"/>
          <w:noProof/>
          <w:szCs w:val="24"/>
        </w:rPr>
        <w:t>(Berg, 1984, Berg, 1988, Diehl et al., 1996, Gjengedal et al., 2011)</w:t>
      </w:r>
      <w:r w:rsidR="003C3620" w:rsidRPr="00787196">
        <w:rPr>
          <w:rFonts w:cs="Arial"/>
          <w:szCs w:val="24"/>
        </w:rPr>
        <w:fldChar w:fldCharType="end"/>
      </w:r>
      <w:r w:rsidR="00B60DCB" w:rsidRPr="00787196">
        <w:rPr>
          <w:rFonts w:cs="Arial"/>
          <w:szCs w:val="24"/>
        </w:rPr>
        <w:t>.</w:t>
      </w:r>
    </w:p>
    <w:p w14:paraId="70DD6100" w14:textId="653C4FCC" w:rsidR="00D53DB8" w:rsidRPr="00787196" w:rsidRDefault="00D53DB8" w:rsidP="00D9694A">
      <w:pPr>
        <w:pStyle w:val="Heading3"/>
      </w:pPr>
      <w:bookmarkStart w:id="22" w:name="_Toc488655609"/>
      <w:r w:rsidRPr="00787196">
        <w:t>Denture satisfaction</w:t>
      </w:r>
      <w:bookmarkEnd w:id="22"/>
    </w:p>
    <w:p w14:paraId="54885956" w14:textId="37AA4F3E" w:rsidR="00632989" w:rsidRPr="00787196" w:rsidRDefault="00714211" w:rsidP="00082A47">
      <w:pPr>
        <w:spacing w:after="240"/>
        <w:rPr>
          <w:rFonts w:cs="Arial"/>
          <w:szCs w:val="24"/>
        </w:rPr>
      </w:pPr>
      <w:r w:rsidRPr="00787196">
        <w:rPr>
          <w:rFonts w:cs="Arial"/>
          <w:szCs w:val="24"/>
        </w:rPr>
        <w:t>D</w:t>
      </w:r>
      <w:r w:rsidR="00632989" w:rsidRPr="00787196">
        <w:rPr>
          <w:rFonts w:cs="Arial"/>
          <w:szCs w:val="24"/>
        </w:rPr>
        <w:t xml:space="preserve">enture satisfaction </w:t>
      </w:r>
      <w:r w:rsidR="00C25AA3" w:rsidRPr="00787196">
        <w:rPr>
          <w:rFonts w:cs="Arial"/>
          <w:szCs w:val="24"/>
        </w:rPr>
        <w:t>is one of the widely used patient reported outcome</w:t>
      </w:r>
      <w:r w:rsidR="00E41059" w:rsidRPr="00787196">
        <w:rPr>
          <w:rFonts w:cs="Arial"/>
          <w:szCs w:val="24"/>
        </w:rPr>
        <w:t>s</w:t>
      </w:r>
      <w:r w:rsidR="00C25AA3" w:rsidRPr="00787196">
        <w:rPr>
          <w:rFonts w:cs="Arial"/>
          <w:szCs w:val="24"/>
        </w:rPr>
        <w:t xml:space="preserve"> to assess treatment success in individuals receiving dentures. Although primarily based on</w:t>
      </w:r>
      <w:r w:rsidR="00317A4A" w:rsidRPr="00787196">
        <w:rPr>
          <w:rFonts w:cs="Arial"/>
          <w:szCs w:val="24"/>
        </w:rPr>
        <w:t xml:space="preserve"> the</w:t>
      </w:r>
      <w:r w:rsidR="00E41059" w:rsidRPr="00787196">
        <w:rPr>
          <w:rFonts w:cs="Arial"/>
          <w:szCs w:val="24"/>
        </w:rPr>
        <w:t xml:space="preserve"> concept</w:t>
      </w:r>
      <w:r w:rsidR="00C25AA3" w:rsidRPr="00787196">
        <w:rPr>
          <w:rFonts w:cs="Arial"/>
          <w:szCs w:val="24"/>
        </w:rPr>
        <w:t xml:space="preserve"> acceptability and assessment </w:t>
      </w:r>
      <w:r w:rsidR="00317A4A" w:rsidRPr="00787196">
        <w:rPr>
          <w:rFonts w:cs="Arial"/>
          <w:szCs w:val="24"/>
        </w:rPr>
        <w:t>of denture service quality, it</w:t>
      </w:r>
      <w:r w:rsidR="00632989" w:rsidRPr="00787196">
        <w:rPr>
          <w:rFonts w:cs="Arial"/>
          <w:szCs w:val="24"/>
        </w:rPr>
        <w:t xml:space="preserve"> has </w:t>
      </w:r>
      <w:r w:rsidR="00EA4A6D" w:rsidRPr="00787196">
        <w:rPr>
          <w:rFonts w:cs="Arial"/>
          <w:szCs w:val="24"/>
        </w:rPr>
        <w:t>evolved</w:t>
      </w:r>
      <w:r w:rsidR="00632989" w:rsidRPr="00787196">
        <w:rPr>
          <w:rFonts w:cs="Arial"/>
          <w:szCs w:val="24"/>
        </w:rPr>
        <w:t xml:space="preserve"> historical</w:t>
      </w:r>
      <w:r w:rsidR="00EA4A6D" w:rsidRPr="00787196">
        <w:rPr>
          <w:rFonts w:cs="Arial"/>
          <w:szCs w:val="24"/>
        </w:rPr>
        <w:t>ly</w:t>
      </w:r>
      <w:r w:rsidR="00632989" w:rsidRPr="00787196">
        <w:rPr>
          <w:rFonts w:cs="Arial"/>
          <w:szCs w:val="24"/>
        </w:rPr>
        <w:t xml:space="preserve"> with its perception and meanings. The following section reviews </w:t>
      </w:r>
      <w:r w:rsidR="00EA4A6D" w:rsidRPr="00787196">
        <w:rPr>
          <w:rFonts w:cs="Arial"/>
          <w:szCs w:val="24"/>
        </w:rPr>
        <w:t>denture satisfaction, its definition, issues with conceptualisation</w:t>
      </w:r>
      <w:r w:rsidR="00632989" w:rsidRPr="00787196">
        <w:rPr>
          <w:rFonts w:cs="Arial"/>
          <w:szCs w:val="24"/>
        </w:rPr>
        <w:t xml:space="preserve"> and </w:t>
      </w:r>
      <w:r w:rsidR="00EA4A6D" w:rsidRPr="00787196">
        <w:rPr>
          <w:rFonts w:cs="Arial"/>
          <w:szCs w:val="24"/>
        </w:rPr>
        <w:t>its</w:t>
      </w:r>
      <w:r w:rsidR="00632989" w:rsidRPr="00787196">
        <w:rPr>
          <w:rFonts w:cs="Arial"/>
          <w:szCs w:val="24"/>
        </w:rPr>
        <w:t xml:space="preserve"> </w:t>
      </w:r>
      <w:r w:rsidR="00EA4A6D" w:rsidRPr="00787196">
        <w:rPr>
          <w:rFonts w:cs="Arial"/>
          <w:szCs w:val="24"/>
        </w:rPr>
        <w:t xml:space="preserve">transformation into </w:t>
      </w:r>
      <w:r w:rsidR="00632989" w:rsidRPr="00787196">
        <w:rPr>
          <w:rFonts w:cs="Arial"/>
          <w:szCs w:val="24"/>
        </w:rPr>
        <w:t>multi-d</w:t>
      </w:r>
      <w:r w:rsidR="00EA4A6D" w:rsidRPr="00787196">
        <w:rPr>
          <w:rFonts w:cs="Arial"/>
          <w:szCs w:val="24"/>
        </w:rPr>
        <w:t>imensional factor</w:t>
      </w:r>
      <w:r w:rsidR="00632989" w:rsidRPr="00787196">
        <w:rPr>
          <w:rFonts w:cs="Arial"/>
          <w:szCs w:val="24"/>
        </w:rPr>
        <w:t xml:space="preserve"> over the years.</w:t>
      </w:r>
    </w:p>
    <w:p w14:paraId="4D3C42CB" w14:textId="15FF86CD" w:rsidR="00850892" w:rsidRPr="00787196" w:rsidRDefault="00815138" w:rsidP="000E6F9D">
      <w:pPr>
        <w:spacing w:after="240"/>
        <w:rPr>
          <w:rFonts w:cs="Arial"/>
          <w:szCs w:val="24"/>
        </w:rPr>
      </w:pPr>
      <w:r w:rsidRPr="00787196">
        <w:rPr>
          <w:rFonts w:cs="Arial"/>
          <w:szCs w:val="24"/>
        </w:rPr>
        <w:t xml:space="preserve">Smith </w:t>
      </w:r>
      <w:r w:rsidRPr="00787196">
        <w:rPr>
          <w:rFonts w:cs="Arial"/>
          <w:szCs w:val="24"/>
        </w:rPr>
        <w:fldChar w:fldCharType="begin"/>
      </w:r>
      <w:r w:rsidR="00223957" w:rsidRPr="00787196">
        <w:rPr>
          <w:rFonts w:cs="Arial"/>
          <w:szCs w:val="24"/>
        </w:rPr>
        <w:instrText xml:space="preserve"> ADDIN EN.CITE &lt;EndNote&gt;&lt;Cite ExcludeAuth="1"&gt;&lt;Author&gt;Smith&lt;/Author&gt;&lt;Year&gt;1976&lt;/Year&gt;&lt;RecNum&gt;0&lt;/RecNum&gt;&lt;IDText&gt;Measurement of personality traits and their relation to patient satisfaction with complete dentures&lt;/IDText&gt;&lt;DisplayText&gt;(1976)&lt;/DisplayText&gt;&lt;record&gt;&lt;dates&gt;&lt;pub-dates&gt;&lt;date&gt;05/&lt;/date&gt;&lt;/pub-dates&gt;&lt;year&gt;1976&lt;/year&gt;&lt;/dates&gt;&lt;urls&gt;&lt;related-urls&gt;&lt;url&gt;http://europepmc.org/abstract/MED/775057&lt;/url&gt;&lt;/related-urls&gt;&lt;/urls&gt;&lt;titles&gt;&lt;title&gt;Measurement of personality traits and their relation to patient satisfaction with complete dentures&lt;/title&gt;&lt;secondary-title&gt;The Journal of prosthetic dentistry&lt;/secondary-title&gt;&lt;/titles&gt;&lt;pages&gt;492-503&lt;/pages&gt;&lt;number&gt;5&lt;/number&gt;&lt;contributors&gt;&lt;authors&gt;&lt;author&gt;Smith, M.&lt;/author&gt;&lt;/authors&gt;&lt;/contributors&gt;&lt;added-date format="utc"&gt;1370002952&lt;/added-date&gt;&lt;ref-type name="Journal Article"&gt;17&lt;/ref-type&gt;&lt;rec-number&gt;724&lt;/rec-number&gt;&lt;last-updated-date format="utc"&gt;1385713712&lt;/last-updated-date&gt;&lt;volume&gt;35&lt;/volume&gt;&lt;/record&gt;&lt;/Cite&gt;&lt;/EndNote&gt;</w:instrText>
      </w:r>
      <w:r w:rsidRPr="00787196">
        <w:rPr>
          <w:rFonts w:cs="Arial"/>
          <w:szCs w:val="24"/>
        </w:rPr>
        <w:fldChar w:fldCharType="separate"/>
      </w:r>
      <w:r w:rsidRPr="00787196">
        <w:rPr>
          <w:rFonts w:cs="Arial"/>
          <w:szCs w:val="24"/>
        </w:rPr>
        <w:t>(1976)</w:t>
      </w:r>
      <w:r w:rsidRPr="00787196">
        <w:rPr>
          <w:rFonts w:cs="Arial"/>
          <w:szCs w:val="24"/>
        </w:rPr>
        <w:fldChar w:fldCharType="end"/>
      </w:r>
      <w:r w:rsidRPr="00787196">
        <w:rPr>
          <w:rFonts w:cs="Arial"/>
          <w:szCs w:val="24"/>
        </w:rPr>
        <w:t xml:space="preserve"> stated</w:t>
      </w:r>
      <w:r w:rsidR="00E55CC9" w:rsidRPr="00787196">
        <w:rPr>
          <w:rFonts w:cs="Arial"/>
          <w:szCs w:val="24"/>
        </w:rPr>
        <w:t xml:space="preserve"> that</w:t>
      </w:r>
      <w:r w:rsidRPr="00787196">
        <w:rPr>
          <w:rFonts w:cs="Arial"/>
          <w:szCs w:val="24"/>
        </w:rPr>
        <w:t xml:space="preserve"> patients evaluate denture success </w:t>
      </w:r>
      <w:r w:rsidR="00BF0256" w:rsidRPr="00787196">
        <w:rPr>
          <w:rFonts w:cs="Arial"/>
          <w:szCs w:val="24"/>
        </w:rPr>
        <w:t>based on</w:t>
      </w:r>
      <w:r w:rsidRPr="00787196">
        <w:rPr>
          <w:rFonts w:cs="Arial"/>
          <w:szCs w:val="24"/>
        </w:rPr>
        <w:t xml:space="preserve"> their personal satisfaction with dentures.</w:t>
      </w:r>
      <w:r w:rsidR="00EA4A6D" w:rsidRPr="00787196">
        <w:rPr>
          <w:rFonts w:cs="Arial"/>
          <w:szCs w:val="24"/>
        </w:rPr>
        <w:t xml:space="preserve"> </w:t>
      </w:r>
      <w:r w:rsidR="008E7438" w:rsidRPr="00787196">
        <w:rPr>
          <w:rFonts w:cs="Arial"/>
          <w:szCs w:val="24"/>
        </w:rPr>
        <w:t xml:space="preserve">Interestingly, denture satisfaction is infrequently defined. </w:t>
      </w:r>
      <w:r w:rsidR="001448A0" w:rsidRPr="00787196">
        <w:rPr>
          <w:rFonts w:cs="Arial"/>
          <w:szCs w:val="24"/>
        </w:rPr>
        <w:t>T</w:t>
      </w:r>
      <w:r w:rsidR="00A06D73" w:rsidRPr="00787196">
        <w:rPr>
          <w:rFonts w:cs="Arial"/>
          <w:szCs w:val="24"/>
        </w:rPr>
        <w:t xml:space="preserve">he definition of denture satisfaction was searched electronically </w:t>
      </w:r>
      <w:r w:rsidR="00425B54" w:rsidRPr="00787196">
        <w:rPr>
          <w:rFonts w:cs="Arial"/>
          <w:szCs w:val="24"/>
        </w:rPr>
        <w:t>using the</w:t>
      </w:r>
      <w:r w:rsidR="00A06D73" w:rsidRPr="00787196">
        <w:rPr>
          <w:rFonts w:cs="Arial"/>
          <w:szCs w:val="24"/>
        </w:rPr>
        <w:t xml:space="preserve"> </w:t>
      </w:r>
      <w:r w:rsidR="000E6F9D" w:rsidRPr="00787196">
        <w:rPr>
          <w:rFonts w:cs="Arial"/>
          <w:szCs w:val="24"/>
        </w:rPr>
        <w:t>search terms</w:t>
      </w:r>
      <w:r w:rsidR="00A06D73" w:rsidRPr="00787196">
        <w:rPr>
          <w:rFonts w:cs="Arial"/>
          <w:szCs w:val="24"/>
        </w:rPr>
        <w:t xml:space="preserve"> such as</w:t>
      </w:r>
      <w:r w:rsidR="000E6F9D" w:rsidRPr="00787196">
        <w:rPr>
          <w:rFonts w:cs="Arial"/>
          <w:szCs w:val="24"/>
        </w:rPr>
        <w:t xml:space="preserve"> </w:t>
      </w:r>
      <w:r w:rsidR="00A06D73" w:rsidRPr="00787196">
        <w:rPr>
          <w:rFonts w:cs="Arial"/>
          <w:szCs w:val="24"/>
        </w:rPr>
        <w:t xml:space="preserve">“denture satisfaction”, “denture treatment satisfaction” and “definition denture satisfaction” in the dental and prosthodontic literature. </w:t>
      </w:r>
      <w:r w:rsidR="00BF0256" w:rsidRPr="00787196">
        <w:rPr>
          <w:rFonts w:cs="Arial"/>
          <w:szCs w:val="24"/>
        </w:rPr>
        <w:t>A</w:t>
      </w:r>
      <w:r w:rsidR="0011210E" w:rsidRPr="00787196">
        <w:rPr>
          <w:rFonts w:cs="Arial"/>
          <w:szCs w:val="24"/>
        </w:rPr>
        <w:t xml:space="preserve"> specific definition for denture satisfaction</w:t>
      </w:r>
      <w:r w:rsidR="00A06D73" w:rsidRPr="00787196">
        <w:rPr>
          <w:rFonts w:cs="Arial"/>
          <w:szCs w:val="24"/>
        </w:rPr>
        <w:t xml:space="preserve"> could not be found even</w:t>
      </w:r>
      <w:r w:rsidR="00E14349" w:rsidRPr="00787196">
        <w:rPr>
          <w:rFonts w:cs="Arial"/>
          <w:szCs w:val="24"/>
        </w:rPr>
        <w:t xml:space="preserve"> </w:t>
      </w:r>
      <w:r w:rsidR="00A06D73" w:rsidRPr="00787196">
        <w:rPr>
          <w:rFonts w:cs="Arial"/>
          <w:szCs w:val="24"/>
        </w:rPr>
        <w:t>though</w:t>
      </w:r>
      <w:r w:rsidR="00A2349D" w:rsidRPr="00787196">
        <w:rPr>
          <w:rFonts w:cs="Arial"/>
          <w:szCs w:val="24"/>
        </w:rPr>
        <w:t xml:space="preserve"> </w:t>
      </w:r>
      <w:r w:rsidR="00BF0256" w:rsidRPr="00787196">
        <w:rPr>
          <w:rFonts w:cs="Arial"/>
          <w:szCs w:val="24"/>
        </w:rPr>
        <w:t xml:space="preserve">many studies </w:t>
      </w:r>
      <w:r w:rsidR="00A2349D" w:rsidRPr="00787196">
        <w:rPr>
          <w:rFonts w:cs="Arial"/>
          <w:szCs w:val="24"/>
        </w:rPr>
        <w:t xml:space="preserve">have </w:t>
      </w:r>
      <w:r w:rsidR="006837E3" w:rsidRPr="00787196">
        <w:rPr>
          <w:rFonts w:cs="Arial"/>
          <w:szCs w:val="24"/>
        </w:rPr>
        <w:t>used it as an outcome measure</w:t>
      </w:r>
      <w:r w:rsidR="00A2349D" w:rsidRPr="00787196">
        <w:rPr>
          <w:rFonts w:cs="Arial"/>
          <w:szCs w:val="24"/>
        </w:rPr>
        <w:t>.</w:t>
      </w:r>
    </w:p>
    <w:p w14:paraId="1BDB3BC4" w14:textId="62408DBD" w:rsidR="009F7645" w:rsidRPr="00787196" w:rsidRDefault="008A2429" w:rsidP="00226A04">
      <w:pPr>
        <w:pStyle w:val="Heading4"/>
      </w:pPr>
      <w:r w:rsidRPr="00787196">
        <w:t xml:space="preserve">Conceptualisation </w:t>
      </w:r>
      <w:r w:rsidR="00182FDA" w:rsidRPr="00787196">
        <w:t xml:space="preserve">of </w:t>
      </w:r>
      <w:r w:rsidR="009F7645" w:rsidRPr="00787196">
        <w:t>denture</w:t>
      </w:r>
      <w:r w:rsidR="00BF0256" w:rsidRPr="00787196">
        <w:t xml:space="preserve"> </w:t>
      </w:r>
      <w:r w:rsidR="009F7645" w:rsidRPr="00787196">
        <w:t>satisfaction</w:t>
      </w:r>
    </w:p>
    <w:p w14:paraId="1060CF88" w14:textId="4273631B" w:rsidR="007B7A63" w:rsidRPr="00787196" w:rsidRDefault="00DA6AF7" w:rsidP="00DE3A61">
      <w:pPr>
        <w:spacing w:after="240"/>
        <w:rPr>
          <w:rFonts w:cs="Arial"/>
          <w:szCs w:val="24"/>
        </w:rPr>
      </w:pPr>
      <w:r w:rsidRPr="00787196">
        <w:rPr>
          <w:rFonts w:cs="Arial"/>
          <w:szCs w:val="24"/>
        </w:rPr>
        <w:t xml:space="preserve">The </w:t>
      </w:r>
      <w:r w:rsidR="00DE3A61" w:rsidRPr="00787196">
        <w:rPr>
          <w:rFonts w:cs="Arial"/>
          <w:szCs w:val="24"/>
        </w:rPr>
        <w:t>desire</w:t>
      </w:r>
      <w:r w:rsidR="00366282" w:rsidRPr="00787196">
        <w:rPr>
          <w:rFonts w:cs="Arial"/>
          <w:szCs w:val="24"/>
        </w:rPr>
        <w:t xml:space="preserve"> </w:t>
      </w:r>
      <w:r w:rsidRPr="00787196">
        <w:rPr>
          <w:rFonts w:cs="Arial"/>
          <w:szCs w:val="24"/>
        </w:rPr>
        <w:t xml:space="preserve">to measure </w:t>
      </w:r>
      <w:r w:rsidR="00366282" w:rsidRPr="00787196">
        <w:rPr>
          <w:rFonts w:cs="Arial"/>
          <w:szCs w:val="24"/>
        </w:rPr>
        <w:t>denture</w:t>
      </w:r>
      <w:r w:rsidRPr="00787196">
        <w:rPr>
          <w:rFonts w:cs="Arial"/>
          <w:szCs w:val="24"/>
        </w:rPr>
        <w:t xml:space="preserve"> satisfaction </w:t>
      </w:r>
      <w:r w:rsidR="00366282" w:rsidRPr="00787196">
        <w:rPr>
          <w:rFonts w:cs="Arial"/>
          <w:szCs w:val="24"/>
        </w:rPr>
        <w:t>was elaborated</w:t>
      </w:r>
      <w:r w:rsidRPr="00787196">
        <w:rPr>
          <w:rFonts w:cs="Arial"/>
          <w:szCs w:val="24"/>
        </w:rPr>
        <w:t xml:space="preserve"> by the </w:t>
      </w:r>
      <w:r w:rsidR="00DE3A61" w:rsidRPr="00787196">
        <w:rPr>
          <w:rFonts w:cs="Arial"/>
          <w:szCs w:val="24"/>
        </w:rPr>
        <w:t xml:space="preserve">introduction of the </w:t>
      </w:r>
      <w:r w:rsidRPr="00787196">
        <w:rPr>
          <w:rFonts w:cs="Arial"/>
          <w:szCs w:val="24"/>
        </w:rPr>
        <w:t>concept</w:t>
      </w:r>
      <w:r w:rsidR="00366282" w:rsidRPr="00787196">
        <w:rPr>
          <w:rFonts w:cs="Arial"/>
          <w:szCs w:val="24"/>
        </w:rPr>
        <w:t xml:space="preserve"> of patient treatment satisfaction</w:t>
      </w:r>
      <w:r w:rsidRPr="00787196">
        <w:rPr>
          <w:rFonts w:cs="Arial"/>
          <w:szCs w:val="24"/>
        </w:rPr>
        <w:t xml:space="preserve"> </w:t>
      </w:r>
      <w:r w:rsidR="00DE3A61" w:rsidRPr="00787196">
        <w:rPr>
          <w:rFonts w:cs="Arial"/>
          <w:szCs w:val="24"/>
        </w:rPr>
        <w:t>into</w:t>
      </w:r>
      <w:r w:rsidR="00366282" w:rsidRPr="00787196">
        <w:rPr>
          <w:rFonts w:cs="Arial"/>
          <w:szCs w:val="24"/>
        </w:rPr>
        <w:t xml:space="preserve"> </w:t>
      </w:r>
      <w:r w:rsidRPr="00787196">
        <w:rPr>
          <w:rFonts w:cs="Arial"/>
          <w:szCs w:val="24"/>
        </w:rPr>
        <w:t xml:space="preserve">disciplines </w:t>
      </w:r>
      <w:r w:rsidR="00366282" w:rsidRPr="00787196">
        <w:rPr>
          <w:rFonts w:cs="Arial"/>
          <w:szCs w:val="24"/>
        </w:rPr>
        <w:t>such as</w:t>
      </w:r>
      <w:r w:rsidRPr="00787196">
        <w:rPr>
          <w:rFonts w:cs="Arial"/>
          <w:szCs w:val="24"/>
        </w:rPr>
        <w:t xml:space="preserve"> medicine, psychology, sociology</w:t>
      </w:r>
      <w:r w:rsidR="00366282" w:rsidRPr="00787196">
        <w:rPr>
          <w:rFonts w:cs="Arial"/>
          <w:szCs w:val="24"/>
        </w:rPr>
        <w:t>, he</w:t>
      </w:r>
      <w:r w:rsidRPr="00787196">
        <w:rPr>
          <w:rFonts w:cs="Arial"/>
          <w:szCs w:val="24"/>
        </w:rPr>
        <w:t>althcare</w:t>
      </w:r>
      <w:r w:rsidR="00366282" w:rsidRPr="00787196">
        <w:rPr>
          <w:rFonts w:cs="Arial"/>
          <w:szCs w:val="24"/>
        </w:rPr>
        <w:t xml:space="preserve"> marketing and</w:t>
      </w:r>
      <w:r w:rsidRPr="00787196">
        <w:rPr>
          <w:rFonts w:cs="Arial"/>
          <w:szCs w:val="24"/>
        </w:rPr>
        <w:t xml:space="preserve"> management.  </w:t>
      </w:r>
      <w:r w:rsidR="00B432FA" w:rsidRPr="00787196">
        <w:rPr>
          <w:rFonts w:cs="Arial"/>
          <w:szCs w:val="24"/>
        </w:rPr>
        <w:t xml:space="preserve">Due </w:t>
      </w:r>
      <w:r w:rsidR="00DE3A61" w:rsidRPr="00787196">
        <w:rPr>
          <w:rFonts w:cs="Arial"/>
          <w:szCs w:val="24"/>
        </w:rPr>
        <w:t xml:space="preserve">to </w:t>
      </w:r>
      <w:r w:rsidR="00B432FA" w:rsidRPr="00787196">
        <w:rPr>
          <w:rFonts w:cs="Arial"/>
          <w:szCs w:val="24"/>
        </w:rPr>
        <w:t>the semi-independent development of this concept</w:t>
      </w:r>
      <w:r w:rsidR="00DE3A61" w:rsidRPr="00787196">
        <w:rPr>
          <w:rFonts w:cs="Arial"/>
          <w:szCs w:val="24"/>
        </w:rPr>
        <w:t xml:space="preserve"> across disciplines</w:t>
      </w:r>
      <w:r w:rsidRPr="00787196">
        <w:rPr>
          <w:rFonts w:cs="Arial"/>
          <w:szCs w:val="24"/>
        </w:rPr>
        <w:t xml:space="preserve">, the term is </w:t>
      </w:r>
      <w:r w:rsidR="00B432FA" w:rsidRPr="00787196">
        <w:rPr>
          <w:rFonts w:cs="Arial"/>
          <w:szCs w:val="24"/>
        </w:rPr>
        <w:t xml:space="preserve">very </w:t>
      </w:r>
      <w:r w:rsidR="001B06EC">
        <w:rPr>
          <w:rFonts w:cs="Arial"/>
          <w:szCs w:val="24"/>
        </w:rPr>
        <w:t>loosely</w:t>
      </w:r>
      <w:r w:rsidRPr="00787196">
        <w:rPr>
          <w:rFonts w:cs="Arial"/>
          <w:szCs w:val="24"/>
        </w:rPr>
        <w:t xml:space="preserve"> de</w:t>
      </w:r>
      <w:r w:rsidR="001B06EC">
        <w:rPr>
          <w:rFonts w:cs="Arial"/>
          <w:szCs w:val="24"/>
        </w:rPr>
        <w:t xml:space="preserve">scribed </w:t>
      </w:r>
      <w:r w:rsidRPr="00787196">
        <w:rPr>
          <w:rFonts w:cs="Arial"/>
          <w:szCs w:val="24"/>
        </w:rPr>
        <w:t xml:space="preserve">and </w:t>
      </w:r>
      <w:r w:rsidR="00694BF2" w:rsidRPr="00787196">
        <w:rPr>
          <w:rFonts w:cs="Arial"/>
          <w:szCs w:val="24"/>
        </w:rPr>
        <w:t>not</w:t>
      </w:r>
      <w:r w:rsidRPr="00787196">
        <w:rPr>
          <w:rFonts w:cs="Arial"/>
          <w:szCs w:val="24"/>
        </w:rPr>
        <w:t xml:space="preserve"> </w:t>
      </w:r>
      <w:r w:rsidR="00DE3A61" w:rsidRPr="00787196">
        <w:rPr>
          <w:rFonts w:cs="Arial"/>
          <w:szCs w:val="24"/>
        </w:rPr>
        <w:t xml:space="preserve">well </w:t>
      </w:r>
      <w:r w:rsidRPr="00787196">
        <w:rPr>
          <w:rFonts w:cs="Arial"/>
          <w:szCs w:val="24"/>
        </w:rPr>
        <w:t xml:space="preserve">understood. </w:t>
      </w:r>
      <w:r w:rsidR="00DE3A61" w:rsidRPr="00787196">
        <w:rPr>
          <w:rFonts w:cs="Arial"/>
          <w:szCs w:val="24"/>
        </w:rPr>
        <w:t>In addition, applied</w:t>
      </w:r>
      <w:r w:rsidR="00694BF2" w:rsidRPr="00787196">
        <w:rPr>
          <w:rFonts w:cs="Arial"/>
          <w:szCs w:val="24"/>
        </w:rPr>
        <w:t xml:space="preserve"> </w:t>
      </w:r>
      <w:r w:rsidRPr="00787196">
        <w:rPr>
          <w:rFonts w:cs="Arial"/>
          <w:szCs w:val="24"/>
        </w:rPr>
        <w:t xml:space="preserve">research </w:t>
      </w:r>
      <w:r w:rsidR="00694BF2" w:rsidRPr="00787196">
        <w:rPr>
          <w:rFonts w:cs="Arial"/>
          <w:szCs w:val="24"/>
        </w:rPr>
        <w:t>does not use a theoretical approach. Understandably, denture satisfaction is not well conceptualised.</w:t>
      </w:r>
      <w:r w:rsidR="007B7A63" w:rsidRPr="00787196">
        <w:rPr>
          <w:rFonts w:cs="Arial"/>
          <w:szCs w:val="24"/>
        </w:rPr>
        <w:br w:type="page"/>
      </w:r>
    </w:p>
    <w:p w14:paraId="449095C2" w14:textId="30548663" w:rsidR="0011210E" w:rsidRPr="00787196" w:rsidRDefault="00BF0256" w:rsidP="00E92F0E">
      <w:pPr>
        <w:spacing w:after="240"/>
        <w:rPr>
          <w:rFonts w:cs="Arial"/>
          <w:szCs w:val="24"/>
        </w:rPr>
      </w:pPr>
      <w:r w:rsidRPr="00787196">
        <w:rPr>
          <w:rFonts w:cs="Arial"/>
          <w:szCs w:val="24"/>
        </w:rPr>
        <w:lastRenderedPageBreak/>
        <w:t>Early discussion o</w:t>
      </w:r>
      <w:r w:rsidR="00A85D5C" w:rsidRPr="00787196">
        <w:rPr>
          <w:rFonts w:cs="Arial"/>
          <w:szCs w:val="24"/>
        </w:rPr>
        <w:t>f</w:t>
      </w:r>
      <w:r w:rsidRPr="00787196">
        <w:rPr>
          <w:rFonts w:cs="Arial"/>
          <w:szCs w:val="24"/>
        </w:rPr>
        <w:t xml:space="preserve"> patient’s d</w:t>
      </w:r>
      <w:r w:rsidR="0011210E" w:rsidRPr="00787196">
        <w:rPr>
          <w:rFonts w:cs="Arial"/>
          <w:szCs w:val="24"/>
        </w:rPr>
        <w:t xml:space="preserve">enture satisfaction </w:t>
      </w:r>
      <w:r w:rsidR="001448A0" w:rsidRPr="00787196">
        <w:rPr>
          <w:rFonts w:cs="Arial"/>
          <w:szCs w:val="24"/>
        </w:rPr>
        <w:t>arose</w:t>
      </w:r>
      <w:r w:rsidRPr="00787196">
        <w:rPr>
          <w:rFonts w:cs="Arial"/>
          <w:szCs w:val="24"/>
        </w:rPr>
        <w:t xml:space="preserve"> </w:t>
      </w:r>
      <w:r w:rsidR="0011210E" w:rsidRPr="00787196">
        <w:rPr>
          <w:rFonts w:cs="Arial"/>
          <w:szCs w:val="24"/>
        </w:rPr>
        <w:t>under the context of denture complaints and performance</w:t>
      </w:r>
      <w:r w:rsidR="001448A0" w:rsidRPr="00787196">
        <w:rPr>
          <w:rFonts w:cs="Arial"/>
          <w:szCs w:val="24"/>
        </w:rPr>
        <w:t xml:space="preserve"> </w:t>
      </w:r>
      <w:r w:rsidR="0011210E" w:rsidRPr="00787196">
        <w:rPr>
          <w:rFonts w:cs="Arial"/>
          <w:szCs w:val="24"/>
        </w:rPr>
        <w:t xml:space="preserve">assessed </w:t>
      </w:r>
      <w:r w:rsidR="001448A0" w:rsidRPr="00787196">
        <w:rPr>
          <w:rFonts w:cs="Arial"/>
          <w:szCs w:val="24"/>
        </w:rPr>
        <w:t>by</w:t>
      </w:r>
      <w:r w:rsidRPr="00787196">
        <w:rPr>
          <w:rFonts w:cs="Arial"/>
          <w:szCs w:val="24"/>
        </w:rPr>
        <w:t xml:space="preserve"> </w:t>
      </w:r>
      <w:r w:rsidR="00BB7620" w:rsidRPr="00787196">
        <w:rPr>
          <w:rFonts w:cs="Arial"/>
          <w:szCs w:val="24"/>
        </w:rPr>
        <w:t xml:space="preserve">recording </w:t>
      </w:r>
      <w:r w:rsidRPr="00787196">
        <w:rPr>
          <w:rFonts w:cs="Arial"/>
          <w:szCs w:val="24"/>
        </w:rPr>
        <w:t>pati</w:t>
      </w:r>
      <w:r w:rsidR="001448A0" w:rsidRPr="00787196">
        <w:rPr>
          <w:rFonts w:cs="Arial"/>
          <w:szCs w:val="24"/>
        </w:rPr>
        <w:t>e</w:t>
      </w:r>
      <w:r w:rsidRPr="00787196">
        <w:rPr>
          <w:rFonts w:cs="Arial"/>
          <w:szCs w:val="24"/>
        </w:rPr>
        <w:t>nt reported</w:t>
      </w:r>
      <w:r w:rsidR="0011210E" w:rsidRPr="00787196">
        <w:rPr>
          <w:rFonts w:cs="Arial"/>
          <w:szCs w:val="24"/>
        </w:rPr>
        <w:t xml:space="preserve"> chewing ability and comfort</w:t>
      </w:r>
      <w:r w:rsidR="00BB7620" w:rsidRPr="00787196">
        <w:rPr>
          <w:rFonts w:cs="Arial"/>
          <w:szCs w:val="24"/>
        </w:rPr>
        <w:t xml:space="preserve">. Comfortable dentures with good chewing ability meant a better performance with dentures </w:t>
      </w:r>
      <w:r w:rsidR="0011210E" w:rsidRPr="00787196">
        <w:rPr>
          <w:rFonts w:cs="Arial"/>
          <w:szCs w:val="24"/>
        </w:rPr>
        <w:t>w</w:t>
      </w:r>
      <w:r w:rsidRPr="00787196">
        <w:rPr>
          <w:rFonts w:cs="Arial"/>
          <w:szCs w:val="24"/>
        </w:rPr>
        <w:t>as</w:t>
      </w:r>
      <w:r w:rsidR="0011210E" w:rsidRPr="00787196">
        <w:rPr>
          <w:rFonts w:cs="Arial"/>
          <w:szCs w:val="24"/>
        </w:rPr>
        <w:t xml:space="preserve"> considered</w:t>
      </w:r>
      <w:r w:rsidRPr="00787196">
        <w:rPr>
          <w:rFonts w:cs="Arial"/>
          <w:szCs w:val="24"/>
        </w:rPr>
        <w:t xml:space="preserve"> an</w:t>
      </w:r>
      <w:r w:rsidR="0011210E" w:rsidRPr="00787196">
        <w:rPr>
          <w:rFonts w:cs="Arial"/>
          <w:szCs w:val="24"/>
        </w:rPr>
        <w:t xml:space="preserve"> </w:t>
      </w:r>
      <w:r w:rsidR="00BB7620" w:rsidRPr="00787196">
        <w:rPr>
          <w:rFonts w:cs="Arial"/>
          <w:szCs w:val="24"/>
        </w:rPr>
        <w:t xml:space="preserve">as an </w:t>
      </w:r>
      <w:r w:rsidR="0011210E" w:rsidRPr="00787196">
        <w:rPr>
          <w:rFonts w:cs="Arial"/>
          <w:szCs w:val="24"/>
        </w:rPr>
        <w:t xml:space="preserve">important </w:t>
      </w:r>
      <w:r w:rsidRPr="00787196">
        <w:rPr>
          <w:rFonts w:cs="Arial"/>
          <w:szCs w:val="24"/>
        </w:rPr>
        <w:t>tenet of</w:t>
      </w:r>
      <w:r w:rsidR="0011210E" w:rsidRPr="00787196">
        <w:rPr>
          <w:rFonts w:cs="Arial"/>
          <w:szCs w:val="24"/>
        </w:rPr>
        <w:t xml:space="preserve"> denture satisfaction </w:t>
      </w:r>
      <w:r w:rsidR="0011210E" w:rsidRPr="00787196">
        <w:rPr>
          <w:rFonts w:cs="Arial"/>
          <w:szCs w:val="24"/>
        </w:rPr>
        <w:fldChar w:fldCharType="begin"/>
      </w:r>
      <w:r w:rsidR="00CE759F" w:rsidRPr="00787196">
        <w:rPr>
          <w:rFonts w:cs="Arial"/>
          <w:szCs w:val="24"/>
        </w:rPr>
        <w:instrText xml:space="preserve"> ADDIN EN.CITE &lt;EndNote&gt;&lt;Cite&gt;&lt;Author&gt;Schultz&lt;/Author&gt;&lt;Year&gt;1951&lt;/Year&gt;&lt;RecNum&gt;0&lt;/RecNum&gt;&lt;IDText&gt;Comfort and chewing efficiency in dentures&lt;/IDText&gt;&lt;DisplayText&gt;(Schultz, 1951)&lt;/DisplayText&gt;&lt;record&gt;&lt;isbn&gt;0022-3913&lt;/isbn&gt;&lt;titles&gt;&lt;title&gt;Comfort and chewing efficiency in dentures&lt;/title&gt;&lt;secondary-title&gt;The Journal of Prosthetic Dentistry&lt;/secondary-title&gt;&lt;/titles&gt;&lt;pages&gt;38-48&lt;/pages&gt;&lt;number&gt;1&lt;/number&gt;&lt;contributors&gt;&lt;authors&gt;&lt;author&gt;Schultz, Arthur W.&lt;/author&gt;&lt;/authors&gt;&lt;/contributors&gt;&lt;added-date format="utc"&gt;1388726068&lt;/added-date&gt;&lt;ref-type name="Journal Article"&gt;17&lt;/ref-type&gt;&lt;dates&gt;&lt;year&gt;1951&lt;/year&gt;&lt;/dates&gt;&lt;rec-number&gt;1888&lt;/rec-number&gt;&lt;publisher&gt;Mosby&lt;/publisher&gt;&lt;last-updated-date format="utc"&gt;1388726068&lt;/last-updated-date&gt;&lt;volume&gt;1&lt;/volume&gt;&lt;/record&gt;&lt;/Cite&gt;&lt;/EndNote&gt;</w:instrText>
      </w:r>
      <w:r w:rsidR="0011210E" w:rsidRPr="00787196">
        <w:rPr>
          <w:rFonts w:cs="Arial"/>
          <w:szCs w:val="24"/>
        </w:rPr>
        <w:fldChar w:fldCharType="separate"/>
      </w:r>
      <w:r w:rsidR="0011210E" w:rsidRPr="00787196">
        <w:rPr>
          <w:rFonts w:cs="Arial"/>
          <w:szCs w:val="24"/>
        </w:rPr>
        <w:t>(Schultz, 1951)</w:t>
      </w:r>
      <w:r w:rsidR="0011210E" w:rsidRPr="00787196">
        <w:rPr>
          <w:rFonts w:cs="Arial"/>
          <w:szCs w:val="24"/>
        </w:rPr>
        <w:fldChar w:fldCharType="end"/>
      </w:r>
      <w:r w:rsidR="0011210E" w:rsidRPr="00787196">
        <w:rPr>
          <w:rFonts w:cs="Arial"/>
          <w:szCs w:val="24"/>
        </w:rPr>
        <w:t xml:space="preserve">. </w:t>
      </w:r>
      <w:r w:rsidR="00BB7620" w:rsidRPr="00787196">
        <w:rPr>
          <w:rFonts w:cs="Arial"/>
          <w:szCs w:val="24"/>
        </w:rPr>
        <w:t xml:space="preserve">A reduction in the number of </w:t>
      </w:r>
      <w:r w:rsidRPr="00787196">
        <w:rPr>
          <w:rFonts w:cs="Arial"/>
          <w:szCs w:val="24"/>
        </w:rPr>
        <w:t>denture c</w:t>
      </w:r>
      <w:r w:rsidR="0011210E" w:rsidRPr="00787196">
        <w:rPr>
          <w:rFonts w:cs="Arial"/>
          <w:szCs w:val="24"/>
        </w:rPr>
        <w:t>omplaints</w:t>
      </w:r>
      <w:r w:rsidRPr="00787196">
        <w:rPr>
          <w:rFonts w:cs="Arial"/>
          <w:szCs w:val="24"/>
        </w:rPr>
        <w:t xml:space="preserve"> </w:t>
      </w:r>
      <w:r w:rsidR="00425B54" w:rsidRPr="00787196">
        <w:rPr>
          <w:rFonts w:cs="Arial"/>
          <w:szCs w:val="24"/>
        </w:rPr>
        <w:t>post-delivery</w:t>
      </w:r>
      <w:r w:rsidR="00BB7620" w:rsidRPr="00787196">
        <w:rPr>
          <w:rFonts w:cs="Arial"/>
          <w:szCs w:val="24"/>
        </w:rPr>
        <w:t xml:space="preserve"> </w:t>
      </w:r>
      <w:r w:rsidRPr="00787196">
        <w:rPr>
          <w:rFonts w:cs="Arial"/>
          <w:szCs w:val="24"/>
        </w:rPr>
        <w:t xml:space="preserve">reported </w:t>
      </w:r>
      <w:r w:rsidR="0011210E" w:rsidRPr="00787196">
        <w:rPr>
          <w:rFonts w:cs="Arial"/>
          <w:szCs w:val="24"/>
        </w:rPr>
        <w:t xml:space="preserve">by patients was </w:t>
      </w:r>
      <w:r w:rsidR="00A85D5C" w:rsidRPr="00787196">
        <w:rPr>
          <w:rFonts w:cs="Arial"/>
          <w:szCs w:val="24"/>
        </w:rPr>
        <w:t xml:space="preserve">also </w:t>
      </w:r>
      <w:r w:rsidR="0011210E" w:rsidRPr="00787196">
        <w:rPr>
          <w:rFonts w:cs="Arial"/>
          <w:szCs w:val="24"/>
        </w:rPr>
        <w:t xml:space="preserve">considered </w:t>
      </w:r>
      <w:r w:rsidR="00BB7620" w:rsidRPr="00787196">
        <w:rPr>
          <w:rFonts w:cs="Arial"/>
          <w:szCs w:val="24"/>
        </w:rPr>
        <w:t xml:space="preserve">as an increase in </w:t>
      </w:r>
      <w:r w:rsidR="0011210E" w:rsidRPr="00787196">
        <w:rPr>
          <w:rFonts w:cs="Arial"/>
          <w:szCs w:val="24"/>
        </w:rPr>
        <w:t xml:space="preserve">denture satisfaction </w:t>
      </w:r>
      <w:r w:rsidR="0011210E" w:rsidRPr="00787196">
        <w:rPr>
          <w:rFonts w:cs="Arial"/>
          <w:szCs w:val="24"/>
        </w:rPr>
        <w:fldChar w:fldCharType="begin"/>
      </w:r>
      <w:r w:rsidR="00CE759F" w:rsidRPr="00787196">
        <w:rPr>
          <w:rFonts w:cs="Arial"/>
          <w:szCs w:val="24"/>
        </w:rPr>
        <w:instrText xml:space="preserve"> ADDIN EN.CITE &lt;EndNote&gt;&lt;Cite&gt;&lt;Author&gt;Pound&lt;/Author&gt;&lt;Year&gt;1965&lt;/Year&gt;&lt;RecNum&gt;0&lt;/RecNum&gt;&lt;IDText&gt;Preparatory dentures: a protective philosophy&lt;/IDText&gt;&lt;DisplayText&gt;(Pound, 1965)&lt;/DisplayText&gt;&lt;record&gt;&lt;isbn&gt;0022-3913&lt;/isbn&gt;&lt;titles&gt;&lt;title&gt;Preparatory dentures: a protective philosophy&lt;/title&gt;&lt;secondary-title&gt;The Journal of Prosthetic Dentistry&lt;/secondary-title&gt;&lt;/titles&gt;&lt;pages&gt;5-18&lt;/pages&gt;&lt;number&gt;1&lt;/number&gt;&lt;contributors&gt;&lt;authors&gt;&lt;author&gt;Pound, Earl&lt;/author&gt;&lt;/authors&gt;&lt;/contributors&gt;&lt;added-date format="utc"&gt;1388729325&lt;/added-date&gt;&lt;ref-type name="Journal Article"&gt;17&lt;/ref-type&gt;&lt;dates&gt;&lt;year&gt;1965&lt;/year&gt;&lt;/dates&gt;&lt;rec-number&gt;1889&lt;/rec-number&gt;&lt;publisher&gt;Elsevier&lt;/publisher&gt;&lt;last-updated-date format="utc"&gt;1388729325&lt;/last-updated-date&gt;&lt;volume&gt;15&lt;/volume&gt;&lt;/record&gt;&lt;/Cite&gt;&lt;/EndNote&gt;</w:instrText>
      </w:r>
      <w:r w:rsidR="0011210E" w:rsidRPr="00787196">
        <w:rPr>
          <w:rFonts w:cs="Arial"/>
          <w:szCs w:val="24"/>
        </w:rPr>
        <w:fldChar w:fldCharType="separate"/>
      </w:r>
      <w:r w:rsidR="0011210E" w:rsidRPr="00787196">
        <w:rPr>
          <w:rFonts w:cs="Arial"/>
          <w:szCs w:val="24"/>
        </w:rPr>
        <w:t>(Pound, 1965)</w:t>
      </w:r>
      <w:r w:rsidR="0011210E" w:rsidRPr="00787196">
        <w:rPr>
          <w:rFonts w:cs="Arial"/>
          <w:szCs w:val="24"/>
        </w:rPr>
        <w:fldChar w:fldCharType="end"/>
      </w:r>
      <w:r w:rsidR="001448A0" w:rsidRPr="00787196">
        <w:rPr>
          <w:rFonts w:cs="Arial"/>
          <w:szCs w:val="24"/>
        </w:rPr>
        <w:t>.</w:t>
      </w:r>
    </w:p>
    <w:p w14:paraId="79CE1F38" w14:textId="57291E90" w:rsidR="00815138" w:rsidRPr="00787196" w:rsidRDefault="00FD2A3F" w:rsidP="00425B54">
      <w:pPr>
        <w:rPr>
          <w:rFonts w:cs="Arial"/>
          <w:szCs w:val="24"/>
        </w:rPr>
      </w:pPr>
      <w:r w:rsidRPr="00787196">
        <w:rPr>
          <w:rFonts w:cs="Arial"/>
          <w:szCs w:val="24"/>
        </w:rPr>
        <w:t>Swoope</w:t>
      </w:r>
      <w:r w:rsidR="007A3E6C" w:rsidRPr="00787196">
        <w:rPr>
          <w:rFonts w:cs="Arial"/>
          <w:szCs w:val="24"/>
        </w:rPr>
        <w:t xml:space="preserve"> </w:t>
      </w:r>
      <w:r w:rsidR="007D6B7F" w:rsidRPr="00787196">
        <w:rPr>
          <w:rFonts w:cs="Arial"/>
          <w:szCs w:val="24"/>
        </w:rPr>
        <w:fldChar w:fldCharType="begin"/>
      </w:r>
      <w:r w:rsidR="00CE759F" w:rsidRPr="00787196">
        <w:rPr>
          <w:rFonts w:cs="Arial"/>
          <w:szCs w:val="24"/>
        </w:rPr>
        <w:instrText xml:space="preserve"> ADDIN EN.CITE &lt;EndNote&gt;&lt;Cite ExcludeAuth="1"&gt;&lt;Author&gt;Swoope&lt;/Author&gt;&lt;Year&gt;1973&lt;/Year&gt;&lt;RecNum&gt;0&lt;/RecNum&gt;&lt;IDText&gt;Predicting denture success&lt;/IDText&gt;&lt;DisplayText&gt;(1973)&lt;/DisplayText&gt;&lt;record&gt;&lt;isbn&gt;0022-3913&lt;/isbn&gt;&lt;titles&gt;&lt;title&gt;Predicting denture success&lt;/title&gt;&lt;secondary-title&gt;The Journal of Prosthetic Dentistry&lt;/secondary-title&gt;&lt;/titles&gt;&lt;pages&gt;860-865&lt;/pages&gt;&lt;number&gt;6&lt;/number&gt;&lt;contributors&gt;&lt;authors&gt;&lt;author&gt;Swoope, Charles C&lt;/author&gt;&lt;/authors&gt;&lt;/contributors&gt;&lt;added-date format="utc"&gt;1369651042&lt;/added-date&gt;&lt;ref-type name="Journal Article"&gt;17&lt;/ref-type&gt;&lt;dates&gt;&lt;year&gt;1973&lt;/year&gt;&lt;/dates&gt;&lt;rec-number&gt;695&lt;/rec-number&gt;&lt;last-updated-date format="utc"&gt;1369651042&lt;/last-updated-date&gt;&lt;volume&gt;30&lt;/volume&gt;&lt;/record&gt;&lt;/Cite&gt;&lt;/EndNote&gt;</w:instrText>
      </w:r>
      <w:r w:rsidR="007D6B7F" w:rsidRPr="00787196">
        <w:rPr>
          <w:rFonts w:cs="Arial"/>
          <w:szCs w:val="24"/>
        </w:rPr>
        <w:fldChar w:fldCharType="separate"/>
      </w:r>
      <w:r w:rsidRPr="00787196">
        <w:rPr>
          <w:rFonts w:cs="Arial"/>
          <w:szCs w:val="24"/>
        </w:rPr>
        <w:t>(1973)</w:t>
      </w:r>
      <w:r w:rsidR="007D6B7F" w:rsidRPr="00787196">
        <w:rPr>
          <w:rFonts w:cs="Arial"/>
          <w:szCs w:val="24"/>
        </w:rPr>
        <w:fldChar w:fldCharType="end"/>
      </w:r>
      <w:r w:rsidRPr="00787196">
        <w:rPr>
          <w:rFonts w:cs="Arial"/>
          <w:szCs w:val="24"/>
        </w:rPr>
        <w:t xml:space="preserve"> </w:t>
      </w:r>
      <w:r w:rsidR="001448A0" w:rsidRPr="00787196">
        <w:rPr>
          <w:rFonts w:cs="Arial"/>
          <w:szCs w:val="24"/>
        </w:rPr>
        <w:t>regarded</w:t>
      </w:r>
      <w:r w:rsidR="00BF0256" w:rsidRPr="00787196">
        <w:rPr>
          <w:rFonts w:cs="Arial"/>
          <w:szCs w:val="24"/>
        </w:rPr>
        <w:t xml:space="preserve"> denture </w:t>
      </w:r>
      <w:r w:rsidR="0039411C" w:rsidRPr="00787196">
        <w:rPr>
          <w:rFonts w:cs="Arial"/>
          <w:szCs w:val="24"/>
        </w:rPr>
        <w:t xml:space="preserve">satisfaction </w:t>
      </w:r>
      <w:r w:rsidR="001448A0" w:rsidRPr="00787196">
        <w:rPr>
          <w:rFonts w:cs="Arial"/>
          <w:szCs w:val="24"/>
        </w:rPr>
        <w:t xml:space="preserve">to be </w:t>
      </w:r>
      <w:r w:rsidR="00BF0256" w:rsidRPr="00787196">
        <w:rPr>
          <w:rFonts w:cs="Arial"/>
          <w:szCs w:val="24"/>
        </w:rPr>
        <w:t>related to</w:t>
      </w:r>
      <w:r w:rsidRPr="00787196">
        <w:rPr>
          <w:rFonts w:cs="Arial"/>
          <w:szCs w:val="24"/>
        </w:rPr>
        <w:t xml:space="preserve"> multiple factors</w:t>
      </w:r>
      <w:r w:rsidR="00BB7620" w:rsidRPr="00787196">
        <w:rPr>
          <w:rFonts w:cs="Arial"/>
          <w:szCs w:val="24"/>
        </w:rPr>
        <w:t xml:space="preserve">. Adjusting </w:t>
      </w:r>
      <w:r w:rsidR="0039411C" w:rsidRPr="00787196">
        <w:rPr>
          <w:rFonts w:cs="Arial"/>
          <w:szCs w:val="24"/>
        </w:rPr>
        <w:t xml:space="preserve">treatment needs in line with </w:t>
      </w:r>
      <w:r w:rsidR="00260D5F" w:rsidRPr="00787196">
        <w:rPr>
          <w:rFonts w:cs="Arial"/>
          <w:szCs w:val="24"/>
        </w:rPr>
        <w:t xml:space="preserve">the </w:t>
      </w:r>
      <w:r w:rsidR="0039411C" w:rsidRPr="00787196">
        <w:rPr>
          <w:rFonts w:cs="Arial"/>
          <w:szCs w:val="24"/>
        </w:rPr>
        <w:t>s</w:t>
      </w:r>
      <w:r w:rsidR="00260D5F" w:rsidRPr="00787196">
        <w:rPr>
          <w:rFonts w:cs="Arial"/>
          <w:szCs w:val="24"/>
        </w:rPr>
        <w:t>ubjective</w:t>
      </w:r>
      <w:r w:rsidR="0039411C" w:rsidRPr="00787196">
        <w:rPr>
          <w:rFonts w:cs="Arial"/>
          <w:szCs w:val="24"/>
        </w:rPr>
        <w:t xml:space="preserve"> needs of </w:t>
      </w:r>
      <w:r w:rsidR="00260D5F" w:rsidRPr="00787196">
        <w:rPr>
          <w:rFonts w:cs="Arial"/>
          <w:szCs w:val="24"/>
        </w:rPr>
        <w:t xml:space="preserve">an </w:t>
      </w:r>
      <w:r w:rsidR="0039411C" w:rsidRPr="00787196">
        <w:rPr>
          <w:rFonts w:cs="Arial"/>
          <w:szCs w:val="24"/>
        </w:rPr>
        <w:t>individual</w:t>
      </w:r>
      <w:r w:rsidR="00BB7620" w:rsidRPr="00787196">
        <w:rPr>
          <w:rFonts w:cs="Arial"/>
          <w:szCs w:val="24"/>
        </w:rPr>
        <w:t xml:space="preserve"> was considered to improve satisfaction</w:t>
      </w:r>
      <w:r w:rsidR="00260D5F" w:rsidRPr="00787196">
        <w:rPr>
          <w:rFonts w:cs="Arial"/>
          <w:szCs w:val="24"/>
        </w:rPr>
        <w:t xml:space="preserve">. </w:t>
      </w:r>
      <w:r w:rsidR="00BB7620" w:rsidRPr="00787196">
        <w:rPr>
          <w:rFonts w:cs="Arial"/>
          <w:szCs w:val="24"/>
        </w:rPr>
        <w:t xml:space="preserve">Denture satisfaction was also </w:t>
      </w:r>
      <w:r w:rsidR="00425B54" w:rsidRPr="00787196">
        <w:rPr>
          <w:rFonts w:cs="Arial"/>
          <w:szCs w:val="24"/>
        </w:rPr>
        <w:t>assessed</w:t>
      </w:r>
      <w:r w:rsidR="00BB7620" w:rsidRPr="00787196">
        <w:rPr>
          <w:rFonts w:cs="Arial"/>
          <w:szCs w:val="24"/>
        </w:rPr>
        <w:t xml:space="preserve"> by asking p</w:t>
      </w:r>
      <w:r w:rsidR="00B64950" w:rsidRPr="00787196">
        <w:rPr>
          <w:rFonts w:cs="Arial"/>
          <w:szCs w:val="24"/>
        </w:rPr>
        <w:t xml:space="preserve">atients </w:t>
      </w:r>
      <w:r w:rsidR="00BB7620" w:rsidRPr="00787196">
        <w:rPr>
          <w:rFonts w:cs="Arial"/>
          <w:szCs w:val="24"/>
        </w:rPr>
        <w:t xml:space="preserve">to </w:t>
      </w:r>
      <w:r w:rsidR="00B64950" w:rsidRPr="00787196">
        <w:rPr>
          <w:rFonts w:cs="Arial"/>
          <w:szCs w:val="24"/>
        </w:rPr>
        <w:t>rank factors</w:t>
      </w:r>
      <w:r w:rsidR="00BB7620" w:rsidRPr="00787196">
        <w:rPr>
          <w:rFonts w:cs="Arial"/>
          <w:szCs w:val="24"/>
        </w:rPr>
        <w:t xml:space="preserve"> </w:t>
      </w:r>
      <w:r w:rsidR="00B64950" w:rsidRPr="00787196">
        <w:rPr>
          <w:rFonts w:cs="Arial"/>
          <w:szCs w:val="24"/>
        </w:rPr>
        <w:t>in the</w:t>
      </w:r>
      <w:r w:rsidR="001448A0" w:rsidRPr="00787196">
        <w:rPr>
          <w:rFonts w:cs="Arial"/>
          <w:szCs w:val="24"/>
        </w:rPr>
        <w:t>ir</w:t>
      </w:r>
      <w:r w:rsidR="00B64950" w:rsidRPr="00787196">
        <w:rPr>
          <w:rFonts w:cs="Arial"/>
          <w:szCs w:val="24"/>
        </w:rPr>
        <w:t xml:space="preserve"> order of importance. </w:t>
      </w:r>
      <w:r w:rsidR="00BB7620" w:rsidRPr="00787196">
        <w:rPr>
          <w:rFonts w:cs="Arial"/>
          <w:szCs w:val="24"/>
        </w:rPr>
        <w:t>Factors that were included were c</w:t>
      </w:r>
      <w:r w:rsidR="00B64950" w:rsidRPr="00787196">
        <w:rPr>
          <w:rFonts w:cs="Arial"/>
          <w:szCs w:val="24"/>
        </w:rPr>
        <w:t xml:space="preserve">omfort, chewing ability, retention, appearance and other’s opinions </w:t>
      </w:r>
      <w:r w:rsidR="00BB7620" w:rsidRPr="00787196">
        <w:rPr>
          <w:rFonts w:cs="Arial"/>
          <w:szCs w:val="24"/>
        </w:rPr>
        <w:t>on their dentures</w:t>
      </w:r>
      <w:r w:rsidR="00182FDA" w:rsidRPr="00787196">
        <w:rPr>
          <w:rFonts w:cs="Arial"/>
          <w:szCs w:val="24"/>
        </w:rPr>
        <w:t xml:space="preserve"> </w:t>
      </w:r>
      <w:r w:rsidR="007D6B7F" w:rsidRPr="00787196">
        <w:rPr>
          <w:rFonts w:cs="Arial"/>
          <w:szCs w:val="24"/>
        </w:rPr>
        <w:fldChar w:fldCharType="begin"/>
      </w:r>
      <w:r w:rsidR="00223957" w:rsidRPr="00787196">
        <w:rPr>
          <w:rFonts w:cs="Arial"/>
          <w:szCs w:val="24"/>
        </w:rPr>
        <w:instrText xml:space="preserve"> ADDIN EN.CITE &lt;EndNote&gt;&lt;Cite&gt;&lt;Author&gt;Guckes&lt;/Author&gt;&lt;Year&gt;1978&lt;/Year&gt;&lt;RecNum&gt;0&lt;/RecNum&gt;&lt;IDText&gt;Counseling and related factors influencing satisfaction with dentures&lt;/IDText&gt;&lt;DisplayText&gt;(Guckes et al., 1978)&lt;/DisplayText&gt;&lt;record&gt;&lt;dates&gt;&lt;pub-dates&gt;&lt;date&gt;Mar&lt;/date&gt;&lt;/pub-dates&gt;&lt;year&gt;1978&lt;/year&gt;&lt;/dates&gt;&lt;isbn&gt;0022-3913 (Print)&amp;#xD;0022-3913 (Linking)&lt;/isbn&gt;&lt;titles&gt;&lt;title&gt;Counseling and related factors influencing satisfaction with dentures&lt;/title&gt;&lt;secondary-title&gt;J Prosthet Dent&lt;/secondary-title&gt;&lt;alt-title&gt;The Journal of prosthetic dentistry&lt;/alt-title&gt;&lt;/titles&gt;&lt;pages&gt;259-67&lt;/pages&gt;&lt;number&gt;3&lt;/number&gt;&lt;contributors&gt;&lt;authors&gt;&lt;author&gt;Guckes, A. D.&lt;/author&gt;&lt;author&gt;Smith, D. E.&lt;/author&gt;&lt;author&gt;Swoope, C. C.&lt;/author&gt;&lt;/authors&gt;&lt;/contributors&gt;&lt;edition&gt;1978/03/01&lt;/edition&gt;&lt;language&gt;eng&lt;/language&gt;&lt;added-date format="utc"&gt;1365772678&lt;/added-date&gt;&lt;ref-type name="Journal Article"&gt;17&lt;/ref-type&gt;&lt;remote-database-provider&gt;NLM&lt;/remote-database-provider&gt;&lt;rec-number&gt;636&lt;/rec-number&gt;&lt;last-updated-date format="utc"&gt;1385713712&lt;/last-updated-date&gt;&lt;accession-num&gt;273089&lt;/accession-num&gt;&lt;volume&gt;39&lt;/volume&gt;&lt;/record&gt;&lt;/Cite&gt;&lt;/EndNote&gt;</w:instrText>
      </w:r>
      <w:r w:rsidR="007D6B7F" w:rsidRPr="00787196">
        <w:rPr>
          <w:rFonts w:cs="Arial"/>
          <w:szCs w:val="24"/>
        </w:rPr>
        <w:fldChar w:fldCharType="separate"/>
      </w:r>
      <w:r w:rsidR="00182FDA" w:rsidRPr="00787196">
        <w:rPr>
          <w:rFonts w:cs="Arial"/>
          <w:szCs w:val="24"/>
        </w:rPr>
        <w:t>(Guckes et al., 1978)</w:t>
      </w:r>
      <w:r w:rsidR="007D6B7F" w:rsidRPr="00787196">
        <w:rPr>
          <w:rFonts w:cs="Arial"/>
          <w:szCs w:val="24"/>
        </w:rPr>
        <w:fldChar w:fldCharType="end"/>
      </w:r>
      <w:r w:rsidR="00B64950" w:rsidRPr="00787196">
        <w:rPr>
          <w:rFonts w:cs="Arial"/>
          <w:szCs w:val="24"/>
        </w:rPr>
        <w:t>.</w:t>
      </w:r>
    </w:p>
    <w:p w14:paraId="773F88FC" w14:textId="65B45713" w:rsidR="00BB7620" w:rsidRPr="00787196" w:rsidRDefault="00BB7620" w:rsidP="000E6F9D">
      <w:pPr>
        <w:rPr>
          <w:rFonts w:cs="Arial"/>
          <w:szCs w:val="24"/>
        </w:rPr>
      </w:pPr>
      <w:r w:rsidRPr="00787196">
        <w:rPr>
          <w:rFonts w:cs="Arial"/>
          <w:szCs w:val="24"/>
        </w:rPr>
        <w:t xml:space="preserve">The </w:t>
      </w:r>
      <w:r w:rsidR="00694BF2" w:rsidRPr="00787196">
        <w:rPr>
          <w:rFonts w:cs="Arial"/>
          <w:szCs w:val="24"/>
        </w:rPr>
        <w:t>early</w:t>
      </w:r>
      <w:r w:rsidRPr="00787196">
        <w:rPr>
          <w:rFonts w:cs="Arial"/>
          <w:szCs w:val="24"/>
        </w:rPr>
        <w:t xml:space="preserve"> studies based </w:t>
      </w:r>
      <w:r w:rsidR="00A85D5C" w:rsidRPr="00787196">
        <w:rPr>
          <w:rFonts w:cs="Arial"/>
          <w:szCs w:val="24"/>
        </w:rPr>
        <w:t xml:space="preserve">on </w:t>
      </w:r>
      <w:r w:rsidRPr="00787196">
        <w:rPr>
          <w:rFonts w:cs="Arial"/>
          <w:szCs w:val="24"/>
        </w:rPr>
        <w:t xml:space="preserve">denture satisfaction were not very specific </w:t>
      </w:r>
      <w:r w:rsidR="00A85D5C" w:rsidRPr="00787196">
        <w:rPr>
          <w:rFonts w:cs="Arial"/>
          <w:szCs w:val="24"/>
        </w:rPr>
        <w:t xml:space="preserve">and </w:t>
      </w:r>
      <w:r w:rsidR="00425B54" w:rsidRPr="00787196">
        <w:rPr>
          <w:rFonts w:cs="Arial"/>
          <w:szCs w:val="24"/>
        </w:rPr>
        <w:t>did not</w:t>
      </w:r>
      <w:r w:rsidRPr="00787196">
        <w:rPr>
          <w:rFonts w:cs="Arial"/>
          <w:szCs w:val="24"/>
        </w:rPr>
        <w:t xml:space="preserve"> clear</w:t>
      </w:r>
      <w:r w:rsidR="00A85D5C" w:rsidRPr="00787196">
        <w:rPr>
          <w:rFonts w:cs="Arial"/>
          <w:szCs w:val="24"/>
        </w:rPr>
        <w:t>ly</w:t>
      </w:r>
      <w:r w:rsidRPr="00787196">
        <w:rPr>
          <w:rFonts w:cs="Arial"/>
          <w:szCs w:val="24"/>
        </w:rPr>
        <w:t xml:space="preserve"> </w:t>
      </w:r>
      <w:r w:rsidR="00A85D5C" w:rsidRPr="00787196">
        <w:rPr>
          <w:rFonts w:cs="Arial"/>
          <w:szCs w:val="24"/>
        </w:rPr>
        <w:t>conceptualise</w:t>
      </w:r>
      <w:r w:rsidRPr="00787196">
        <w:rPr>
          <w:rFonts w:cs="Arial"/>
          <w:szCs w:val="24"/>
        </w:rPr>
        <w:t xml:space="preserve"> denture satisfaction. However, </w:t>
      </w:r>
      <w:r w:rsidR="00694BF2" w:rsidRPr="00787196">
        <w:rPr>
          <w:rFonts w:cs="Arial"/>
          <w:szCs w:val="24"/>
        </w:rPr>
        <w:t>relatively recent</w:t>
      </w:r>
      <w:r w:rsidRPr="00787196">
        <w:rPr>
          <w:rFonts w:cs="Arial"/>
          <w:szCs w:val="24"/>
        </w:rPr>
        <w:t xml:space="preserve"> research studies assess</w:t>
      </w:r>
      <w:r w:rsidR="00694BF2" w:rsidRPr="00787196">
        <w:rPr>
          <w:rFonts w:cs="Arial"/>
          <w:szCs w:val="24"/>
        </w:rPr>
        <w:t>ed</w:t>
      </w:r>
      <w:r w:rsidRPr="00787196">
        <w:rPr>
          <w:rFonts w:cs="Arial"/>
          <w:szCs w:val="24"/>
        </w:rPr>
        <w:t xml:space="preserve"> denture satisfaction </w:t>
      </w:r>
      <w:r w:rsidR="00A85D5C" w:rsidRPr="00787196">
        <w:rPr>
          <w:rFonts w:cs="Arial"/>
          <w:szCs w:val="24"/>
        </w:rPr>
        <w:t>in comparisons with</w:t>
      </w:r>
      <w:r w:rsidRPr="00787196">
        <w:rPr>
          <w:rFonts w:cs="Arial"/>
          <w:szCs w:val="24"/>
        </w:rPr>
        <w:t xml:space="preserve"> clinical outcomes and </w:t>
      </w:r>
      <w:r w:rsidR="00A85D5C" w:rsidRPr="00787196">
        <w:rPr>
          <w:rFonts w:cs="Arial"/>
          <w:szCs w:val="24"/>
        </w:rPr>
        <w:t xml:space="preserve">other </w:t>
      </w:r>
      <w:r w:rsidRPr="00787196">
        <w:rPr>
          <w:rFonts w:cs="Arial"/>
          <w:szCs w:val="24"/>
        </w:rPr>
        <w:t>patient reported outcomes.</w:t>
      </w:r>
      <w:r w:rsidR="00694BF2" w:rsidRPr="00787196">
        <w:rPr>
          <w:rFonts w:cs="Arial"/>
          <w:szCs w:val="24"/>
        </w:rPr>
        <w:t xml:space="preserve"> They considered denture satisfaction as a multi-factorial </w:t>
      </w:r>
      <w:r w:rsidR="00930D82" w:rsidRPr="00787196">
        <w:rPr>
          <w:rFonts w:cs="Arial"/>
          <w:szCs w:val="24"/>
        </w:rPr>
        <w:t>concept.</w:t>
      </w:r>
    </w:p>
    <w:p w14:paraId="7390AF30" w14:textId="5EB46E14" w:rsidR="006D26CE" w:rsidRPr="00787196" w:rsidRDefault="003F496A" w:rsidP="00226A04">
      <w:pPr>
        <w:pStyle w:val="Heading4"/>
      </w:pPr>
      <w:r w:rsidRPr="00787196">
        <w:t xml:space="preserve">Denture satisfaction and </w:t>
      </w:r>
      <w:r w:rsidR="006D26CE" w:rsidRPr="00787196">
        <w:t>clinical factors</w:t>
      </w:r>
    </w:p>
    <w:p w14:paraId="42B07BC0" w14:textId="00729AB4" w:rsidR="00930D82" w:rsidRPr="00787196" w:rsidRDefault="00092ED4" w:rsidP="004C3A25">
      <w:pPr>
        <w:rPr>
          <w:rFonts w:cs="Arial"/>
          <w:szCs w:val="24"/>
        </w:rPr>
      </w:pPr>
      <w:r w:rsidRPr="00787196">
        <w:rPr>
          <w:rFonts w:cs="Arial"/>
          <w:szCs w:val="24"/>
        </w:rPr>
        <w:t>Denture sa</w:t>
      </w:r>
      <w:r w:rsidR="008A2429" w:rsidRPr="00787196">
        <w:rPr>
          <w:rFonts w:cs="Arial"/>
          <w:szCs w:val="24"/>
        </w:rPr>
        <w:t>t</w:t>
      </w:r>
      <w:r w:rsidRPr="00787196">
        <w:rPr>
          <w:rFonts w:cs="Arial"/>
          <w:szCs w:val="24"/>
        </w:rPr>
        <w:t xml:space="preserve">isfaction has been assessed against </w:t>
      </w:r>
      <w:r w:rsidR="00B30E51" w:rsidRPr="00787196">
        <w:rPr>
          <w:rFonts w:cs="Arial"/>
          <w:szCs w:val="24"/>
        </w:rPr>
        <w:t>clinical</w:t>
      </w:r>
      <w:r w:rsidRPr="00787196">
        <w:rPr>
          <w:rFonts w:cs="Arial"/>
          <w:szCs w:val="24"/>
        </w:rPr>
        <w:t xml:space="preserve"> outcomes of dentures. </w:t>
      </w:r>
      <w:r w:rsidR="003F496A" w:rsidRPr="00787196">
        <w:rPr>
          <w:rFonts w:cs="Arial"/>
          <w:szCs w:val="24"/>
        </w:rPr>
        <w:t xml:space="preserve">Positive </w:t>
      </w:r>
      <w:r w:rsidR="006D26CE" w:rsidRPr="00787196">
        <w:rPr>
          <w:rFonts w:cs="Arial"/>
          <w:szCs w:val="24"/>
        </w:rPr>
        <w:t>association</w:t>
      </w:r>
      <w:r w:rsidR="00883189" w:rsidRPr="00787196">
        <w:rPr>
          <w:rFonts w:cs="Arial"/>
          <w:szCs w:val="24"/>
        </w:rPr>
        <w:t xml:space="preserve">s </w:t>
      </w:r>
      <w:r w:rsidRPr="00787196">
        <w:rPr>
          <w:rFonts w:cs="Arial"/>
          <w:szCs w:val="24"/>
        </w:rPr>
        <w:t xml:space="preserve">were observed </w:t>
      </w:r>
      <w:r w:rsidR="00883189" w:rsidRPr="00787196">
        <w:rPr>
          <w:rFonts w:cs="Arial"/>
          <w:szCs w:val="24"/>
        </w:rPr>
        <w:t xml:space="preserve">between denture quality </w:t>
      </w:r>
      <w:r w:rsidR="006D26CE" w:rsidRPr="00787196">
        <w:rPr>
          <w:rFonts w:cs="Arial"/>
          <w:szCs w:val="24"/>
        </w:rPr>
        <w:t>and patients’ satisfaction</w:t>
      </w:r>
      <w:r w:rsidRPr="00787196">
        <w:rPr>
          <w:rFonts w:cs="Arial"/>
          <w:szCs w:val="24"/>
        </w:rPr>
        <w:t xml:space="preserve"> </w:t>
      </w:r>
      <w:r w:rsidR="006D26CE" w:rsidRPr="00787196">
        <w:rPr>
          <w:rFonts w:cs="Arial"/>
          <w:szCs w:val="24"/>
        </w:rPr>
        <w:fldChar w:fldCharType="begin">
          <w:fldData xml:space="preserve">PEVuZE5vdGU+PENpdGU+PEF1dGhvcj5UdXJieWZpbGw8L0F1dGhvcj48WWVhcj4xOTg5PC9ZZWFy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PEVuZE5vdGU+PENpdGU+PEF1dGhvcj5UdXJieWZpbGw8L0F1dGhvcj48WWVhcj4xOTg5PC9ZZWFy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006D26CE" w:rsidRPr="00787196">
        <w:rPr>
          <w:rFonts w:cs="Arial"/>
          <w:szCs w:val="24"/>
        </w:rPr>
      </w:r>
      <w:r w:rsidR="006D26CE" w:rsidRPr="00787196">
        <w:rPr>
          <w:rFonts w:cs="Arial"/>
          <w:szCs w:val="24"/>
        </w:rPr>
        <w:fldChar w:fldCharType="separate"/>
      </w:r>
      <w:r w:rsidR="006D26CE" w:rsidRPr="00787196">
        <w:rPr>
          <w:rFonts w:cs="Arial"/>
          <w:szCs w:val="24"/>
        </w:rPr>
        <w:t>(Turbyfill, 1989, van Waas, 1990, Garrett et al., 1996, Sato et al., 2000, Čelebić et al., 2003, Anastassiadou and Robin Heath, 2006, Fenlon and Sherriff, 2008)</w:t>
      </w:r>
      <w:r w:rsidR="006D26CE" w:rsidRPr="00787196">
        <w:rPr>
          <w:rFonts w:cs="Arial"/>
          <w:szCs w:val="24"/>
        </w:rPr>
        <w:fldChar w:fldCharType="end"/>
      </w:r>
      <w:r w:rsidR="006D26CE" w:rsidRPr="00787196">
        <w:rPr>
          <w:rFonts w:cs="Arial"/>
          <w:szCs w:val="24"/>
        </w:rPr>
        <w:t xml:space="preserve">. </w:t>
      </w:r>
      <w:r w:rsidR="004E31A7" w:rsidRPr="00787196">
        <w:rPr>
          <w:rFonts w:cs="Arial"/>
          <w:szCs w:val="24"/>
        </w:rPr>
        <w:t>Patient experience</w:t>
      </w:r>
      <w:r w:rsidR="00883189" w:rsidRPr="00787196">
        <w:rPr>
          <w:rFonts w:cs="Arial"/>
          <w:szCs w:val="24"/>
        </w:rPr>
        <w:t xml:space="preserve"> with wearing dentures (</w:t>
      </w:r>
      <w:r w:rsidR="004E31A7" w:rsidRPr="00787196">
        <w:rPr>
          <w:rFonts w:cs="Arial"/>
          <w:szCs w:val="24"/>
        </w:rPr>
        <w:t>age of dentures</w:t>
      </w:r>
      <w:r w:rsidR="00883189" w:rsidRPr="00787196">
        <w:rPr>
          <w:rFonts w:cs="Arial"/>
          <w:szCs w:val="24"/>
        </w:rPr>
        <w:t>)</w:t>
      </w:r>
      <w:r w:rsidR="004E31A7" w:rsidRPr="00787196">
        <w:rPr>
          <w:rFonts w:cs="Arial"/>
          <w:szCs w:val="24"/>
        </w:rPr>
        <w:t xml:space="preserve"> </w:t>
      </w:r>
      <w:r w:rsidRPr="00787196">
        <w:rPr>
          <w:rFonts w:cs="Arial"/>
          <w:szCs w:val="24"/>
        </w:rPr>
        <w:t xml:space="preserve">was </w:t>
      </w:r>
      <w:r w:rsidR="004E31A7" w:rsidRPr="00787196">
        <w:rPr>
          <w:rFonts w:cs="Arial"/>
          <w:szCs w:val="24"/>
        </w:rPr>
        <w:t xml:space="preserve">also </w:t>
      </w:r>
      <w:r w:rsidRPr="00787196">
        <w:rPr>
          <w:rFonts w:cs="Arial"/>
          <w:szCs w:val="24"/>
        </w:rPr>
        <w:t>rel</w:t>
      </w:r>
      <w:r w:rsidR="00883189" w:rsidRPr="00787196">
        <w:rPr>
          <w:rFonts w:cs="Arial"/>
          <w:szCs w:val="24"/>
        </w:rPr>
        <w:t>ated to</w:t>
      </w:r>
      <w:r w:rsidR="004E31A7" w:rsidRPr="00787196">
        <w:rPr>
          <w:rFonts w:cs="Arial"/>
          <w:szCs w:val="24"/>
        </w:rPr>
        <w:t xml:space="preserve"> denture satisfaction </w:t>
      </w:r>
      <w:r w:rsidR="004E31A7" w:rsidRPr="00787196">
        <w:rPr>
          <w:rFonts w:cs="Arial"/>
          <w:szCs w:val="24"/>
        </w:rPr>
        <w:fldChar w:fldCharType="begin">
          <w:fldData xml:space="preserve">PEVuZE5vdGU+PENpdGU+PEF1dGhvcj5XZWluc3RlaW48L0F1dGhvcj48WWVhcj4xOTg4PC9ZZWFy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PEVuZE5vdGU+PENpdGU+PEF1dGhvcj5XZWluc3RlaW48L0F1dGhvcj48WWVhcj4xOTg4PC9ZZWFy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004E31A7" w:rsidRPr="00787196">
        <w:rPr>
          <w:rFonts w:cs="Arial"/>
          <w:szCs w:val="24"/>
        </w:rPr>
      </w:r>
      <w:r w:rsidR="004E31A7" w:rsidRPr="00787196">
        <w:rPr>
          <w:rFonts w:cs="Arial"/>
          <w:szCs w:val="24"/>
        </w:rPr>
        <w:fldChar w:fldCharType="separate"/>
      </w:r>
      <w:r w:rsidR="004E31A7" w:rsidRPr="00787196">
        <w:rPr>
          <w:rFonts w:cs="Arial"/>
          <w:szCs w:val="24"/>
        </w:rPr>
        <w:t>(Weinstein et al., 1988, Berg, 1988)</w:t>
      </w:r>
      <w:r w:rsidR="004E31A7" w:rsidRPr="00787196">
        <w:rPr>
          <w:rFonts w:cs="Arial"/>
          <w:szCs w:val="24"/>
        </w:rPr>
        <w:fldChar w:fldCharType="end"/>
      </w:r>
      <w:r w:rsidR="004E31A7" w:rsidRPr="00787196">
        <w:rPr>
          <w:rFonts w:cs="Arial"/>
          <w:szCs w:val="24"/>
        </w:rPr>
        <w:t>.</w:t>
      </w:r>
    </w:p>
    <w:p w14:paraId="47A59739" w14:textId="77777777" w:rsidR="00930D82" w:rsidRPr="00787196" w:rsidRDefault="00930D82">
      <w:pPr>
        <w:spacing w:before="0" w:after="0" w:line="240" w:lineRule="auto"/>
        <w:jc w:val="left"/>
        <w:rPr>
          <w:rFonts w:cs="Arial"/>
          <w:szCs w:val="24"/>
        </w:rPr>
      </w:pPr>
      <w:r w:rsidRPr="00787196">
        <w:rPr>
          <w:rFonts w:cs="Arial"/>
          <w:szCs w:val="24"/>
        </w:rPr>
        <w:br w:type="page"/>
      </w:r>
    </w:p>
    <w:p w14:paraId="6F1DE39C" w14:textId="603DFA3B" w:rsidR="00355123" w:rsidRPr="00787196" w:rsidRDefault="00355123" w:rsidP="00082A47">
      <w:pPr>
        <w:rPr>
          <w:rFonts w:cs="Arial"/>
          <w:szCs w:val="24"/>
        </w:rPr>
      </w:pPr>
      <w:r w:rsidRPr="00787196">
        <w:rPr>
          <w:rFonts w:cs="Arial"/>
          <w:szCs w:val="24"/>
        </w:rPr>
        <w:lastRenderedPageBreak/>
        <w:t xml:space="preserve">Fenlon and Sheriff (2008) </w:t>
      </w:r>
      <w:r w:rsidR="001D6304" w:rsidRPr="00787196">
        <w:rPr>
          <w:rFonts w:cs="Arial"/>
          <w:szCs w:val="24"/>
        </w:rPr>
        <w:t xml:space="preserve">investigated the factors influencing patient satisfaction with new complete dentures. They recruited 723 patients receiving new complete dentures at a University teaching hospital in London </w:t>
      </w:r>
      <w:r w:rsidR="00BF73F5" w:rsidRPr="00787196">
        <w:rPr>
          <w:rFonts w:cs="Arial"/>
          <w:szCs w:val="24"/>
        </w:rPr>
        <w:t>who</w:t>
      </w:r>
      <w:r w:rsidR="001D6304" w:rsidRPr="00787196">
        <w:rPr>
          <w:rFonts w:cs="Arial"/>
          <w:szCs w:val="24"/>
        </w:rPr>
        <w:t xml:space="preserve"> were sent a postal questionnaire to assess satisfaction with their dentures. The study found significant relationships between the quality of dentures</w:t>
      </w:r>
      <w:r w:rsidR="008D3E06" w:rsidRPr="00787196">
        <w:rPr>
          <w:rFonts w:cs="Arial"/>
          <w:szCs w:val="24"/>
        </w:rPr>
        <w:t>, residual alveolar ridge, adaptability and denture satisfaction. The study concluded by stating that residual alveolar ridge quality, retention and stability of dentures, jaw relationship accuracy and patient adaptability were strong determinants of denture satisfaction.</w:t>
      </w:r>
    </w:p>
    <w:p w14:paraId="0B9F8698" w14:textId="7F7F8C7B" w:rsidR="006D26CE" w:rsidRPr="00787196" w:rsidRDefault="006D26CE" w:rsidP="00082A47">
      <w:pPr>
        <w:rPr>
          <w:rFonts w:cs="Arial"/>
          <w:szCs w:val="24"/>
        </w:rPr>
      </w:pPr>
      <w:r w:rsidRPr="00787196">
        <w:rPr>
          <w:rFonts w:cs="Arial"/>
          <w:szCs w:val="24"/>
        </w:rPr>
        <w:t xml:space="preserve">Conversely, studies </w:t>
      </w:r>
      <w:r w:rsidR="00883189" w:rsidRPr="00787196">
        <w:rPr>
          <w:rFonts w:cs="Arial"/>
          <w:szCs w:val="24"/>
        </w:rPr>
        <w:t xml:space="preserve">have </w:t>
      </w:r>
      <w:r w:rsidRPr="00787196">
        <w:rPr>
          <w:rFonts w:cs="Arial"/>
          <w:szCs w:val="24"/>
        </w:rPr>
        <w:t>also show</w:t>
      </w:r>
      <w:r w:rsidR="00092ED4" w:rsidRPr="00787196">
        <w:rPr>
          <w:rFonts w:cs="Arial"/>
          <w:szCs w:val="24"/>
        </w:rPr>
        <w:t>ed</w:t>
      </w:r>
      <w:r w:rsidRPr="00787196">
        <w:rPr>
          <w:rFonts w:cs="Arial"/>
          <w:szCs w:val="24"/>
        </w:rPr>
        <w:t xml:space="preserve"> poor relationship</w:t>
      </w:r>
      <w:r w:rsidR="00883189" w:rsidRPr="00787196">
        <w:rPr>
          <w:rFonts w:cs="Arial"/>
          <w:szCs w:val="24"/>
        </w:rPr>
        <w:t>s</w:t>
      </w:r>
      <w:r w:rsidRPr="00787196">
        <w:rPr>
          <w:rFonts w:cs="Arial"/>
          <w:szCs w:val="24"/>
        </w:rPr>
        <w:t xml:space="preserve"> between patient satisfaction and </w:t>
      </w:r>
      <w:r w:rsidR="00883189" w:rsidRPr="00787196">
        <w:rPr>
          <w:rFonts w:cs="Arial"/>
          <w:szCs w:val="24"/>
        </w:rPr>
        <w:t>clinical parameters</w:t>
      </w:r>
      <w:r w:rsidR="00092ED4" w:rsidRPr="00787196">
        <w:rPr>
          <w:rFonts w:cs="Arial"/>
          <w:szCs w:val="24"/>
        </w:rPr>
        <w:t xml:space="preserve">. Studies showed individuals </w:t>
      </w:r>
      <w:r w:rsidRPr="00787196">
        <w:rPr>
          <w:rFonts w:cs="Arial"/>
          <w:szCs w:val="24"/>
        </w:rPr>
        <w:t xml:space="preserve">dissatisfied with their dentures </w:t>
      </w:r>
      <w:r w:rsidR="00092ED4" w:rsidRPr="00787196">
        <w:rPr>
          <w:rFonts w:cs="Arial"/>
          <w:szCs w:val="24"/>
        </w:rPr>
        <w:t xml:space="preserve">even though the dentures delivered to them were fabricated in compliance with </w:t>
      </w:r>
      <w:r w:rsidRPr="00787196">
        <w:rPr>
          <w:rFonts w:cs="Arial"/>
          <w:szCs w:val="24"/>
        </w:rPr>
        <w:t xml:space="preserve">normative </w:t>
      </w:r>
      <w:r w:rsidR="00092ED4" w:rsidRPr="00787196">
        <w:rPr>
          <w:rFonts w:cs="Arial"/>
          <w:szCs w:val="24"/>
        </w:rPr>
        <w:t>clinical standards</w:t>
      </w:r>
      <w:r w:rsidRPr="00787196">
        <w:rPr>
          <w:rFonts w:cs="Arial"/>
          <w:szCs w:val="24"/>
        </w:rPr>
        <w:t xml:space="preserve"> </w:t>
      </w:r>
      <w:r w:rsidR="008D3E06" w:rsidRPr="00787196">
        <w:rPr>
          <w:rFonts w:cs="Arial"/>
          <w:szCs w:val="24"/>
        </w:rPr>
        <w:t>P</w:t>
      </w:r>
      <w:r w:rsidRPr="00787196">
        <w:rPr>
          <w:rFonts w:cs="Arial"/>
          <w:szCs w:val="24"/>
        </w:rPr>
        <w:t>atients have sometimes shown high levels of patient appreciation for dentures that were rated of poor clinical quality</w:t>
      </w:r>
      <w:r w:rsidR="004C644C" w:rsidRPr="00787196">
        <w:rPr>
          <w:rFonts w:cs="Arial"/>
          <w:szCs w:val="24"/>
        </w:rPr>
        <w:t xml:space="preserve"> over time</w:t>
      </w:r>
      <w:r w:rsidRPr="00787196">
        <w:rPr>
          <w:rFonts w:cs="Arial"/>
          <w:szCs w:val="24"/>
        </w:rPr>
        <w:t xml:space="preserve"> </w:t>
      </w:r>
      <w:r w:rsidRPr="00787196">
        <w:rPr>
          <w:rFonts w:cs="Arial"/>
          <w:szCs w:val="24"/>
        </w:rPr>
        <w:fldChar w:fldCharType="begin"/>
      </w:r>
      <w:r w:rsidR="00D91B3C" w:rsidRPr="00787196">
        <w:rPr>
          <w:rFonts w:cs="Arial"/>
          <w:szCs w:val="24"/>
        </w:rPr>
        <w:instrText xml:space="preserve"> ADDIN EN.CITE &lt;EndNote&gt;&lt;Cite&gt;&lt;Author&gt;Berg&lt;/Author&gt;&lt;Year&gt;1993&lt;/Year&gt;&lt;IDText&gt;Acceptance of full dentures&lt;/IDText&gt;&lt;DisplayText&gt;(Berg, 1993, Fenlon and Sherriff, 2004)&lt;/DisplayText&gt;&lt;record&gt;&lt;isbn&gt;0020-6539&lt;/isbn&gt;&lt;titles&gt;&lt;title&gt;Acceptance of full dentures&lt;/title&gt;&lt;secondary-title&gt;International dental journal&lt;/secondary-title&gt;&lt;/titles&gt;&lt;pages&gt;299&lt;/pages&gt;&lt;number&gt;3 Suppl 1&lt;/number&gt;&lt;contributors&gt;&lt;authors&gt;&lt;author&gt;Berg, E.&lt;/author&gt;&lt;/authors&gt;&lt;/contributors&gt;&lt;added-date format="utc"&gt;1469778557&lt;/added-date&gt;&lt;ref-type name="Journal Article"&gt;17&lt;/ref-type&gt;&lt;dates&gt;&lt;year&gt;1993&lt;/year&gt;&lt;/dates&gt;&lt;rec-number&gt;2517&lt;/rec-number&gt;&lt;last-updated-date format="utc"&gt;1469778557&lt;/last-updated-date&gt;&lt;volume&gt;43&lt;/volume&gt;&lt;/record&gt;&lt;/Cite&gt;&lt;Cite&gt;&lt;Author&gt;Fenlon&lt;/Author&gt;&lt;Year&gt;2004&lt;/Year&gt;&lt;RecNum&gt;0&lt;/RecNum&gt;&lt;IDText&gt;Investigation of new complete denture quality and patients&amp;apos; satisfaction with and use of dentures after two years&lt;/IDText&gt;&lt;record&gt;&lt;dates&gt;&lt;pub-dates&gt;&lt;date&gt;5//&lt;/date&gt;&lt;/pub-dates&gt;&lt;year&gt;2004&lt;/year&gt;&lt;/dates&gt;&lt;keywords&gt;&lt;keyword&gt;Prosthetic dentistry&lt;/keyword&gt;&lt;keyword&gt;Treatment need&lt;/keyword&gt;&lt;keyword&gt;Complete dentures&lt;/keyword&gt;&lt;keyword&gt;Patient satisfaction&lt;/keyword&gt;&lt;keyword&gt;Denture success&lt;/keyword&gt;&lt;/keywords&gt;&lt;urls&gt;&lt;related-urls&gt;&lt;url&gt;http://www.sciencedirect.com/science/article/pii/S030057120400017X&lt;/url&gt;&lt;/related-urls&gt;&lt;/urls&gt;&lt;isbn&gt;0300-5712&lt;/isbn&gt;&lt;titles&gt;&lt;title&gt;Investigation of new complete denture quality and patients&amp;apos; satisfaction with and use of dentures after two years&lt;/title&gt;&lt;secondary-title&gt;Journal of Dentistry&lt;/secondary-title&gt;&lt;/titles&gt;&lt;pages&gt;327-333&lt;/pages&gt;&lt;number&gt;4&lt;/number&gt;&lt;contributors&gt;&lt;authors&gt;&lt;author&gt;Fenlon, Michael Robert&lt;/author&gt;&lt;author&gt;Sherriff, Martyn&lt;/author&gt;&lt;/authors&gt;&lt;/contributors&gt;&lt;added-date format="utc"&gt;1369671577&lt;/added-date&gt;&lt;ref-type name="Journal Article"&gt;17&lt;/ref-type&gt;&lt;rec-number&gt;712&lt;/rec-number&gt;&lt;last-updated-date format="utc"&gt;1385713712&lt;/last-updated-date&gt;&lt;electronic-resource-num&gt;http://dx.doi.org/10.1016/j.jdent.2004.01.007&lt;/electronic-resource-num&gt;&lt;volume&gt;32&lt;/volume&gt;&lt;/record&gt;&lt;/Cite&gt;&lt;/EndNote&gt;</w:instrText>
      </w:r>
      <w:r w:rsidRPr="00787196">
        <w:rPr>
          <w:rFonts w:cs="Arial"/>
          <w:szCs w:val="24"/>
        </w:rPr>
        <w:fldChar w:fldCharType="separate"/>
      </w:r>
      <w:r w:rsidR="00D91B3C" w:rsidRPr="00787196">
        <w:rPr>
          <w:rFonts w:cs="Arial"/>
          <w:noProof/>
          <w:szCs w:val="24"/>
        </w:rPr>
        <w:t>(Berg, 1993, Fenlon and Sherriff, 2004)</w:t>
      </w:r>
      <w:r w:rsidRPr="00787196">
        <w:rPr>
          <w:rFonts w:cs="Arial"/>
          <w:szCs w:val="24"/>
        </w:rPr>
        <w:fldChar w:fldCharType="end"/>
      </w:r>
      <w:r w:rsidRPr="00787196">
        <w:rPr>
          <w:rFonts w:cs="Arial"/>
          <w:szCs w:val="24"/>
        </w:rPr>
        <w:t xml:space="preserve">. </w:t>
      </w:r>
    </w:p>
    <w:p w14:paraId="16016705" w14:textId="7DABB9E2" w:rsidR="008D3E06" w:rsidRPr="00787196" w:rsidRDefault="00D91B3C" w:rsidP="00082A47">
      <w:pPr>
        <w:rPr>
          <w:rFonts w:cs="Arial"/>
          <w:szCs w:val="24"/>
        </w:rPr>
      </w:pPr>
      <w:r w:rsidRPr="00787196">
        <w:rPr>
          <w:rFonts w:cs="Arial"/>
          <w:szCs w:val="24"/>
        </w:rPr>
        <w:t>Fenlon and Sheriff (2004)</w:t>
      </w:r>
      <w:r w:rsidR="00E5601F" w:rsidRPr="00787196">
        <w:rPr>
          <w:rFonts w:cs="Arial"/>
          <w:szCs w:val="24"/>
        </w:rPr>
        <w:t xml:space="preserve">, </w:t>
      </w:r>
      <w:r w:rsidR="00536D51" w:rsidRPr="00787196">
        <w:rPr>
          <w:rFonts w:cs="Arial"/>
          <w:szCs w:val="24"/>
        </w:rPr>
        <w:t xml:space="preserve">followed up </w:t>
      </w:r>
      <w:r w:rsidR="00E5601F" w:rsidRPr="00787196">
        <w:rPr>
          <w:rFonts w:cs="Arial"/>
          <w:szCs w:val="24"/>
        </w:rPr>
        <w:t>four hundred and seventeen patient</w:t>
      </w:r>
      <w:r w:rsidR="00536D51" w:rsidRPr="00787196">
        <w:rPr>
          <w:rFonts w:cs="Arial"/>
          <w:szCs w:val="24"/>
        </w:rPr>
        <w:t>s</w:t>
      </w:r>
      <w:r w:rsidR="00E5601F" w:rsidRPr="00787196">
        <w:rPr>
          <w:rFonts w:cs="Arial"/>
          <w:szCs w:val="24"/>
        </w:rPr>
        <w:t xml:space="preserve"> recruited </w:t>
      </w:r>
      <w:r w:rsidR="00536D51" w:rsidRPr="00787196">
        <w:rPr>
          <w:rFonts w:cs="Arial"/>
          <w:szCs w:val="24"/>
        </w:rPr>
        <w:t>for</w:t>
      </w:r>
      <w:r w:rsidR="00E5601F" w:rsidRPr="00787196">
        <w:rPr>
          <w:rFonts w:cs="Arial"/>
          <w:szCs w:val="24"/>
        </w:rPr>
        <w:t xml:space="preserve"> a denture outcome study two years </w:t>
      </w:r>
      <w:r w:rsidR="00536D51" w:rsidRPr="00787196">
        <w:rPr>
          <w:rFonts w:cs="Arial"/>
          <w:szCs w:val="24"/>
        </w:rPr>
        <w:t>earlier.</w:t>
      </w:r>
      <w:r w:rsidR="00E5601F" w:rsidRPr="00787196">
        <w:rPr>
          <w:rFonts w:cs="Arial"/>
          <w:szCs w:val="24"/>
        </w:rPr>
        <w:t xml:space="preserve"> 87% of participants responded. The previous study </w:t>
      </w:r>
      <w:r w:rsidR="00536D51" w:rsidRPr="00787196">
        <w:rPr>
          <w:rFonts w:cs="Arial"/>
          <w:szCs w:val="24"/>
        </w:rPr>
        <w:t>had</w:t>
      </w:r>
      <w:r w:rsidR="00E5601F" w:rsidRPr="00787196">
        <w:rPr>
          <w:rFonts w:cs="Arial"/>
          <w:szCs w:val="24"/>
        </w:rPr>
        <w:t xml:space="preserve"> assessed </w:t>
      </w:r>
      <w:r w:rsidR="004C644C" w:rsidRPr="00787196">
        <w:rPr>
          <w:rFonts w:cs="Arial"/>
          <w:szCs w:val="24"/>
        </w:rPr>
        <w:t xml:space="preserve">aspects of denture quality </w:t>
      </w:r>
      <w:r w:rsidR="00536D51" w:rsidRPr="00787196">
        <w:rPr>
          <w:rFonts w:cs="Arial"/>
          <w:szCs w:val="24"/>
        </w:rPr>
        <w:t>using</w:t>
      </w:r>
      <w:r w:rsidR="004C644C" w:rsidRPr="00787196">
        <w:rPr>
          <w:rFonts w:cs="Arial"/>
          <w:szCs w:val="24"/>
        </w:rPr>
        <w:t xml:space="preserve"> </w:t>
      </w:r>
      <w:r w:rsidR="00E5601F" w:rsidRPr="00787196">
        <w:rPr>
          <w:rFonts w:cs="Arial"/>
          <w:szCs w:val="24"/>
        </w:rPr>
        <w:t>a postal questionnaire three months after denture insertion</w:t>
      </w:r>
      <w:r w:rsidR="004C644C" w:rsidRPr="00787196">
        <w:rPr>
          <w:rFonts w:cs="Arial"/>
          <w:szCs w:val="24"/>
        </w:rPr>
        <w:t xml:space="preserve">. </w:t>
      </w:r>
      <w:r w:rsidR="00536D51" w:rsidRPr="00787196">
        <w:rPr>
          <w:rFonts w:cs="Arial"/>
          <w:szCs w:val="24"/>
        </w:rPr>
        <w:t>At two year follow-up, n</w:t>
      </w:r>
      <w:r w:rsidR="00E5601F" w:rsidRPr="00787196">
        <w:rPr>
          <w:rFonts w:cs="Arial"/>
          <w:szCs w:val="24"/>
        </w:rPr>
        <w:t xml:space="preserve">o significant associations were found between aspects of new denture quality and patient satisfaction </w:t>
      </w:r>
      <w:r w:rsidR="00536D51" w:rsidRPr="00787196">
        <w:rPr>
          <w:rFonts w:cs="Arial"/>
          <w:szCs w:val="24"/>
        </w:rPr>
        <w:t>or</w:t>
      </w:r>
      <w:r w:rsidR="00E5601F" w:rsidRPr="00787196">
        <w:rPr>
          <w:rFonts w:cs="Arial"/>
          <w:szCs w:val="24"/>
        </w:rPr>
        <w:t xml:space="preserve"> use of complete dentures. These results contrast</w:t>
      </w:r>
      <w:r w:rsidR="004C644C" w:rsidRPr="00787196">
        <w:rPr>
          <w:rFonts w:cs="Arial"/>
          <w:szCs w:val="24"/>
        </w:rPr>
        <w:t>ed</w:t>
      </w:r>
      <w:r w:rsidR="00E5601F" w:rsidRPr="00787196">
        <w:rPr>
          <w:rFonts w:cs="Arial"/>
          <w:szCs w:val="24"/>
        </w:rPr>
        <w:t xml:space="preserve"> with the three month returns from the same patients that </w:t>
      </w:r>
      <w:r w:rsidR="00536D51" w:rsidRPr="00787196">
        <w:rPr>
          <w:rFonts w:cs="Arial"/>
          <w:szCs w:val="24"/>
        </w:rPr>
        <w:t xml:space="preserve">had </w:t>
      </w:r>
      <w:r w:rsidR="00E5601F" w:rsidRPr="00787196">
        <w:rPr>
          <w:rFonts w:cs="Arial"/>
          <w:szCs w:val="24"/>
        </w:rPr>
        <w:t xml:space="preserve">demonstrated significant associations between new denture quality and satisfaction with and use of </w:t>
      </w:r>
      <w:r w:rsidR="00536D51" w:rsidRPr="00787196">
        <w:rPr>
          <w:rFonts w:cs="Arial"/>
          <w:szCs w:val="24"/>
        </w:rPr>
        <w:t xml:space="preserve">the </w:t>
      </w:r>
      <w:r w:rsidR="00E5601F" w:rsidRPr="00787196">
        <w:rPr>
          <w:rFonts w:cs="Arial"/>
          <w:szCs w:val="24"/>
        </w:rPr>
        <w:t>new dentures.</w:t>
      </w:r>
      <w:r w:rsidR="004C644C" w:rsidRPr="00787196">
        <w:rPr>
          <w:rFonts w:cs="Arial"/>
          <w:szCs w:val="24"/>
        </w:rPr>
        <w:t xml:space="preserve"> The study concluded that initial denture quality was not a significant factor for long term denture satisfaction.</w:t>
      </w:r>
    </w:p>
    <w:p w14:paraId="59E1B30A" w14:textId="6F470FB2" w:rsidR="004C644C" w:rsidRPr="00787196" w:rsidRDefault="004C644C" w:rsidP="00082A47">
      <w:pPr>
        <w:rPr>
          <w:rFonts w:cs="Arial"/>
          <w:szCs w:val="24"/>
        </w:rPr>
      </w:pPr>
      <w:r w:rsidRPr="00787196">
        <w:rPr>
          <w:rFonts w:cs="Arial"/>
          <w:szCs w:val="24"/>
        </w:rPr>
        <w:t xml:space="preserve">These </w:t>
      </w:r>
      <w:r w:rsidR="00ED4397" w:rsidRPr="00787196">
        <w:rPr>
          <w:rFonts w:cs="Arial"/>
          <w:szCs w:val="24"/>
        </w:rPr>
        <w:t xml:space="preserve">studies </w:t>
      </w:r>
      <w:r w:rsidRPr="00787196">
        <w:rPr>
          <w:rFonts w:cs="Arial"/>
          <w:szCs w:val="24"/>
        </w:rPr>
        <w:t>suggest that</w:t>
      </w:r>
      <w:r w:rsidR="00026B15" w:rsidRPr="00787196">
        <w:rPr>
          <w:rFonts w:cs="Arial"/>
          <w:szCs w:val="24"/>
        </w:rPr>
        <w:t xml:space="preserve"> better</w:t>
      </w:r>
      <w:r w:rsidRPr="00787196">
        <w:rPr>
          <w:rFonts w:cs="Arial"/>
          <w:szCs w:val="24"/>
        </w:rPr>
        <w:t xml:space="preserve"> clinical outcomes do not necessarily equate patient’s satisfaction with their dentures and how denture satisfaction </w:t>
      </w:r>
      <w:r w:rsidR="00026B15" w:rsidRPr="00787196">
        <w:rPr>
          <w:rFonts w:cs="Arial"/>
          <w:szCs w:val="24"/>
        </w:rPr>
        <w:t>cannot truly be a yardstick to measure clinical outcomes</w:t>
      </w:r>
      <w:r w:rsidRPr="00787196">
        <w:rPr>
          <w:rFonts w:cs="Arial"/>
          <w:szCs w:val="24"/>
        </w:rPr>
        <w:t>.</w:t>
      </w:r>
    </w:p>
    <w:p w14:paraId="01FB1FC8" w14:textId="1EB55C75" w:rsidR="006D26CE" w:rsidRPr="00787196" w:rsidRDefault="003F496A" w:rsidP="00226A04">
      <w:pPr>
        <w:pStyle w:val="Heading4"/>
      </w:pPr>
      <w:r w:rsidRPr="00787196">
        <w:lastRenderedPageBreak/>
        <w:t>Denture satisfaction</w:t>
      </w:r>
      <w:r w:rsidR="006D26CE" w:rsidRPr="00787196">
        <w:t xml:space="preserve"> </w:t>
      </w:r>
      <w:r w:rsidR="00883189" w:rsidRPr="00787196">
        <w:t xml:space="preserve">in relation to </w:t>
      </w:r>
      <w:r w:rsidR="006D26CE" w:rsidRPr="00787196">
        <w:t>other patient reported outcomes</w:t>
      </w:r>
    </w:p>
    <w:p w14:paraId="1DCFB2A0" w14:textId="30F2FAE3" w:rsidR="009E743D" w:rsidRPr="00787196" w:rsidRDefault="00155A08" w:rsidP="000B110E">
      <w:pPr>
        <w:rPr>
          <w:rFonts w:cs="Arial"/>
          <w:szCs w:val="24"/>
        </w:rPr>
      </w:pPr>
      <w:r w:rsidRPr="00787196">
        <w:rPr>
          <w:rFonts w:cs="Arial"/>
          <w:szCs w:val="24"/>
        </w:rPr>
        <w:t>Patient’s self-reported outcomes with their dentures such as the l</w:t>
      </w:r>
      <w:r w:rsidR="00985503" w:rsidRPr="00787196">
        <w:rPr>
          <w:rFonts w:cs="Arial"/>
          <w:szCs w:val="24"/>
        </w:rPr>
        <w:t xml:space="preserve">evel of comfort, stability, ability to chew, ability to speak and aesthetics were reported to be significant contributors to general satisfaction in dentures </w:t>
      </w:r>
      <w:r w:rsidR="007D6B7F" w:rsidRPr="00787196">
        <w:rPr>
          <w:rFonts w:cs="Arial"/>
          <w:szCs w:val="24"/>
        </w:rPr>
        <w:fldChar w:fldCharType="begin"/>
      </w:r>
      <w:r w:rsidR="00223957" w:rsidRPr="00787196">
        <w:rPr>
          <w:rFonts w:cs="Arial"/>
          <w:szCs w:val="24"/>
        </w:rPr>
        <w:instrText xml:space="preserve"> ADDIN EN.CITE &lt;EndNote&gt;&lt;Cite&gt;&lt;Author&gt;Awad&lt;/Author&gt;&lt;Year&gt;1998&lt;/Year&gt;&lt;RecNum&gt;0&lt;/RecNum&gt;&lt;IDText&gt;Measuring patient satisfaction with mandibular prostheses&lt;/IDText&gt;&lt;DisplayText&gt;(Awad and Feine, 1998)&lt;/DisplayText&gt;&lt;record&gt;&lt;urls&gt;&lt;related-urls&gt;&lt;url&gt;http://dx.doi.org/10.1111/j.1600-0528.1998.tb01978.x&lt;/url&gt;&lt;/related-urls&gt;&lt;/urls&gt;&lt;isbn&gt;1600-0528&lt;/isbn&gt;&lt;titles&gt;&lt;title&gt;Measuring patient satisfaction with mandibular prostheses&lt;/title&gt;&lt;secondary-title&gt;Community Dentistry and Oral Epidemiology&lt;/secondary-title&gt;&lt;/titles&gt;&lt;pages&gt;400-405&lt;/pages&gt;&lt;number&gt;6&lt;/number&gt;&lt;contributors&gt;&lt;authors&gt;&lt;author&gt;Awad, Manal A.&lt;/author&gt;&lt;author&gt;Feine, Jocelyne S.&lt;/author&gt;&lt;/authors&gt;&lt;/contributors&gt;&lt;added-date format="utc"&gt;1361518225&lt;/added-date&gt;&lt;ref-type name="Journal Article"&gt;17&lt;/ref-type&gt;&lt;dates&gt;&lt;year&gt;1998&lt;/year&gt;&lt;/dates&gt;&lt;rec-number&gt;523&lt;/rec-number&gt;&lt;publisher&gt;Blackwell Publishing Ltd&lt;/publisher&gt;&lt;last-updated-date format="utc"&gt;1385713712&lt;/last-updated-date&gt;&lt;electronic-resource-num&gt;10.1111/j.1600-0528.1998.tb01978.x&lt;/electronic-resource-num&gt;&lt;volume&gt;26&lt;/volume&gt;&lt;/record&gt;&lt;/Cite&gt;&lt;/EndNote&gt;</w:instrText>
      </w:r>
      <w:r w:rsidR="007D6B7F" w:rsidRPr="00787196">
        <w:rPr>
          <w:rFonts w:cs="Arial"/>
          <w:szCs w:val="24"/>
        </w:rPr>
        <w:fldChar w:fldCharType="separate"/>
      </w:r>
      <w:r w:rsidR="00985503" w:rsidRPr="00787196">
        <w:rPr>
          <w:rFonts w:cs="Arial"/>
          <w:szCs w:val="24"/>
        </w:rPr>
        <w:t>(Awad and Feine, 1998)</w:t>
      </w:r>
      <w:r w:rsidR="007D6B7F" w:rsidRPr="00787196">
        <w:rPr>
          <w:rFonts w:cs="Arial"/>
          <w:szCs w:val="24"/>
        </w:rPr>
        <w:fldChar w:fldCharType="end"/>
      </w:r>
      <w:r w:rsidR="00985503" w:rsidRPr="00787196">
        <w:rPr>
          <w:rFonts w:cs="Arial"/>
          <w:szCs w:val="24"/>
        </w:rPr>
        <w:t xml:space="preserve">. </w:t>
      </w:r>
    </w:p>
    <w:p w14:paraId="7AD6960C" w14:textId="13981AD4" w:rsidR="004C3A25" w:rsidRPr="00787196" w:rsidRDefault="00D53DB8" w:rsidP="000B110E">
      <w:pPr>
        <w:rPr>
          <w:rFonts w:cs="Arial"/>
          <w:szCs w:val="24"/>
        </w:rPr>
      </w:pPr>
      <w:r w:rsidRPr="00787196">
        <w:rPr>
          <w:rFonts w:cs="Arial"/>
          <w:szCs w:val="24"/>
        </w:rPr>
        <w:t xml:space="preserve">Heydecke and colleagues </w:t>
      </w:r>
      <w:r w:rsidR="007D6B7F" w:rsidRPr="00787196">
        <w:rPr>
          <w:rFonts w:cs="Arial"/>
          <w:szCs w:val="24"/>
        </w:rPr>
        <w:fldChar w:fldCharType="begin"/>
      </w:r>
      <w:r w:rsidR="00223957" w:rsidRPr="00787196">
        <w:rPr>
          <w:rFonts w:cs="Arial"/>
          <w:szCs w:val="24"/>
        </w:rPr>
        <w:instrText xml:space="preserve"> ADDIN EN.CITE &lt;EndNote&gt;&lt;Cite ExcludeAuth="1"&gt;&lt;Author&gt;Heydecke&lt;/Author&gt;&lt;Year&gt;2008&lt;/Year&gt;&lt;RecNum&gt;0&lt;/RecNum&gt;&lt;IDText&gt;Simplified versus comprehensive fabrication of complete dentures: patient ratings of denture satisfaction from a randomized crossover trial&lt;/IDText&gt;&lt;DisplayText&gt;(2008)&lt;/DisplayText&gt;&lt;record&gt;&lt;isbn&gt;0033-6572&lt;/isbn&gt;&lt;titles&gt;&lt;title&gt;Simplified versus comprehensive fabrication of complete dentures: patient ratings of denture satisfaction from a randomized crossover trial&lt;/title&gt;&lt;secondary-title&gt;Quintessence international&lt;/secondary-title&gt;&lt;/titles&gt;&lt;pages&gt;107&lt;/pages&gt;&lt;contributors&gt;&lt;authors&gt;&lt;author&gt;Heydecke, Guido&lt;/author&gt;&lt;author&gt;Vogeler, Michael&lt;/author&gt;&lt;author&gt;Wolkewitz, Martin&lt;/author&gt;&lt;author&gt;Turp, Jens C.&lt;/author&gt;&lt;author&gt;Strub, Joerg R.&lt;/author&gt;&lt;/authors&gt;&lt;/contributors&gt;&lt;added-date format="utc"&gt;1378103733&lt;/added-date&gt;&lt;ref-type name="Journal Article"&gt;17&lt;/ref-type&gt;&lt;dates&gt;&lt;year&gt;2008&lt;/year&gt;&lt;/dates&gt;&lt;rec-number&gt;1189&lt;/rec-number&gt;&lt;last-updated-date format="utc"&gt;1385713712&lt;/last-updated-date&gt;&lt;/record&gt;&lt;/Cite&gt;&lt;/EndNote&gt;</w:instrText>
      </w:r>
      <w:r w:rsidR="007D6B7F" w:rsidRPr="00787196">
        <w:rPr>
          <w:rFonts w:cs="Arial"/>
          <w:szCs w:val="24"/>
        </w:rPr>
        <w:fldChar w:fldCharType="separate"/>
      </w:r>
      <w:r w:rsidRPr="00787196">
        <w:rPr>
          <w:rFonts w:cs="Arial"/>
          <w:szCs w:val="24"/>
        </w:rPr>
        <w:t>(2008)</w:t>
      </w:r>
      <w:r w:rsidR="007D6B7F" w:rsidRPr="00787196">
        <w:rPr>
          <w:rFonts w:cs="Arial"/>
          <w:szCs w:val="24"/>
        </w:rPr>
        <w:fldChar w:fldCharType="end"/>
      </w:r>
      <w:r w:rsidRPr="00787196">
        <w:rPr>
          <w:rFonts w:cs="Arial"/>
          <w:szCs w:val="24"/>
        </w:rPr>
        <w:t xml:space="preserve"> investigated whether patient self-reported chewing ability was </w:t>
      </w:r>
      <w:r w:rsidR="00326A5D" w:rsidRPr="00787196">
        <w:rPr>
          <w:rFonts w:cs="Arial"/>
          <w:szCs w:val="24"/>
        </w:rPr>
        <w:t xml:space="preserve">influenced by </w:t>
      </w:r>
      <w:r w:rsidRPr="00787196">
        <w:rPr>
          <w:rFonts w:cs="Arial"/>
          <w:szCs w:val="24"/>
        </w:rPr>
        <w:t>denture fabrication</w:t>
      </w:r>
      <w:r w:rsidR="00A85D5C" w:rsidRPr="00787196">
        <w:rPr>
          <w:rFonts w:cs="Arial"/>
          <w:szCs w:val="24"/>
        </w:rPr>
        <w:t xml:space="preserve"> </w:t>
      </w:r>
      <w:r w:rsidR="00326A5D" w:rsidRPr="00787196">
        <w:rPr>
          <w:rFonts w:cs="Arial"/>
          <w:szCs w:val="24"/>
        </w:rPr>
        <w:t>method</w:t>
      </w:r>
      <w:r w:rsidR="00AC78C9" w:rsidRPr="00787196">
        <w:rPr>
          <w:rFonts w:cs="Arial"/>
          <w:szCs w:val="24"/>
        </w:rPr>
        <w:t xml:space="preserve">. Their </w:t>
      </w:r>
      <w:r w:rsidRPr="00787196">
        <w:rPr>
          <w:rFonts w:cs="Arial"/>
          <w:szCs w:val="24"/>
        </w:rPr>
        <w:t xml:space="preserve">randomised within subject crossover trial conducted </w:t>
      </w:r>
      <w:r w:rsidR="005B6479" w:rsidRPr="00787196">
        <w:rPr>
          <w:rFonts w:cs="Arial"/>
          <w:szCs w:val="24"/>
        </w:rPr>
        <w:t>with</w:t>
      </w:r>
      <w:r w:rsidR="00326A5D" w:rsidRPr="00787196">
        <w:rPr>
          <w:rFonts w:cs="Arial"/>
          <w:szCs w:val="24"/>
        </w:rPr>
        <w:t xml:space="preserve"> </w:t>
      </w:r>
      <w:r w:rsidR="00B7401D" w:rsidRPr="00787196">
        <w:rPr>
          <w:rFonts w:cs="Arial"/>
          <w:szCs w:val="24"/>
        </w:rPr>
        <w:t>20</w:t>
      </w:r>
      <w:r w:rsidRPr="00787196">
        <w:rPr>
          <w:rFonts w:cs="Arial"/>
          <w:szCs w:val="24"/>
        </w:rPr>
        <w:t xml:space="preserve"> completely edentulous participants</w:t>
      </w:r>
      <w:r w:rsidR="00AC78C9" w:rsidRPr="00787196">
        <w:rPr>
          <w:rFonts w:cs="Arial"/>
          <w:szCs w:val="24"/>
        </w:rPr>
        <w:t xml:space="preserve"> </w:t>
      </w:r>
      <w:r w:rsidRPr="00787196">
        <w:rPr>
          <w:rFonts w:cs="Arial"/>
          <w:szCs w:val="24"/>
        </w:rPr>
        <w:t xml:space="preserve">showed no </w:t>
      </w:r>
      <w:r w:rsidR="00425B54" w:rsidRPr="00787196">
        <w:rPr>
          <w:rFonts w:cs="Arial"/>
          <w:szCs w:val="24"/>
        </w:rPr>
        <w:t>significant</w:t>
      </w:r>
      <w:r w:rsidRPr="00787196">
        <w:rPr>
          <w:rFonts w:cs="Arial"/>
          <w:szCs w:val="24"/>
        </w:rPr>
        <w:t xml:space="preserve"> changes or improvements to chewing ability, speech and comfort of denture wearers</w:t>
      </w:r>
      <w:r w:rsidR="00AC78C9" w:rsidRPr="00787196">
        <w:rPr>
          <w:rFonts w:cs="Arial"/>
          <w:szCs w:val="24"/>
        </w:rPr>
        <w:t xml:space="preserve"> with respect to the fabrication method used</w:t>
      </w:r>
      <w:r w:rsidRPr="00787196">
        <w:rPr>
          <w:rFonts w:cs="Arial"/>
          <w:szCs w:val="24"/>
        </w:rPr>
        <w:t>. Patients’ satisfaction with their dentures and their self-reported ratings</w:t>
      </w:r>
      <w:r w:rsidR="00AC78C9" w:rsidRPr="00787196">
        <w:rPr>
          <w:rFonts w:cs="Arial"/>
          <w:szCs w:val="24"/>
        </w:rPr>
        <w:t xml:space="preserve"> of</w:t>
      </w:r>
      <w:r w:rsidRPr="00787196">
        <w:rPr>
          <w:rFonts w:cs="Arial"/>
          <w:szCs w:val="24"/>
        </w:rPr>
        <w:t xml:space="preserve"> functional outcomes such as comfort and chewing ability </w:t>
      </w:r>
      <w:r w:rsidR="00AC78C9" w:rsidRPr="00787196">
        <w:rPr>
          <w:rFonts w:cs="Arial"/>
          <w:szCs w:val="24"/>
        </w:rPr>
        <w:t xml:space="preserve">also </w:t>
      </w:r>
      <w:r w:rsidRPr="00787196">
        <w:rPr>
          <w:rFonts w:cs="Arial"/>
          <w:szCs w:val="24"/>
        </w:rPr>
        <w:t>seem</w:t>
      </w:r>
      <w:r w:rsidR="00AC78C9" w:rsidRPr="00787196">
        <w:rPr>
          <w:rFonts w:cs="Arial"/>
          <w:szCs w:val="24"/>
        </w:rPr>
        <w:t>ed</w:t>
      </w:r>
      <w:r w:rsidRPr="00787196">
        <w:rPr>
          <w:rFonts w:cs="Arial"/>
          <w:szCs w:val="24"/>
        </w:rPr>
        <w:t xml:space="preserve"> not to be influenced by </w:t>
      </w:r>
      <w:r w:rsidR="00AC78C9" w:rsidRPr="00787196">
        <w:rPr>
          <w:rFonts w:cs="Arial"/>
          <w:szCs w:val="24"/>
        </w:rPr>
        <w:t>the method of denture fabrication</w:t>
      </w:r>
      <w:r w:rsidRPr="00787196">
        <w:rPr>
          <w:rFonts w:cs="Arial"/>
          <w:szCs w:val="24"/>
        </w:rPr>
        <w:t>.</w:t>
      </w:r>
    </w:p>
    <w:p w14:paraId="4D49FB0D" w14:textId="20FE517D" w:rsidR="009E743D" w:rsidRPr="00787196" w:rsidRDefault="00155A08" w:rsidP="000B110E">
      <w:pPr>
        <w:rPr>
          <w:rFonts w:cs="Arial"/>
          <w:szCs w:val="24"/>
        </w:rPr>
      </w:pPr>
      <w:r w:rsidRPr="00787196">
        <w:rPr>
          <w:rFonts w:cs="Arial"/>
          <w:szCs w:val="24"/>
        </w:rPr>
        <w:t xml:space="preserve">The existing evidence suggest a very </w:t>
      </w:r>
      <w:r w:rsidR="003B5292" w:rsidRPr="00787196">
        <w:rPr>
          <w:rFonts w:cs="Arial"/>
          <w:szCs w:val="24"/>
        </w:rPr>
        <w:t xml:space="preserve">unstable association between other patient reported outcomes and denture satisfaction. The uncertainty can be explained by the semi-independent nature of the patient reported outcomes that used. The lack of conceptualisation and theorisation of </w:t>
      </w:r>
      <w:r w:rsidR="00ED4397" w:rsidRPr="00787196">
        <w:rPr>
          <w:rFonts w:cs="Arial"/>
          <w:szCs w:val="24"/>
        </w:rPr>
        <w:t>such</w:t>
      </w:r>
      <w:r w:rsidR="00D162DF" w:rsidRPr="00787196">
        <w:rPr>
          <w:rFonts w:cs="Arial"/>
          <w:szCs w:val="24"/>
        </w:rPr>
        <w:t xml:space="preserve"> patient reported </w:t>
      </w:r>
      <w:r w:rsidR="003B5292" w:rsidRPr="00787196">
        <w:rPr>
          <w:rFonts w:cs="Arial"/>
          <w:szCs w:val="24"/>
        </w:rPr>
        <w:t xml:space="preserve">outcomes </w:t>
      </w:r>
      <w:r w:rsidR="00D162DF" w:rsidRPr="00787196">
        <w:rPr>
          <w:rFonts w:cs="Arial"/>
          <w:szCs w:val="24"/>
        </w:rPr>
        <w:t xml:space="preserve">may </w:t>
      </w:r>
      <w:r w:rsidR="00ED4397" w:rsidRPr="00787196">
        <w:rPr>
          <w:rFonts w:cs="Arial"/>
          <w:szCs w:val="24"/>
        </w:rPr>
        <w:t>undermine this research.</w:t>
      </w:r>
    </w:p>
    <w:p w14:paraId="6525B1A5" w14:textId="77777777" w:rsidR="000A72DA" w:rsidRPr="00787196" w:rsidRDefault="00987555" w:rsidP="00226A04">
      <w:pPr>
        <w:pStyle w:val="Heading4"/>
      </w:pPr>
      <w:r w:rsidRPr="00787196">
        <w:t>Denture satisfaction</w:t>
      </w:r>
      <w:r w:rsidR="006D26CE" w:rsidRPr="00787196">
        <w:t xml:space="preserve"> </w:t>
      </w:r>
      <w:r w:rsidR="00434FB1" w:rsidRPr="00787196">
        <w:t>and personality</w:t>
      </w:r>
      <w:r w:rsidR="000A72DA" w:rsidRPr="00787196">
        <w:t xml:space="preserve"> traits</w:t>
      </w:r>
    </w:p>
    <w:p w14:paraId="50668298" w14:textId="753BEE6F" w:rsidR="000B110E" w:rsidRPr="00787196" w:rsidRDefault="003F496A" w:rsidP="004C3A25">
      <w:pPr>
        <w:rPr>
          <w:rFonts w:cs="Arial"/>
          <w:szCs w:val="24"/>
        </w:rPr>
      </w:pPr>
      <w:r w:rsidRPr="00787196">
        <w:rPr>
          <w:rFonts w:cs="Arial"/>
          <w:szCs w:val="24"/>
        </w:rPr>
        <w:t xml:space="preserve">Personality and </w:t>
      </w:r>
      <w:r w:rsidR="005B6479" w:rsidRPr="00787196">
        <w:rPr>
          <w:rFonts w:cs="Arial"/>
          <w:szCs w:val="24"/>
        </w:rPr>
        <w:t>individual traits have also</w:t>
      </w:r>
      <w:r w:rsidR="00622091" w:rsidRPr="00787196">
        <w:rPr>
          <w:rFonts w:cs="Arial"/>
          <w:szCs w:val="24"/>
        </w:rPr>
        <w:t xml:space="preserve"> been</w:t>
      </w:r>
      <w:r w:rsidR="005B6479" w:rsidRPr="00787196">
        <w:rPr>
          <w:rFonts w:cs="Arial"/>
          <w:szCs w:val="24"/>
        </w:rPr>
        <w:t xml:space="preserve"> cited as </w:t>
      </w:r>
      <w:r w:rsidRPr="00787196">
        <w:rPr>
          <w:rFonts w:cs="Arial"/>
          <w:szCs w:val="24"/>
        </w:rPr>
        <w:t>influence</w:t>
      </w:r>
      <w:r w:rsidR="005B6479" w:rsidRPr="00787196">
        <w:rPr>
          <w:rFonts w:cs="Arial"/>
          <w:szCs w:val="24"/>
        </w:rPr>
        <w:t>s on</w:t>
      </w:r>
      <w:r w:rsidRPr="00787196">
        <w:rPr>
          <w:rFonts w:cs="Arial"/>
          <w:szCs w:val="24"/>
        </w:rPr>
        <w:t xml:space="preserve"> </w:t>
      </w:r>
      <w:r w:rsidR="00D67B3D" w:rsidRPr="00787196">
        <w:rPr>
          <w:rFonts w:cs="Arial"/>
          <w:szCs w:val="24"/>
        </w:rPr>
        <w:t>patients’ satisfaction with their dentures</w:t>
      </w:r>
      <w:r w:rsidR="00425B54" w:rsidRPr="00787196">
        <w:rPr>
          <w:rFonts w:cs="Arial"/>
          <w:szCs w:val="24"/>
        </w:rPr>
        <w:t xml:space="preserve"> </w:t>
      </w:r>
      <w:r w:rsidRPr="00787196">
        <w:rPr>
          <w:rFonts w:cs="Arial"/>
          <w:szCs w:val="24"/>
        </w:rPr>
        <w:fldChar w:fldCharType="begin">
          <w:fldData xml:space="preserve">PEVuZE5vdGU+PENpdGU+PEF1dGhvcj5Nb3VsdG9uPC9BdXRob3I+PFllYXI+MTk0NjwvWWVhcj48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PEVuZE5vdGU+PENpdGU+PEF1dGhvcj5Nb3VsdG9uPC9BdXRob3I+PFllYXI+MTk0NjwvWWVhcj48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(Moulton, 1946, Troffer and Beder, 1961, Bergman and Carlsson, 1972)</w:t>
      </w:r>
      <w:r w:rsidRPr="00787196">
        <w:rPr>
          <w:rFonts w:cs="Arial"/>
          <w:szCs w:val="24"/>
        </w:rPr>
        <w:fldChar w:fldCharType="end"/>
      </w:r>
      <w:r w:rsidR="00D67B3D" w:rsidRPr="00787196">
        <w:rPr>
          <w:rFonts w:cs="Arial"/>
          <w:szCs w:val="24"/>
        </w:rPr>
        <w:t>. T</w:t>
      </w:r>
      <w:r w:rsidR="00515587" w:rsidRPr="00787196">
        <w:rPr>
          <w:rFonts w:cs="Arial"/>
          <w:szCs w:val="24"/>
        </w:rPr>
        <w:t xml:space="preserve">raits such as </w:t>
      </w:r>
      <w:r w:rsidR="000A72DA" w:rsidRPr="00787196">
        <w:rPr>
          <w:rFonts w:cs="Arial"/>
          <w:szCs w:val="24"/>
        </w:rPr>
        <w:t xml:space="preserve">hypochondriasis, depression, hysteria and anxiety </w:t>
      </w:r>
      <w:r w:rsidR="00515587" w:rsidRPr="00787196">
        <w:rPr>
          <w:rFonts w:cs="Arial"/>
          <w:szCs w:val="24"/>
        </w:rPr>
        <w:t xml:space="preserve">have been explored </w:t>
      </w:r>
      <w:r w:rsidR="00D67B3D" w:rsidRPr="00787196">
        <w:rPr>
          <w:rFonts w:cs="Arial"/>
          <w:szCs w:val="24"/>
        </w:rPr>
        <w:t xml:space="preserve">in relation to denture satisfaction. Significant associations have also been have been demonstrated between </w:t>
      </w:r>
      <w:r w:rsidR="004E31A7" w:rsidRPr="00787196">
        <w:rPr>
          <w:rFonts w:cs="Arial"/>
          <w:szCs w:val="24"/>
        </w:rPr>
        <w:t xml:space="preserve">traits such as neuroticism and denture satisfaction </w:t>
      </w:r>
      <w:r w:rsidR="004E31A7" w:rsidRPr="00787196">
        <w:rPr>
          <w:rFonts w:cs="Arial"/>
          <w:szCs w:val="24"/>
        </w:rPr>
        <w:fldChar w:fldCharType="begin"/>
      </w:r>
      <w:r w:rsidR="00223957" w:rsidRPr="00787196">
        <w:rPr>
          <w:rFonts w:cs="Arial"/>
          <w:szCs w:val="24"/>
        </w:rPr>
        <w:instrText xml:space="preserve"> ADDIN EN.CITE &lt;EndNote&gt;&lt;Cite&gt;&lt;Author&gt;Guckes&lt;/Author&gt;&lt;Year&gt;1978&lt;/Year&gt;&lt;RecNum&gt;0&lt;/RecNum&gt;&lt;IDText&gt;Counseling and related factors influencing satisfaction with dentures&lt;/IDText&gt;&lt;DisplayText&gt;(Guckes et al., 1978)&lt;/DisplayText&gt;&lt;record&gt;&lt;dates&gt;&lt;pub-dates&gt;&lt;date&gt;Mar&lt;/date&gt;&lt;/pub-dates&gt;&lt;year&gt;1978&lt;/year&gt;&lt;/dates&gt;&lt;isbn&gt;0022-3913 (Print)&amp;#xD;0022-3913 (Linking)&lt;/isbn&gt;&lt;titles&gt;&lt;title&gt;Counseling and related factors influencing satisfaction with dentures&lt;/title&gt;&lt;secondary-title&gt;J Prosthet Dent&lt;/secondary-title&gt;&lt;alt-title&gt;The Journal of prosthetic dentistry&lt;/alt-title&gt;&lt;/titles&gt;&lt;pages&gt;259-67&lt;/pages&gt;&lt;number&gt;3&lt;/number&gt;&lt;contributors&gt;&lt;authors&gt;&lt;author&gt;Guckes, A. D.&lt;/author&gt;&lt;author&gt;Smith, D. E.&lt;/author&gt;&lt;author&gt;Swoope, C. C.&lt;/author&gt;&lt;/authors&gt;&lt;/contributors&gt;&lt;edition&gt;1978/03/01&lt;/edition&gt;&lt;language&gt;eng&lt;/language&gt;&lt;added-date format="utc"&gt;1365772678&lt;/added-date&gt;&lt;ref-type name="Journal Article"&gt;17&lt;/ref-type&gt;&lt;remote-database-provider&gt;NLM&lt;/remote-database-provider&gt;&lt;rec-number&gt;636&lt;/rec-number&gt;&lt;last-updated-date format="utc"&gt;1385713712&lt;/last-updated-date&gt;&lt;accession-num&gt;273089&lt;/accession-num&gt;&lt;volume&gt;39&lt;/volume&gt;&lt;/record&gt;&lt;/Cite&gt;&lt;/EndNote&gt;</w:instrText>
      </w:r>
      <w:r w:rsidR="004E31A7" w:rsidRPr="00787196">
        <w:rPr>
          <w:rFonts w:cs="Arial"/>
          <w:szCs w:val="24"/>
        </w:rPr>
        <w:fldChar w:fldCharType="separate"/>
      </w:r>
      <w:r w:rsidR="004E31A7" w:rsidRPr="00787196">
        <w:rPr>
          <w:rFonts w:cs="Arial"/>
          <w:szCs w:val="24"/>
        </w:rPr>
        <w:t>(Guckes et al., 1978)</w:t>
      </w:r>
      <w:r w:rsidR="004E31A7" w:rsidRPr="00787196">
        <w:rPr>
          <w:rFonts w:cs="Arial"/>
          <w:szCs w:val="24"/>
        </w:rPr>
        <w:fldChar w:fldCharType="end"/>
      </w:r>
      <w:r w:rsidR="00D67B3D" w:rsidRPr="00787196">
        <w:rPr>
          <w:rFonts w:cs="Arial"/>
          <w:szCs w:val="24"/>
        </w:rPr>
        <w:t>, a</w:t>
      </w:r>
      <w:r w:rsidR="004E31A7" w:rsidRPr="00787196">
        <w:rPr>
          <w:rFonts w:cs="Arial"/>
          <w:szCs w:val="24"/>
        </w:rPr>
        <w:t>lbeit, such asso</w:t>
      </w:r>
      <w:r w:rsidR="008E1B3C" w:rsidRPr="00787196">
        <w:rPr>
          <w:rFonts w:cs="Arial"/>
          <w:szCs w:val="24"/>
        </w:rPr>
        <w:t>c</w:t>
      </w:r>
      <w:r w:rsidR="004E31A7" w:rsidRPr="00787196">
        <w:rPr>
          <w:rFonts w:cs="Arial"/>
          <w:szCs w:val="24"/>
        </w:rPr>
        <w:t xml:space="preserve">iations were </w:t>
      </w:r>
      <w:r w:rsidR="00425B54" w:rsidRPr="00787196">
        <w:rPr>
          <w:rFonts w:cs="Arial"/>
          <w:szCs w:val="24"/>
        </w:rPr>
        <w:t>inconsistent. Hysteria</w:t>
      </w:r>
      <w:r w:rsidR="00515587" w:rsidRPr="00787196">
        <w:rPr>
          <w:rFonts w:cs="Arial"/>
          <w:szCs w:val="24"/>
        </w:rPr>
        <w:t xml:space="preserve"> (Smith, 1976)</w:t>
      </w:r>
      <w:r w:rsidR="00D67B3D" w:rsidRPr="00787196">
        <w:rPr>
          <w:rFonts w:cs="Arial"/>
          <w:szCs w:val="24"/>
        </w:rPr>
        <w:t xml:space="preserve"> and </w:t>
      </w:r>
      <w:r w:rsidR="003C1DFA" w:rsidRPr="00787196">
        <w:rPr>
          <w:rFonts w:cs="Arial"/>
          <w:szCs w:val="24"/>
        </w:rPr>
        <w:t>Extroversion-</w:t>
      </w:r>
      <w:r w:rsidR="00515587" w:rsidRPr="00787196">
        <w:rPr>
          <w:rFonts w:cs="Arial"/>
          <w:szCs w:val="24"/>
        </w:rPr>
        <w:t xml:space="preserve">Introversion </w:t>
      </w:r>
      <w:r w:rsidR="007D6B7F" w:rsidRPr="00787196">
        <w:rPr>
          <w:rFonts w:cs="Arial"/>
          <w:szCs w:val="24"/>
        </w:rPr>
        <w:fldChar w:fldCharType="begin"/>
      </w:r>
      <w:r w:rsidR="00CE759F" w:rsidRPr="00787196">
        <w:rPr>
          <w:rFonts w:cs="Arial"/>
          <w:szCs w:val="24"/>
        </w:rPr>
        <w:instrText xml:space="preserve"> ADDIN EN.CITE &lt;EndNote&gt;&lt;Cite&gt;&lt;Author&gt;Vervoorn&lt;/Author&gt;&lt;Year&gt;1991&lt;/Year&gt;&lt;RecNum&gt;0&lt;/RecNum&gt;&lt;IDText&gt;Relative importance of psychologic factors in denture satisfaction&lt;/IDText&gt;&lt;DisplayText&gt;(Vervoorn et al., 1991)&lt;/DisplayText&gt;&lt;record&gt;&lt;isbn&gt;1600-0528&lt;/isbn&gt;&lt;titles&gt;&lt;title&gt;Relative importance of psychologic factors in denture satisfaction&lt;/title&gt;&lt;secondary-title&gt;Community dentistry and oral epidemiology&lt;/secondary-title&gt;&lt;/titles&gt;&lt;pages&gt;45-47&lt;/pages&gt;&lt;number&gt;1&lt;/number&gt;&lt;contributors&gt;&lt;authors&gt;&lt;author&gt;Vervoorn, Johanna M.&lt;/author&gt;&lt;author&gt;Duinkerke, Adriaan S. H.&lt;/author&gt;&lt;author&gt;Luteijn, Frans&lt;/author&gt;&lt;author&gt;Pool, Alphons&lt;/author&gt;&lt;/authors&gt;&lt;/contributors&gt;&lt;added-date format="utc"&gt;1389616012&lt;/added-date&gt;&lt;ref-type name="Journal Article"&gt;17&lt;/ref-type&gt;&lt;dates&gt;&lt;year&gt;1991&lt;/year&gt;&lt;/dates&gt;&lt;rec-number&gt;1925&lt;/rec-number&gt;&lt;publisher&gt;Wiley Online Library&lt;/publisher&gt;&lt;last-updated-date format="utc"&gt;1389616012&lt;/last-updated-date&gt;&lt;volume&gt;19&lt;/volume&gt;&lt;/record&gt;&lt;/Cite&gt;&lt;/EndNote&gt;</w:instrText>
      </w:r>
      <w:r w:rsidR="007D6B7F" w:rsidRPr="00787196">
        <w:rPr>
          <w:rFonts w:cs="Arial"/>
          <w:szCs w:val="24"/>
        </w:rPr>
        <w:fldChar w:fldCharType="separate"/>
      </w:r>
      <w:r w:rsidR="00515587" w:rsidRPr="00787196">
        <w:rPr>
          <w:rFonts w:cs="Arial"/>
          <w:szCs w:val="24"/>
        </w:rPr>
        <w:t>(Vervoorn et al., 1991)</w:t>
      </w:r>
      <w:r w:rsidR="007D6B7F" w:rsidRPr="00787196">
        <w:rPr>
          <w:rFonts w:cs="Arial"/>
          <w:szCs w:val="24"/>
        </w:rPr>
        <w:fldChar w:fldCharType="end"/>
      </w:r>
      <w:r w:rsidR="00D67B3D" w:rsidRPr="00787196">
        <w:rPr>
          <w:rFonts w:cs="Arial"/>
          <w:szCs w:val="24"/>
        </w:rPr>
        <w:t xml:space="preserve"> were </w:t>
      </w:r>
      <w:r w:rsidR="000A72DA" w:rsidRPr="00787196">
        <w:rPr>
          <w:rFonts w:cs="Arial"/>
          <w:szCs w:val="24"/>
        </w:rPr>
        <w:t>observed to be common personality trait</w:t>
      </w:r>
      <w:r w:rsidR="004F428E" w:rsidRPr="00787196">
        <w:rPr>
          <w:rFonts w:cs="Arial"/>
          <w:szCs w:val="24"/>
        </w:rPr>
        <w:t>s</w:t>
      </w:r>
      <w:r w:rsidR="000A72DA" w:rsidRPr="00787196">
        <w:rPr>
          <w:rFonts w:cs="Arial"/>
          <w:szCs w:val="24"/>
        </w:rPr>
        <w:t xml:space="preserve"> associated with denture satisfaction. </w:t>
      </w:r>
    </w:p>
    <w:p w14:paraId="009D4F5C" w14:textId="77777777" w:rsidR="00D162DF" w:rsidRPr="00787196" w:rsidRDefault="000A72DA" w:rsidP="007F5FA0">
      <w:pPr>
        <w:rPr>
          <w:rFonts w:cs="Arial"/>
          <w:szCs w:val="24"/>
        </w:rPr>
      </w:pPr>
      <w:r w:rsidRPr="00787196">
        <w:rPr>
          <w:rFonts w:cs="Arial"/>
          <w:szCs w:val="24"/>
        </w:rPr>
        <w:lastRenderedPageBreak/>
        <w:t>More recent studies demonstrated relationship</w:t>
      </w:r>
      <w:r w:rsidR="004F428E" w:rsidRPr="00787196">
        <w:rPr>
          <w:rFonts w:cs="Arial"/>
          <w:szCs w:val="24"/>
        </w:rPr>
        <w:t>s</w:t>
      </w:r>
      <w:r w:rsidRPr="00787196">
        <w:rPr>
          <w:rFonts w:cs="Arial"/>
          <w:szCs w:val="24"/>
        </w:rPr>
        <w:t xml:space="preserve"> between personality domains such as neuroticism, extraversion, openness, agreeableness and conscientiousness and denture satisfaction (Al Quran et al., 2001).</w:t>
      </w:r>
    </w:p>
    <w:p w14:paraId="721E0305" w14:textId="0CEACCA1" w:rsidR="007F5FA0" w:rsidRPr="00787196" w:rsidRDefault="00B739DA" w:rsidP="007F5FA0">
      <w:pPr>
        <w:rPr>
          <w:rFonts w:cs="Arial"/>
          <w:szCs w:val="24"/>
        </w:rPr>
      </w:pPr>
      <w:r w:rsidRPr="00787196">
        <w:rPr>
          <w:rFonts w:cs="Arial"/>
          <w:szCs w:val="24"/>
        </w:rPr>
        <w:t xml:space="preserve">Fenlon and colleagues </w:t>
      </w:r>
      <w:r w:rsidR="000B110E" w:rsidRPr="00787196">
        <w:rPr>
          <w:rFonts w:cs="Arial"/>
          <w:szCs w:val="24"/>
        </w:rPr>
        <w:fldChar w:fldCharType="begin"/>
      </w:r>
      <w:r w:rsidR="000B110E" w:rsidRPr="00787196">
        <w:rPr>
          <w:rFonts w:cs="Arial"/>
          <w:szCs w:val="24"/>
        </w:rPr>
        <w:instrText xml:space="preserve"> ADDIN EN.CITE &lt;EndNote&gt;&lt;Cite ExcludeAuth="1"&gt;&lt;Author&gt;Fenlon&lt;/Author&gt;&lt;Year&gt;2007&lt;/Year&gt;&lt;IDText&gt;The influence of personality on patients’ satisfaction with existing and new complete dentures&lt;/IDText&gt;&lt;DisplayText&gt;(2007)&lt;/DisplayText&gt;&lt;record&gt;&lt;isbn&gt;0300-5712&lt;/isbn&gt;&lt;titles&gt;&lt;title&gt;The influence of personality on patients’ satisfaction with existing and new complete dentures&lt;/title&gt;&lt;secondary-title&gt;Journal of dentistry&lt;/secondary-title&gt;&lt;/titles&gt;&lt;pages&gt;744-748&lt;/pages&gt;&lt;number&gt;9&lt;/number&gt;&lt;contributors&gt;&lt;authors&gt;&lt;author&gt;Fenlon, Michael Robert&lt;/author&gt;&lt;author&gt;Sherriff, Martyn&lt;/author&gt;&lt;author&gt;Newton, Jonathan Tim&lt;/author&gt;&lt;/authors&gt;&lt;/contributors&gt;&lt;added-date format="utc"&gt;1372538843&lt;/added-date&gt;&lt;ref-type name="Journal Article"&gt;17&lt;/ref-type&gt;&lt;dates&gt;&lt;year&gt;2007&lt;/year&gt;&lt;/dates&gt;&lt;rec-number&gt;817&lt;/rec-number&gt;&lt;publisher&gt;Elsevier&lt;/publisher&gt;&lt;last-updated-date format="utc"&gt;1385713712&lt;/last-updated-date&gt;&lt;volume&gt;35&lt;/volume&gt;&lt;/record&gt;&lt;/Cite&gt;&lt;/EndNote&gt;</w:instrText>
      </w:r>
      <w:r w:rsidR="000B110E" w:rsidRPr="00787196">
        <w:rPr>
          <w:rFonts w:cs="Arial"/>
          <w:szCs w:val="24"/>
        </w:rPr>
        <w:fldChar w:fldCharType="separate"/>
      </w:r>
      <w:r w:rsidR="000B110E" w:rsidRPr="00787196">
        <w:rPr>
          <w:rFonts w:cs="Arial"/>
          <w:noProof/>
          <w:szCs w:val="24"/>
        </w:rPr>
        <w:t>(2007)</w:t>
      </w:r>
      <w:r w:rsidR="000B110E" w:rsidRPr="00787196">
        <w:rPr>
          <w:rFonts w:cs="Arial"/>
          <w:szCs w:val="24"/>
        </w:rPr>
        <w:fldChar w:fldCharType="end"/>
      </w:r>
      <w:r w:rsidRPr="00787196">
        <w:rPr>
          <w:rFonts w:cs="Arial"/>
          <w:szCs w:val="24"/>
        </w:rPr>
        <w:t xml:space="preserve"> </w:t>
      </w:r>
      <w:r w:rsidR="00D162DF" w:rsidRPr="00787196">
        <w:rPr>
          <w:rFonts w:cs="Arial"/>
          <w:szCs w:val="24"/>
        </w:rPr>
        <w:t>investigated the</w:t>
      </w:r>
      <w:r w:rsidR="000A72DA" w:rsidRPr="00787196">
        <w:rPr>
          <w:rFonts w:cs="Arial"/>
          <w:szCs w:val="24"/>
        </w:rPr>
        <w:t xml:space="preserve"> specific associations between </w:t>
      </w:r>
      <w:r w:rsidR="00D162DF" w:rsidRPr="00787196">
        <w:rPr>
          <w:rFonts w:cs="Arial"/>
          <w:szCs w:val="24"/>
        </w:rPr>
        <w:t xml:space="preserve">patient personality </w:t>
      </w:r>
      <w:r w:rsidR="006E33FF" w:rsidRPr="00787196">
        <w:rPr>
          <w:rFonts w:cs="Arial"/>
          <w:szCs w:val="24"/>
        </w:rPr>
        <w:t xml:space="preserve">traits </w:t>
      </w:r>
      <w:r w:rsidR="00D162DF" w:rsidRPr="00787196">
        <w:rPr>
          <w:rFonts w:cs="Arial"/>
          <w:szCs w:val="24"/>
        </w:rPr>
        <w:t>a</w:t>
      </w:r>
      <w:r w:rsidR="000A72DA" w:rsidRPr="00787196">
        <w:rPr>
          <w:rFonts w:cs="Arial"/>
          <w:szCs w:val="24"/>
        </w:rPr>
        <w:t xml:space="preserve">nd </w:t>
      </w:r>
      <w:r w:rsidR="00D162DF" w:rsidRPr="00787196">
        <w:rPr>
          <w:rFonts w:cs="Arial"/>
          <w:szCs w:val="24"/>
        </w:rPr>
        <w:t xml:space="preserve">patient’s </w:t>
      </w:r>
      <w:r w:rsidR="000A72DA" w:rsidRPr="00787196">
        <w:rPr>
          <w:rFonts w:cs="Arial"/>
          <w:szCs w:val="24"/>
        </w:rPr>
        <w:t>satisfaction</w:t>
      </w:r>
      <w:r w:rsidR="00D162DF" w:rsidRPr="00787196">
        <w:rPr>
          <w:rFonts w:cs="Arial"/>
          <w:szCs w:val="24"/>
        </w:rPr>
        <w:t xml:space="preserve"> with their dentures. They recruited three hundred and eight patients attending a dental </w:t>
      </w:r>
      <w:r w:rsidR="006E33FF" w:rsidRPr="00787196">
        <w:rPr>
          <w:rFonts w:cs="Arial"/>
          <w:szCs w:val="24"/>
        </w:rPr>
        <w:t>t</w:t>
      </w:r>
      <w:r w:rsidR="00D162DF" w:rsidRPr="00787196">
        <w:rPr>
          <w:rFonts w:cs="Arial"/>
          <w:szCs w:val="24"/>
        </w:rPr>
        <w:t>eaching hospital for replacement dentures</w:t>
      </w:r>
      <w:r w:rsidR="006E33FF" w:rsidRPr="00787196">
        <w:rPr>
          <w:rFonts w:cs="Arial"/>
          <w:szCs w:val="24"/>
        </w:rPr>
        <w:t>,</w:t>
      </w:r>
      <w:r w:rsidR="00D162DF" w:rsidRPr="00787196">
        <w:rPr>
          <w:rFonts w:cs="Arial"/>
          <w:szCs w:val="24"/>
        </w:rPr>
        <w:t xml:space="preserve"> of which two hundred and seventeen completed</w:t>
      </w:r>
      <w:r w:rsidR="004171CF" w:rsidRPr="00787196">
        <w:rPr>
          <w:rFonts w:cs="Arial"/>
          <w:szCs w:val="24"/>
        </w:rPr>
        <w:t xml:space="preserve"> all the stages of the study. A</w:t>
      </w:r>
      <w:r w:rsidR="00D162DF" w:rsidRPr="00787196">
        <w:rPr>
          <w:rFonts w:cs="Arial"/>
          <w:szCs w:val="24"/>
        </w:rPr>
        <w:t xml:space="preserve"> persona</w:t>
      </w:r>
      <w:r w:rsidR="001F4989" w:rsidRPr="00787196">
        <w:rPr>
          <w:rFonts w:cs="Arial"/>
          <w:szCs w:val="24"/>
        </w:rPr>
        <w:t xml:space="preserve">lity questionnaire </w:t>
      </w:r>
      <w:r w:rsidR="004171CF" w:rsidRPr="00787196">
        <w:rPr>
          <w:rFonts w:cs="Arial"/>
          <w:szCs w:val="24"/>
        </w:rPr>
        <w:t xml:space="preserve">was completed by the patients </w:t>
      </w:r>
      <w:r w:rsidR="001F4989" w:rsidRPr="00787196">
        <w:rPr>
          <w:rFonts w:cs="Arial"/>
          <w:szCs w:val="24"/>
        </w:rPr>
        <w:t>alongside an assessment of existing denture quality</w:t>
      </w:r>
      <w:r w:rsidR="004171CF" w:rsidRPr="00787196">
        <w:rPr>
          <w:rFonts w:cs="Arial"/>
          <w:szCs w:val="24"/>
        </w:rPr>
        <w:t>.</w:t>
      </w:r>
      <w:r w:rsidR="001F4989" w:rsidRPr="00787196">
        <w:rPr>
          <w:rFonts w:cs="Arial"/>
          <w:szCs w:val="24"/>
        </w:rPr>
        <w:t xml:space="preserve"> </w:t>
      </w:r>
      <w:r w:rsidR="0004557F" w:rsidRPr="00787196">
        <w:rPr>
          <w:rFonts w:cs="Arial"/>
          <w:szCs w:val="24"/>
        </w:rPr>
        <w:t>After denture insertion</w:t>
      </w:r>
      <w:r w:rsidR="004171CF" w:rsidRPr="00787196">
        <w:rPr>
          <w:rFonts w:cs="Arial"/>
          <w:szCs w:val="24"/>
        </w:rPr>
        <w:t xml:space="preserve"> the denture</w:t>
      </w:r>
      <w:r w:rsidR="0004557F" w:rsidRPr="00787196">
        <w:rPr>
          <w:rFonts w:cs="Arial"/>
          <w:szCs w:val="24"/>
        </w:rPr>
        <w:t xml:space="preserve"> quality was assessed again. </w:t>
      </w:r>
      <w:r w:rsidR="001F4989" w:rsidRPr="00787196">
        <w:rPr>
          <w:rFonts w:cs="Arial"/>
          <w:szCs w:val="24"/>
        </w:rPr>
        <w:t>Satisfaction w</w:t>
      </w:r>
      <w:r w:rsidR="0004557F" w:rsidRPr="00787196">
        <w:rPr>
          <w:rFonts w:cs="Arial"/>
          <w:szCs w:val="24"/>
        </w:rPr>
        <w:t>ith the new dentures w</w:t>
      </w:r>
      <w:r w:rsidR="006E33FF" w:rsidRPr="00787196">
        <w:rPr>
          <w:rFonts w:cs="Arial"/>
          <w:szCs w:val="24"/>
        </w:rPr>
        <w:t>as</w:t>
      </w:r>
      <w:r w:rsidR="001F4989" w:rsidRPr="00787196">
        <w:rPr>
          <w:rFonts w:cs="Arial"/>
          <w:szCs w:val="24"/>
        </w:rPr>
        <w:t xml:space="preserve"> assessed </w:t>
      </w:r>
      <w:r w:rsidR="006E33FF" w:rsidRPr="00787196">
        <w:rPr>
          <w:rFonts w:cs="Arial"/>
          <w:szCs w:val="24"/>
        </w:rPr>
        <w:t>in</w:t>
      </w:r>
      <w:r w:rsidR="001F4989" w:rsidRPr="00787196">
        <w:rPr>
          <w:rFonts w:cs="Arial"/>
          <w:szCs w:val="24"/>
        </w:rPr>
        <w:t xml:space="preserve"> a structured </w:t>
      </w:r>
      <w:r w:rsidR="0004557F" w:rsidRPr="00787196">
        <w:rPr>
          <w:rFonts w:cs="Arial"/>
          <w:szCs w:val="24"/>
        </w:rPr>
        <w:t>interview during the first post insertion</w:t>
      </w:r>
      <w:r w:rsidR="006E33FF" w:rsidRPr="00787196">
        <w:rPr>
          <w:rFonts w:cs="Arial"/>
          <w:szCs w:val="24"/>
        </w:rPr>
        <w:t xml:space="preserve"> visit. Q</w:t>
      </w:r>
      <w:r w:rsidR="0004557F" w:rsidRPr="00787196">
        <w:rPr>
          <w:rFonts w:cs="Arial"/>
          <w:szCs w:val="24"/>
        </w:rPr>
        <w:t>uestionnaires</w:t>
      </w:r>
      <w:r w:rsidR="007000FF" w:rsidRPr="00787196">
        <w:rPr>
          <w:rFonts w:cs="Arial"/>
          <w:szCs w:val="24"/>
        </w:rPr>
        <w:t xml:space="preserve"> for denture satisfaction were mailed</w:t>
      </w:r>
      <w:r w:rsidR="004171CF" w:rsidRPr="00787196">
        <w:rPr>
          <w:rFonts w:cs="Arial"/>
          <w:szCs w:val="24"/>
        </w:rPr>
        <w:t xml:space="preserve"> twice</w:t>
      </w:r>
      <w:r w:rsidR="0004557F" w:rsidRPr="00787196">
        <w:rPr>
          <w:rFonts w:cs="Arial"/>
          <w:szCs w:val="24"/>
        </w:rPr>
        <w:t xml:space="preserve"> </w:t>
      </w:r>
      <w:r w:rsidR="004171CF" w:rsidRPr="00787196">
        <w:rPr>
          <w:rFonts w:cs="Arial"/>
          <w:szCs w:val="24"/>
        </w:rPr>
        <w:t>(</w:t>
      </w:r>
      <w:r w:rsidR="0004557F" w:rsidRPr="00787196">
        <w:rPr>
          <w:rFonts w:cs="Arial"/>
          <w:szCs w:val="24"/>
        </w:rPr>
        <w:t>3 months and 2 years</w:t>
      </w:r>
      <w:r w:rsidR="004171CF" w:rsidRPr="00787196">
        <w:rPr>
          <w:rFonts w:cs="Arial"/>
          <w:szCs w:val="24"/>
        </w:rPr>
        <w:t>) post insertion to all participants.</w:t>
      </w:r>
      <w:r w:rsidR="0004557F" w:rsidRPr="00787196">
        <w:rPr>
          <w:rFonts w:cs="Arial"/>
          <w:szCs w:val="24"/>
        </w:rPr>
        <w:t xml:space="preserve"> </w:t>
      </w:r>
      <w:r w:rsidR="005A11EB" w:rsidRPr="00787196">
        <w:rPr>
          <w:rFonts w:cs="Arial"/>
          <w:szCs w:val="24"/>
        </w:rPr>
        <w:t>Although use of dentures were not associated with the individual’s personality overall, the personality trait of neuroticism was significantly associated with satisfaction with the old dentures. There were no significant association at the first instance in the case of new dentures. However</w:t>
      </w:r>
      <w:r w:rsidR="00D206E0" w:rsidRPr="00787196">
        <w:rPr>
          <w:rFonts w:cs="Arial"/>
          <w:szCs w:val="24"/>
        </w:rPr>
        <w:t>, three months and also two years post insertion there was a significant negative association between satisfaction and neuroticism</w:t>
      </w:r>
      <w:r w:rsidR="007000FF" w:rsidRPr="00787196">
        <w:rPr>
          <w:rFonts w:cs="Arial"/>
          <w:szCs w:val="24"/>
        </w:rPr>
        <w:t xml:space="preserve">, </w:t>
      </w:r>
      <w:r w:rsidR="00D206E0" w:rsidRPr="00787196">
        <w:rPr>
          <w:rFonts w:cs="Arial"/>
          <w:szCs w:val="24"/>
        </w:rPr>
        <w:t>except for appearance and chewing ability.</w:t>
      </w:r>
      <w:r w:rsidR="000A72DA" w:rsidRPr="00787196">
        <w:rPr>
          <w:rFonts w:cs="Arial"/>
          <w:szCs w:val="24"/>
        </w:rPr>
        <w:t xml:space="preserve"> </w:t>
      </w:r>
    </w:p>
    <w:p w14:paraId="16A73C70" w14:textId="30A96469" w:rsidR="00126B15" w:rsidRPr="00787196" w:rsidRDefault="000A72DA" w:rsidP="007F5FA0">
      <w:pPr>
        <w:rPr>
          <w:rFonts w:cs="Arial"/>
          <w:szCs w:val="24"/>
        </w:rPr>
      </w:pPr>
      <w:r w:rsidRPr="00787196">
        <w:rPr>
          <w:rFonts w:cs="Arial"/>
          <w:szCs w:val="24"/>
        </w:rPr>
        <w:t xml:space="preserve">Overall, it appears that denture satisfaction </w:t>
      </w:r>
      <w:r w:rsidR="00D206E0" w:rsidRPr="00787196">
        <w:rPr>
          <w:rFonts w:cs="Arial"/>
          <w:szCs w:val="24"/>
        </w:rPr>
        <w:t>is related to an individual’s personality</w:t>
      </w:r>
      <w:r w:rsidR="00126B15" w:rsidRPr="00787196">
        <w:rPr>
          <w:rFonts w:cs="Arial"/>
          <w:szCs w:val="24"/>
        </w:rPr>
        <w:t xml:space="preserve"> especially with certain traits such as neuroticism. </w:t>
      </w:r>
      <w:r w:rsidR="00D206E0" w:rsidRPr="00787196">
        <w:rPr>
          <w:rFonts w:cs="Arial"/>
          <w:szCs w:val="24"/>
        </w:rPr>
        <w:t xml:space="preserve"> </w:t>
      </w:r>
      <w:r w:rsidR="00126B15" w:rsidRPr="00787196">
        <w:rPr>
          <w:rFonts w:cs="Arial"/>
          <w:szCs w:val="24"/>
        </w:rPr>
        <w:t>However</w:t>
      </w:r>
      <w:r w:rsidR="00D206E0" w:rsidRPr="00787196">
        <w:rPr>
          <w:rFonts w:cs="Arial"/>
          <w:szCs w:val="24"/>
        </w:rPr>
        <w:t xml:space="preserve">, </w:t>
      </w:r>
      <w:r w:rsidR="007F5FA0" w:rsidRPr="00787196">
        <w:rPr>
          <w:rFonts w:cs="Arial"/>
          <w:szCs w:val="24"/>
        </w:rPr>
        <w:t>the</w:t>
      </w:r>
      <w:r w:rsidRPr="00787196">
        <w:rPr>
          <w:rFonts w:cs="Arial"/>
          <w:szCs w:val="24"/>
        </w:rPr>
        <w:t xml:space="preserve"> relationship </w:t>
      </w:r>
      <w:r w:rsidR="007F5FA0" w:rsidRPr="00787196">
        <w:rPr>
          <w:rFonts w:cs="Arial"/>
          <w:szCs w:val="24"/>
        </w:rPr>
        <w:t>appears to be widely inconsistent with</w:t>
      </w:r>
      <w:r w:rsidRPr="00787196">
        <w:rPr>
          <w:rFonts w:cs="Arial"/>
          <w:szCs w:val="24"/>
        </w:rPr>
        <w:t xml:space="preserve"> </w:t>
      </w:r>
      <w:r w:rsidR="007F5FA0" w:rsidRPr="00787196">
        <w:rPr>
          <w:rFonts w:cs="Arial"/>
          <w:szCs w:val="24"/>
        </w:rPr>
        <w:t xml:space="preserve">an </w:t>
      </w:r>
      <w:r w:rsidRPr="00787196">
        <w:rPr>
          <w:rFonts w:cs="Arial"/>
          <w:szCs w:val="24"/>
        </w:rPr>
        <w:t xml:space="preserve">individual’s </w:t>
      </w:r>
      <w:r w:rsidR="007F5FA0" w:rsidRPr="00787196">
        <w:rPr>
          <w:rFonts w:cs="Arial"/>
          <w:szCs w:val="24"/>
        </w:rPr>
        <w:t xml:space="preserve">overall </w:t>
      </w:r>
      <w:r w:rsidRPr="00787196">
        <w:rPr>
          <w:rFonts w:cs="Arial"/>
          <w:szCs w:val="24"/>
        </w:rPr>
        <w:t>personality</w:t>
      </w:r>
      <w:r w:rsidR="00EF43EE" w:rsidRPr="00787196">
        <w:rPr>
          <w:rFonts w:cs="Arial"/>
          <w:szCs w:val="24"/>
        </w:rPr>
        <w:t>.</w:t>
      </w:r>
      <w:r w:rsidR="00126B15" w:rsidRPr="00787196">
        <w:rPr>
          <w:rFonts w:cs="Arial"/>
          <w:szCs w:val="24"/>
        </w:rPr>
        <w:t xml:space="preserve"> This further substantiates with our early argument on the lack of conceptualisation and theorisation of denture satisfaction.</w:t>
      </w:r>
    </w:p>
    <w:p w14:paraId="6D7DDEE4" w14:textId="77777777" w:rsidR="00126B15" w:rsidRPr="00787196" w:rsidRDefault="00126B15">
      <w:pPr>
        <w:spacing w:before="0" w:after="0" w:line="240" w:lineRule="auto"/>
        <w:jc w:val="left"/>
        <w:rPr>
          <w:rFonts w:cs="Arial"/>
          <w:szCs w:val="24"/>
        </w:rPr>
      </w:pPr>
      <w:r w:rsidRPr="00787196">
        <w:rPr>
          <w:rFonts w:cs="Arial"/>
          <w:szCs w:val="24"/>
        </w:rPr>
        <w:br w:type="page"/>
      </w:r>
    </w:p>
    <w:p w14:paraId="32D9035F" w14:textId="52093E9A" w:rsidR="004C3A25" w:rsidRPr="00787196" w:rsidRDefault="008E1B3C" w:rsidP="000B110E">
      <w:pPr>
        <w:spacing w:before="0" w:after="0"/>
        <w:rPr>
          <w:rFonts w:cs="Arial"/>
          <w:szCs w:val="24"/>
        </w:rPr>
      </w:pPr>
      <w:r w:rsidRPr="00787196">
        <w:rPr>
          <w:rFonts w:cs="Arial"/>
          <w:szCs w:val="24"/>
        </w:rPr>
        <w:lastRenderedPageBreak/>
        <w:t>D</w:t>
      </w:r>
      <w:r w:rsidR="00434FB1" w:rsidRPr="00787196">
        <w:rPr>
          <w:rFonts w:cs="Arial"/>
          <w:szCs w:val="24"/>
        </w:rPr>
        <w:t>enture satisfaction</w:t>
      </w:r>
      <w:r w:rsidRPr="00787196">
        <w:rPr>
          <w:rFonts w:cs="Arial"/>
          <w:szCs w:val="24"/>
        </w:rPr>
        <w:t xml:space="preserve"> is</w:t>
      </w:r>
      <w:r w:rsidR="00434FB1" w:rsidRPr="00787196">
        <w:rPr>
          <w:rFonts w:cs="Arial"/>
          <w:szCs w:val="24"/>
        </w:rPr>
        <w:t xml:space="preserve"> </w:t>
      </w:r>
      <w:r w:rsidR="003C23FE" w:rsidRPr="00787196">
        <w:rPr>
          <w:rFonts w:cs="Arial"/>
          <w:szCs w:val="24"/>
        </w:rPr>
        <w:t>a</w:t>
      </w:r>
      <w:r w:rsidR="00126B15" w:rsidRPr="00787196">
        <w:rPr>
          <w:rFonts w:cs="Arial"/>
          <w:szCs w:val="24"/>
        </w:rPr>
        <w:t xml:space="preserve"> widely used</w:t>
      </w:r>
      <w:r w:rsidR="00434FB1" w:rsidRPr="00787196">
        <w:rPr>
          <w:rFonts w:cs="Arial"/>
          <w:szCs w:val="24"/>
        </w:rPr>
        <w:t xml:space="preserve"> patient reported outcome to assess denture treatment. </w:t>
      </w:r>
      <w:r w:rsidR="003C23FE" w:rsidRPr="00787196">
        <w:rPr>
          <w:rFonts w:cs="Arial"/>
          <w:szCs w:val="24"/>
        </w:rPr>
        <w:t>Satisfaction</w:t>
      </w:r>
      <w:r w:rsidR="00434FB1" w:rsidRPr="00787196">
        <w:rPr>
          <w:rFonts w:cs="Arial"/>
          <w:szCs w:val="24"/>
        </w:rPr>
        <w:t xml:space="preserve"> </w:t>
      </w:r>
      <w:r w:rsidR="004B0762" w:rsidRPr="00787196">
        <w:rPr>
          <w:rFonts w:cs="Arial"/>
          <w:szCs w:val="24"/>
        </w:rPr>
        <w:t>has been</w:t>
      </w:r>
      <w:r w:rsidR="00434FB1" w:rsidRPr="00787196">
        <w:rPr>
          <w:rFonts w:cs="Arial"/>
          <w:szCs w:val="24"/>
        </w:rPr>
        <w:t xml:space="preserve"> </w:t>
      </w:r>
      <w:r w:rsidR="00C517D3" w:rsidRPr="00787196">
        <w:rPr>
          <w:rFonts w:cs="Arial"/>
          <w:szCs w:val="24"/>
        </w:rPr>
        <w:t>associated with</w:t>
      </w:r>
      <w:r w:rsidR="00434FB1" w:rsidRPr="00787196">
        <w:rPr>
          <w:rFonts w:cs="Arial"/>
          <w:szCs w:val="24"/>
        </w:rPr>
        <w:t xml:space="preserve"> a multitude of clinical</w:t>
      </w:r>
      <w:r w:rsidR="00C517D3" w:rsidRPr="00787196">
        <w:rPr>
          <w:rFonts w:cs="Arial"/>
          <w:szCs w:val="24"/>
        </w:rPr>
        <w:t xml:space="preserve">, psychological, functional and social factors </w:t>
      </w:r>
      <w:r w:rsidR="003C23FE" w:rsidRPr="00787196">
        <w:rPr>
          <w:rFonts w:cs="Arial"/>
          <w:szCs w:val="24"/>
        </w:rPr>
        <w:t>and</w:t>
      </w:r>
      <w:r w:rsidR="00C517D3" w:rsidRPr="00787196">
        <w:rPr>
          <w:rFonts w:cs="Arial"/>
          <w:szCs w:val="24"/>
        </w:rPr>
        <w:t xml:space="preserve"> even aesthetics. </w:t>
      </w:r>
      <w:r w:rsidR="00126B15" w:rsidRPr="00787196">
        <w:rPr>
          <w:rFonts w:cs="Arial"/>
          <w:szCs w:val="24"/>
        </w:rPr>
        <w:t>However, t</w:t>
      </w:r>
      <w:r w:rsidR="00C517D3" w:rsidRPr="00787196">
        <w:rPr>
          <w:rFonts w:cs="Arial"/>
          <w:szCs w:val="24"/>
        </w:rPr>
        <w:t>h</w:t>
      </w:r>
      <w:r w:rsidR="004B0762" w:rsidRPr="00787196">
        <w:rPr>
          <w:rFonts w:cs="Arial"/>
          <w:szCs w:val="24"/>
        </w:rPr>
        <w:t>e</w:t>
      </w:r>
      <w:r w:rsidRPr="00787196">
        <w:rPr>
          <w:rFonts w:cs="Arial"/>
          <w:szCs w:val="24"/>
        </w:rPr>
        <w:t xml:space="preserve"> concept of denture satisfaction </w:t>
      </w:r>
      <w:r w:rsidR="003C23FE" w:rsidRPr="00787196">
        <w:rPr>
          <w:rFonts w:cs="Arial"/>
          <w:szCs w:val="24"/>
        </w:rPr>
        <w:t xml:space="preserve">has </w:t>
      </w:r>
      <w:r w:rsidRPr="00787196">
        <w:rPr>
          <w:rFonts w:cs="Arial"/>
          <w:szCs w:val="24"/>
        </w:rPr>
        <w:t xml:space="preserve">not </w:t>
      </w:r>
      <w:r w:rsidR="00C517D3" w:rsidRPr="00787196">
        <w:rPr>
          <w:rFonts w:cs="Arial"/>
          <w:szCs w:val="24"/>
        </w:rPr>
        <w:t>only</w:t>
      </w:r>
      <w:r w:rsidR="00126B15" w:rsidRPr="00787196">
        <w:rPr>
          <w:rFonts w:cs="Arial"/>
          <w:szCs w:val="24"/>
        </w:rPr>
        <w:t xml:space="preserve"> been</w:t>
      </w:r>
      <w:r w:rsidR="00C517D3" w:rsidRPr="00787196">
        <w:rPr>
          <w:rFonts w:cs="Arial"/>
          <w:szCs w:val="24"/>
        </w:rPr>
        <w:t xml:space="preserve"> </w:t>
      </w:r>
      <w:r w:rsidR="00126B15" w:rsidRPr="00787196">
        <w:rPr>
          <w:rFonts w:cs="Arial"/>
          <w:szCs w:val="24"/>
        </w:rPr>
        <w:t xml:space="preserve">vaguely defined, but also at the same time </w:t>
      </w:r>
      <w:r w:rsidR="003C23FE" w:rsidRPr="00787196">
        <w:rPr>
          <w:rFonts w:cs="Arial"/>
          <w:szCs w:val="24"/>
        </w:rPr>
        <w:t xml:space="preserve">it has </w:t>
      </w:r>
      <w:r w:rsidR="00126B15" w:rsidRPr="00787196">
        <w:rPr>
          <w:rFonts w:cs="Arial"/>
          <w:szCs w:val="24"/>
        </w:rPr>
        <w:t xml:space="preserve">not </w:t>
      </w:r>
      <w:r w:rsidR="003C23FE" w:rsidRPr="00787196">
        <w:rPr>
          <w:rFonts w:cs="Arial"/>
          <w:szCs w:val="24"/>
        </w:rPr>
        <w:t xml:space="preserve">been </w:t>
      </w:r>
      <w:r w:rsidR="00126B15" w:rsidRPr="00787196">
        <w:rPr>
          <w:rFonts w:cs="Arial"/>
          <w:szCs w:val="24"/>
        </w:rPr>
        <w:t xml:space="preserve">sufficiently theorised to address its </w:t>
      </w:r>
      <w:r w:rsidR="00C517D3" w:rsidRPr="00787196">
        <w:rPr>
          <w:rFonts w:cs="Arial"/>
          <w:szCs w:val="24"/>
        </w:rPr>
        <w:t>complex</w:t>
      </w:r>
      <w:r w:rsidR="00126B15" w:rsidRPr="00787196">
        <w:rPr>
          <w:rFonts w:cs="Arial"/>
          <w:szCs w:val="24"/>
        </w:rPr>
        <w:t>ity. Hence, there is gap</w:t>
      </w:r>
      <w:r w:rsidR="00F93FE3" w:rsidRPr="00787196">
        <w:rPr>
          <w:rFonts w:cs="Arial"/>
          <w:szCs w:val="24"/>
        </w:rPr>
        <w:t>, related to</w:t>
      </w:r>
      <w:r w:rsidR="00126B15" w:rsidRPr="00787196">
        <w:rPr>
          <w:rFonts w:cs="Arial"/>
          <w:szCs w:val="24"/>
        </w:rPr>
        <w:t xml:space="preserve"> inconsistent</w:t>
      </w:r>
      <w:r w:rsidR="00C517D3" w:rsidRPr="00787196">
        <w:rPr>
          <w:rFonts w:cs="Arial"/>
          <w:szCs w:val="24"/>
        </w:rPr>
        <w:t xml:space="preserve"> associations</w:t>
      </w:r>
      <w:r w:rsidR="00126B15" w:rsidRPr="00787196">
        <w:rPr>
          <w:rFonts w:cs="Arial"/>
          <w:szCs w:val="24"/>
        </w:rPr>
        <w:t xml:space="preserve"> between patient satisfaction with dentures</w:t>
      </w:r>
      <w:r w:rsidR="00F93FE3" w:rsidRPr="00787196">
        <w:rPr>
          <w:rFonts w:cs="Arial"/>
          <w:szCs w:val="24"/>
        </w:rPr>
        <w:t xml:space="preserve"> and other factors</w:t>
      </w:r>
      <w:r w:rsidR="00C517D3" w:rsidRPr="00787196">
        <w:rPr>
          <w:rFonts w:cs="Arial"/>
          <w:szCs w:val="24"/>
        </w:rPr>
        <w:t xml:space="preserve">. </w:t>
      </w:r>
    </w:p>
    <w:p w14:paraId="733DF00F" w14:textId="77777777" w:rsidR="00E225A9" w:rsidRPr="00787196" w:rsidRDefault="00E225A9" w:rsidP="000B110E">
      <w:pPr>
        <w:spacing w:before="0" w:after="0"/>
        <w:rPr>
          <w:rFonts w:cs="Arial"/>
          <w:szCs w:val="24"/>
        </w:rPr>
      </w:pPr>
    </w:p>
    <w:p w14:paraId="2A2F5C8C" w14:textId="75FE2C51" w:rsidR="00E225A9" w:rsidRPr="00787196" w:rsidRDefault="00E225A9" w:rsidP="00E225A9">
      <w:pPr>
        <w:pStyle w:val="Heading3"/>
      </w:pPr>
      <w:bookmarkStart w:id="23" w:name="_Toc488655610"/>
      <w:r w:rsidRPr="00787196">
        <w:t>Summary</w:t>
      </w:r>
      <w:bookmarkEnd w:id="23"/>
    </w:p>
    <w:p w14:paraId="343BB48B" w14:textId="29A0068B" w:rsidR="00E225A9" w:rsidRPr="00787196" w:rsidRDefault="00126B15" w:rsidP="004C3A25">
      <w:pPr>
        <w:spacing w:before="0" w:after="0"/>
        <w:rPr>
          <w:rFonts w:cs="Arial"/>
          <w:szCs w:val="24"/>
        </w:rPr>
      </w:pPr>
      <w:r w:rsidRPr="00787196">
        <w:rPr>
          <w:rFonts w:cs="Arial"/>
          <w:szCs w:val="24"/>
        </w:rPr>
        <w:t xml:space="preserve">Based on the existing evidences, this thesis </w:t>
      </w:r>
      <w:r w:rsidR="00BD3F9A" w:rsidRPr="00787196">
        <w:rPr>
          <w:rFonts w:cs="Arial"/>
          <w:szCs w:val="24"/>
        </w:rPr>
        <w:t>recognises</w:t>
      </w:r>
      <w:r w:rsidRPr="00787196">
        <w:rPr>
          <w:rFonts w:cs="Arial"/>
          <w:szCs w:val="24"/>
        </w:rPr>
        <w:t xml:space="preserve"> that d</w:t>
      </w:r>
      <w:r w:rsidR="00C517D3" w:rsidRPr="00787196">
        <w:rPr>
          <w:rFonts w:cs="Arial"/>
          <w:szCs w:val="24"/>
        </w:rPr>
        <w:t>enture</w:t>
      </w:r>
      <w:r w:rsidR="00E225A9" w:rsidRPr="00787196">
        <w:rPr>
          <w:rFonts w:cs="Arial"/>
          <w:szCs w:val="24"/>
        </w:rPr>
        <w:t xml:space="preserve"> success </w:t>
      </w:r>
      <w:r w:rsidR="00C517D3" w:rsidRPr="00787196">
        <w:rPr>
          <w:rFonts w:cs="Arial"/>
          <w:szCs w:val="24"/>
        </w:rPr>
        <w:t xml:space="preserve">has not been </w:t>
      </w:r>
      <w:r w:rsidR="008E1B3C" w:rsidRPr="00787196">
        <w:rPr>
          <w:rFonts w:cs="Arial"/>
          <w:szCs w:val="24"/>
        </w:rPr>
        <w:t xml:space="preserve">adequately </w:t>
      </w:r>
      <w:r w:rsidR="00C517D3" w:rsidRPr="00787196">
        <w:rPr>
          <w:rFonts w:cs="Arial"/>
          <w:szCs w:val="24"/>
        </w:rPr>
        <w:t>conceptualised</w:t>
      </w:r>
      <w:r w:rsidR="004B0762" w:rsidRPr="00787196">
        <w:rPr>
          <w:rFonts w:cs="Arial"/>
          <w:szCs w:val="24"/>
        </w:rPr>
        <w:t>,</w:t>
      </w:r>
      <w:r w:rsidR="00C517D3" w:rsidRPr="00787196">
        <w:rPr>
          <w:rFonts w:cs="Arial"/>
          <w:szCs w:val="24"/>
        </w:rPr>
        <w:t xml:space="preserve"> </w:t>
      </w:r>
      <w:r w:rsidR="004B5157" w:rsidRPr="00787196">
        <w:rPr>
          <w:rFonts w:cs="Arial"/>
          <w:szCs w:val="24"/>
        </w:rPr>
        <w:t xml:space="preserve">nor </w:t>
      </w:r>
      <w:r w:rsidR="00AD09C6" w:rsidRPr="00787196">
        <w:rPr>
          <w:rFonts w:cs="Arial"/>
          <w:szCs w:val="24"/>
        </w:rPr>
        <w:t xml:space="preserve">is its use </w:t>
      </w:r>
      <w:r w:rsidR="004B0762" w:rsidRPr="00787196">
        <w:rPr>
          <w:rFonts w:cs="Arial"/>
          <w:szCs w:val="24"/>
        </w:rPr>
        <w:t xml:space="preserve">is </w:t>
      </w:r>
      <w:r w:rsidR="00C517D3" w:rsidRPr="00787196">
        <w:rPr>
          <w:rFonts w:cs="Arial"/>
          <w:szCs w:val="24"/>
        </w:rPr>
        <w:t xml:space="preserve">based on theoretical approaches. </w:t>
      </w:r>
      <w:r w:rsidR="00E225A9" w:rsidRPr="00787196">
        <w:rPr>
          <w:rFonts w:cs="Arial"/>
          <w:szCs w:val="24"/>
        </w:rPr>
        <w:t>Historically</w:t>
      </w:r>
      <w:r w:rsidR="00BD3F9A" w:rsidRPr="00787196">
        <w:rPr>
          <w:rFonts w:cs="Arial"/>
          <w:szCs w:val="24"/>
        </w:rPr>
        <w:t>,</w:t>
      </w:r>
      <w:r w:rsidR="00E225A9" w:rsidRPr="00787196">
        <w:rPr>
          <w:rFonts w:cs="Arial"/>
          <w:szCs w:val="24"/>
        </w:rPr>
        <w:t xml:space="preserve"> studies have raised concerns </w:t>
      </w:r>
      <w:r w:rsidR="00BD3F9A" w:rsidRPr="00787196">
        <w:rPr>
          <w:rFonts w:cs="Arial"/>
          <w:szCs w:val="24"/>
        </w:rPr>
        <w:t>about</w:t>
      </w:r>
      <w:r w:rsidR="00E225A9" w:rsidRPr="00787196">
        <w:rPr>
          <w:rFonts w:cs="Arial"/>
          <w:szCs w:val="24"/>
        </w:rPr>
        <w:t xml:space="preserve"> the inclusiveness of patient perspectives. </w:t>
      </w:r>
      <w:r w:rsidR="00BD3F9A" w:rsidRPr="00787196">
        <w:rPr>
          <w:rFonts w:cs="Arial"/>
          <w:szCs w:val="24"/>
        </w:rPr>
        <w:t>However,</w:t>
      </w:r>
      <w:r w:rsidR="00E225A9" w:rsidRPr="00787196">
        <w:rPr>
          <w:rFonts w:cs="Arial"/>
          <w:szCs w:val="24"/>
        </w:rPr>
        <w:t xml:space="preserve"> patient reported outcomes are now widely being used in assessment of denture treatment.</w:t>
      </w:r>
    </w:p>
    <w:p w14:paraId="48E187D5" w14:textId="77777777" w:rsidR="00E225A9" w:rsidRPr="00787196" w:rsidRDefault="00E225A9" w:rsidP="004C3A25">
      <w:pPr>
        <w:spacing w:before="0" w:after="0"/>
        <w:rPr>
          <w:rFonts w:cs="Arial"/>
          <w:szCs w:val="24"/>
        </w:rPr>
      </w:pPr>
    </w:p>
    <w:p w14:paraId="51118754" w14:textId="3D02088D" w:rsidR="0029690F" w:rsidRPr="00787196" w:rsidRDefault="00E225A9" w:rsidP="004C3A25">
      <w:pPr>
        <w:spacing w:before="0" w:after="0"/>
        <w:rPr>
          <w:rFonts w:cs="Arial"/>
          <w:szCs w:val="24"/>
        </w:rPr>
      </w:pPr>
      <w:r w:rsidRPr="00787196">
        <w:rPr>
          <w:rFonts w:cs="Arial"/>
          <w:szCs w:val="24"/>
        </w:rPr>
        <w:t>However, t</w:t>
      </w:r>
      <w:r w:rsidR="00C517D3" w:rsidRPr="00787196">
        <w:rPr>
          <w:rFonts w:cs="Arial"/>
          <w:szCs w:val="24"/>
        </w:rPr>
        <w:t xml:space="preserve">here </w:t>
      </w:r>
      <w:r w:rsidR="00D0514C" w:rsidRPr="00787196">
        <w:rPr>
          <w:rFonts w:cs="Arial"/>
          <w:szCs w:val="24"/>
        </w:rPr>
        <w:t>exists</w:t>
      </w:r>
      <w:r w:rsidR="00AD09C6" w:rsidRPr="00787196">
        <w:rPr>
          <w:rFonts w:cs="Arial"/>
          <w:szCs w:val="24"/>
        </w:rPr>
        <w:t xml:space="preserve"> </w:t>
      </w:r>
      <w:r w:rsidRPr="00787196">
        <w:rPr>
          <w:rFonts w:cs="Arial"/>
          <w:szCs w:val="24"/>
        </w:rPr>
        <w:t xml:space="preserve">knowledge </w:t>
      </w:r>
      <w:r w:rsidR="00C517D3" w:rsidRPr="00787196">
        <w:rPr>
          <w:rFonts w:cs="Arial"/>
          <w:szCs w:val="24"/>
        </w:rPr>
        <w:t>gap</w:t>
      </w:r>
      <w:r w:rsidR="00D0514C" w:rsidRPr="00787196">
        <w:rPr>
          <w:rFonts w:cs="Arial"/>
          <w:szCs w:val="24"/>
        </w:rPr>
        <w:t xml:space="preserve">s in the following areas. The existing studies have not </w:t>
      </w:r>
      <w:r w:rsidRPr="00787196">
        <w:rPr>
          <w:rFonts w:cs="Arial"/>
          <w:szCs w:val="24"/>
        </w:rPr>
        <w:t>theorised the</w:t>
      </w:r>
      <w:r w:rsidR="00C517D3" w:rsidRPr="00787196">
        <w:rPr>
          <w:rFonts w:cs="Arial"/>
          <w:szCs w:val="24"/>
        </w:rPr>
        <w:t xml:space="preserve"> associations </w:t>
      </w:r>
      <w:r w:rsidRPr="00787196">
        <w:rPr>
          <w:rFonts w:cs="Arial"/>
          <w:szCs w:val="24"/>
        </w:rPr>
        <w:t xml:space="preserve">between </w:t>
      </w:r>
      <w:r w:rsidR="00C517D3" w:rsidRPr="00787196">
        <w:rPr>
          <w:rFonts w:cs="Arial"/>
          <w:szCs w:val="24"/>
        </w:rPr>
        <w:t>clinical factors</w:t>
      </w:r>
      <w:r w:rsidRPr="00787196">
        <w:rPr>
          <w:rFonts w:cs="Arial"/>
          <w:szCs w:val="24"/>
        </w:rPr>
        <w:t>, patient reported outcomes and denture treatment success</w:t>
      </w:r>
      <w:r w:rsidR="00D0514C" w:rsidRPr="00787196">
        <w:rPr>
          <w:rFonts w:cs="Arial"/>
          <w:szCs w:val="24"/>
        </w:rPr>
        <w:t xml:space="preserve"> using a robust methodology </w:t>
      </w:r>
      <w:r w:rsidR="008A5DAF" w:rsidRPr="00787196">
        <w:rPr>
          <w:rFonts w:cs="Arial"/>
          <w:szCs w:val="24"/>
        </w:rPr>
        <w:t>in addition to</w:t>
      </w:r>
      <w:r w:rsidRPr="00787196">
        <w:rPr>
          <w:rFonts w:cs="Arial"/>
          <w:szCs w:val="24"/>
        </w:rPr>
        <w:t xml:space="preserve"> lack of clarity in defining denture treatment success. Denture satisfaction</w:t>
      </w:r>
      <w:r w:rsidR="008A5DAF" w:rsidRPr="00787196">
        <w:rPr>
          <w:rFonts w:cs="Arial"/>
          <w:szCs w:val="24"/>
        </w:rPr>
        <w:t xml:space="preserve">, </w:t>
      </w:r>
      <w:r w:rsidRPr="00787196">
        <w:rPr>
          <w:rFonts w:cs="Arial"/>
          <w:szCs w:val="24"/>
        </w:rPr>
        <w:t xml:space="preserve">a complex </w:t>
      </w:r>
      <w:r w:rsidR="008A5DAF" w:rsidRPr="00787196">
        <w:rPr>
          <w:rFonts w:cs="Arial"/>
          <w:szCs w:val="24"/>
        </w:rPr>
        <w:t>yet</w:t>
      </w:r>
      <w:r w:rsidRPr="00787196">
        <w:rPr>
          <w:rFonts w:cs="Arial"/>
          <w:szCs w:val="24"/>
        </w:rPr>
        <w:t xml:space="preserve"> vaguely conceptualised patient</w:t>
      </w:r>
      <w:r w:rsidR="008A5DAF" w:rsidRPr="00787196">
        <w:rPr>
          <w:rFonts w:cs="Arial"/>
          <w:szCs w:val="24"/>
        </w:rPr>
        <w:t>-</w:t>
      </w:r>
      <w:r w:rsidRPr="00787196">
        <w:rPr>
          <w:rFonts w:cs="Arial"/>
          <w:szCs w:val="24"/>
        </w:rPr>
        <w:t xml:space="preserve">reported outcome in its own </w:t>
      </w:r>
      <w:r w:rsidR="008A5DAF" w:rsidRPr="00787196">
        <w:rPr>
          <w:rFonts w:cs="Arial"/>
          <w:szCs w:val="24"/>
        </w:rPr>
        <w:t>right</w:t>
      </w:r>
      <w:r w:rsidRPr="00787196">
        <w:rPr>
          <w:rFonts w:cs="Arial"/>
          <w:szCs w:val="24"/>
        </w:rPr>
        <w:t>, has often</w:t>
      </w:r>
      <w:r w:rsidR="00922AA3" w:rsidRPr="00787196">
        <w:rPr>
          <w:rFonts w:cs="Arial"/>
          <w:szCs w:val="24"/>
        </w:rPr>
        <w:t xml:space="preserve"> been used as a term (often interchangeably) to define denture treatment success. However, given the complexity of denture success, patient satisfaction with dentures may be considered a component of treatment success </w:t>
      </w:r>
      <w:r w:rsidR="008A5DAF" w:rsidRPr="00787196">
        <w:rPr>
          <w:rFonts w:cs="Arial"/>
          <w:szCs w:val="24"/>
        </w:rPr>
        <w:t>rather than</w:t>
      </w:r>
      <w:r w:rsidR="00922AA3" w:rsidRPr="00787196">
        <w:rPr>
          <w:rFonts w:cs="Arial"/>
          <w:szCs w:val="24"/>
        </w:rPr>
        <w:t xml:space="preserve"> success as a whole. Measuring d</w:t>
      </w:r>
      <w:r w:rsidR="004B5157" w:rsidRPr="00787196">
        <w:rPr>
          <w:rFonts w:cs="Arial"/>
          <w:szCs w:val="24"/>
        </w:rPr>
        <w:t xml:space="preserve">enture satisfaction </w:t>
      </w:r>
      <w:r w:rsidRPr="00787196">
        <w:rPr>
          <w:rFonts w:cs="Arial"/>
          <w:szCs w:val="24"/>
        </w:rPr>
        <w:t xml:space="preserve">alone </w:t>
      </w:r>
      <w:r w:rsidR="004B5157" w:rsidRPr="00787196">
        <w:rPr>
          <w:rFonts w:cs="Arial"/>
          <w:szCs w:val="24"/>
        </w:rPr>
        <w:t>may not be</w:t>
      </w:r>
      <w:r w:rsidR="00AD09C6" w:rsidRPr="00787196">
        <w:rPr>
          <w:rFonts w:cs="Arial"/>
          <w:szCs w:val="24"/>
        </w:rPr>
        <w:t xml:space="preserve"> a valid or</w:t>
      </w:r>
      <w:r w:rsidR="004B5157" w:rsidRPr="00787196">
        <w:rPr>
          <w:rFonts w:cs="Arial"/>
          <w:szCs w:val="24"/>
        </w:rPr>
        <w:t xml:space="preserve"> </w:t>
      </w:r>
      <w:r w:rsidRPr="00787196">
        <w:rPr>
          <w:rFonts w:cs="Arial"/>
          <w:szCs w:val="24"/>
        </w:rPr>
        <w:t xml:space="preserve">a </w:t>
      </w:r>
      <w:r w:rsidR="004B5157" w:rsidRPr="00787196">
        <w:rPr>
          <w:rFonts w:cs="Arial"/>
          <w:szCs w:val="24"/>
        </w:rPr>
        <w:t>comprehensive measure to quantify denture success</w:t>
      </w:r>
      <w:r w:rsidR="00C517D3" w:rsidRPr="00787196">
        <w:rPr>
          <w:rFonts w:cs="Arial"/>
          <w:szCs w:val="24"/>
        </w:rPr>
        <w:t xml:space="preserve">. </w:t>
      </w:r>
      <w:r w:rsidRPr="00787196">
        <w:rPr>
          <w:rFonts w:cs="Arial"/>
          <w:szCs w:val="24"/>
        </w:rPr>
        <w:t xml:space="preserve">This suggests that a </w:t>
      </w:r>
      <w:r w:rsidR="00922AA3" w:rsidRPr="00787196">
        <w:rPr>
          <w:rFonts w:cs="Arial"/>
          <w:szCs w:val="24"/>
        </w:rPr>
        <w:t>w</w:t>
      </w:r>
      <w:r w:rsidR="00FF4591" w:rsidRPr="00787196">
        <w:rPr>
          <w:rFonts w:cs="Arial"/>
          <w:szCs w:val="24"/>
        </w:rPr>
        <w:t>ell</w:t>
      </w:r>
      <w:r w:rsidR="008A5DAF" w:rsidRPr="00787196">
        <w:rPr>
          <w:rFonts w:cs="Arial"/>
          <w:szCs w:val="24"/>
        </w:rPr>
        <w:t>-</w:t>
      </w:r>
      <w:r w:rsidR="00FF4591" w:rsidRPr="00787196">
        <w:rPr>
          <w:rFonts w:cs="Arial"/>
          <w:szCs w:val="24"/>
        </w:rPr>
        <w:t xml:space="preserve">conceptualised multi-dimensional patient-reported </w:t>
      </w:r>
      <w:r w:rsidR="00AD09C6" w:rsidRPr="00787196">
        <w:rPr>
          <w:rFonts w:cs="Arial"/>
          <w:szCs w:val="24"/>
        </w:rPr>
        <w:t>outcome</w:t>
      </w:r>
      <w:r w:rsidR="00922AA3" w:rsidRPr="00787196">
        <w:rPr>
          <w:rFonts w:cs="Arial"/>
          <w:szCs w:val="24"/>
        </w:rPr>
        <w:t xml:space="preserve"> which link</w:t>
      </w:r>
      <w:r w:rsidRPr="00787196">
        <w:rPr>
          <w:rFonts w:cs="Arial"/>
          <w:szCs w:val="24"/>
        </w:rPr>
        <w:t>s</w:t>
      </w:r>
      <w:r w:rsidR="00922AA3" w:rsidRPr="00787196">
        <w:rPr>
          <w:rFonts w:cs="Arial"/>
          <w:szCs w:val="24"/>
        </w:rPr>
        <w:t xml:space="preserve"> all these components </w:t>
      </w:r>
      <w:r w:rsidR="008A5DAF" w:rsidRPr="00787196">
        <w:rPr>
          <w:rFonts w:cs="Arial"/>
          <w:szCs w:val="24"/>
        </w:rPr>
        <w:t>may be</w:t>
      </w:r>
      <w:r w:rsidR="009B4F61" w:rsidRPr="00787196">
        <w:rPr>
          <w:rFonts w:cs="Arial"/>
          <w:szCs w:val="24"/>
        </w:rPr>
        <w:t xml:space="preserve"> </w:t>
      </w:r>
      <w:r w:rsidRPr="00787196">
        <w:rPr>
          <w:rFonts w:cs="Arial"/>
          <w:szCs w:val="24"/>
        </w:rPr>
        <w:t>a more v</w:t>
      </w:r>
      <w:r w:rsidR="008A5DAF" w:rsidRPr="00787196">
        <w:rPr>
          <w:rFonts w:cs="Arial"/>
          <w:szCs w:val="24"/>
        </w:rPr>
        <w:t>alid</w:t>
      </w:r>
      <w:r w:rsidRPr="00787196">
        <w:rPr>
          <w:rFonts w:cs="Arial"/>
          <w:szCs w:val="24"/>
        </w:rPr>
        <w:t xml:space="preserve"> and appropriate approach to </w:t>
      </w:r>
      <w:r w:rsidR="00373DEC" w:rsidRPr="00787196">
        <w:rPr>
          <w:rFonts w:cs="Arial"/>
          <w:szCs w:val="24"/>
        </w:rPr>
        <w:t>measure denture success</w:t>
      </w:r>
      <w:r w:rsidR="00FF4591" w:rsidRPr="00787196">
        <w:rPr>
          <w:rFonts w:cs="Arial"/>
          <w:szCs w:val="24"/>
        </w:rPr>
        <w:t>.</w:t>
      </w:r>
    </w:p>
    <w:p w14:paraId="120ED714" w14:textId="77777777" w:rsidR="0029690F" w:rsidRPr="00787196" w:rsidRDefault="0029690F">
      <w:pPr>
        <w:spacing w:before="0" w:after="0" w:line="240" w:lineRule="auto"/>
        <w:jc w:val="left"/>
        <w:rPr>
          <w:rFonts w:cs="Arial"/>
          <w:szCs w:val="24"/>
        </w:rPr>
      </w:pPr>
      <w:r w:rsidRPr="00787196">
        <w:rPr>
          <w:rFonts w:cs="Arial"/>
          <w:szCs w:val="24"/>
        </w:rPr>
        <w:br w:type="page"/>
      </w:r>
    </w:p>
    <w:p w14:paraId="4DF746E8" w14:textId="359000E6" w:rsidR="00220739" w:rsidRPr="00CE7AB6" w:rsidRDefault="00CE7AB6" w:rsidP="00650DAD">
      <w:pPr>
        <w:pStyle w:val="Heading2"/>
      </w:pPr>
      <w:bookmarkStart w:id="24" w:name="_Toc456211126"/>
      <w:bookmarkStart w:id="25" w:name="_Toc488655611"/>
      <w:r w:rsidRPr="00CE7AB6">
        <w:lastRenderedPageBreak/>
        <w:t>CONCEPT OF ORAL HEALTH RELATED QUALITY OF LIFE (OHQOL)</w:t>
      </w:r>
      <w:bookmarkEnd w:id="24"/>
      <w:bookmarkEnd w:id="25"/>
    </w:p>
    <w:p w14:paraId="23BDDB1E" w14:textId="1A8361A7" w:rsidR="00EB6EDB" w:rsidRPr="00787196" w:rsidRDefault="00135C1F" w:rsidP="008B7258">
      <w:r w:rsidRPr="00787196">
        <w:t>Oral Health r</w:t>
      </w:r>
      <w:r w:rsidR="00EB6EDB" w:rsidRPr="00787196">
        <w:t xml:space="preserve">elated </w:t>
      </w:r>
      <w:r w:rsidRPr="00787196">
        <w:t>Q</w:t>
      </w:r>
      <w:r w:rsidR="00EB6EDB" w:rsidRPr="00787196">
        <w:t xml:space="preserve">uality of </w:t>
      </w:r>
      <w:r w:rsidRPr="00787196">
        <w:t>L</w:t>
      </w:r>
      <w:r w:rsidR="00EB6EDB" w:rsidRPr="00787196">
        <w:t xml:space="preserve">ife (OHQoL) is a multidimensional </w:t>
      </w:r>
      <w:r w:rsidR="006B2B1E" w:rsidRPr="00787196">
        <w:t>concept increasingly</w:t>
      </w:r>
      <w:r w:rsidR="00EB6EDB" w:rsidRPr="00787196">
        <w:t xml:space="preserve"> </w:t>
      </w:r>
      <w:r w:rsidRPr="00787196">
        <w:t xml:space="preserve">used </w:t>
      </w:r>
      <w:r w:rsidR="00EB6EDB" w:rsidRPr="00787196">
        <w:t xml:space="preserve">in </w:t>
      </w:r>
      <w:r w:rsidRPr="00787196">
        <w:t xml:space="preserve">contemporary </w:t>
      </w:r>
      <w:r w:rsidR="00EB6EDB" w:rsidRPr="00787196">
        <w:t xml:space="preserve">dentistry to </w:t>
      </w:r>
      <w:r w:rsidRPr="00787196">
        <w:t xml:space="preserve">measure oral health status, </w:t>
      </w:r>
      <w:r w:rsidR="00EB6EDB" w:rsidRPr="00787196">
        <w:t xml:space="preserve">assess </w:t>
      </w:r>
      <w:r w:rsidRPr="00787196">
        <w:t xml:space="preserve">oral healthcare interventions and outcomes. </w:t>
      </w:r>
      <w:r w:rsidR="001276D0" w:rsidRPr="00787196">
        <w:t>T</w:t>
      </w:r>
      <w:r w:rsidRPr="00787196">
        <w:t xml:space="preserve">he following sections </w:t>
      </w:r>
      <w:r w:rsidR="001276D0" w:rsidRPr="00787196">
        <w:t xml:space="preserve">explore and give a brief </w:t>
      </w:r>
      <w:r w:rsidRPr="00787196">
        <w:t>grounding on the basic concepts of health, quality</w:t>
      </w:r>
      <w:r w:rsidR="001276D0" w:rsidRPr="00787196">
        <w:t xml:space="preserve"> of life and other aspects to understand this concept all-around</w:t>
      </w:r>
      <w:r w:rsidR="008B7258" w:rsidRPr="00787196">
        <w:t>.</w:t>
      </w:r>
    </w:p>
    <w:p w14:paraId="22681DCE" w14:textId="65C4310E" w:rsidR="00220739" w:rsidRPr="00787196" w:rsidRDefault="00220739" w:rsidP="00D9694A">
      <w:pPr>
        <w:pStyle w:val="Heading3"/>
      </w:pPr>
      <w:bookmarkStart w:id="26" w:name="_Toc488655612"/>
      <w:r w:rsidRPr="00787196">
        <w:t>Health</w:t>
      </w:r>
      <w:bookmarkEnd w:id="26"/>
    </w:p>
    <w:p w14:paraId="2843EF42" w14:textId="4F20D776" w:rsidR="0031406F" w:rsidRPr="00787196" w:rsidRDefault="00220739" w:rsidP="0031406F">
      <w:pPr>
        <w:rPr>
          <w:rFonts w:cs="Arial"/>
          <w:szCs w:val="24"/>
        </w:rPr>
      </w:pPr>
      <w:r w:rsidRPr="00787196">
        <w:rPr>
          <w:rFonts w:cs="Arial"/>
          <w:szCs w:val="24"/>
        </w:rPr>
        <w:t xml:space="preserve">Health </w:t>
      </w:r>
      <w:r w:rsidR="0031406F" w:rsidRPr="00787196">
        <w:rPr>
          <w:rFonts w:cs="Arial"/>
          <w:szCs w:val="24"/>
        </w:rPr>
        <w:t xml:space="preserve">was defined by the World Health Organization </w:t>
      </w:r>
      <w:r w:rsidR="008B5244" w:rsidRPr="00787196">
        <w:rPr>
          <w:rFonts w:cs="Arial"/>
          <w:szCs w:val="24"/>
        </w:rPr>
        <w:fldChar w:fldCharType="begin"/>
      </w:r>
      <w:r w:rsidR="008B5244" w:rsidRPr="00787196">
        <w:rPr>
          <w:rFonts w:cs="Arial"/>
          <w:szCs w:val="24"/>
        </w:rPr>
        <w:instrText xml:space="preserve"> ADDIN EN.CITE &lt;EndNote&gt;&lt;Cite&gt;&lt;Author&gt;WHO&lt;/Author&gt;&lt;Year&gt;1946&lt;/Year&gt;&lt;IDText&gt;Preamble to the Constitution of the World Health Organization as adopted by the International Health Conference&lt;/IDText&gt;&lt;DisplayText&gt;(WHO, 1946)&lt;/DisplayText&gt;&lt;record&gt;&lt;dates&gt;&lt;pub-dates&gt;&lt;date&gt;19-22 June&lt;/date&gt;&lt;/pub-dates&gt;&lt;year&gt;1946&lt;/year&gt;&lt;/dates&gt;&lt;titles&gt;&lt;title&gt;Preamble to the Constitution of the World Health Organization as adopted by the International Health Conference&lt;/title&gt;&lt;secondary-title&gt;International Health Conference&lt;/secondary-title&gt;&lt;/titles&gt;&lt;pages&gt;100&lt;/pages&gt;&lt;contributors&gt;&lt;authors&gt;&lt;author&gt;WHO,&lt;/author&gt;&lt;/authors&gt;&lt;/contributors&gt;&lt;added-date format="utc"&gt;1385051763&lt;/added-date&gt;&lt;pub-location&gt;New York&lt;/pub-location&gt;&lt;ref-type name="Conference Proceedings"&gt;10&lt;/ref-type&gt;&lt;rec-number&gt;1292&lt;/rec-number&gt;&lt;publisher&gt;Official Records of the World Health Organization&lt;/publisher&gt;&lt;last-updated-date format="utc"&gt;1385713712&lt;/last-updated-date&gt;&lt;contributors&gt;&lt;secondary-authors&gt;&lt;author&gt;representatives of 61 States&lt;/author&gt;&lt;/secondary-authors&gt;&lt;/contributors&gt;&lt;volume&gt;2&lt;/volume&gt;&lt;num-vols&gt;2&lt;/num-vols&gt;&lt;/record&gt;&lt;/Cite&gt;&lt;/EndNote&gt;</w:instrText>
      </w:r>
      <w:r w:rsidR="008B5244" w:rsidRPr="00787196">
        <w:rPr>
          <w:rFonts w:cs="Arial"/>
          <w:szCs w:val="24"/>
        </w:rPr>
        <w:fldChar w:fldCharType="separate"/>
      </w:r>
      <w:r w:rsidR="008B5244" w:rsidRPr="00787196">
        <w:rPr>
          <w:rFonts w:cs="Arial"/>
          <w:szCs w:val="24"/>
        </w:rPr>
        <w:t>(WHO, 1946)</w:t>
      </w:r>
      <w:r w:rsidR="008B5244" w:rsidRPr="00787196">
        <w:rPr>
          <w:rFonts w:cs="Arial"/>
          <w:szCs w:val="24"/>
        </w:rPr>
        <w:fldChar w:fldCharType="end"/>
      </w:r>
      <w:r w:rsidR="0031406F" w:rsidRPr="00787196">
        <w:rPr>
          <w:rFonts w:cs="Arial"/>
          <w:szCs w:val="24"/>
        </w:rPr>
        <w:t xml:space="preserve"> as “</w:t>
      </w:r>
      <w:r w:rsidR="0031406F" w:rsidRPr="00787196">
        <w:rPr>
          <w:rFonts w:cs="Arial"/>
          <w:i/>
          <w:iCs/>
          <w:szCs w:val="24"/>
        </w:rPr>
        <w:t>a state of complete physical, mental, and social well-being and not merely the absence of disease or infirmity”</w:t>
      </w:r>
      <w:r w:rsidR="0031406F" w:rsidRPr="00787196">
        <w:rPr>
          <w:rFonts w:cs="Arial"/>
          <w:szCs w:val="24"/>
        </w:rPr>
        <w:t xml:space="preserve"> The perspective of health in both psychological and social dimensions were widened</w:t>
      </w:r>
      <w:r w:rsidR="00790395" w:rsidRPr="00787196">
        <w:rPr>
          <w:rFonts w:cs="Arial"/>
          <w:szCs w:val="24"/>
        </w:rPr>
        <w:t xml:space="preserve"> as a result of this definition. However</w:t>
      </w:r>
      <w:r w:rsidR="0031406F" w:rsidRPr="00787196">
        <w:rPr>
          <w:rFonts w:cs="Arial"/>
          <w:szCs w:val="24"/>
        </w:rPr>
        <w:t>,</w:t>
      </w:r>
      <w:r w:rsidR="00790395" w:rsidRPr="00787196">
        <w:rPr>
          <w:rFonts w:cs="Arial"/>
          <w:szCs w:val="24"/>
        </w:rPr>
        <w:t xml:space="preserve"> to the present day and age, </w:t>
      </w:r>
      <w:r w:rsidR="00A243C5" w:rsidRPr="00787196">
        <w:rPr>
          <w:rFonts w:cs="Arial"/>
          <w:szCs w:val="24"/>
        </w:rPr>
        <w:t>th</w:t>
      </w:r>
      <w:r w:rsidR="00790395" w:rsidRPr="00787196">
        <w:rPr>
          <w:rFonts w:cs="Arial"/>
          <w:szCs w:val="24"/>
        </w:rPr>
        <w:t xml:space="preserve">e complexities associated with </w:t>
      </w:r>
      <w:r w:rsidR="00A243C5" w:rsidRPr="00787196">
        <w:rPr>
          <w:rFonts w:cs="Arial"/>
          <w:szCs w:val="24"/>
        </w:rPr>
        <w:t>current patterns of health and illness</w:t>
      </w:r>
      <w:r w:rsidR="00790395" w:rsidRPr="00787196">
        <w:rPr>
          <w:rFonts w:cs="Arial"/>
          <w:szCs w:val="24"/>
        </w:rPr>
        <w:t>, this definition of health is highly impractical.</w:t>
      </w:r>
      <w:r w:rsidR="0031406F" w:rsidRPr="00787196">
        <w:rPr>
          <w:rFonts w:cs="Arial"/>
          <w:szCs w:val="24"/>
        </w:rPr>
        <w:t xml:space="preserve"> For</w:t>
      </w:r>
      <w:r w:rsidR="00A243C5" w:rsidRPr="00787196">
        <w:rPr>
          <w:rFonts w:cs="Arial"/>
          <w:szCs w:val="24"/>
        </w:rPr>
        <w:t xml:space="preserve"> instance</w:t>
      </w:r>
      <w:r w:rsidR="0031406F" w:rsidRPr="00787196">
        <w:rPr>
          <w:rFonts w:cs="Arial"/>
          <w:szCs w:val="24"/>
        </w:rPr>
        <w:t xml:space="preserve">, </w:t>
      </w:r>
      <w:r w:rsidR="00A243C5" w:rsidRPr="00787196">
        <w:rPr>
          <w:rFonts w:cs="Arial"/>
          <w:szCs w:val="24"/>
        </w:rPr>
        <w:t xml:space="preserve">an individual living </w:t>
      </w:r>
      <w:r w:rsidR="0031406F" w:rsidRPr="00787196">
        <w:rPr>
          <w:rFonts w:cs="Arial"/>
          <w:szCs w:val="24"/>
        </w:rPr>
        <w:t xml:space="preserve">with </w:t>
      </w:r>
      <w:r w:rsidR="00A243C5" w:rsidRPr="00787196">
        <w:rPr>
          <w:rFonts w:cs="Arial"/>
          <w:szCs w:val="24"/>
        </w:rPr>
        <w:t xml:space="preserve">a </w:t>
      </w:r>
      <w:r w:rsidR="0031406F" w:rsidRPr="00787196">
        <w:rPr>
          <w:rFonts w:cs="Arial"/>
          <w:szCs w:val="24"/>
        </w:rPr>
        <w:t xml:space="preserve">chronic </w:t>
      </w:r>
      <w:r w:rsidR="00A243C5" w:rsidRPr="00787196">
        <w:rPr>
          <w:rFonts w:cs="Arial"/>
          <w:szCs w:val="24"/>
        </w:rPr>
        <w:t xml:space="preserve">health condition </w:t>
      </w:r>
      <w:r w:rsidR="0031406F" w:rsidRPr="00787196">
        <w:rPr>
          <w:rFonts w:cs="Arial"/>
          <w:szCs w:val="24"/>
        </w:rPr>
        <w:t xml:space="preserve">such as </w:t>
      </w:r>
      <w:r w:rsidR="00A243C5" w:rsidRPr="00787196">
        <w:rPr>
          <w:rFonts w:cs="Arial"/>
          <w:szCs w:val="24"/>
        </w:rPr>
        <w:t>arthritis may not be able to</w:t>
      </w:r>
      <w:r w:rsidR="0031406F" w:rsidRPr="00787196">
        <w:rPr>
          <w:rFonts w:cs="Arial"/>
          <w:szCs w:val="24"/>
        </w:rPr>
        <w:t xml:space="preserve"> achieve a</w:t>
      </w:r>
      <w:r w:rsidR="00A243C5" w:rsidRPr="00787196">
        <w:rPr>
          <w:rFonts w:cs="Arial"/>
          <w:szCs w:val="24"/>
        </w:rPr>
        <w:t>n absolute</w:t>
      </w:r>
      <w:r w:rsidR="00790395" w:rsidRPr="00787196">
        <w:rPr>
          <w:rFonts w:cs="Arial"/>
          <w:szCs w:val="24"/>
        </w:rPr>
        <w:t xml:space="preserve"> state of wellbeing</w:t>
      </w:r>
      <w:r w:rsidR="007A6B90" w:rsidRPr="00787196">
        <w:rPr>
          <w:rFonts w:cs="Arial"/>
          <w:szCs w:val="24"/>
        </w:rPr>
        <w:t xml:space="preserve">. </w:t>
      </w:r>
      <w:r w:rsidR="00A243C5" w:rsidRPr="00787196">
        <w:rPr>
          <w:rFonts w:cs="Arial"/>
          <w:szCs w:val="24"/>
        </w:rPr>
        <w:t xml:space="preserve">However, </w:t>
      </w:r>
      <w:r w:rsidR="007C6F81" w:rsidRPr="00787196">
        <w:rPr>
          <w:rFonts w:cs="Arial"/>
          <w:szCs w:val="24"/>
        </w:rPr>
        <w:t>they can</w:t>
      </w:r>
      <w:r w:rsidR="0031406F" w:rsidRPr="00787196">
        <w:rPr>
          <w:rFonts w:cs="Arial"/>
          <w:szCs w:val="24"/>
        </w:rPr>
        <w:t xml:space="preserve"> </w:t>
      </w:r>
      <w:r w:rsidR="000F73FD" w:rsidRPr="00787196">
        <w:rPr>
          <w:rFonts w:cs="Arial"/>
          <w:szCs w:val="24"/>
        </w:rPr>
        <w:t>manage</w:t>
      </w:r>
      <w:r w:rsidR="0031406F" w:rsidRPr="00787196">
        <w:rPr>
          <w:rFonts w:cs="Arial"/>
          <w:szCs w:val="24"/>
        </w:rPr>
        <w:t xml:space="preserve"> </w:t>
      </w:r>
      <w:r w:rsidR="000F73FD" w:rsidRPr="00787196">
        <w:rPr>
          <w:rFonts w:cs="Arial"/>
          <w:szCs w:val="24"/>
        </w:rPr>
        <w:t xml:space="preserve">the </w:t>
      </w:r>
      <w:r w:rsidR="007C6F81" w:rsidRPr="00787196">
        <w:rPr>
          <w:rFonts w:cs="Arial"/>
          <w:szCs w:val="24"/>
        </w:rPr>
        <w:t>complications by</w:t>
      </w:r>
      <w:r w:rsidR="000F73FD" w:rsidRPr="00787196">
        <w:rPr>
          <w:rFonts w:cs="Arial"/>
          <w:szCs w:val="24"/>
        </w:rPr>
        <w:t xml:space="preserve"> adapting to its </w:t>
      </w:r>
      <w:r w:rsidR="00231CF4" w:rsidRPr="00787196">
        <w:rPr>
          <w:rFonts w:cs="Arial"/>
          <w:szCs w:val="24"/>
        </w:rPr>
        <w:t>everyday</w:t>
      </w:r>
      <w:r w:rsidR="000F73FD" w:rsidRPr="00787196">
        <w:rPr>
          <w:rFonts w:cs="Arial"/>
          <w:szCs w:val="24"/>
        </w:rPr>
        <w:t xml:space="preserve"> difficulties and </w:t>
      </w:r>
      <w:r w:rsidR="0031406F" w:rsidRPr="00787196">
        <w:rPr>
          <w:rFonts w:cs="Arial"/>
          <w:szCs w:val="24"/>
        </w:rPr>
        <w:t xml:space="preserve">challenges </w:t>
      </w:r>
      <w:r w:rsidR="000F73FD" w:rsidRPr="00787196">
        <w:rPr>
          <w:rFonts w:cs="Arial"/>
          <w:szCs w:val="24"/>
        </w:rPr>
        <w:t xml:space="preserve">thereby achieving a better state of </w:t>
      </w:r>
      <w:r w:rsidR="00231CF4" w:rsidRPr="00787196">
        <w:rPr>
          <w:rFonts w:cs="Arial"/>
          <w:szCs w:val="24"/>
        </w:rPr>
        <w:t>health and wellbeing</w:t>
      </w:r>
      <w:r w:rsidR="0031406F" w:rsidRPr="00787196">
        <w:rPr>
          <w:rFonts w:cs="Arial"/>
          <w:szCs w:val="24"/>
        </w:rPr>
        <w:t>.</w:t>
      </w:r>
    </w:p>
    <w:p w14:paraId="7E9D0E41" w14:textId="28DA19CA" w:rsidR="00650DAD" w:rsidRPr="00787196" w:rsidRDefault="007A6B90" w:rsidP="004C3A25">
      <w:pPr>
        <w:rPr>
          <w:rFonts w:cs="Arial"/>
          <w:szCs w:val="24"/>
        </w:rPr>
      </w:pPr>
      <w:r w:rsidRPr="00787196">
        <w:rPr>
          <w:rFonts w:cs="Arial"/>
          <w:color w:val="000000"/>
          <w:szCs w:val="24"/>
          <w:shd w:val="clear" w:color="auto" w:fill="FFFFFF"/>
        </w:rPr>
        <w:t xml:space="preserve">The Ottawa charter on health promotion </w:t>
      </w:r>
      <w:r w:rsidRPr="00787196">
        <w:rPr>
          <w:rFonts w:cs="Arial"/>
          <w:color w:val="000000"/>
          <w:szCs w:val="24"/>
          <w:shd w:val="clear" w:color="auto" w:fill="FFFFFF"/>
        </w:rPr>
        <w:fldChar w:fldCharType="begin"/>
      </w:r>
      <w:r w:rsidRPr="00787196">
        <w:rPr>
          <w:rFonts w:cs="Arial"/>
          <w:color w:val="000000"/>
          <w:szCs w:val="24"/>
          <w:shd w:val="clear" w:color="auto" w:fill="FFFFFF"/>
        </w:rPr>
        <w:instrText xml:space="preserve"> ADDIN EN.CITE &lt;EndNote&gt;&lt;Cite ExcludeAuth="1" ExcludeYear="1"&gt;&lt;Author&gt;WHO&lt;/Author&gt;&lt;Year&gt;1986&lt;/Year&gt;&lt;RecNum&gt;4&lt;/RecNum&gt;&lt;record&gt;&lt;rec-number&gt;4&lt;/rec-number&gt;&lt;foreign-keys&gt;&lt;key app="EN" db-id="pprx5af0eezz5resrauvszthwfd2xp5txea9"&gt;4&lt;/key&gt;&lt;/foreign-keys&gt;&lt;ref-type name="Government Document"&gt;46&lt;/ref-type&gt;&lt;contributors&gt;&lt;authors&gt;&lt;author&gt;WHO,&lt;/author&gt;&lt;/authors&gt;&lt;/contributors&gt;&lt;titles&gt;&lt;title&gt;Ottawa Charter for Health Promotion&lt;/title&gt;&lt;/titles&gt;&lt;dates&gt;&lt;year&gt;1986&lt;/year&gt;&lt;/dates&gt;&lt;pub-location&gt;Geneva&lt;/pub-location&gt;&lt;publisher&gt;World Health Organisation&lt;/publisher&gt;&lt;/record&gt;&lt;/Cite&gt;&lt;/EndNote&gt;</w:instrText>
      </w:r>
      <w:r w:rsidRPr="00787196">
        <w:rPr>
          <w:rFonts w:cs="Arial"/>
          <w:color w:val="000000"/>
          <w:szCs w:val="24"/>
          <w:shd w:val="clear" w:color="auto" w:fill="FFFFFF"/>
        </w:rPr>
        <w:fldChar w:fldCharType="end"/>
      </w:r>
      <w:r w:rsidRPr="00787196">
        <w:rPr>
          <w:rFonts w:cs="Arial"/>
          <w:color w:val="000000"/>
          <w:szCs w:val="24"/>
          <w:shd w:val="clear" w:color="auto" w:fill="FFFFFF"/>
        </w:rPr>
        <w:t>concluded that to achieve health</w:t>
      </w:r>
      <w:r w:rsidR="00DC1F31" w:rsidRPr="00787196">
        <w:rPr>
          <w:rFonts w:cs="Arial"/>
          <w:color w:val="000000"/>
          <w:szCs w:val="24"/>
          <w:shd w:val="clear" w:color="auto" w:fill="FFFFFF"/>
        </w:rPr>
        <w:t>,</w:t>
      </w:r>
      <w:r w:rsidR="00E92F0E" w:rsidRPr="00787196">
        <w:rPr>
          <w:rFonts w:cs="Arial"/>
          <w:color w:val="000000"/>
          <w:szCs w:val="24"/>
          <w:shd w:val="clear" w:color="auto" w:fill="FFFFFF"/>
        </w:rPr>
        <w:t xml:space="preserve"> </w:t>
      </w:r>
      <w:r w:rsidRPr="00787196">
        <w:rPr>
          <w:rFonts w:cs="Arial"/>
          <w:color w:val="000000"/>
          <w:szCs w:val="24"/>
          <w:shd w:val="clear" w:color="auto" w:fill="FFFFFF"/>
        </w:rPr>
        <w:t xml:space="preserve">an individual or a population must be </w:t>
      </w:r>
      <w:r w:rsidR="00EC62E8" w:rsidRPr="00787196">
        <w:rPr>
          <w:rFonts w:cs="Arial"/>
          <w:color w:val="000000"/>
          <w:szCs w:val="24"/>
          <w:shd w:val="clear" w:color="auto" w:fill="FFFFFF"/>
        </w:rPr>
        <w:t>enabled to</w:t>
      </w:r>
      <w:r w:rsidRPr="00787196">
        <w:rPr>
          <w:rFonts w:cs="Arial"/>
          <w:color w:val="000000"/>
          <w:szCs w:val="24"/>
          <w:shd w:val="clear" w:color="auto" w:fill="FFFFFF"/>
        </w:rPr>
        <w:t xml:space="preserve"> aspire, satisfy their needs and adapt or cope with the environment </w:t>
      </w:r>
      <w:r w:rsidR="00AD3042" w:rsidRPr="00787196">
        <w:rPr>
          <w:rFonts w:cs="Arial"/>
          <w:color w:val="000000"/>
          <w:szCs w:val="24"/>
          <w:shd w:val="clear" w:color="auto" w:fill="FFFFFF"/>
        </w:rPr>
        <w:t xml:space="preserve">they live in </w:t>
      </w:r>
      <w:r w:rsidRPr="00787196">
        <w:rPr>
          <w:rFonts w:cs="Arial"/>
          <w:color w:val="000000"/>
          <w:szCs w:val="24"/>
          <w:shd w:val="clear" w:color="auto" w:fill="FFFFFF"/>
        </w:rPr>
        <w:fldChar w:fldCharType="begin"/>
      </w:r>
      <w:r w:rsidRPr="00787196">
        <w:rPr>
          <w:rFonts w:cs="Arial"/>
          <w:color w:val="000000"/>
          <w:szCs w:val="24"/>
          <w:shd w:val="clear" w:color="auto" w:fill="FFFFFF"/>
        </w:rPr>
        <w:instrText xml:space="preserve"> ADDIN EN.CITE &lt;EndNote&gt;&lt;Cite&gt;&lt;Author&gt;World Health Organization&lt;/Author&gt;&lt;Year&gt;1986&lt;/Year&gt;&lt;RecNum&gt;0&lt;/RecNum&gt;&lt;IDText&gt;Ottawa charter for health promotion&lt;/IDText&gt;&lt;DisplayText&gt;(World Health Organization, 1986)&lt;/DisplayText&gt;&lt;record&gt;&lt;titles&gt;&lt;title&gt;Ottawa charter for health promotion&lt;/title&gt;&lt;/titles&gt;&lt;contributors&gt;&lt;authors&gt;&lt;author&gt;World Health Organization,&lt;/author&gt;&lt;/authors&gt;&lt;/contributors&gt;&lt;added-date format="utc"&gt;1385274049&lt;/added-date&gt;&lt;ref-type name="Journal Article"&gt;17&lt;/ref-type&gt;&lt;dates&gt;&lt;year&gt;1986&lt;/year&gt;&lt;/dates&gt;&lt;rec-number&gt;1296&lt;/rec-number&gt;&lt;publisher&gt;Geneva: WHO&lt;/publisher&gt;&lt;last-updated-date format="utc"&gt;1385713712&lt;/last-updated-date&gt;&lt;/record&gt;&lt;/Cite&gt;&lt;/EndNote&gt;</w:instrText>
      </w:r>
      <w:r w:rsidRPr="00787196">
        <w:rPr>
          <w:rFonts w:cs="Arial"/>
          <w:color w:val="000000"/>
          <w:szCs w:val="24"/>
          <w:shd w:val="clear" w:color="auto" w:fill="FFFFFF"/>
        </w:rPr>
        <w:fldChar w:fldCharType="separate"/>
      </w:r>
      <w:r w:rsidRPr="00787196">
        <w:rPr>
          <w:rFonts w:cs="Arial"/>
          <w:color w:val="000000"/>
          <w:szCs w:val="24"/>
          <w:shd w:val="clear" w:color="auto" w:fill="FFFFFF"/>
        </w:rPr>
        <w:t>(World Health Organization, 1986)</w:t>
      </w:r>
      <w:r w:rsidRPr="00787196">
        <w:rPr>
          <w:rFonts w:cs="Arial"/>
          <w:color w:val="000000"/>
          <w:szCs w:val="24"/>
          <w:shd w:val="clear" w:color="auto" w:fill="FFFFFF"/>
        </w:rPr>
        <w:fldChar w:fldCharType="end"/>
      </w:r>
      <w:r w:rsidRPr="00787196">
        <w:rPr>
          <w:rFonts w:cs="Arial"/>
          <w:color w:val="000000"/>
          <w:szCs w:val="24"/>
          <w:shd w:val="clear" w:color="auto" w:fill="FFFFFF"/>
        </w:rPr>
        <w:t>.</w:t>
      </w:r>
      <w:r w:rsidR="0031406F" w:rsidRPr="00787196">
        <w:rPr>
          <w:rFonts w:cs="Arial"/>
          <w:szCs w:val="24"/>
        </w:rPr>
        <w:t xml:space="preserve"> </w:t>
      </w:r>
      <w:r w:rsidR="004657EE" w:rsidRPr="00787196">
        <w:rPr>
          <w:rFonts w:cs="Arial"/>
          <w:szCs w:val="24"/>
        </w:rPr>
        <w:t>Health was</w:t>
      </w:r>
      <w:r w:rsidR="0031406F" w:rsidRPr="00787196">
        <w:rPr>
          <w:rFonts w:cs="Arial"/>
          <w:szCs w:val="24"/>
        </w:rPr>
        <w:t xml:space="preserve"> seen as an asset that </w:t>
      </w:r>
      <w:r w:rsidR="002B6379" w:rsidRPr="00787196">
        <w:rPr>
          <w:rFonts w:cs="Arial"/>
          <w:szCs w:val="24"/>
        </w:rPr>
        <w:t>offers</w:t>
      </w:r>
      <w:r w:rsidR="0031406F" w:rsidRPr="00787196">
        <w:rPr>
          <w:rFonts w:cs="Arial"/>
          <w:szCs w:val="24"/>
        </w:rPr>
        <w:t xml:space="preserve"> </w:t>
      </w:r>
      <w:r w:rsidR="004657EE" w:rsidRPr="00787196">
        <w:rPr>
          <w:rFonts w:cs="Arial"/>
          <w:szCs w:val="24"/>
        </w:rPr>
        <w:t>individuals</w:t>
      </w:r>
      <w:r w:rsidR="0031406F" w:rsidRPr="00787196">
        <w:rPr>
          <w:rFonts w:cs="Arial"/>
          <w:szCs w:val="24"/>
        </w:rPr>
        <w:t xml:space="preserve"> </w:t>
      </w:r>
      <w:r w:rsidR="004657EE" w:rsidRPr="00787196">
        <w:rPr>
          <w:rFonts w:cs="Arial"/>
          <w:szCs w:val="24"/>
        </w:rPr>
        <w:t xml:space="preserve">with the resources </w:t>
      </w:r>
      <w:r w:rsidR="0031406F" w:rsidRPr="00787196">
        <w:rPr>
          <w:rFonts w:cs="Arial"/>
          <w:szCs w:val="24"/>
        </w:rPr>
        <w:t xml:space="preserve">to lead </w:t>
      </w:r>
      <w:r w:rsidR="004657EE" w:rsidRPr="00787196">
        <w:rPr>
          <w:rFonts w:cs="Arial"/>
          <w:szCs w:val="24"/>
        </w:rPr>
        <w:t>their everyday liv</w:t>
      </w:r>
      <w:r w:rsidR="0031406F" w:rsidRPr="00787196">
        <w:rPr>
          <w:rFonts w:cs="Arial"/>
          <w:szCs w:val="24"/>
        </w:rPr>
        <w:t>e</w:t>
      </w:r>
      <w:r w:rsidR="004657EE" w:rsidRPr="00787196">
        <w:rPr>
          <w:rFonts w:cs="Arial"/>
          <w:szCs w:val="24"/>
        </w:rPr>
        <w:t>s</w:t>
      </w:r>
      <w:r w:rsidR="006F49CB" w:rsidRPr="00787196">
        <w:rPr>
          <w:rFonts w:cs="Arial"/>
          <w:szCs w:val="24"/>
        </w:rPr>
        <w:t xml:space="preserve">. The </w:t>
      </w:r>
      <w:r w:rsidR="0031406F" w:rsidRPr="00787196">
        <w:rPr>
          <w:rFonts w:cs="Arial"/>
          <w:szCs w:val="24"/>
        </w:rPr>
        <w:t>Ottawa charter refer</w:t>
      </w:r>
      <w:r w:rsidR="00DC1F31" w:rsidRPr="00787196">
        <w:rPr>
          <w:rFonts w:cs="Arial"/>
          <w:szCs w:val="24"/>
        </w:rPr>
        <w:t>s</w:t>
      </w:r>
      <w:r w:rsidR="0031406F" w:rsidRPr="00787196">
        <w:rPr>
          <w:rFonts w:cs="Arial"/>
          <w:szCs w:val="24"/>
        </w:rPr>
        <w:t xml:space="preserve"> </w:t>
      </w:r>
      <w:r w:rsidR="009254F6" w:rsidRPr="00787196">
        <w:rPr>
          <w:rFonts w:cs="Arial"/>
          <w:szCs w:val="24"/>
        </w:rPr>
        <w:t xml:space="preserve">to </w:t>
      </w:r>
      <w:r w:rsidR="0031406F" w:rsidRPr="00787196">
        <w:rPr>
          <w:rFonts w:cs="Arial"/>
          <w:szCs w:val="24"/>
        </w:rPr>
        <w:t>determinants of health</w:t>
      </w:r>
      <w:r w:rsidR="009254F6" w:rsidRPr="00787196">
        <w:rPr>
          <w:rFonts w:cs="Arial"/>
          <w:szCs w:val="24"/>
        </w:rPr>
        <w:t xml:space="preserve"> which comprises of factors </w:t>
      </w:r>
      <w:r w:rsidR="00092FF9" w:rsidRPr="00787196">
        <w:rPr>
          <w:rFonts w:cs="Arial"/>
          <w:szCs w:val="24"/>
        </w:rPr>
        <w:t>associated</w:t>
      </w:r>
      <w:r w:rsidR="009254F6" w:rsidRPr="00787196">
        <w:rPr>
          <w:rFonts w:cs="Arial"/>
          <w:szCs w:val="24"/>
        </w:rPr>
        <w:t xml:space="preserve"> to socio-economic,</w:t>
      </w:r>
      <w:r w:rsidR="00092FF9" w:rsidRPr="00787196">
        <w:rPr>
          <w:rFonts w:cs="Arial"/>
          <w:szCs w:val="24"/>
        </w:rPr>
        <w:t xml:space="preserve"> physical environment and </w:t>
      </w:r>
      <w:r w:rsidR="00AD3042" w:rsidRPr="00787196">
        <w:rPr>
          <w:rFonts w:cs="Arial"/>
          <w:szCs w:val="24"/>
        </w:rPr>
        <w:t>individual</w:t>
      </w:r>
      <w:r w:rsidR="00092FF9" w:rsidRPr="00787196">
        <w:rPr>
          <w:rFonts w:cs="Arial"/>
          <w:szCs w:val="24"/>
        </w:rPr>
        <w:t xml:space="preserve"> characteristics behaviours and sees them as resources</w:t>
      </w:r>
      <w:r w:rsidR="0031406F" w:rsidRPr="00787196">
        <w:rPr>
          <w:rFonts w:cs="Arial"/>
          <w:szCs w:val="24"/>
        </w:rPr>
        <w:t xml:space="preserve"> </w:t>
      </w:r>
      <w:r w:rsidR="0031406F" w:rsidRPr="00787196">
        <w:rPr>
          <w:rFonts w:cs="Arial"/>
          <w:szCs w:val="24"/>
        </w:rPr>
        <w:fldChar w:fldCharType="begin"/>
      </w:r>
      <w:r w:rsidR="00596BAA" w:rsidRPr="00787196">
        <w:rPr>
          <w:rFonts w:cs="Arial"/>
          <w:szCs w:val="24"/>
        </w:rPr>
        <w:instrText xml:space="preserve"> ADDIN EN.CITE &lt;EndNote&gt;&lt;Cite&gt;&lt;Author&gt;WHO&lt;/Author&gt;&lt;Year&gt;2008&lt;/Year&gt;&lt;RecNum&gt;433&lt;/RecNum&gt;&lt;DisplayText&gt;(WHO, 2008)&lt;/DisplayText&gt;&lt;record&gt;&lt;rec-number&gt;433&lt;/rec-number&gt;&lt;foreign-keys&gt;&lt;key app="EN" db-id="ptfsfw2e7fvv0we0zspxtffwpeaexrxpr2xs"&gt;433&lt;/key&gt;&lt;/foreign-keys&gt;&lt;ref-type name="Book"&gt;6&lt;/ref-type&gt;&lt;contributors&gt;&lt;authors&gt;&lt;author&gt;WHO,&lt;/author&gt;&lt;/authors&gt;&lt;/contributors&gt;&lt;titles&gt;&lt;title&gt;Closing the gap in a generation : health equity through action on the social determinants of health : Commission on Social Determinants of Health final report&lt;/title&gt;&lt;/titles&gt;&lt;dates&gt;&lt;year&gt;2008&lt;/year&gt;&lt;/dates&gt;&lt;pub-location&gt;Geneva, Switzerland&lt;/pub-location&gt;&lt;publisher&gt;World Health Organization, Commission on Social Determinants of Health&lt;/publisher&gt;&lt;isbn&gt;9789241563703 9241563702&lt;/isbn&gt;&lt;accession-num&gt;248038286&lt;/accession-num&gt;&lt;/record&gt;&lt;/Cite&gt;&lt;/EndNote&gt;</w:instrText>
      </w:r>
      <w:r w:rsidR="0031406F" w:rsidRPr="00787196">
        <w:rPr>
          <w:rFonts w:cs="Arial"/>
          <w:szCs w:val="24"/>
        </w:rPr>
        <w:fldChar w:fldCharType="separate"/>
      </w:r>
      <w:r w:rsidR="0031406F" w:rsidRPr="00787196">
        <w:rPr>
          <w:rFonts w:cs="Arial"/>
          <w:szCs w:val="24"/>
        </w:rPr>
        <w:t>(WHO, 2008)</w:t>
      </w:r>
      <w:r w:rsidR="0031406F" w:rsidRPr="00787196">
        <w:rPr>
          <w:rFonts w:cs="Arial"/>
          <w:szCs w:val="24"/>
        </w:rPr>
        <w:fldChar w:fldCharType="end"/>
      </w:r>
      <w:r w:rsidR="006F49CB" w:rsidRPr="00787196">
        <w:rPr>
          <w:rFonts w:cs="Arial"/>
          <w:szCs w:val="24"/>
        </w:rPr>
        <w:t xml:space="preserve">. </w:t>
      </w:r>
      <w:r w:rsidR="0031406F" w:rsidRPr="00787196">
        <w:rPr>
          <w:rFonts w:cs="Arial"/>
          <w:szCs w:val="24"/>
        </w:rPr>
        <w:t>Th</w:t>
      </w:r>
      <w:r w:rsidR="002B6379" w:rsidRPr="00787196">
        <w:rPr>
          <w:rFonts w:cs="Arial"/>
          <w:szCs w:val="24"/>
        </w:rPr>
        <w:t>e</w:t>
      </w:r>
      <w:r w:rsidR="0031406F" w:rsidRPr="00787196">
        <w:rPr>
          <w:rFonts w:cs="Arial"/>
          <w:szCs w:val="24"/>
        </w:rPr>
        <w:t xml:space="preserve">, </w:t>
      </w:r>
      <w:r w:rsidR="00092FF9" w:rsidRPr="00787196">
        <w:rPr>
          <w:rFonts w:cs="Arial"/>
          <w:szCs w:val="24"/>
        </w:rPr>
        <w:t>variability</w:t>
      </w:r>
      <w:r w:rsidR="0031406F" w:rsidRPr="00787196">
        <w:rPr>
          <w:rFonts w:cs="Arial"/>
          <w:szCs w:val="24"/>
        </w:rPr>
        <w:t xml:space="preserve"> of </w:t>
      </w:r>
      <w:r w:rsidR="00092FF9" w:rsidRPr="00787196">
        <w:rPr>
          <w:rFonts w:cs="Arial"/>
          <w:szCs w:val="24"/>
        </w:rPr>
        <w:t xml:space="preserve">such </w:t>
      </w:r>
      <w:r w:rsidR="0031406F" w:rsidRPr="00787196">
        <w:rPr>
          <w:rFonts w:cs="Arial"/>
          <w:szCs w:val="24"/>
        </w:rPr>
        <w:t xml:space="preserve">resources in </w:t>
      </w:r>
      <w:r w:rsidR="00092FF9" w:rsidRPr="00787196">
        <w:rPr>
          <w:rFonts w:cs="Arial"/>
          <w:szCs w:val="24"/>
        </w:rPr>
        <w:t>everyday lif</w:t>
      </w:r>
      <w:r w:rsidR="00AB1C05" w:rsidRPr="00787196">
        <w:rPr>
          <w:rFonts w:cs="Arial"/>
          <w:szCs w:val="24"/>
        </w:rPr>
        <w:t>e</w:t>
      </w:r>
      <w:r w:rsidR="0031406F" w:rsidRPr="00787196">
        <w:rPr>
          <w:rFonts w:cs="Arial"/>
          <w:szCs w:val="24"/>
        </w:rPr>
        <w:t xml:space="preserve"> can </w:t>
      </w:r>
      <w:r w:rsidR="00AB1C05" w:rsidRPr="00787196">
        <w:rPr>
          <w:rFonts w:cs="Arial"/>
          <w:szCs w:val="24"/>
        </w:rPr>
        <w:t xml:space="preserve">affect </w:t>
      </w:r>
      <w:r w:rsidR="0031406F" w:rsidRPr="00787196">
        <w:rPr>
          <w:rFonts w:cs="Arial"/>
          <w:szCs w:val="24"/>
        </w:rPr>
        <w:t xml:space="preserve">health </w:t>
      </w:r>
      <w:r w:rsidR="00AB1C05" w:rsidRPr="00787196">
        <w:rPr>
          <w:rFonts w:cs="Arial"/>
          <w:szCs w:val="24"/>
        </w:rPr>
        <w:t>causing</w:t>
      </w:r>
      <w:r w:rsidR="0031406F" w:rsidRPr="00787196">
        <w:rPr>
          <w:rFonts w:cs="Arial"/>
          <w:szCs w:val="24"/>
        </w:rPr>
        <w:t xml:space="preserve"> </w:t>
      </w:r>
      <w:r w:rsidR="00AB1C05" w:rsidRPr="00787196">
        <w:rPr>
          <w:rFonts w:cs="Arial"/>
          <w:szCs w:val="24"/>
        </w:rPr>
        <w:t xml:space="preserve">health inequalities </w:t>
      </w:r>
      <w:r w:rsidR="0031406F" w:rsidRPr="00787196">
        <w:rPr>
          <w:rFonts w:cs="Arial"/>
          <w:szCs w:val="24"/>
        </w:rPr>
        <w:t xml:space="preserve">among people </w:t>
      </w:r>
      <w:r w:rsidR="007C6F81" w:rsidRPr="00787196">
        <w:rPr>
          <w:rFonts w:cs="Arial"/>
          <w:szCs w:val="24"/>
        </w:rPr>
        <w:t>and the</w:t>
      </w:r>
      <w:r w:rsidR="00AB1C05" w:rsidRPr="00787196">
        <w:rPr>
          <w:rFonts w:cs="Arial"/>
          <w:szCs w:val="24"/>
        </w:rPr>
        <w:t xml:space="preserve"> </w:t>
      </w:r>
      <w:r w:rsidR="0031406F" w:rsidRPr="00787196">
        <w:rPr>
          <w:rFonts w:cs="Arial"/>
          <w:szCs w:val="24"/>
        </w:rPr>
        <w:t>socie</w:t>
      </w:r>
      <w:r w:rsidR="00AB1C05" w:rsidRPr="00787196">
        <w:rPr>
          <w:rFonts w:cs="Arial"/>
          <w:szCs w:val="24"/>
        </w:rPr>
        <w:t>t</w:t>
      </w:r>
      <w:r w:rsidR="0018175B" w:rsidRPr="00787196">
        <w:rPr>
          <w:rFonts w:cs="Arial"/>
          <w:szCs w:val="24"/>
        </w:rPr>
        <w:t>ies</w:t>
      </w:r>
      <w:r w:rsidR="00AB1C05" w:rsidRPr="00787196">
        <w:rPr>
          <w:rFonts w:cs="Arial"/>
          <w:szCs w:val="24"/>
        </w:rPr>
        <w:t xml:space="preserve"> they live </w:t>
      </w:r>
      <w:r w:rsidR="004C3A25" w:rsidRPr="00787196">
        <w:rPr>
          <w:rFonts w:cs="Arial"/>
          <w:szCs w:val="24"/>
        </w:rPr>
        <w:t>in.</w:t>
      </w:r>
      <w:r w:rsidR="0031406F" w:rsidRPr="00787196">
        <w:rPr>
          <w:rFonts w:cs="Arial"/>
          <w:szCs w:val="24"/>
        </w:rPr>
        <w:t xml:space="preserve"> </w:t>
      </w:r>
      <w:r w:rsidR="002B6379" w:rsidRPr="00787196">
        <w:rPr>
          <w:rFonts w:cs="Arial"/>
          <w:szCs w:val="24"/>
        </w:rPr>
        <w:t>Thus</w:t>
      </w:r>
      <w:r w:rsidR="0031406F" w:rsidRPr="00787196">
        <w:rPr>
          <w:rFonts w:cs="Arial"/>
          <w:szCs w:val="24"/>
        </w:rPr>
        <w:t xml:space="preserve">, </w:t>
      </w:r>
      <w:r w:rsidR="0018175B" w:rsidRPr="00787196">
        <w:rPr>
          <w:rFonts w:cs="Arial"/>
          <w:szCs w:val="24"/>
        </w:rPr>
        <w:t xml:space="preserve">considering </w:t>
      </w:r>
      <w:r w:rsidR="0031406F" w:rsidRPr="00787196">
        <w:rPr>
          <w:rFonts w:cs="Arial"/>
          <w:szCs w:val="24"/>
        </w:rPr>
        <w:t xml:space="preserve">determinants of health </w:t>
      </w:r>
      <w:r w:rsidR="00AB1C05" w:rsidRPr="00787196">
        <w:rPr>
          <w:rFonts w:cs="Arial"/>
          <w:szCs w:val="24"/>
        </w:rPr>
        <w:t xml:space="preserve">and their influence on </w:t>
      </w:r>
      <w:r w:rsidR="0031406F" w:rsidRPr="00787196">
        <w:rPr>
          <w:rFonts w:cs="Arial"/>
          <w:szCs w:val="24"/>
        </w:rPr>
        <w:t>general well-being and health</w:t>
      </w:r>
      <w:r w:rsidR="0018175B" w:rsidRPr="00787196">
        <w:rPr>
          <w:rFonts w:cs="Arial"/>
          <w:szCs w:val="24"/>
        </w:rPr>
        <w:t xml:space="preserve"> is imperative.</w:t>
      </w:r>
      <w:r w:rsidR="004C3A25" w:rsidRPr="00787196">
        <w:rPr>
          <w:rFonts w:cs="Arial"/>
          <w:szCs w:val="24"/>
        </w:rPr>
        <w:t xml:space="preserve"> </w:t>
      </w:r>
      <w:r w:rsidR="002B6379" w:rsidRPr="00787196">
        <w:rPr>
          <w:rFonts w:cs="Arial"/>
          <w:szCs w:val="24"/>
        </w:rPr>
        <w:t xml:space="preserve">Health literature widely conceptualises health into two models: </w:t>
      </w:r>
      <w:r w:rsidR="00D360AD" w:rsidRPr="00787196">
        <w:rPr>
          <w:rFonts w:cs="Arial"/>
          <w:szCs w:val="24"/>
        </w:rPr>
        <w:t xml:space="preserve">namely. </w:t>
      </w:r>
      <w:r w:rsidR="00220739" w:rsidRPr="00787196">
        <w:rPr>
          <w:rFonts w:cs="Arial"/>
          <w:szCs w:val="24"/>
        </w:rPr>
        <w:t xml:space="preserve">the biomedical </w:t>
      </w:r>
      <w:r w:rsidR="00D360AD" w:rsidRPr="00787196">
        <w:rPr>
          <w:rFonts w:cs="Arial"/>
          <w:szCs w:val="24"/>
        </w:rPr>
        <w:t xml:space="preserve">model </w:t>
      </w:r>
      <w:r w:rsidR="00F7401D" w:rsidRPr="00787196">
        <w:rPr>
          <w:rFonts w:cs="Arial"/>
          <w:szCs w:val="24"/>
        </w:rPr>
        <w:t xml:space="preserve">and </w:t>
      </w:r>
      <w:r w:rsidR="00220739" w:rsidRPr="00787196">
        <w:rPr>
          <w:rFonts w:cs="Arial"/>
          <w:szCs w:val="24"/>
        </w:rPr>
        <w:t>the bio psychosocial model</w:t>
      </w:r>
      <w:r w:rsidR="00F7401D" w:rsidRPr="00787196">
        <w:rPr>
          <w:rFonts w:cs="Arial"/>
          <w:szCs w:val="24"/>
        </w:rPr>
        <w:t xml:space="preserve"> </w:t>
      </w:r>
      <w:r w:rsidR="00220739" w:rsidRPr="00787196">
        <w:rPr>
          <w:rFonts w:cs="Arial"/>
          <w:szCs w:val="24"/>
        </w:rPr>
        <w:fldChar w:fldCharType="begin"/>
      </w:r>
      <w:r w:rsidR="00223957" w:rsidRPr="00787196">
        <w:rPr>
          <w:rFonts w:cs="Arial"/>
          <w:szCs w:val="24"/>
        </w:rPr>
        <w:instrText xml:space="preserve"> ADDIN EN.CITE &lt;EndNote&gt;&lt;Cite&gt;&lt;Author&gt;Nammontri&lt;/Author&gt;&lt;Year&gt;2012&lt;/Year&gt;&lt;RecNum&gt;0&lt;/RecNum&gt;&lt;IDText&gt;The effect of an intervention to enhance sense of coherence on oral health related quality of life: A cluster randomised controlled trial&lt;/IDText&gt;&lt;DisplayText&gt;(Nammontri, 2012)&lt;/DisplayText&gt;&lt;record&gt;&lt;titles&gt;&lt;title&gt;The effect of an intervention to enhance sense of coherence on oral health related quality of life: A cluster randomised controlled trial&lt;/title&gt;&lt;/titles&gt;&lt;contributors&gt;&lt;authors&gt;&lt;author&gt;Nammontri, Orawan&lt;/author&gt;&lt;/authors&gt;&lt;/contributors&gt;&lt;added-date format="utc"&gt;1385268597&lt;/added-date&gt;&lt;ref-type name="Journal Article"&gt;17&lt;/ref-type&gt;&lt;dates&gt;&lt;year&gt;2012&lt;/year&gt;&lt;/dates&gt;&lt;rec-number&gt;1294&lt;/rec-number&gt;&lt;publisher&gt;University of Sheffield&lt;/publisher&gt;&lt;last-updated-date format="utc"&gt;1385713712&lt;/last-updated-date&gt;&lt;/record&gt;&lt;/Cite&gt;&lt;/EndNote&gt;</w:instrText>
      </w:r>
      <w:r w:rsidR="00220739" w:rsidRPr="00787196">
        <w:rPr>
          <w:rFonts w:cs="Arial"/>
          <w:szCs w:val="24"/>
        </w:rPr>
        <w:fldChar w:fldCharType="separate"/>
      </w:r>
      <w:r w:rsidR="00220739" w:rsidRPr="00787196">
        <w:rPr>
          <w:rFonts w:cs="Arial"/>
          <w:szCs w:val="24"/>
        </w:rPr>
        <w:t>(Nammontri, 2012)</w:t>
      </w:r>
      <w:r w:rsidR="00220739" w:rsidRPr="00787196">
        <w:rPr>
          <w:rFonts w:cs="Arial"/>
          <w:szCs w:val="24"/>
        </w:rPr>
        <w:fldChar w:fldCharType="end"/>
      </w:r>
      <w:r w:rsidR="00220739" w:rsidRPr="00787196">
        <w:rPr>
          <w:rFonts w:cs="Arial"/>
          <w:szCs w:val="24"/>
        </w:rPr>
        <w:t>.</w:t>
      </w:r>
    </w:p>
    <w:p w14:paraId="1DF26F67" w14:textId="3CB3EBBD" w:rsidR="0031406F" w:rsidRPr="00787196" w:rsidRDefault="002B6379" w:rsidP="00226A04">
      <w:pPr>
        <w:pStyle w:val="Heading4"/>
      </w:pPr>
      <w:r w:rsidRPr="00787196">
        <w:lastRenderedPageBreak/>
        <w:t>Biomedical model</w:t>
      </w:r>
    </w:p>
    <w:p w14:paraId="63CD0EF8" w14:textId="66329A50" w:rsidR="0031406F" w:rsidRPr="00787196" w:rsidRDefault="00D360AD" w:rsidP="00466EFC">
      <w:pPr>
        <w:rPr>
          <w:rFonts w:cs="Arial"/>
          <w:szCs w:val="24"/>
        </w:rPr>
      </w:pPr>
      <w:r w:rsidRPr="00787196">
        <w:rPr>
          <w:rFonts w:cs="Arial"/>
          <w:szCs w:val="24"/>
        </w:rPr>
        <w:t xml:space="preserve">This </w:t>
      </w:r>
      <w:r w:rsidR="0031406F" w:rsidRPr="00787196">
        <w:rPr>
          <w:rFonts w:cs="Arial"/>
          <w:szCs w:val="24"/>
        </w:rPr>
        <w:t>model of health</w:t>
      </w:r>
      <w:r w:rsidRPr="00787196">
        <w:rPr>
          <w:rFonts w:cs="Arial"/>
          <w:szCs w:val="24"/>
        </w:rPr>
        <w:t xml:space="preserve"> came into the conception based on the d</w:t>
      </w:r>
      <w:r w:rsidR="0031406F" w:rsidRPr="00787196">
        <w:rPr>
          <w:rFonts w:cs="Arial"/>
          <w:szCs w:val="24"/>
        </w:rPr>
        <w:t xml:space="preserve">iscovery of </w:t>
      </w:r>
      <w:r w:rsidRPr="00787196">
        <w:rPr>
          <w:rFonts w:cs="Arial"/>
          <w:szCs w:val="24"/>
        </w:rPr>
        <w:t xml:space="preserve">blood </w:t>
      </w:r>
      <w:r w:rsidR="0031406F" w:rsidRPr="00787196">
        <w:rPr>
          <w:rFonts w:cs="Arial"/>
          <w:szCs w:val="24"/>
        </w:rPr>
        <w:t xml:space="preserve">circulation </w:t>
      </w:r>
      <w:r w:rsidRPr="00787196">
        <w:rPr>
          <w:rFonts w:cs="Arial"/>
          <w:szCs w:val="24"/>
        </w:rPr>
        <w:t>within the</w:t>
      </w:r>
      <w:r w:rsidR="0031406F" w:rsidRPr="00787196">
        <w:rPr>
          <w:rFonts w:cs="Arial"/>
          <w:szCs w:val="24"/>
        </w:rPr>
        <w:t xml:space="preserve"> human body in 1628 </w:t>
      </w:r>
      <w:r w:rsidR="0031406F" w:rsidRPr="00787196">
        <w:rPr>
          <w:rFonts w:cs="Arial"/>
          <w:szCs w:val="24"/>
        </w:rPr>
        <w:fldChar w:fldCharType="begin"/>
      </w:r>
      <w:r w:rsidR="0031406F" w:rsidRPr="00787196">
        <w:rPr>
          <w:rFonts w:cs="Arial"/>
          <w:szCs w:val="24"/>
        </w:rPr>
        <w:instrText xml:space="preserve"> ADDIN EN.CITE &lt;EndNote&gt;&lt;Cite&gt;&lt;Author&gt;Hewa&lt;/Author&gt;&lt;Year&gt;1995&lt;/Year&gt;&lt;RecNum&gt;610&lt;/RecNum&gt;&lt;DisplayText&gt;(Hewa and Hetherington, 1995)&lt;/DisplayText&gt;&lt;record&gt;&lt;rec-number&gt;610&lt;/rec-number&gt;&lt;foreign-keys&gt;&lt;key app="EN" db-id="ptfsfw2e7fvv0we0zspxtffwpeaexrxpr2xs"&gt;610&lt;/key&gt;&lt;/foreign-keys&gt;&lt;ref-type name="Journal Article"&gt;17&lt;/ref-type&gt;&lt;contributors&gt;&lt;authors&gt;&lt;author&gt;Hewa, Soma&lt;/author&gt;&lt;author&gt;Hetherington, Robert W.&lt;/author&gt;&lt;/authors&gt;&lt;/contributors&gt;&lt;titles&gt;&lt;title&gt;Specialists without spirit: Limitations of the mechanistic biomedical model&lt;/title&gt;&lt;secondary-title&gt;Theoretical Medicine and Bioethics&lt;/secondary-title&gt;&lt;/titles&gt;&lt;periodical&gt;&lt;full-title&gt;Theoretical Medicine and Bioethics&lt;/full-title&gt;&lt;/periodical&gt;&lt;pages&gt;129-139&lt;/pages&gt;&lt;volume&gt;16&lt;/volume&gt;&lt;number&gt;2&lt;/number&gt;&lt;keywords&gt;&lt;keyword&gt;Humanities, Social Sciences and Law&lt;/keyword&gt;&lt;/keywords&gt;&lt;dates&gt;&lt;year&gt;1995&lt;/year&gt;&lt;/dates&gt;&lt;publisher&gt;Springer Netherlands&lt;/publisher&gt;&lt;urls&gt;&lt;related-urls&gt;&lt;url&gt;http://dx.doi.org/10.1007/BF00998540 &lt;/url&gt;&lt;/related-urls&gt;&lt;/urls&gt;&lt;/record&gt;&lt;/Cite&gt;&lt;/EndNote&gt;</w:instrText>
      </w:r>
      <w:r w:rsidR="0031406F" w:rsidRPr="00787196">
        <w:rPr>
          <w:rFonts w:cs="Arial"/>
          <w:szCs w:val="24"/>
        </w:rPr>
        <w:fldChar w:fldCharType="separate"/>
      </w:r>
      <w:r w:rsidR="0031406F" w:rsidRPr="00787196">
        <w:rPr>
          <w:rFonts w:cs="Arial"/>
          <w:szCs w:val="24"/>
        </w:rPr>
        <w:t>(Hewa and Hetherington, 1995)</w:t>
      </w:r>
      <w:r w:rsidR="0031406F" w:rsidRPr="00787196">
        <w:rPr>
          <w:rFonts w:cs="Arial"/>
          <w:szCs w:val="24"/>
        </w:rPr>
        <w:fldChar w:fldCharType="end"/>
      </w:r>
      <w:r w:rsidR="0031406F" w:rsidRPr="00787196">
        <w:rPr>
          <w:rFonts w:cs="Arial"/>
          <w:szCs w:val="24"/>
        </w:rPr>
        <w:t xml:space="preserve">. </w:t>
      </w:r>
      <w:r w:rsidRPr="00787196">
        <w:rPr>
          <w:rFonts w:cs="Arial"/>
          <w:szCs w:val="24"/>
        </w:rPr>
        <w:t>T</w:t>
      </w:r>
      <w:r w:rsidR="0031406F" w:rsidRPr="00787196">
        <w:rPr>
          <w:rFonts w:cs="Arial"/>
          <w:szCs w:val="24"/>
        </w:rPr>
        <w:t>he</w:t>
      </w:r>
      <w:r w:rsidR="007A6B90" w:rsidRPr="00787196">
        <w:rPr>
          <w:rFonts w:cs="Arial"/>
          <w:szCs w:val="24"/>
        </w:rPr>
        <w:t xml:space="preserve"> human</w:t>
      </w:r>
      <w:r w:rsidR="0031406F" w:rsidRPr="00787196">
        <w:rPr>
          <w:rFonts w:cs="Arial"/>
          <w:szCs w:val="24"/>
        </w:rPr>
        <w:t xml:space="preserve"> body </w:t>
      </w:r>
      <w:r w:rsidRPr="00787196">
        <w:rPr>
          <w:rFonts w:cs="Arial"/>
          <w:szCs w:val="24"/>
        </w:rPr>
        <w:t xml:space="preserve">and its functions were given a mechanical </w:t>
      </w:r>
      <w:r w:rsidR="004066C6" w:rsidRPr="00787196">
        <w:rPr>
          <w:rFonts w:cs="Arial"/>
          <w:szCs w:val="24"/>
        </w:rPr>
        <w:t>notion a</w:t>
      </w:r>
      <w:r w:rsidR="007A6B90" w:rsidRPr="00787196">
        <w:rPr>
          <w:rFonts w:cs="Arial"/>
          <w:szCs w:val="24"/>
        </w:rPr>
        <w:t>nd compared to</w:t>
      </w:r>
      <w:r w:rsidRPr="00787196">
        <w:rPr>
          <w:rFonts w:cs="Arial"/>
          <w:szCs w:val="24"/>
        </w:rPr>
        <w:t xml:space="preserve"> machine</w:t>
      </w:r>
      <w:r w:rsidR="007A6B90" w:rsidRPr="00787196">
        <w:rPr>
          <w:rFonts w:cs="Arial"/>
          <w:szCs w:val="24"/>
        </w:rPr>
        <w:t xml:space="preserve">s. The human mind was </w:t>
      </w:r>
      <w:r w:rsidR="004066C6" w:rsidRPr="00787196">
        <w:rPr>
          <w:rFonts w:cs="Arial"/>
          <w:szCs w:val="24"/>
        </w:rPr>
        <w:t xml:space="preserve">hence </w:t>
      </w:r>
      <w:r w:rsidR="007A6B90" w:rsidRPr="00787196">
        <w:rPr>
          <w:rFonts w:cs="Arial"/>
          <w:szCs w:val="24"/>
        </w:rPr>
        <w:t xml:space="preserve">seen </w:t>
      </w:r>
      <w:r w:rsidR="004B2DE3" w:rsidRPr="00787196">
        <w:rPr>
          <w:rFonts w:cs="Arial"/>
          <w:szCs w:val="24"/>
        </w:rPr>
        <w:t>as a separate entity</w:t>
      </w:r>
      <w:r w:rsidRPr="00787196">
        <w:rPr>
          <w:rFonts w:cs="Arial"/>
          <w:szCs w:val="24"/>
        </w:rPr>
        <w:t xml:space="preserve"> </w:t>
      </w:r>
      <w:r w:rsidR="0031406F" w:rsidRPr="00787196">
        <w:rPr>
          <w:rFonts w:cs="Arial"/>
          <w:szCs w:val="24"/>
        </w:rPr>
        <w:fldChar w:fldCharType="begin"/>
      </w:r>
      <w:r w:rsidR="00596BAA" w:rsidRPr="00787196">
        <w:rPr>
          <w:rFonts w:cs="Arial"/>
          <w:szCs w:val="24"/>
        </w:rPr>
        <w:instrText xml:space="preserve"> ADDIN EN.CITE &lt;EndNote&gt;&lt;Cite&gt;&lt;Author&gt;Descartes&lt;/Author&gt;&lt;Year&gt;1969&lt;/Year&gt;&lt;RecNum&gt;316&lt;/RecNum&gt;&lt;DisplayText&gt;(Descartes, 1969)&lt;/DisplayText&gt;&lt;record&gt;&lt;rec-number&gt;316&lt;/rec-number&gt;&lt;foreign-keys&gt;&lt;key app="EN" db-id="ptfsfw2e7fvv0we0zspxtffwpeaexrxpr2xs"&gt;316&lt;/key&gt;&lt;/foreign-keys&gt;&lt;ref-type name="Book"&gt;6&lt;/ref-type&gt;&lt;contributors&gt;&lt;authors&gt;&lt;author&gt;Descartes, René&lt;/author&gt;&lt;/authors&gt;&lt;/contributors&gt;&lt;titles&gt;&lt;title&gt;Discourse on method. Meditations on the first philosophy. Principles of philosophy&lt;/title&gt;&lt;/titles&gt;&lt;dates&gt;&lt;year&gt;1969&lt;/year&gt;&lt;/dates&gt;&lt;pub-location&gt;London; New York&lt;/pub-location&gt;&lt;publisher&gt;Dent; Dutton&lt;/publisher&gt;&lt;remote-database-name&gt;/z-wcorg/&lt;/remote-database-name&gt;&lt;remote-database-provider&gt;http://worldcat.org&lt;/remote-database-provider&gt;&lt;language&gt;English&lt;/language&gt;&lt;/record&gt;&lt;/Cite&gt;&lt;/EndNote&gt;</w:instrText>
      </w:r>
      <w:r w:rsidR="0031406F" w:rsidRPr="00787196">
        <w:rPr>
          <w:rFonts w:cs="Arial"/>
          <w:szCs w:val="24"/>
        </w:rPr>
        <w:fldChar w:fldCharType="separate"/>
      </w:r>
      <w:r w:rsidR="0031406F" w:rsidRPr="00787196">
        <w:rPr>
          <w:rFonts w:cs="Arial"/>
          <w:szCs w:val="24"/>
        </w:rPr>
        <w:t>(Descartes, 1969)</w:t>
      </w:r>
      <w:r w:rsidR="0031406F" w:rsidRPr="00787196">
        <w:rPr>
          <w:rFonts w:cs="Arial"/>
          <w:szCs w:val="24"/>
        </w:rPr>
        <w:fldChar w:fldCharType="end"/>
      </w:r>
      <w:r w:rsidR="004B2DE3" w:rsidRPr="00787196">
        <w:rPr>
          <w:rFonts w:cs="Arial"/>
          <w:szCs w:val="24"/>
        </w:rPr>
        <w:t xml:space="preserve">. </w:t>
      </w:r>
      <w:r w:rsidR="004066C6" w:rsidRPr="00787196">
        <w:rPr>
          <w:rFonts w:cs="Arial"/>
          <w:szCs w:val="24"/>
        </w:rPr>
        <w:t>C</w:t>
      </w:r>
      <w:r w:rsidR="007A6B90" w:rsidRPr="00787196">
        <w:rPr>
          <w:rFonts w:cs="Arial"/>
          <w:szCs w:val="24"/>
        </w:rPr>
        <w:t xml:space="preserve">oncepts </w:t>
      </w:r>
      <w:r w:rsidR="004B2DE3" w:rsidRPr="00787196">
        <w:rPr>
          <w:rFonts w:cs="Arial"/>
          <w:szCs w:val="24"/>
        </w:rPr>
        <w:t xml:space="preserve">such as the </w:t>
      </w:r>
      <w:r w:rsidR="0031406F" w:rsidRPr="00787196">
        <w:rPr>
          <w:rFonts w:cs="Arial"/>
          <w:szCs w:val="24"/>
        </w:rPr>
        <w:t xml:space="preserve">germ theory </w:t>
      </w:r>
      <w:r w:rsidR="004066C6" w:rsidRPr="00787196">
        <w:rPr>
          <w:rFonts w:cs="Arial"/>
          <w:szCs w:val="24"/>
        </w:rPr>
        <w:t xml:space="preserve">by </w:t>
      </w:r>
      <w:r w:rsidR="0031406F" w:rsidRPr="00787196">
        <w:rPr>
          <w:rFonts w:cs="Arial"/>
          <w:szCs w:val="24"/>
        </w:rPr>
        <w:t>Louis Pasteur</w:t>
      </w:r>
      <w:r w:rsidR="00B060E9" w:rsidRPr="00787196">
        <w:rPr>
          <w:rFonts w:cs="Arial"/>
          <w:szCs w:val="24"/>
        </w:rPr>
        <w:t xml:space="preserve"> Robert Koch</w:t>
      </w:r>
      <w:r w:rsidR="0031406F" w:rsidRPr="00787196">
        <w:rPr>
          <w:rFonts w:cs="Arial"/>
          <w:szCs w:val="24"/>
        </w:rPr>
        <w:t xml:space="preserve"> and other </w:t>
      </w:r>
      <w:r w:rsidR="00B060E9" w:rsidRPr="00787196">
        <w:rPr>
          <w:rFonts w:cs="Arial"/>
          <w:szCs w:val="24"/>
        </w:rPr>
        <w:t>developments</w:t>
      </w:r>
      <w:r w:rsidR="0031406F" w:rsidRPr="00787196">
        <w:rPr>
          <w:rFonts w:cs="Arial"/>
          <w:szCs w:val="24"/>
        </w:rPr>
        <w:t xml:space="preserve"> in </w:t>
      </w:r>
      <w:r w:rsidR="004066C6" w:rsidRPr="00787196">
        <w:rPr>
          <w:rFonts w:cs="Arial"/>
          <w:szCs w:val="24"/>
        </w:rPr>
        <w:t xml:space="preserve">the field of </w:t>
      </w:r>
      <w:r w:rsidR="0031406F" w:rsidRPr="00787196">
        <w:rPr>
          <w:rFonts w:cs="Arial"/>
          <w:szCs w:val="24"/>
        </w:rPr>
        <w:t xml:space="preserve">medicine suggested that modern medicine </w:t>
      </w:r>
      <w:r w:rsidR="004B2DE3" w:rsidRPr="00787196">
        <w:rPr>
          <w:rFonts w:cs="Arial"/>
          <w:szCs w:val="24"/>
        </w:rPr>
        <w:t xml:space="preserve">can manipulate and cure the human body </w:t>
      </w:r>
      <w:r w:rsidR="00B060E9" w:rsidRPr="00787196">
        <w:rPr>
          <w:rFonts w:cs="Arial"/>
          <w:szCs w:val="24"/>
        </w:rPr>
        <w:t>using</w:t>
      </w:r>
      <w:r w:rsidR="0031406F" w:rsidRPr="00787196">
        <w:rPr>
          <w:rFonts w:cs="Arial"/>
          <w:szCs w:val="24"/>
        </w:rPr>
        <w:t xml:space="preserve"> chemical compounds or </w:t>
      </w:r>
      <w:r w:rsidR="00790607" w:rsidRPr="00787196">
        <w:rPr>
          <w:rFonts w:cs="Arial"/>
          <w:szCs w:val="24"/>
        </w:rPr>
        <w:t xml:space="preserve">with </w:t>
      </w:r>
      <w:r w:rsidR="0031406F" w:rsidRPr="00787196">
        <w:rPr>
          <w:rFonts w:cs="Arial"/>
          <w:szCs w:val="24"/>
        </w:rPr>
        <w:t>replac</w:t>
      </w:r>
      <w:r w:rsidR="004B2DE3" w:rsidRPr="00787196">
        <w:rPr>
          <w:rFonts w:cs="Arial"/>
          <w:szCs w:val="24"/>
        </w:rPr>
        <w:t xml:space="preserve">ement and </w:t>
      </w:r>
      <w:r w:rsidR="007C6F81" w:rsidRPr="00787196">
        <w:rPr>
          <w:rFonts w:cs="Arial"/>
          <w:szCs w:val="24"/>
        </w:rPr>
        <w:t>repaired</w:t>
      </w:r>
      <w:r w:rsidR="00790607" w:rsidRPr="00787196">
        <w:rPr>
          <w:rFonts w:cs="Arial"/>
          <w:szCs w:val="24"/>
        </w:rPr>
        <w:t xml:space="preserve"> </w:t>
      </w:r>
      <w:r w:rsidR="004B2DE3" w:rsidRPr="00787196">
        <w:rPr>
          <w:rFonts w:cs="Arial"/>
          <w:szCs w:val="24"/>
        </w:rPr>
        <w:t xml:space="preserve">of </w:t>
      </w:r>
      <w:r w:rsidR="00790607" w:rsidRPr="00787196">
        <w:rPr>
          <w:rFonts w:cs="Arial"/>
          <w:szCs w:val="24"/>
        </w:rPr>
        <w:t xml:space="preserve">body </w:t>
      </w:r>
      <w:r w:rsidR="0031406F" w:rsidRPr="00787196">
        <w:rPr>
          <w:rFonts w:cs="Arial"/>
          <w:szCs w:val="24"/>
        </w:rPr>
        <w:t xml:space="preserve">parts. </w:t>
      </w:r>
      <w:r w:rsidR="004066C6" w:rsidRPr="00787196">
        <w:rPr>
          <w:rFonts w:cs="Arial"/>
          <w:szCs w:val="24"/>
        </w:rPr>
        <w:t>T</w:t>
      </w:r>
      <w:r w:rsidR="00907E8A" w:rsidRPr="00787196">
        <w:rPr>
          <w:rFonts w:cs="Arial"/>
          <w:szCs w:val="24"/>
        </w:rPr>
        <w:t xml:space="preserve">he model </w:t>
      </w:r>
      <w:r w:rsidR="00790607" w:rsidRPr="00787196">
        <w:rPr>
          <w:rFonts w:cs="Arial"/>
          <w:szCs w:val="24"/>
        </w:rPr>
        <w:t xml:space="preserve">however </w:t>
      </w:r>
      <w:r w:rsidR="00907E8A" w:rsidRPr="00787196">
        <w:rPr>
          <w:rFonts w:cs="Arial"/>
          <w:szCs w:val="24"/>
        </w:rPr>
        <w:t>ha</w:t>
      </w:r>
      <w:r w:rsidR="00790607" w:rsidRPr="00787196">
        <w:rPr>
          <w:rFonts w:cs="Arial"/>
          <w:szCs w:val="24"/>
        </w:rPr>
        <w:t>d</w:t>
      </w:r>
      <w:r w:rsidR="00907E8A" w:rsidRPr="00787196">
        <w:rPr>
          <w:rFonts w:cs="Arial"/>
          <w:szCs w:val="24"/>
        </w:rPr>
        <w:t xml:space="preserve"> </w:t>
      </w:r>
      <w:r w:rsidR="00F06AA9" w:rsidRPr="00787196">
        <w:rPr>
          <w:rFonts w:cs="Arial"/>
          <w:szCs w:val="24"/>
        </w:rPr>
        <w:t xml:space="preserve">no </w:t>
      </w:r>
      <w:r w:rsidR="00907E8A" w:rsidRPr="00787196">
        <w:rPr>
          <w:rFonts w:cs="Arial"/>
          <w:szCs w:val="24"/>
        </w:rPr>
        <w:t>regard for psychological</w:t>
      </w:r>
      <w:r w:rsidR="00F06AA9" w:rsidRPr="00787196">
        <w:rPr>
          <w:rFonts w:cs="Arial"/>
          <w:szCs w:val="24"/>
        </w:rPr>
        <w:t>,</w:t>
      </w:r>
      <w:r w:rsidR="00907E8A" w:rsidRPr="00787196">
        <w:rPr>
          <w:rFonts w:cs="Arial"/>
          <w:szCs w:val="24"/>
        </w:rPr>
        <w:t xml:space="preserve"> social </w:t>
      </w:r>
      <w:r w:rsidR="00F06AA9" w:rsidRPr="00787196">
        <w:rPr>
          <w:rFonts w:cs="Arial"/>
          <w:szCs w:val="24"/>
        </w:rPr>
        <w:t>domains of illness</w:t>
      </w:r>
      <w:r w:rsidR="00907E8A" w:rsidRPr="00787196">
        <w:rPr>
          <w:rFonts w:cs="Arial"/>
          <w:szCs w:val="24"/>
        </w:rPr>
        <w:t xml:space="preserve"> </w:t>
      </w:r>
      <w:r w:rsidR="00907E8A" w:rsidRPr="00787196">
        <w:rPr>
          <w:rFonts w:cs="Arial"/>
          <w:szCs w:val="24"/>
        </w:rPr>
        <w:fldChar w:fldCharType="begin"/>
      </w:r>
      <w:r w:rsidR="00907E8A" w:rsidRPr="00787196">
        <w:rPr>
          <w:rFonts w:cs="Arial"/>
          <w:szCs w:val="24"/>
        </w:rPr>
        <w:instrText xml:space="preserve"> ADDIN EN.CITE &lt;EndNote&gt;&lt;Cite&gt;&lt;Author&gt;Engel&lt;/Author&gt;&lt;Year&gt;1977&lt;/Year&gt;&lt;RecNum&gt;0&lt;/RecNum&gt;&lt;IDText&gt;The need for a new medical model: a challenge for biomedicine&lt;/IDText&gt;&lt;DisplayText&gt;(Engel, 1977)&lt;/DisplayText&gt;&lt;record&gt;&lt;isbn&gt;0036-8075&lt;/isbn&gt;&lt;titles&gt;&lt;title&gt;The need for a new medical model: a challenge for biomedicine&lt;/title&gt;&lt;secondary-title&gt;Science&lt;/secondary-title&gt;&lt;/titles&gt;&lt;pages&gt;129-136&lt;/pages&gt;&lt;number&gt;4286&lt;/number&gt;&lt;contributors&gt;&lt;authors&gt;&lt;author&gt;Engel, George L.&lt;/author&gt;&lt;/authors&gt;&lt;/contributors&gt;&lt;added-date format="utc"&gt;1385270541&lt;/added-date&gt;&lt;ref-type name="Journal Article"&gt;17&lt;/ref-type&gt;&lt;dates&gt;&lt;year&gt;1977&lt;/year&gt;&lt;/dates&gt;&lt;rec-number&gt;1295&lt;/rec-number&gt;&lt;publisher&gt;American Association for the Advancement of Science&lt;/publisher&gt;&lt;last-updated-date format="utc"&gt;1385713712&lt;/last-updated-date&gt;&lt;volume&gt;196&lt;/volume&gt;&lt;/record&gt;&lt;/Cite&gt;&lt;/EndNote&gt;</w:instrText>
      </w:r>
      <w:r w:rsidR="00907E8A" w:rsidRPr="00787196">
        <w:rPr>
          <w:rFonts w:cs="Arial"/>
          <w:szCs w:val="24"/>
        </w:rPr>
        <w:fldChar w:fldCharType="separate"/>
      </w:r>
      <w:r w:rsidR="00907E8A" w:rsidRPr="00787196">
        <w:rPr>
          <w:rFonts w:cs="Arial"/>
          <w:szCs w:val="24"/>
        </w:rPr>
        <w:t>(Engel, 1977)</w:t>
      </w:r>
      <w:r w:rsidR="00907E8A" w:rsidRPr="00787196">
        <w:rPr>
          <w:rFonts w:cs="Arial"/>
          <w:szCs w:val="24"/>
        </w:rPr>
        <w:fldChar w:fldCharType="end"/>
      </w:r>
      <w:r w:rsidR="00907E8A" w:rsidRPr="00787196">
        <w:rPr>
          <w:rFonts w:cs="Arial"/>
          <w:szCs w:val="24"/>
        </w:rPr>
        <w:t xml:space="preserve">. </w:t>
      </w:r>
      <w:r w:rsidR="00F06AA9" w:rsidRPr="00787196">
        <w:rPr>
          <w:rFonts w:cs="Arial"/>
          <w:szCs w:val="24"/>
        </w:rPr>
        <w:t xml:space="preserve">Such simple </w:t>
      </w:r>
      <w:r w:rsidR="00907E8A" w:rsidRPr="00787196">
        <w:rPr>
          <w:rFonts w:cs="Arial"/>
          <w:szCs w:val="24"/>
        </w:rPr>
        <w:t>reductionis</w:t>
      </w:r>
      <w:r w:rsidR="00F06AA9" w:rsidRPr="00787196">
        <w:rPr>
          <w:rFonts w:cs="Arial"/>
          <w:szCs w:val="24"/>
        </w:rPr>
        <w:t>m</w:t>
      </w:r>
      <w:r w:rsidR="00907E8A" w:rsidRPr="00787196">
        <w:rPr>
          <w:rFonts w:cs="Arial"/>
          <w:szCs w:val="24"/>
        </w:rPr>
        <w:t xml:space="preserve"> </w:t>
      </w:r>
      <w:r w:rsidR="00F06AA9" w:rsidRPr="00787196">
        <w:rPr>
          <w:rFonts w:cs="Arial"/>
          <w:szCs w:val="24"/>
        </w:rPr>
        <w:t>by this model</w:t>
      </w:r>
      <w:r w:rsidR="00907E8A" w:rsidRPr="00787196">
        <w:rPr>
          <w:rFonts w:cs="Arial"/>
          <w:szCs w:val="24"/>
        </w:rPr>
        <w:t xml:space="preserve"> </w:t>
      </w:r>
      <w:r w:rsidR="00F06AA9" w:rsidRPr="00787196">
        <w:rPr>
          <w:rFonts w:cs="Arial"/>
          <w:szCs w:val="24"/>
        </w:rPr>
        <w:t>lead to the notion that</w:t>
      </w:r>
      <w:r w:rsidR="00907E8A" w:rsidRPr="00787196">
        <w:rPr>
          <w:rFonts w:cs="Arial"/>
          <w:szCs w:val="24"/>
        </w:rPr>
        <w:t xml:space="preserve"> </w:t>
      </w:r>
      <w:r w:rsidR="00F06AA9" w:rsidRPr="00787196">
        <w:rPr>
          <w:rFonts w:cs="Arial"/>
          <w:szCs w:val="24"/>
        </w:rPr>
        <w:t xml:space="preserve">only </w:t>
      </w:r>
      <w:r w:rsidR="00907E8A" w:rsidRPr="00787196">
        <w:rPr>
          <w:rFonts w:cs="Arial"/>
          <w:szCs w:val="24"/>
        </w:rPr>
        <w:t xml:space="preserve">biological </w:t>
      </w:r>
      <w:r w:rsidR="00F06AA9" w:rsidRPr="00787196">
        <w:rPr>
          <w:rFonts w:cs="Arial"/>
          <w:szCs w:val="24"/>
        </w:rPr>
        <w:t xml:space="preserve">factors caused </w:t>
      </w:r>
      <w:r w:rsidR="00EA2D3C" w:rsidRPr="00787196">
        <w:rPr>
          <w:rFonts w:cs="Arial"/>
          <w:szCs w:val="24"/>
        </w:rPr>
        <w:t>diseases</w:t>
      </w:r>
      <w:r w:rsidR="00F06AA9" w:rsidRPr="00787196">
        <w:rPr>
          <w:rFonts w:cs="Arial"/>
          <w:szCs w:val="24"/>
        </w:rPr>
        <w:t xml:space="preserve"> </w:t>
      </w:r>
      <w:r w:rsidR="00EA2D3C" w:rsidRPr="00787196">
        <w:rPr>
          <w:rFonts w:cs="Arial"/>
          <w:szCs w:val="24"/>
        </w:rPr>
        <w:t xml:space="preserve">and </w:t>
      </w:r>
      <w:r w:rsidR="00C02A39" w:rsidRPr="00787196">
        <w:rPr>
          <w:rFonts w:cs="Arial"/>
          <w:szCs w:val="24"/>
        </w:rPr>
        <w:t>ignored the</w:t>
      </w:r>
      <w:r w:rsidR="00907E8A" w:rsidRPr="00787196">
        <w:rPr>
          <w:rFonts w:cs="Arial"/>
          <w:szCs w:val="24"/>
        </w:rPr>
        <w:t xml:space="preserve"> social determinants of health. </w:t>
      </w:r>
      <w:r w:rsidR="00EA2D3C" w:rsidRPr="00787196">
        <w:rPr>
          <w:rFonts w:cs="Arial"/>
          <w:szCs w:val="24"/>
        </w:rPr>
        <w:t>Mere</w:t>
      </w:r>
      <w:r w:rsidR="004066C6" w:rsidRPr="00787196">
        <w:rPr>
          <w:rFonts w:cs="Arial"/>
          <w:szCs w:val="24"/>
        </w:rPr>
        <w:t xml:space="preserve"> </w:t>
      </w:r>
      <w:r w:rsidR="00907E8A" w:rsidRPr="00787196">
        <w:rPr>
          <w:rFonts w:cs="Arial"/>
          <w:szCs w:val="24"/>
        </w:rPr>
        <w:t xml:space="preserve">‘absence of disease’ </w:t>
      </w:r>
      <w:r w:rsidR="00EA2D3C" w:rsidRPr="00787196">
        <w:rPr>
          <w:rFonts w:cs="Arial"/>
          <w:szCs w:val="24"/>
        </w:rPr>
        <w:t xml:space="preserve">was seen as health </w:t>
      </w:r>
      <w:r w:rsidR="00907E8A" w:rsidRPr="00787196">
        <w:rPr>
          <w:rFonts w:cs="Arial"/>
          <w:szCs w:val="24"/>
        </w:rPr>
        <w:t xml:space="preserve">and patients </w:t>
      </w:r>
      <w:r w:rsidR="00EA2D3C" w:rsidRPr="00787196">
        <w:rPr>
          <w:rFonts w:cs="Arial"/>
          <w:szCs w:val="24"/>
        </w:rPr>
        <w:t xml:space="preserve">were seen as </w:t>
      </w:r>
      <w:r w:rsidR="00907E8A" w:rsidRPr="00787196">
        <w:rPr>
          <w:rFonts w:cs="Arial"/>
          <w:szCs w:val="24"/>
        </w:rPr>
        <w:t xml:space="preserve">recipients </w:t>
      </w:r>
      <w:r w:rsidR="00C02A39" w:rsidRPr="00787196">
        <w:rPr>
          <w:rFonts w:cs="Arial"/>
          <w:szCs w:val="24"/>
        </w:rPr>
        <w:t>of treatment</w:t>
      </w:r>
      <w:r w:rsidR="00FF6409" w:rsidRPr="00787196">
        <w:rPr>
          <w:rFonts w:cs="Arial"/>
          <w:szCs w:val="24"/>
        </w:rPr>
        <w:t xml:space="preserve"> procedures</w:t>
      </w:r>
      <w:r w:rsidR="00907E8A" w:rsidRPr="00787196">
        <w:rPr>
          <w:rFonts w:cs="Arial"/>
          <w:szCs w:val="24"/>
        </w:rPr>
        <w:t>.</w:t>
      </w:r>
    </w:p>
    <w:p w14:paraId="02E12123" w14:textId="3D03C6E6" w:rsidR="00650DAD" w:rsidRPr="00787196" w:rsidRDefault="00907E8A" w:rsidP="004C3A25">
      <w:pPr>
        <w:rPr>
          <w:rFonts w:cs="Arial"/>
          <w:szCs w:val="24"/>
        </w:rPr>
      </w:pPr>
      <w:r w:rsidRPr="00787196">
        <w:rPr>
          <w:rFonts w:cs="Arial"/>
          <w:szCs w:val="24"/>
        </w:rPr>
        <w:t xml:space="preserve">Within </w:t>
      </w:r>
      <w:r w:rsidR="0031406F" w:rsidRPr="00787196">
        <w:rPr>
          <w:rFonts w:cs="Arial"/>
          <w:szCs w:val="24"/>
        </w:rPr>
        <w:t>dentistry</w:t>
      </w:r>
      <w:r w:rsidR="00204C81" w:rsidRPr="00787196">
        <w:rPr>
          <w:rFonts w:cs="Arial"/>
          <w:szCs w:val="24"/>
        </w:rPr>
        <w:t>,</w:t>
      </w:r>
      <w:r w:rsidRPr="00787196">
        <w:rPr>
          <w:rFonts w:cs="Arial"/>
          <w:szCs w:val="24"/>
        </w:rPr>
        <w:t xml:space="preserve"> </w:t>
      </w:r>
      <w:r w:rsidR="0031406F" w:rsidRPr="00787196">
        <w:rPr>
          <w:rFonts w:cs="Arial"/>
          <w:szCs w:val="24"/>
        </w:rPr>
        <w:t xml:space="preserve">measuring oral </w:t>
      </w:r>
      <w:r w:rsidR="00E14C83" w:rsidRPr="00787196">
        <w:rPr>
          <w:rFonts w:cs="Arial"/>
          <w:szCs w:val="24"/>
        </w:rPr>
        <w:t>health status</w:t>
      </w:r>
      <w:r w:rsidR="0031406F" w:rsidRPr="00787196">
        <w:rPr>
          <w:rFonts w:cs="Arial"/>
          <w:szCs w:val="24"/>
        </w:rPr>
        <w:t xml:space="preserve"> w</w:t>
      </w:r>
      <w:r w:rsidRPr="00787196">
        <w:rPr>
          <w:rFonts w:cs="Arial"/>
          <w:szCs w:val="24"/>
        </w:rPr>
        <w:t>as traditionally focussed with</w:t>
      </w:r>
      <w:r w:rsidR="00204C81" w:rsidRPr="00787196">
        <w:rPr>
          <w:rFonts w:cs="Arial"/>
          <w:szCs w:val="24"/>
        </w:rPr>
        <w:t xml:space="preserve"> clinical measures and indices s</w:t>
      </w:r>
      <w:r w:rsidRPr="00787196">
        <w:rPr>
          <w:rFonts w:cs="Arial"/>
          <w:szCs w:val="24"/>
        </w:rPr>
        <w:t xml:space="preserve">uch </w:t>
      </w:r>
      <w:r w:rsidR="0031406F" w:rsidRPr="00787196">
        <w:rPr>
          <w:rFonts w:cs="Arial"/>
          <w:szCs w:val="24"/>
        </w:rPr>
        <w:t xml:space="preserve">as </w:t>
      </w:r>
      <w:r w:rsidRPr="00787196">
        <w:rPr>
          <w:rFonts w:cs="Arial"/>
          <w:szCs w:val="24"/>
        </w:rPr>
        <w:t xml:space="preserve">the </w:t>
      </w:r>
      <w:r w:rsidR="0031406F" w:rsidRPr="00787196">
        <w:rPr>
          <w:rFonts w:cs="Arial"/>
          <w:szCs w:val="24"/>
        </w:rPr>
        <w:t>DMFT</w:t>
      </w:r>
      <w:r w:rsidRPr="00787196">
        <w:rPr>
          <w:rFonts w:cs="Arial"/>
          <w:szCs w:val="24"/>
        </w:rPr>
        <w:t xml:space="preserve"> (decayed, missing, filled teeth)</w:t>
      </w:r>
      <w:r w:rsidR="0031406F" w:rsidRPr="00787196">
        <w:rPr>
          <w:rFonts w:cs="Arial"/>
          <w:szCs w:val="24"/>
        </w:rPr>
        <w:t xml:space="preserve"> and CPITN</w:t>
      </w:r>
      <w:r w:rsidR="00204C81" w:rsidRPr="00787196">
        <w:rPr>
          <w:rFonts w:cs="Arial"/>
          <w:szCs w:val="24"/>
        </w:rPr>
        <w:t xml:space="preserve"> (Community Periodontal Index of Treatment Needs). </w:t>
      </w:r>
      <w:r w:rsidR="006B35D8" w:rsidRPr="00787196">
        <w:rPr>
          <w:rFonts w:cs="Arial"/>
          <w:szCs w:val="24"/>
        </w:rPr>
        <w:t xml:space="preserve">Such </w:t>
      </w:r>
      <w:r w:rsidR="00204C81" w:rsidRPr="00787196">
        <w:rPr>
          <w:rFonts w:cs="Arial"/>
          <w:szCs w:val="24"/>
        </w:rPr>
        <w:t xml:space="preserve">measures </w:t>
      </w:r>
      <w:r w:rsidR="00E14C83" w:rsidRPr="00787196">
        <w:rPr>
          <w:rFonts w:cs="Arial"/>
          <w:szCs w:val="24"/>
        </w:rPr>
        <w:t xml:space="preserve">however </w:t>
      </w:r>
      <w:r w:rsidR="00C0185D" w:rsidRPr="00787196">
        <w:rPr>
          <w:rFonts w:cs="Arial"/>
          <w:szCs w:val="24"/>
        </w:rPr>
        <w:t xml:space="preserve">do not </w:t>
      </w:r>
      <w:r w:rsidR="00204C81" w:rsidRPr="00787196">
        <w:rPr>
          <w:rFonts w:cs="Arial"/>
          <w:szCs w:val="24"/>
        </w:rPr>
        <w:t>describe</w:t>
      </w:r>
      <w:r w:rsidR="0031406F" w:rsidRPr="00787196">
        <w:rPr>
          <w:rFonts w:cs="Arial"/>
          <w:szCs w:val="24"/>
        </w:rPr>
        <w:t xml:space="preserve"> the functional and psychosocial impacts</w:t>
      </w:r>
      <w:r w:rsidR="00C0185D" w:rsidRPr="00787196">
        <w:rPr>
          <w:rFonts w:cs="Arial"/>
          <w:szCs w:val="24"/>
        </w:rPr>
        <w:t xml:space="preserve"> of oral diseases</w:t>
      </w:r>
      <w:r w:rsidR="00672E14" w:rsidRPr="00787196">
        <w:rPr>
          <w:rFonts w:cs="Arial"/>
          <w:szCs w:val="24"/>
        </w:rPr>
        <w:t>/ condition</w:t>
      </w:r>
      <w:r w:rsidR="0041392A" w:rsidRPr="00787196">
        <w:rPr>
          <w:rFonts w:cs="Arial"/>
          <w:szCs w:val="24"/>
        </w:rPr>
        <w:t xml:space="preserve">s </w:t>
      </w:r>
      <w:r w:rsidR="0031406F" w:rsidRPr="00787196">
        <w:rPr>
          <w:rFonts w:cs="Arial"/>
          <w:szCs w:val="24"/>
        </w:rPr>
        <w:fldChar w:fldCharType="begin"/>
      </w:r>
      <w:r w:rsidR="0031406F" w:rsidRPr="00787196">
        <w:rPr>
          <w:rFonts w:cs="Arial"/>
          <w:szCs w:val="24"/>
        </w:rPr>
        <w:instrText xml:space="preserve"> ADDIN EN.CITE &lt;EndNote&gt;&lt;Cite&gt;&lt;Author&gt;Allen&lt;/Author&gt;&lt;Year&gt;2003&lt;/Year&gt;&lt;RecNum&gt;521&lt;/RecNum&gt;&lt;DisplayText&gt;(Allen, 2003)&lt;/DisplayText&gt;&lt;record&gt;&lt;rec-number&gt;521&lt;/rec-number&gt;&lt;foreign-keys&gt;&lt;key app="EN" db-id="ptfsfw2e7fvv0we0zspxtffwpeaexrxpr2xs"&gt;521&lt;/key&gt;&lt;/foreign-keys&gt;&lt;ref-type name="Journal Article"&gt;17&lt;/ref-type&gt;&lt;contributors&gt;&lt;authors&gt;&lt;author&gt;Allen, P.&lt;/author&gt;&lt;/authors&gt;&lt;/contributors&gt;&lt;titles&gt;&lt;title&gt;Assessment of oral health related quality of life&lt;/title&gt;&lt;secondary-title&gt;Health and Quality of Life Outcomes&lt;/secondary-title&gt;&lt;/titles&gt;&lt;periodical&gt;&lt;full-title&gt;Health and Quality of Life Outcomes&lt;/full-title&gt;&lt;/periodical&gt;&lt;pages&gt;40&lt;/pages&gt;&lt;volume&gt;1&lt;/volume&gt;&lt;number&gt;1&lt;/number&gt;&lt;dates&gt;&lt;year&gt;2003&lt;/year&gt;&lt;/dates&gt;&lt;isbn&gt;1477-7525&lt;/isbn&gt;&lt;accession-num&gt;doi:10.1186/1477-7525-1-40&lt;/accession-num&gt;&lt;urls&gt;&lt;related-urls&gt;&lt;url&gt;http://www.hqlo.com/content/1/1/40 &lt;/url&gt;&lt;/related-urls&gt;&lt;/urls&gt;&lt;/record&gt;&lt;/Cite&gt;&lt;/EndNote&gt;</w:instrText>
      </w:r>
      <w:r w:rsidR="0031406F" w:rsidRPr="00787196">
        <w:rPr>
          <w:rFonts w:cs="Arial"/>
          <w:szCs w:val="24"/>
        </w:rPr>
        <w:fldChar w:fldCharType="separate"/>
      </w:r>
      <w:r w:rsidR="0031406F" w:rsidRPr="00787196">
        <w:rPr>
          <w:rFonts w:cs="Arial"/>
          <w:szCs w:val="24"/>
        </w:rPr>
        <w:t>(Allen, 2003)</w:t>
      </w:r>
      <w:r w:rsidR="0031406F" w:rsidRPr="00787196">
        <w:rPr>
          <w:rFonts w:cs="Arial"/>
          <w:szCs w:val="24"/>
        </w:rPr>
        <w:fldChar w:fldCharType="end"/>
      </w:r>
      <w:r w:rsidR="0031406F" w:rsidRPr="00787196">
        <w:rPr>
          <w:rFonts w:cs="Arial"/>
          <w:szCs w:val="24"/>
        </w:rPr>
        <w:t xml:space="preserve">. </w:t>
      </w:r>
      <w:r w:rsidR="00204C81" w:rsidRPr="00787196">
        <w:rPr>
          <w:rFonts w:cs="Arial"/>
          <w:szCs w:val="24"/>
        </w:rPr>
        <w:t>T</w:t>
      </w:r>
      <w:r w:rsidR="0031406F" w:rsidRPr="00787196">
        <w:rPr>
          <w:rFonts w:cs="Arial"/>
          <w:szCs w:val="24"/>
        </w:rPr>
        <w:t xml:space="preserve">he mouth and diseases </w:t>
      </w:r>
      <w:r w:rsidR="00FF6409" w:rsidRPr="00787196">
        <w:rPr>
          <w:rFonts w:cs="Arial"/>
          <w:szCs w:val="24"/>
        </w:rPr>
        <w:t xml:space="preserve">within the oral cavity </w:t>
      </w:r>
      <w:r w:rsidR="00204C81" w:rsidRPr="00787196">
        <w:rPr>
          <w:rFonts w:cs="Arial"/>
          <w:szCs w:val="24"/>
        </w:rPr>
        <w:t xml:space="preserve">were </w:t>
      </w:r>
      <w:r w:rsidR="0031406F" w:rsidRPr="00787196">
        <w:rPr>
          <w:rFonts w:cs="Arial"/>
          <w:szCs w:val="24"/>
        </w:rPr>
        <w:t xml:space="preserve">seen </w:t>
      </w:r>
      <w:r w:rsidR="00FF6409" w:rsidRPr="00787196">
        <w:rPr>
          <w:rFonts w:cs="Arial"/>
          <w:szCs w:val="24"/>
        </w:rPr>
        <w:t>in isolation</w:t>
      </w:r>
      <w:r w:rsidR="0031406F" w:rsidRPr="00787196">
        <w:rPr>
          <w:rFonts w:cs="Arial"/>
          <w:szCs w:val="24"/>
        </w:rPr>
        <w:t xml:space="preserve"> </w:t>
      </w:r>
      <w:r w:rsidR="004314BA" w:rsidRPr="00787196">
        <w:rPr>
          <w:rFonts w:cs="Arial"/>
          <w:szCs w:val="24"/>
        </w:rPr>
        <w:t>from the</w:t>
      </w:r>
      <w:r w:rsidR="0038743F" w:rsidRPr="00787196">
        <w:rPr>
          <w:rFonts w:cs="Arial"/>
          <w:szCs w:val="24"/>
        </w:rPr>
        <w:t xml:space="preserve"> overall</w:t>
      </w:r>
      <w:r w:rsidR="0031406F" w:rsidRPr="00787196">
        <w:rPr>
          <w:rFonts w:cs="Arial"/>
          <w:szCs w:val="24"/>
        </w:rPr>
        <w:t xml:space="preserve"> </w:t>
      </w:r>
      <w:r w:rsidR="00204C81" w:rsidRPr="00787196">
        <w:rPr>
          <w:rFonts w:cs="Arial"/>
          <w:szCs w:val="24"/>
        </w:rPr>
        <w:t xml:space="preserve">human </w:t>
      </w:r>
      <w:r w:rsidR="0031406F" w:rsidRPr="00787196">
        <w:rPr>
          <w:rFonts w:cs="Arial"/>
          <w:szCs w:val="24"/>
        </w:rPr>
        <w:t xml:space="preserve">body. </w:t>
      </w:r>
      <w:r w:rsidR="000D5116" w:rsidRPr="00787196">
        <w:rPr>
          <w:rFonts w:cs="Arial"/>
          <w:szCs w:val="24"/>
        </w:rPr>
        <w:t>P</w:t>
      </w:r>
      <w:r w:rsidR="0031406F" w:rsidRPr="00787196">
        <w:rPr>
          <w:rFonts w:cs="Arial"/>
          <w:szCs w:val="24"/>
        </w:rPr>
        <w:t xml:space="preserve">revention </w:t>
      </w:r>
      <w:r w:rsidR="0038743F" w:rsidRPr="00787196">
        <w:rPr>
          <w:rFonts w:cs="Arial"/>
          <w:szCs w:val="24"/>
        </w:rPr>
        <w:t xml:space="preserve">based interventions and </w:t>
      </w:r>
      <w:r w:rsidR="0031406F" w:rsidRPr="00787196">
        <w:rPr>
          <w:rFonts w:cs="Arial"/>
          <w:szCs w:val="24"/>
        </w:rPr>
        <w:t xml:space="preserve">strategies </w:t>
      </w:r>
      <w:r w:rsidR="000D5116" w:rsidRPr="00787196">
        <w:rPr>
          <w:rFonts w:cs="Arial"/>
          <w:szCs w:val="24"/>
        </w:rPr>
        <w:t xml:space="preserve">were </w:t>
      </w:r>
      <w:r w:rsidR="0031406F" w:rsidRPr="00787196">
        <w:rPr>
          <w:rFonts w:cs="Arial"/>
          <w:szCs w:val="24"/>
        </w:rPr>
        <w:t>focus</w:t>
      </w:r>
      <w:r w:rsidR="000D5116" w:rsidRPr="00787196">
        <w:rPr>
          <w:rFonts w:cs="Arial"/>
          <w:szCs w:val="24"/>
        </w:rPr>
        <w:t>sed</w:t>
      </w:r>
      <w:r w:rsidR="0031406F" w:rsidRPr="00787196">
        <w:rPr>
          <w:rFonts w:cs="Arial"/>
          <w:szCs w:val="24"/>
        </w:rPr>
        <w:t xml:space="preserve"> on the high risk individuals</w:t>
      </w:r>
      <w:r w:rsidR="000D5116" w:rsidRPr="00787196">
        <w:rPr>
          <w:rFonts w:cs="Arial"/>
          <w:szCs w:val="24"/>
        </w:rPr>
        <w:t xml:space="preserve"> and </w:t>
      </w:r>
      <w:r w:rsidR="00E14C83" w:rsidRPr="00787196">
        <w:rPr>
          <w:rFonts w:cs="Arial"/>
          <w:szCs w:val="24"/>
        </w:rPr>
        <w:t xml:space="preserve">in </w:t>
      </w:r>
      <w:r w:rsidR="000D5116" w:rsidRPr="00787196">
        <w:rPr>
          <w:rFonts w:cs="Arial"/>
          <w:szCs w:val="24"/>
        </w:rPr>
        <w:t>changing their behaviours</w:t>
      </w:r>
      <w:r w:rsidR="0031406F" w:rsidRPr="00787196">
        <w:rPr>
          <w:rFonts w:cs="Arial"/>
          <w:szCs w:val="24"/>
        </w:rPr>
        <w:t xml:space="preserve"> rather than emphasising</w:t>
      </w:r>
      <w:r w:rsidR="000D5116" w:rsidRPr="00787196">
        <w:rPr>
          <w:rFonts w:cs="Arial"/>
          <w:szCs w:val="24"/>
        </w:rPr>
        <w:t xml:space="preserve"> on</w:t>
      </w:r>
      <w:r w:rsidR="0031406F" w:rsidRPr="00787196">
        <w:rPr>
          <w:rFonts w:cs="Arial"/>
          <w:szCs w:val="24"/>
        </w:rPr>
        <w:t xml:space="preserve"> th</w:t>
      </w:r>
      <w:r w:rsidR="000D5116" w:rsidRPr="00787196">
        <w:rPr>
          <w:rFonts w:cs="Arial"/>
          <w:szCs w:val="24"/>
        </w:rPr>
        <w:t>os</w:t>
      </w:r>
      <w:r w:rsidR="0031406F" w:rsidRPr="00787196">
        <w:rPr>
          <w:rFonts w:cs="Arial"/>
          <w:szCs w:val="24"/>
        </w:rPr>
        <w:t xml:space="preserve">e factors </w:t>
      </w:r>
      <w:r w:rsidR="000D5116" w:rsidRPr="00787196">
        <w:rPr>
          <w:rFonts w:cs="Arial"/>
          <w:szCs w:val="24"/>
        </w:rPr>
        <w:t>that</w:t>
      </w:r>
      <w:r w:rsidR="0031406F" w:rsidRPr="00787196">
        <w:rPr>
          <w:rFonts w:cs="Arial"/>
          <w:szCs w:val="24"/>
        </w:rPr>
        <w:t xml:space="preserve"> lead to </w:t>
      </w:r>
      <w:r w:rsidR="000D5116" w:rsidRPr="00787196">
        <w:rPr>
          <w:rFonts w:cs="Arial"/>
          <w:szCs w:val="24"/>
        </w:rPr>
        <w:t>these</w:t>
      </w:r>
      <w:r w:rsidR="0031406F" w:rsidRPr="00787196">
        <w:rPr>
          <w:rFonts w:cs="Arial"/>
          <w:szCs w:val="24"/>
        </w:rPr>
        <w:t xml:space="preserve"> behaviours</w:t>
      </w:r>
      <w:r w:rsidR="000D5116" w:rsidRPr="00787196">
        <w:rPr>
          <w:rFonts w:cs="Arial"/>
          <w:szCs w:val="24"/>
        </w:rPr>
        <w:t xml:space="preserve"> in the first place</w:t>
      </w:r>
      <w:r w:rsidR="0031406F" w:rsidRPr="00787196">
        <w:rPr>
          <w:rFonts w:cs="Arial"/>
          <w:szCs w:val="24"/>
        </w:rPr>
        <w:t xml:space="preserve"> </w:t>
      </w:r>
      <w:r w:rsidR="0031406F" w:rsidRPr="00787196">
        <w:rPr>
          <w:rFonts w:cs="Arial"/>
          <w:szCs w:val="24"/>
        </w:rPr>
        <w:fldChar w:fldCharType="begin"/>
      </w:r>
      <w:r w:rsidR="00C02A39" w:rsidRPr="00787196">
        <w:rPr>
          <w:rFonts w:cs="Arial"/>
          <w:szCs w:val="24"/>
        </w:rPr>
        <w:instrText xml:space="preserve"> ADDIN EN.CITE &lt;EndNote&gt;&lt;Cite&gt;&lt;Author&gt;Watt&lt;/Author&gt;&lt;Year&gt;2007&lt;/Year&gt;&lt;IDText&gt;From victim blaming to upstream action: tackling the social determinants of oral health inequalities&lt;/IDText&gt;&lt;DisplayText&gt;(Watt, 2007)&lt;/DisplayText&gt;&lt;record&gt;&lt;dates&gt;&lt;pub-dates&gt;&lt;date&gt;Feb&lt;/date&gt;&lt;/pub-dates&gt;&lt;year&gt;2007&lt;/year&gt;&lt;/dates&gt;&lt;keywords&gt;&lt;keyword&gt;Attitude to Health&lt;/keyword&gt;&lt;keyword&gt;*Dental Health Services&lt;/keyword&gt;&lt;keyword&gt;Health Behavior&lt;/keyword&gt;&lt;keyword&gt;Health Care Reform&lt;/keyword&gt;&lt;keyword&gt;*Health Policy&lt;/keyword&gt;&lt;keyword&gt;Health Promotion&lt;/keyword&gt;&lt;keyword&gt;*Health Services Accessibility&lt;/keyword&gt;&lt;keyword&gt;Humans&lt;/keyword&gt;&lt;keyword&gt;Politics&lt;/keyword&gt;&lt;keyword&gt;Social Environment&lt;/keyword&gt;&lt;keyword&gt;Socioeconomic Factors&lt;/keyword&gt;&lt;/keywords&gt;&lt;isbn&gt;0301-5661 (Print)&amp;#xD;0301-5661&lt;/isbn&gt;&lt;titles&gt;&lt;title&gt;From victim blaming to upstream action: tackling the social determinants of oral health inequalities&lt;/title&gt;&lt;secondary-title&gt;Community Dent Oral Epidemiol&lt;/secondary-title&gt;&lt;alt-title&gt;Community dentistry and oral epidemiology&lt;/alt-title&gt;&lt;/titles&gt;&lt;pages&gt;1-11&lt;/pages&gt;&lt;number&gt;1&lt;/number&gt;&lt;contributors&gt;&lt;authors&gt;&lt;author&gt;Watt, R. G.&lt;/author&gt;&lt;/authors&gt;&lt;/contributors&gt;&lt;edition&gt;2007/01/25&lt;/edition&gt;&lt;language&gt;eng&lt;/language&gt;&lt;added-date format="utc"&gt;1394721534&lt;/added-date&gt;&lt;ref-type name="Journal Article"&gt;17&lt;/ref-type&gt;&lt;auth-address&gt;Department of Epidemiology and Public Health, University College London, London, UK. r.watt@ucl.ac.uk&lt;/auth-address&gt;&lt;remote-database-provider&gt;NLM&lt;/remote-database-provider&gt;&lt;rec-number&gt;1994&lt;/rec-number&gt;&lt;last-updated-date format="utc"&gt;1394721534&lt;/last-updated-date&gt;&lt;accession-num&gt;17244132&lt;/accession-num&gt;&lt;electronic-resource-num&gt;10.1111/j.1600-0528.2007.00348.x&lt;/electronic-resource-num&gt;&lt;volume&gt;35&lt;/volume&gt;&lt;/record&gt;&lt;/Cite&gt;&lt;/EndNote&gt;</w:instrText>
      </w:r>
      <w:r w:rsidR="0031406F" w:rsidRPr="00787196">
        <w:rPr>
          <w:rFonts w:cs="Arial"/>
          <w:szCs w:val="24"/>
        </w:rPr>
        <w:fldChar w:fldCharType="separate"/>
      </w:r>
      <w:r w:rsidR="00C02A39" w:rsidRPr="00787196">
        <w:rPr>
          <w:rFonts w:cs="Arial"/>
          <w:noProof/>
          <w:szCs w:val="24"/>
        </w:rPr>
        <w:t>(Watt, 2007)</w:t>
      </w:r>
      <w:r w:rsidR="0031406F" w:rsidRPr="00787196">
        <w:rPr>
          <w:rFonts w:cs="Arial"/>
          <w:szCs w:val="24"/>
        </w:rPr>
        <w:fldChar w:fldCharType="end"/>
      </w:r>
      <w:r w:rsidR="0031406F" w:rsidRPr="00787196">
        <w:rPr>
          <w:rFonts w:cs="Arial"/>
          <w:szCs w:val="24"/>
        </w:rPr>
        <w:t xml:space="preserve">. For </w:t>
      </w:r>
      <w:r w:rsidR="000D5116" w:rsidRPr="00787196">
        <w:rPr>
          <w:rFonts w:cs="Arial"/>
          <w:szCs w:val="24"/>
        </w:rPr>
        <w:t>instance</w:t>
      </w:r>
      <w:r w:rsidR="0031406F" w:rsidRPr="00787196">
        <w:rPr>
          <w:rFonts w:cs="Arial"/>
          <w:szCs w:val="24"/>
        </w:rPr>
        <w:t xml:space="preserve">, dentists often </w:t>
      </w:r>
      <w:r w:rsidR="00E14C83" w:rsidRPr="00787196">
        <w:rPr>
          <w:rFonts w:cs="Arial"/>
          <w:szCs w:val="24"/>
        </w:rPr>
        <w:t>advised</w:t>
      </w:r>
      <w:r w:rsidR="0031406F" w:rsidRPr="00787196">
        <w:rPr>
          <w:rFonts w:cs="Arial"/>
          <w:szCs w:val="24"/>
        </w:rPr>
        <w:t xml:space="preserve"> people to </w:t>
      </w:r>
      <w:r w:rsidR="000D5116" w:rsidRPr="00787196">
        <w:rPr>
          <w:rFonts w:cs="Arial"/>
          <w:szCs w:val="24"/>
        </w:rPr>
        <w:t xml:space="preserve">avoid </w:t>
      </w:r>
      <w:r w:rsidR="00E14C83" w:rsidRPr="00787196">
        <w:rPr>
          <w:rFonts w:cs="Arial"/>
          <w:szCs w:val="24"/>
        </w:rPr>
        <w:t>high-</w:t>
      </w:r>
      <w:r w:rsidR="000D5116" w:rsidRPr="00787196">
        <w:rPr>
          <w:rFonts w:cs="Arial"/>
          <w:szCs w:val="24"/>
        </w:rPr>
        <w:t>sugary foods</w:t>
      </w:r>
      <w:r w:rsidR="0031406F" w:rsidRPr="00787196">
        <w:rPr>
          <w:rFonts w:cs="Arial"/>
          <w:szCs w:val="24"/>
        </w:rPr>
        <w:t xml:space="preserve"> </w:t>
      </w:r>
      <w:r w:rsidR="00C0185D" w:rsidRPr="00787196">
        <w:rPr>
          <w:rFonts w:cs="Arial"/>
          <w:szCs w:val="24"/>
        </w:rPr>
        <w:t>that are</w:t>
      </w:r>
      <w:r w:rsidR="0031406F" w:rsidRPr="00787196">
        <w:rPr>
          <w:rFonts w:cs="Arial"/>
          <w:szCs w:val="24"/>
        </w:rPr>
        <w:t xml:space="preserve"> a risk factor for </w:t>
      </w:r>
      <w:r w:rsidR="000D5116" w:rsidRPr="00787196">
        <w:rPr>
          <w:rFonts w:cs="Arial"/>
          <w:szCs w:val="24"/>
        </w:rPr>
        <w:t>caries</w:t>
      </w:r>
      <w:r w:rsidR="0031406F" w:rsidRPr="00787196">
        <w:rPr>
          <w:rFonts w:cs="Arial"/>
          <w:szCs w:val="24"/>
        </w:rPr>
        <w:t>,</w:t>
      </w:r>
      <w:r w:rsidR="000D5116" w:rsidRPr="00787196">
        <w:rPr>
          <w:rFonts w:cs="Arial"/>
          <w:szCs w:val="24"/>
        </w:rPr>
        <w:t xml:space="preserve"> tooth decay. However</w:t>
      </w:r>
      <w:r w:rsidR="0031406F" w:rsidRPr="00787196">
        <w:rPr>
          <w:rFonts w:cs="Arial"/>
          <w:szCs w:val="24"/>
        </w:rPr>
        <w:t xml:space="preserve">, </w:t>
      </w:r>
      <w:r w:rsidR="000D5116" w:rsidRPr="00787196">
        <w:rPr>
          <w:rFonts w:cs="Arial"/>
          <w:szCs w:val="24"/>
        </w:rPr>
        <w:t>they do not</w:t>
      </w:r>
      <w:r w:rsidR="0031406F" w:rsidRPr="00787196">
        <w:rPr>
          <w:rFonts w:cs="Arial"/>
          <w:szCs w:val="24"/>
        </w:rPr>
        <w:t xml:space="preserve"> address the issue </w:t>
      </w:r>
      <w:r w:rsidR="000D5116" w:rsidRPr="00787196">
        <w:rPr>
          <w:rFonts w:cs="Arial"/>
          <w:szCs w:val="24"/>
        </w:rPr>
        <w:t xml:space="preserve">on </w:t>
      </w:r>
      <w:r w:rsidR="0031406F" w:rsidRPr="00787196">
        <w:rPr>
          <w:rFonts w:cs="Arial"/>
          <w:szCs w:val="24"/>
        </w:rPr>
        <w:t>why the individual</w:t>
      </w:r>
      <w:r w:rsidR="000D5116" w:rsidRPr="00787196">
        <w:rPr>
          <w:rFonts w:cs="Arial"/>
          <w:szCs w:val="24"/>
        </w:rPr>
        <w:t xml:space="preserve"> is involved with </w:t>
      </w:r>
      <w:r w:rsidR="00C0185D" w:rsidRPr="00787196">
        <w:rPr>
          <w:rFonts w:cs="Arial"/>
          <w:szCs w:val="24"/>
        </w:rPr>
        <w:t xml:space="preserve">having </w:t>
      </w:r>
      <w:r w:rsidR="000D5116" w:rsidRPr="00787196">
        <w:rPr>
          <w:rFonts w:cs="Arial"/>
          <w:szCs w:val="24"/>
        </w:rPr>
        <w:t>a high sugar diet</w:t>
      </w:r>
      <w:r w:rsidR="0031406F" w:rsidRPr="00787196">
        <w:rPr>
          <w:rFonts w:cs="Arial"/>
          <w:szCs w:val="24"/>
        </w:rPr>
        <w:t xml:space="preserve">. </w:t>
      </w:r>
      <w:r w:rsidR="000D5116" w:rsidRPr="00787196">
        <w:rPr>
          <w:rFonts w:cs="Arial"/>
          <w:szCs w:val="24"/>
        </w:rPr>
        <w:t xml:space="preserve">High sugar </w:t>
      </w:r>
      <w:r w:rsidR="0031406F" w:rsidRPr="00787196">
        <w:rPr>
          <w:rFonts w:cs="Arial"/>
          <w:szCs w:val="24"/>
        </w:rPr>
        <w:t xml:space="preserve">can be </w:t>
      </w:r>
      <w:r w:rsidR="0038743F" w:rsidRPr="00787196">
        <w:rPr>
          <w:rFonts w:cs="Arial"/>
          <w:szCs w:val="24"/>
        </w:rPr>
        <w:t>associated</w:t>
      </w:r>
      <w:r w:rsidR="0031406F" w:rsidRPr="00787196">
        <w:rPr>
          <w:rFonts w:cs="Arial"/>
          <w:szCs w:val="24"/>
        </w:rPr>
        <w:t xml:space="preserve"> </w:t>
      </w:r>
      <w:r w:rsidR="0038743F" w:rsidRPr="00787196">
        <w:rPr>
          <w:rFonts w:cs="Arial"/>
          <w:szCs w:val="24"/>
        </w:rPr>
        <w:t xml:space="preserve">with </w:t>
      </w:r>
      <w:r w:rsidR="0031406F" w:rsidRPr="00787196">
        <w:rPr>
          <w:rFonts w:cs="Arial"/>
          <w:szCs w:val="24"/>
        </w:rPr>
        <w:t>factors such as stress a</w:t>
      </w:r>
      <w:r w:rsidR="007A6B90" w:rsidRPr="00787196">
        <w:rPr>
          <w:rFonts w:cs="Arial"/>
          <w:szCs w:val="24"/>
        </w:rPr>
        <w:t xml:space="preserve">nd </w:t>
      </w:r>
      <w:r w:rsidR="0038743F" w:rsidRPr="00787196">
        <w:rPr>
          <w:rFonts w:cs="Arial"/>
          <w:szCs w:val="24"/>
        </w:rPr>
        <w:t xml:space="preserve">their </w:t>
      </w:r>
      <w:r w:rsidR="007A6B90" w:rsidRPr="00787196">
        <w:rPr>
          <w:rFonts w:cs="Arial"/>
          <w:szCs w:val="24"/>
        </w:rPr>
        <w:t>socio-economic status (SES</w:t>
      </w:r>
      <w:r w:rsidR="00C705AF" w:rsidRPr="00787196">
        <w:rPr>
          <w:rFonts w:cs="Arial"/>
          <w:szCs w:val="24"/>
        </w:rPr>
        <w:t xml:space="preserve">). </w:t>
      </w:r>
      <w:r w:rsidR="004314BA" w:rsidRPr="00787196">
        <w:rPr>
          <w:rFonts w:cs="Arial"/>
          <w:szCs w:val="24"/>
        </w:rPr>
        <w:t>With a</w:t>
      </w:r>
      <w:r w:rsidR="009F11E6" w:rsidRPr="00787196">
        <w:rPr>
          <w:rFonts w:cs="Arial"/>
          <w:szCs w:val="24"/>
        </w:rPr>
        <w:t xml:space="preserve"> very limited scope</w:t>
      </w:r>
      <w:r w:rsidR="0031406F" w:rsidRPr="00787196">
        <w:rPr>
          <w:rFonts w:cs="Arial"/>
          <w:szCs w:val="24"/>
        </w:rPr>
        <w:t>, th</w:t>
      </w:r>
      <w:r w:rsidR="007A6B90" w:rsidRPr="00787196">
        <w:rPr>
          <w:rFonts w:cs="Arial"/>
          <w:szCs w:val="24"/>
        </w:rPr>
        <w:t xml:space="preserve">e biomedical model cannot comprehensively </w:t>
      </w:r>
      <w:r w:rsidR="0031406F" w:rsidRPr="00787196">
        <w:rPr>
          <w:rFonts w:cs="Arial"/>
          <w:szCs w:val="24"/>
        </w:rPr>
        <w:t xml:space="preserve">define health </w:t>
      </w:r>
      <w:r w:rsidR="007A6B90" w:rsidRPr="00787196">
        <w:rPr>
          <w:rFonts w:cs="Arial"/>
          <w:szCs w:val="24"/>
        </w:rPr>
        <w:t xml:space="preserve">in a broad </w:t>
      </w:r>
      <w:r w:rsidR="00650DAD" w:rsidRPr="00787196">
        <w:rPr>
          <w:rFonts w:cs="Arial"/>
          <w:szCs w:val="24"/>
        </w:rPr>
        <w:t>the multidimensional</w:t>
      </w:r>
      <w:r w:rsidR="007A6B90" w:rsidRPr="00787196">
        <w:rPr>
          <w:rFonts w:cs="Arial"/>
          <w:szCs w:val="24"/>
        </w:rPr>
        <w:t xml:space="preserve"> context. </w:t>
      </w:r>
    </w:p>
    <w:p w14:paraId="11E04610" w14:textId="2B728C87" w:rsidR="00220739" w:rsidRPr="00787196" w:rsidRDefault="00650DAD" w:rsidP="00226A04">
      <w:pPr>
        <w:pStyle w:val="Heading4"/>
      </w:pPr>
      <w:r w:rsidRPr="00787196">
        <w:lastRenderedPageBreak/>
        <w:t>Bio</w:t>
      </w:r>
      <w:r w:rsidR="00C705AF" w:rsidRPr="00787196">
        <w:t>-psychosocial</w:t>
      </w:r>
      <w:r w:rsidRPr="00787196">
        <w:t xml:space="preserve"> model</w:t>
      </w:r>
    </w:p>
    <w:p w14:paraId="0BAC5A73" w14:textId="0989353E" w:rsidR="00E60445" w:rsidRPr="00787196" w:rsidRDefault="00E60445" w:rsidP="009A698A">
      <w:r w:rsidRPr="00787196">
        <w:t>The bi</w:t>
      </w:r>
      <w:r w:rsidR="00D03D75" w:rsidRPr="00787196">
        <w:t xml:space="preserve">o-medical model is </w:t>
      </w:r>
      <w:r w:rsidRPr="00787196">
        <w:t>restricted within physiol</w:t>
      </w:r>
      <w:r w:rsidR="00E95559" w:rsidRPr="00787196">
        <w:t xml:space="preserve">ogical and normative parameters </w:t>
      </w:r>
      <w:r w:rsidR="00E95559" w:rsidRPr="00787196">
        <w:fldChar w:fldCharType="begin"/>
      </w:r>
      <w:r w:rsidR="00E95559" w:rsidRPr="00787196">
        <w:instrText xml:space="preserve"> ADDIN EN.CITE &lt;EndNote&gt;&lt;Cite&gt;&lt;Author&gt;Engel&lt;/Author&gt;&lt;Year&gt;1981&lt;/Year&gt;&lt;IDText&gt;The Clinical Application of the Biopsychosocial Model&lt;/IDText&gt;&lt;DisplayText&gt;(Engel, 1981)&lt;/DisplayText&gt;&lt;record&gt;&lt;dates&gt;&lt;pub-dates&gt;&lt;date&gt;1981-01-01&lt;/date&gt;&lt;/pub-dates&gt;&lt;year&gt;1981&lt;/year&gt;&lt;/dates&gt;&lt;urls&gt;&lt;related-urls&gt;&lt;url&gt;http://jmp.oxfordjournals.org/content/6/2/101.short&lt;/url&gt;&lt;/related-urls&gt;&lt;/urls&gt;&lt;titles&gt;&lt;title&gt;The Clinical Application of the Biopsychosocial Model&lt;/title&gt;&lt;secondary-title&gt;The Journal of Medicine and Philosophy&lt;/secondary-title&gt;&lt;short-title&gt;The Clinical Application of the Biopsychosocial Model&lt;/short-title&gt;&lt;/titles&gt;&lt;pages&gt;101-24&lt;/pages&gt;&lt;number&gt;2&lt;/number&gt;&lt;contributors&gt;&lt;authors&gt;&lt;author&gt;Engel, George L.&lt;/author&gt;&lt;/authors&gt;&lt;/contributors&gt;&lt;language&gt;en&lt;/language&gt;&lt;added-date format="utc"&gt;1483497046&lt;/added-date&gt;&lt;ref-type name="Journal Article"&gt;17&lt;/ref-type&gt;&lt;rec-number&gt;2758&lt;/rec-number&gt;&lt;last-updated-date format="utc"&gt;1483497046&lt;/last-updated-date&gt;&lt;electronic-resource-num&gt;10.1093/jmp/6.2.101&lt;/electronic-resource-num&gt;&lt;volume&gt;6 (2)&lt;/volume&gt;&lt;/record&gt;&lt;/Cite&gt;&lt;/EndNote&gt;</w:instrText>
      </w:r>
      <w:r w:rsidR="00E95559" w:rsidRPr="00787196">
        <w:fldChar w:fldCharType="separate"/>
      </w:r>
      <w:r w:rsidR="00E95559" w:rsidRPr="00787196">
        <w:rPr>
          <w:noProof/>
        </w:rPr>
        <w:t>(Engel, 1981)</w:t>
      </w:r>
      <w:r w:rsidR="00E95559" w:rsidRPr="00787196">
        <w:fldChar w:fldCharType="end"/>
      </w:r>
      <w:r w:rsidR="009A698A" w:rsidRPr="00787196">
        <w:t xml:space="preserve">. </w:t>
      </w:r>
      <w:r w:rsidR="001E1B7C" w:rsidRPr="00787196">
        <w:t>Contexts that</w:t>
      </w:r>
      <w:r w:rsidR="004314BA" w:rsidRPr="00787196">
        <w:t xml:space="preserve"> shape</w:t>
      </w:r>
      <w:r w:rsidR="00D03D75" w:rsidRPr="00787196">
        <w:t xml:space="preserve"> their behaviour and illness perception are largely ignored</w:t>
      </w:r>
      <w:r w:rsidR="00E64E19" w:rsidRPr="00787196">
        <w:t xml:space="preserve"> by the model</w:t>
      </w:r>
      <w:r w:rsidR="009A698A" w:rsidRPr="00787196">
        <w:t xml:space="preserve"> </w:t>
      </w:r>
      <w:r w:rsidR="009A698A" w:rsidRPr="00787196">
        <w:fldChar w:fldCharType="begin"/>
      </w:r>
      <w:r w:rsidR="009A698A" w:rsidRPr="00787196">
        <w:instrText xml:space="preserve"> ADDIN EN.CITE &lt;EndNote&gt;&lt;Cite&gt;&lt;Author&gt;Engel&lt;/Author&gt;&lt;Year&gt;1977&lt;/Year&gt;&lt;IDText&gt;The need for a new medical model: a challenge for biomedicine&lt;/IDText&gt;&lt;DisplayText&gt;(Engel, 1977)&lt;/DisplayText&gt;&lt;record&gt;&lt;isbn&gt;0036-8075&lt;/isbn&gt;&lt;titles&gt;&lt;title&gt;The need for a new medical model: a challenge for biomedicine&lt;/title&gt;&lt;secondary-title&gt;Science&lt;/secondary-title&gt;&lt;/titles&gt;&lt;pages&gt;129-136&lt;/pages&gt;&lt;number&gt;4286&lt;/number&gt;&lt;contributors&gt;&lt;authors&gt;&lt;author&gt;Engel, George L.&lt;/author&gt;&lt;/authors&gt;&lt;/contributors&gt;&lt;added-date format="utc"&gt;1385270541&lt;/added-date&gt;&lt;ref-type name="Journal Article"&gt;17&lt;/ref-type&gt;&lt;dates&gt;&lt;year&gt;1977&lt;/year&gt;&lt;/dates&gt;&lt;rec-number&gt;1295&lt;/rec-number&gt;&lt;publisher&gt;American Association for the Advancement of Science&lt;/publisher&gt;&lt;last-updated-date format="utc"&gt;1385713712&lt;/last-updated-date&gt;&lt;volume&gt;196&lt;/volume&gt;&lt;/record&gt;&lt;/Cite&gt;&lt;/EndNote&gt;</w:instrText>
      </w:r>
      <w:r w:rsidR="009A698A" w:rsidRPr="00787196">
        <w:fldChar w:fldCharType="separate"/>
      </w:r>
      <w:r w:rsidR="009A698A" w:rsidRPr="00787196">
        <w:rPr>
          <w:noProof/>
        </w:rPr>
        <w:t>(Engel, 1977)</w:t>
      </w:r>
      <w:r w:rsidR="009A698A" w:rsidRPr="00787196">
        <w:fldChar w:fldCharType="end"/>
      </w:r>
      <w:r w:rsidR="00D03D75" w:rsidRPr="00787196">
        <w:t>.</w:t>
      </w:r>
    </w:p>
    <w:p w14:paraId="45AA9DA5" w14:textId="042A519F" w:rsidR="00650DAD" w:rsidRPr="00787196" w:rsidRDefault="00D03D75" w:rsidP="00A41620">
      <w:r w:rsidRPr="00787196">
        <w:t>T</w:t>
      </w:r>
      <w:r w:rsidR="00650DAD" w:rsidRPr="00787196">
        <w:t>he</w:t>
      </w:r>
      <w:r w:rsidRPr="00787196">
        <w:t>se</w:t>
      </w:r>
      <w:r w:rsidR="00650DAD" w:rsidRPr="00787196">
        <w:t xml:space="preserve"> missing </w:t>
      </w:r>
      <w:r w:rsidRPr="00787196">
        <w:t xml:space="preserve">ideas and </w:t>
      </w:r>
      <w:r w:rsidR="00650DAD" w:rsidRPr="00787196">
        <w:t>dim</w:t>
      </w:r>
      <w:r w:rsidRPr="00787196">
        <w:t>ensions of the biomedical model are incorporated into this sci</w:t>
      </w:r>
      <w:r w:rsidR="00C705AF" w:rsidRPr="00787196">
        <w:t>e</w:t>
      </w:r>
      <w:r w:rsidRPr="00787196">
        <w:t xml:space="preserve">ntific model called the bio-psychosocial model (Engel, 1981). </w:t>
      </w:r>
      <w:r w:rsidR="00C705AF" w:rsidRPr="00787196">
        <w:t xml:space="preserve">In this model, the individual is placed </w:t>
      </w:r>
      <w:r w:rsidR="00A92D42" w:rsidRPr="00787196">
        <w:t>a</w:t>
      </w:r>
      <w:r w:rsidR="00C705AF" w:rsidRPr="00787196">
        <w:t>t</w:t>
      </w:r>
      <w:r w:rsidRPr="00787196">
        <w:t xml:space="preserve"> top the </w:t>
      </w:r>
      <w:r w:rsidR="00C705AF" w:rsidRPr="00787196">
        <w:t xml:space="preserve">organismic level and at the bottom of the social hierarchical levels </w:t>
      </w:r>
      <w:r w:rsidR="00A92D42" w:rsidRPr="00787196">
        <w:t xml:space="preserve">thereby working for </w:t>
      </w:r>
      <w:r w:rsidR="00A41620" w:rsidRPr="00787196">
        <w:t>both patient and environmental l</w:t>
      </w:r>
      <w:r w:rsidR="00A92D42" w:rsidRPr="00787196">
        <w:t>evels.</w:t>
      </w:r>
      <w:r w:rsidR="00A41620" w:rsidRPr="00787196">
        <w:t xml:space="preserve"> T</w:t>
      </w:r>
      <w:r w:rsidR="00650DAD" w:rsidRPr="00787196">
        <w:t xml:space="preserve">his model </w:t>
      </w:r>
      <w:r w:rsidR="00A41620" w:rsidRPr="00787196">
        <w:t>has provided a paradigm</w:t>
      </w:r>
      <w:r w:rsidR="00650DAD" w:rsidRPr="00787196">
        <w:t xml:space="preserve"> shift </w:t>
      </w:r>
      <w:r w:rsidR="00A41620" w:rsidRPr="00787196">
        <w:t xml:space="preserve">in terms of oral health </w:t>
      </w:r>
      <w:r w:rsidR="00650DAD" w:rsidRPr="00787196">
        <w:t xml:space="preserve">from </w:t>
      </w:r>
      <w:r w:rsidR="00A41620" w:rsidRPr="00787196">
        <w:t xml:space="preserve">a </w:t>
      </w:r>
      <w:r w:rsidR="00650DAD" w:rsidRPr="00787196">
        <w:t xml:space="preserve">‘downstream approach’ </w:t>
      </w:r>
      <w:r w:rsidR="00E64E19" w:rsidRPr="00787196">
        <w:t xml:space="preserve">where biomedical definitions of oral health were used </w:t>
      </w:r>
      <w:r w:rsidR="004314BA" w:rsidRPr="00787196">
        <w:t>towards ‘</w:t>
      </w:r>
      <w:r w:rsidR="00650DAD" w:rsidRPr="00787196">
        <w:t>upstream approach</w:t>
      </w:r>
      <w:r w:rsidR="004314BA" w:rsidRPr="00787196">
        <w:t>’ focussing</w:t>
      </w:r>
      <w:r w:rsidR="00650DAD" w:rsidRPr="00787196">
        <w:t xml:space="preserve"> </w:t>
      </w:r>
      <w:r w:rsidR="00E64E19" w:rsidRPr="00787196">
        <w:t xml:space="preserve">on </w:t>
      </w:r>
      <w:r w:rsidR="00650DAD" w:rsidRPr="00787196">
        <w:t>wider</w:t>
      </w:r>
      <w:r w:rsidR="00E64E19" w:rsidRPr="00787196">
        <w:t xml:space="preserve"> psychosocial</w:t>
      </w:r>
      <w:r w:rsidR="00650DAD" w:rsidRPr="00787196">
        <w:t xml:space="preserve"> determinants of oral health </w:t>
      </w:r>
      <w:r w:rsidR="00A41620" w:rsidRPr="00787196">
        <w:t>(Watt, 2007)</w:t>
      </w:r>
    </w:p>
    <w:p w14:paraId="36BCAF37" w14:textId="1C6EC6F0" w:rsidR="004C3A25" w:rsidRPr="00787196" w:rsidRDefault="00F83EF9" w:rsidP="008310E0">
      <w:r w:rsidRPr="00787196">
        <w:t>For instance, the biological cause for a disease like</w:t>
      </w:r>
      <w:r w:rsidR="00A41620" w:rsidRPr="00787196">
        <w:t xml:space="preserve"> oral cancer may be </w:t>
      </w:r>
      <w:r w:rsidRPr="00787196">
        <w:t xml:space="preserve">due to </w:t>
      </w:r>
      <w:r w:rsidR="00A41620" w:rsidRPr="00787196">
        <w:t>adverse habits such as tobacco chewing, smoking and exposure to other carcinogens,</w:t>
      </w:r>
      <w:r w:rsidR="00650DAD" w:rsidRPr="00787196">
        <w:t xml:space="preserve"> </w:t>
      </w:r>
      <w:r w:rsidR="00A41620" w:rsidRPr="00787196">
        <w:t xml:space="preserve">not </w:t>
      </w:r>
      <w:r w:rsidR="00650DAD" w:rsidRPr="00787196">
        <w:t xml:space="preserve">all </w:t>
      </w:r>
      <w:r w:rsidR="00A41620" w:rsidRPr="00787196">
        <w:t xml:space="preserve">who have these habits ended up having oral cancer. Neither does everyone who suffer from oral cancer always have adverse habits. This highlights the lack of a comprehensive explanation of the disease process by </w:t>
      </w:r>
      <w:r w:rsidR="00650DAD" w:rsidRPr="00787196">
        <w:t>the biomedical model</w:t>
      </w:r>
      <w:r w:rsidR="00A41620" w:rsidRPr="00787196">
        <w:t>.</w:t>
      </w:r>
      <w:r w:rsidR="00650DAD" w:rsidRPr="00787196">
        <w:t xml:space="preserve"> </w:t>
      </w:r>
      <w:r w:rsidR="00A41620" w:rsidRPr="00787196">
        <w:t>Whereas, t</w:t>
      </w:r>
      <w:r w:rsidR="00650DAD" w:rsidRPr="00787196">
        <w:t xml:space="preserve">he bio-psychosocial model </w:t>
      </w:r>
      <w:r w:rsidR="00A41620" w:rsidRPr="00787196">
        <w:t xml:space="preserve">observes illness and disease </w:t>
      </w:r>
      <w:r w:rsidR="00650DAD" w:rsidRPr="00787196">
        <w:t>as a process caused by</w:t>
      </w:r>
      <w:r w:rsidR="00A41620" w:rsidRPr="00787196">
        <w:t xml:space="preserve"> multiple factors such as </w:t>
      </w:r>
      <w:r w:rsidR="00650DAD" w:rsidRPr="00787196">
        <w:t>biological (e.g.</w:t>
      </w:r>
      <w:r w:rsidR="00A41620" w:rsidRPr="00787196">
        <w:t xml:space="preserve"> genetic predisposition</w:t>
      </w:r>
      <w:r w:rsidR="00650DAD" w:rsidRPr="00787196">
        <w:t>), psychological (e.g. stress</w:t>
      </w:r>
      <w:r w:rsidRPr="00787196">
        <w:t>ors that induce adverse habits</w:t>
      </w:r>
      <w:r w:rsidR="00650DAD" w:rsidRPr="00787196">
        <w:t xml:space="preserve">) and social (e.g., diet, access to dental </w:t>
      </w:r>
      <w:r w:rsidRPr="00787196">
        <w:t>treatment care services, social and economic status</w:t>
      </w:r>
      <w:r w:rsidR="00650DAD" w:rsidRPr="00787196">
        <w:t>).</w:t>
      </w:r>
    </w:p>
    <w:p w14:paraId="751E3E77" w14:textId="64729C0F" w:rsidR="004314BA" w:rsidRPr="00787196" w:rsidRDefault="00CE4C97" w:rsidP="004C3A25">
      <w:r w:rsidRPr="00787196">
        <w:t>B</w:t>
      </w:r>
      <w:r w:rsidR="00650DAD" w:rsidRPr="00787196">
        <w:t xml:space="preserve">io-psychosocial model </w:t>
      </w:r>
      <w:r w:rsidRPr="00787196">
        <w:t xml:space="preserve">also hast clinical </w:t>
      </w:r>
      <w:r w:rsidR="004314BA" w:rsidRPr="00787196">
        <w:t xml:space="preserve">practice </w:t>
      </w:r>
      <w:r w:rsidR="00650DAD" w:rsidRPr="00787196">
        <w:t xml:space="preserve">implications. For </w:t>
      </w:r>
      <w:r w:rsidRPr="00787196">
        <w:t>instance, a</w:t>
      </w:r>
      <w:r w:rsidR="00650DAD" w:rsidRPr="00787196">
        <w:t xml:space="preserve"> patient </w:t>
      </w:r>
      <w:r w:rsidR="006D6E0B" w:rsidRPr="00787196">
        <w:t xml:space="preserve">receiving </w:t>
      </w:r>
      <w:r w:rsidR="00650DAD" w:rsidRPr="00787196">
        <w:t>complete denture prosthesis</w:t>
      </w:r>
      <w:r w:rsidRPr="00787196">
        <w:t xml:space="preserve"> on </w:t>
      </w:r>
      <w:r w:rsidR="004314BA" w:rsidRPr="00787196">
        <w:t>a biomedical</w:t>
      </w:r>
      <w:r w:rsidR="006D6E0B" w:rsidRPr="00787196">
        <w:t xml:space="preserve"> approach may </w:t>
      </w:r>
      <w:r w:rsidRPr="00787196">
        <w:t xml:space="preserve">be subjected to </w:t>
      </w:r>
      <w:r w:rsidR="006D6E0B" w:rsidRPr="00787196">
        <w:t>normative procedures</w:t>
      </w:r>
      <w:r w:rsidR="00650DAD" w:rsidRPr="00787196">
        <w:t xml:space="preserve"> and </w:t>
      </w:r>
      <w:r w:rsidRPr="00787196">
        <w:t xml:space="preserve">is </w:t>
      </w:r>
      <w:r w:rsidR="004314BA" w:rsidRPr="00787196">
        <w:t>provided</w:t>
      </w:r>
      <w:r w:rsidR="00650DAD" w:rsidRPr="00787196">
        <w:t xml:space="preserve"> with dentures</w:t>
      </w:r>
      <w:r w:rsidRPr="00787196">
        <w:t xml:space="preserve">. The denture might meet clinical </w:t>
      </w:r>
      <w:r w:rsidR="004314BA" w:rsidRPr="00787196">
        <w:t>standards but</w:t>
      </w:r>
      <w:r w:rsidR="00650DAD" w:rsidRPr="00787196">
        <w:t xml:space="preserve"> the patient</w:t>
      </w:r>
      <w:r w:rsidRPr="00787196">
        <w:t xml:space="preserve"> may </w:t>
      </w:r>
      <w:r w:rsidR="006D6E0B" w:rsidRPr="00787196">
        <w:t xml:space="preserve">not </w:t>
      </w:r>
      <w:r w:rsidRPr="00787196">
        <w:t xml:space="preserve">necessarily be </w:t>
      </w:r>
      <w:r w:rsidR="006D6E0B" w:rsidRPr="00787196">
        <w:t>satisfied</w:t>
      </w:r>
      <w:r w:rsidRPr="00787196">
        <w:t xml:space="preserve"> with it</w:t>
      </w:r>
      <w:r w:rsidR="006D6E0B" w:rsidRPr="00787196">
        <w:t xml:space="preserve">. </w:t>
      </w:r>
      <w:r w:rsidR="0094594D" w:rsidRPr="00787196">
        <w:t xml:space="preserve">Under </w:t>
      </w:r>
      <w:r w:rsidR="006D6E0B" w:rsidRPr="00787196">
        <w:t xml:space="preserve">a </w:t>
      </w:r>
      <w:r w:rsidR="00650DAD" w:rsidRPr="00787196">
        <w:t xml:space="preserve">bio-psychosocial </w:t>
      </w:r>
      <w:r w:rsidR="004314BA" w:rsidRPr="00787196">
        <w:t>approach, the</w:t>
      </w:r>
      <w:r w:rsidR="00650DAD" w:rsidRPr="00787196">
        <w:t xml:space="preserve"> patient </w:t>
      </w:r>
      <w:r w:rsidR="0094594D" w:rsidRPr="00787196">
        <w:t>needs will be given priority</w:t>
      </w:r>
      <w:r w:rsidR="00650DAD" w:rsidRPr="00787196">
        <w:t xml:space="preserve">. </w:t>
      </w:r>
    </w:p>
    <w:p w14:paraId="56DABDD4" w14:textId="060E5033" w:rsidR="00650DAD" w:rsidRPr="00787196" w:rsidRDefault="00650DAD" w:rsidP="006D6E0B">
      <w:r w:rsidRPr="00787196">
        <w:t xml:space="preserve">For example, </w:t>
      </w:r>
      <w:r w:rsidR="006D6E0B" w:rsidRPr="00787196">
        <w:t xml:space="preserve">to </w:t>
      </w:r>
      <w:r w:rsidRPr="00787196">
        <w:t xml:space="preserve">fulfil functional </w:t>
      </w:r>
      <w:r w:rsidR="006D6E0B" w:rsidRPr="00787196">
        <w:t>limitations like chewing, speech,</w:t>
      </w:r>
      <w:r w:rsidRPr="00787196">
        <w:t xml:space="preserve"> </w:t>
      </w:r>
      <w:r w:rsidR="006D6E0B" w:rsidRPr="00787196">
        <w:t>along with</w:t>
      </w:r>
      <w:r w:rsidRPr="00787196">
        <w:t xml:space="preserve"> </w:t>
      </w:r>
      <w:r w:rsidR="0094594D" w:rsidRPr="00787196">
        <w:t xml:space="preserve">patient’s personal and social </w:t>
      </w:r>
      <w:r w:rsidRPr="00787196">
        <w:t xml:space="preserve">expectations from </w:t>
      </w:r>
      <w:r w:rsidR="0094594D" w:rsidRPr="00787196">
        <w:t xml:space="preserve">their </w:t>
      </w:r>
      <w:r w:rsidRPr="00787196">
        <w:t>dentures.</w:t>
      </w:r>
      <w:r w:rsidR="0094594D" w:rsidRPr="00787196">
        <w:t xml:space="preserve"> Assessments of </w:t>
      </w:r>
      <w:r w:rsidR="0094594D" w:rsidRPr="00787196">
        <w:lastRenderedPageBreak/>
        <w:t xml:space="preserve">these needs prior to delivering </w:t>
      </w:r>
      <w:r w:rsidR="004314BA" w:rsidRPr="00787196">
        <w:t>dentures will</w:t>
      </w:r>
      <w:r w:rsidR="0094594D" w:rsidRPr="00787196">
        <w:t xml:space="preserve"> </w:t>
      </w:r>
      <w:r w:rsidR="007C6F81" w:rsidRPr="00787196">
        <w:t>increase</w:t>
      </w:r>
      <w:r w:rsidRPr="00787196">
        <w:t xml:space="preserve"> the likelihood of </w:t>
      </w:r>
      <w:r w:rsidR="0094594D" w:rsidRPr="00787196">
        <w:t xml:space="preserve">a </w:t>
      </w:r>
      <w:r w:rsidRPr="00787196">
        <w:t>success</w:t>
      </w:r>
      <w:r w:rsidR="0094594D" w:rsidRPr="00787196">
        <w:t>ful treatment outcome</w:t>
      </w:r>
      <w:r w:rsidRPr="00787196">
        <w:t>.</w:t>
      </w:r>
    </w:p>
    <w:p w14:paraId="24159417" w14:textId="08D98D6E" w:rsidR="00650DAD" w:rsidRPr="00787196" w:rsidRDefault="006D6E0B" w:rsidP="00517551">
      <w:r w:rsidRPr="00787196">
        <w:t>B</w:t>
      </w:r>
      <w:r w:rsidR="00650DAD" w:rsidRPr="00787196">
        <w:t xml:space="preserve">io-psychosocial model </w:t>
      </w:r>
      <w:r w:rsidR="00441F7A" w:rsidRPr="00787196">
        <w:t>can</w:t>
      </w:r>
      <w:r w:rsidR="00650DAD" w:rsidRPr="00787196">
        <w:t xml:space="preserve"> </w:t>
      </w:r>
      <w:r w:rsidRPr="00787196">
        <w:t xml:space="preserve">thus supplement </w:t>
      </w:r>
      <w:r w:rsidR="00650DAD" w:rsidRPr="00787196">
        <w:t xml:space="preserve">from </w:t>
      </w:r>
      <w:r w:rsidR="00441F7A" w:rsidRPr="00787196">
        <w:t>normative treatment procedures</w:t>
      </w:r>
      <w:r w:rsidR="00650DAD" w:rsidRPr="00787196">
        <w:t xml:space="preserve"> </w:t>
      </w:r>
      <w:r w:rsidRPr="00787196">
        <w:t>by addressing</w:t>
      </w:r>
      <w:r w:rsidR="00650DAD" w:rsidRPr="00787196">
        <w:t xml:space="preserve"> wi</w:t>
      </w:r>
      <w:r w:rsidR="00517551" w:rsidRPr="00787196">
        <w:t>der determinants of health and by</w:t>
      </w:r>
      <w:r w:rsidR="00650DAD" w:rsidRPr="00787196">
        <w:t xml:space="preserve"> using </w:t>
      </w:r>
      <w:r w:rsidR="00517551" w:rsidRPr="00787196">
        <w:t>health</w:t>
      </w:r>
      <w:r w:rsidR="00650DAD" w:rsidRPr="00787196">
        <w:t xml:space="preserve"> status measures </w:t>
      </w:r>
      <w:r w:rsidR="00517551" w:rsidRPr="00787196">
        <w:t>that</w:t>
      </w:r>
      <w:r w:rsidR="00650DAD" w:rsidRPr="00787196">
        <w:t xml:space="preserve"> incorporat</w:t>
      </w:r>
      <w:r w:rsidR="00517551" w:rsidRPr="00787196">
        <w:t>e</w:t>
      </w:r>
      <w:r w:rsidR="00650DAD" w:rsidRPr="00787196">
        <w:t xml:space="preserve"> subjective health </w:t>
      </w:r>
      <w:r w:rsidR="00517551" w:rsidRPr="00787196">
        <w:t>outcomes</w:t>
      </w:r>
      <w:r w:rsidR="00650DAD" w:rsidRPr="00787196">
        <w:t>.</w:t>
      </w:r>
    </w:p>
    <w:p w14:paraId="4794A00F" w14:textId="174A2157" w:rsidR="00220739" w:rsidRPr="00787196" w:rsidRDefault="00220739" w:rsidP="00D9694A">
      <w:pPr>
        <w:pStyle w:val="Heading3"/>
      </w:pPr>
      <w:bookmarkStart w:id="27" w:name="_Toc488655613"/>
      <w:r w:rsidRPr="00787196">
        <w:t>Quality of life</w:t>
      </w:r>
      <w:bookmarkEnd w:id="27"/>
    </w:p>
    <w:p w14:paraId="7AED9F9F" w14:textId="0E830C61" w:rsidR="00082A47" w:rsidRPr="00787196" w:rsidRDefault="00220739" w:rsidP="00466EFC">
      <w:pPr>
        <w:rPr>
          <w:rFonts w:cs="Arial"/>
          <w:szCs w:val="24"/>
        </w:rPr>
      </w:pPr>
      <w:r w:rsidRPr="00787196">
        <w:rPr>
          <w:rFonts w:cs="Arial"/>
          <w:szCs w:val="24"/>
        </w:rPr>
        <w:t>Quality of life</w:t>
      </w:r>
      <w:r w:rsidR="003A0395" w:rsidRPr="00787196">
        <w:rPr>
          <w:rFonts w:cs="Arial"/>
          <w:szCs w:val="24"/>
        </w:rPr>
        <w:t xml:space="preserve"> (QoL) </w:t>
      </w:r>
      <w:r w:rsidRPr="00787196">
        <w:rPr>
          <w:rFonts w:cs="Arial"/>
          <w:szCs w:val="24"/>
        </w:rPr>
        <w:t xml:space="preserve">is a diverse concept that varies </w:t>
      </w:r>
      <w:r w:rsidR="003A0395" w:rsidRPr="00787196">
        <w:rPr>
          <w:rFonts w:cs="Arial"/>
          <w:szCs w:val="24"/>
        </w:rPr>
        <w:t>with societal</w:t>
      </w:r>
      <w:r w:rsidRPr="00787196">
        <w:rPr>
          <w:rFonts w:cs="Arial"/>
          <w:szCs w:val="24"/>
        </w:rPr>
        <w:t xml:space="preserve">, individual and theoretical aspects </w:t>
      </w:r>
      <w:r w:rsidRPr="00787196">
        <w:rPr>
          <w:rFonts w:cs="Arial"/>
          <w:szCs w:val="24"/>
        </w:rPr>
        <w:fldChar w:fldCharType="begin"/>
      </w:r>
      <w:r w:rsidR="00223957" w:rsidRPr="00787196">
        <w:rPr>
          <w:rFonts w:cs="Arial"/>
          <w:szCs w:val="24"/>
        </w:rPr>
        <w:instrText xml:space="preserve"> ADDIN EN.CITE &lt;EndNote&gt;&lt;Cite&gt;&lt;Author&gt;Felce&lt;/Author&gt;&lt;Year&gt;1995&lt;/Year&gt;&lt;RecNum&gt;0&lt;/RecNum&gt;&lt;IDText&gt;Quality of life: Its definition and measurement&lt;/IDText&gt;&lt;DisplayText&gt;(Felce and Perry, 1995)&lt;/DisplayText&gt;&lt;record&gt;&lt;dates&gt;&lt;pub-dates&gt;&lt;date&gt;1//&lt;/date&gt;&lt;/pub-dates&gt;&lt;year&gt;1995&lt;/year&gt;&lt;/dates&gt;&lt;urls&gt;&lt;related-urls&gt;&lt;url&gt;http://www.sciencedirect.com/science/article/pii/0891422294000288&lt;/url&gt;&lt;/related-urls&gt;&lt;/urls&gt;&lt;isbn&gt;0891-4222&lt;/isbn&gt;&lt;titles&gt;&lt;title&gt;Quality of life: Its definition and measurement&lt;/title&gt;&lt;secondary-title&gt;Research in Developmental Disabilities&lt;/secondary-title&gt;&lt;/titles&gt;&lt;pages&gt;51-74&lt;/pages&gt;&lt;number&gt;1&lt;/number&gt;&lt;access-date&gt;1995/2//&lt;/access-date&gt;&lt;contributors&gt;&lt;authors&gt;&lt;author&gt;Felce, David&lt;/author&gt;&lt;author&gt;Perry, Jonathan&lt;/author&gt;&lt;/authors&gt;&lt;/contributors&gt;&lt;added-date format="utc"&gt;1385267680&lt;/added-date&gt;&lt;ref-type name="Journal Article"&gt;17&lt;/ref-type&gt;&lt;rec-number&gt;1293&lt;/rec-number&gt;&lt;last-updated-date format="utc"&gt;1385713712&lt;/last-updated-date&gt;&lt;electronic-resource-num&gt;http://dx.doi.org/10.1016/0891-4222(94)00028-8&lt;/electronic-resource-num&gt;&lt;volume&gt;16&lt;/volume&gt;&lt;/record&gt;&lt;/Cite&gt;&lt;/EndNote&gt;</w:instrText>
      </w:r>
      <w:r w:rsidRPr="00787196">
        <w:rPr>
          <w:rFonts w:cs="Arial"/>
          <w:szCs w:val="24"/>
        </w:rPr>
        <w:fldChar w:fldCharType="separate"/>
      </w:r>
      <w:r w:rsidRPr="00787196">
        <w:rPr>
          <w:rFonts w:cs="Arial"/>
          <w:szCs w:val="24"/>
        </w:rPr>
        <w:t>(Felce and Perry, 1995)</w:t>
      </w:r>
      <w:r w:rsidRPr="00787196">
        <w:rPr>
          <w:rFonts w:cs="Arial"/>
          <w:szCs w:val="24"/>
        </w:rPr>
        <w:fldChar w:fldCharType="end"/>
      </w:r>
      <w:r w:rsidRPr="00787196">
        <w:rPr>
          <w:rFonts w:cs="Arial"/>
          <w:szCs w:val="24"/>
        </w:rPr>
        <w:t xml:space="preserve">. </w:t>
      </w:r>
      <w:r w:rsidR="003A0395" w:rsidRPr="00787196">
        <w:rPr>
          <w:rFonts w:cs="Arial"/>
          <w:szCs w:val="24"/>
        </w:rPr>
        <w:t>QoL</w:t>
      </w:r>
      <w:r w:rsidRPr="00787196">
        <w:rPr>
          <w:rFonts w:cs="Arial"/>
          <w:szCs w:val="24"/>
        </w:rPr>
        <w:t xml:space="preserve"> became a</w:t>
      </w:r>
      <w:r w:rsidR="003A0395" w:rsidRPr="00787196">
        <w:rPr>
          <w:rFonts w:cs="Arial"/>
          <w:szCs w:val="24"/>
        </w:rPr>
        <w:t xml:space="preserve"> widely discussed concept post second world war</w:t>
      </w:r>
      <w:r w:rsidRPr="00787196">
        <w:rPr>
          <w:rFonts w:cs="Arial"/>
          <w:szCs w:val="24"/>
        </w:rPr>
        <w:t xml:space="preserve"> due </w:t>
      </w:r>
      <w:r w:rsidR="005302DA" w:rsidRPr="00787196">
        <w:rPr>
          <w:rFonts w:cs="Arial"/>
          <w:szCs w:val="24"/>
        </w:rPr>
        <w:t xml:space="preserve">to considerable economic growth, </w:t>
      </w:r>
      <w:r w:rsidRPr="00787196">
        <w:rPr>
          <w:rFonts w:cs="Arial"/>
          <w:szCs w:val="24"/>
        </w:rPr>
        <w:t>increase</w:t>
      </w:r>
      <w:r w:rsidR="005302DA" w:rsidRPr="00787196">
        <w:rPr>
          <w:rFonts w:cs="Arial"/>
          <w:szCs w:val="24"/>
        </w:rPr>
        <w:t>d</w:t>
      </w:r>
      <w:r w:rsidRPr="00787196">
        <w:rPr>
          <w:rFonts w:cs="Arial"/>
          <w:szCs w:val="24"/>
        </w:rPr>
        <w:t xml:space="preserve"> people’s expectations, wellbeing and psychological fulfilment </w:t>
      </w:r>
      <w:r w:rsidRPr="00787196">
        <w:rPr>
          <w:rFonts w:cs="Arial"/>
          <w:szCs w:val="24"/>
        </w:rPr>
        <w:fldChar w:fldCharType="begin"/>
      </w:r>
      <w:r w:rsidRPr="00787196">
        <w:rPr>
          <w:rFonts w:cs="Arial"/>
          <w:szCs w:val="24"/>
        </w:rPr>
        <w:instrText xml:space="preserve"> ADDIN EN.CITE &lt;EndNote&gt;&lt;Cite&gt;&lt;Author&gt;Awad&lt;/Author&gt;&lt;Year&gt;2000&lt;/Year&gt;&lt;RecNum&gt;23&lt;/RecNum&gt;&lt;DisplayText&gt;(Awad and Voruganti, 2000)&lt;/DisplayText&gt;&lt;record&gt;&lt;rec-number&gt;23&lt;/rec-number&gt;&lt;foreign-keys&gt;&lt;key app="EN" db-id="pprx5af0eezz5resrauvszthwfd2xp5txea9"&gt;23&lt;/key&gt;&lt;/foreign-keys&gt;&lt;ref-type name="Journal Article"&gt;17&lt;/ref-type&gt;&lt;contributors&gt;&lt;authors&gt;&lt;author&gt;Awad, A. George&lt;/author&gt;&lt;author&gt;Voruganti, Lakshmi N. P.&lt;/author&gt;&lt;/authors&gt;&lt;/contributors&gt;&lt;titles&gt;&lt;title&gt;Intervention Research in Psychosis: Issues Related to the Assessment of Quality of Life&lt;/title&gt;&lt;secondary-title&gt;Schizophrenia Bulletin&lt;/secondary-title&gt;&lt;/titles&gt;&lt;periodical&gt;&lt;full-title&gt;Schizophrenia Bulletin&lt;/full-title&gt;&lt;/periodical&gt;&lt;pages&gt;557-564&lt;/pages&gt;&lt;volume&gt;26&lt;/volume&gt;&lt;number&gt;3&lt;/number&gt;&lt;dates&gt;&lt;year&gt;2000&lt;/year&gt;&lt;pub-dates&gt;&lt;date&gt;January 1, 2000&lt;/date&gt;&lt;/pub-dates&gt;&lt;/dates&gt;&lt;urls&gt;&lt;related-urls&gt;&lt;url&gt;http://schizophreniabulletin.oxfordjournals.org/content/26/3/557.abstract &lt;/url&gt;&lt;/related-urls&gt;&lt;/urls&gt;&lt;/record&gt;&lt;/Cite&gt;&lt;/EndNote&gt;</w:instrText>
      </w:r>
      <w:r w:rsidRPr="00787196">
        <w:rPr>
          <w:rFonts w:cs="Arial"/>
          <w:szCs w:val="24"/>
        </w:rPr>
        <w:fldChar w:fldCharType="separate"/>
      </w:r>
      <w:r w:rsidRPr="00787196">
        <w:rPr>
          <w:rFonts w:cs="Arial"/>
          <w:szCs w:val="24"/>
        </w:rPr>
        <w:t>(Awad and Voruganti, 2000)</w:t>
      </w:r>
      <w:r w:rsidRPr="00787196">
        <w:rPr>
          <w:rFonts w:cs="Arial"/>
          <w:szCs w:val="24"/>
        </w:rPr>
        <w:fldChar w:fldCharType="end"/>
      </w:r>
      <w:r w:rsidR="005302DA" w:rsidRPr="00787196">
        <w:rPr>
          <w:rFonts w:cs="Arial"/>
          <w:szCs w:val="24"/>
        </w:rPr>
        <w:t xml:space="preserve">. </w:t>
      </w:r>
      <w:r w:rsidR="00AD09C6" w:rsidRPr="00787196">
        <w:rPr>
          <w:rFonts w:cs="Arial"/>
          <w:szCs w:val="24"/>
        </w:rPr>
        <w:t>In relation to health, i</w:t>
      </w:r>
      <w:r w:rsidRPr="00787196">
        <w:rPr>
          <w:rFonts w:cs="Arial"/>
          <w:szCs w:val="24"/>
        </w:rPr>
        <w:t>t is</w:t>
      </w:r>
      <w:r w:rsidR="005302DA" w:rsidRPr="00787196">
        <w:rPr>
          <w:rFonts w:cs="Arial"/>
          <w:szCs w:val="24"/>
        </w:rPr>
        <w:t xml:space="preserve"> now</w:t>
      </w:r>
      <w:r w:rsidRPr="00787196">
        <w:rPr>
          <w:rFonts w:cs="Arial"/>
          <w:szCs w:val="24"/>
        </w:rPr>
        <w:t xml:space="preserve"> closely associated with the bio psychosocial model o</w:t>
      </w:r>
      <w:r w:rsidR="005302DA" w:rsidRPr="00787196">
        <w:rPr>
          <w:rFonts w:cs="Arial"/>
          <w:szCs w:val="24"/>
        </w:rPr>
        <w:t xml:space="preserve">f </w:t>
      </w:r>
      <w:r w:rsidR="00B27FF9" w:rsidRPr="00787196">
        <w:rPr>
          <w:rFonts w:cs="Arial"/>
          <w:szCs w:val="24"/>
        </w:rPr>
        <w:t xml:space="preserve">health </w:t>
      </w:r>
      <w:r w:rsidRPr="00787196">
        <w:rPr>
          <w:rFonts w:cs="Arial"/>
          <w:szCs w:val="24"/>
        </w:rPr>
        <w:fldChar w:fldCharType="begin"/>
      </w:r>
      <w:r w:rsidRPr="00787196">
        <w:rPr>
          <w:rFonts w:cs="Arial"/>
          <w:szCs w:val="24"/>
        </w:rPr>
        <w:instrText xml:space="preserve"> ADDIN EN.CITE &lt;EndNote&gt;&lt;Cite&gt;&lt;Author&gt;Awad&lt;/Author&gt;&lt;Year&gt;1997&lt;/Year&gt;&lt;RecNum&gt;24&lt;/RecNum&gt;&lt;DisplayText&gt;(Awad et al., 1997)&lt;/DisplayText&gt;&lt;record&gt;&lt;rec-number&gt;24&lt;/rec-number&gt;&lt;foreign-keys&gt;&lt;key app="EN" db-id="pprx5af0eezz5resrauvszthwfd2xp5txea9"&gt;24&lt;/key&gt;&lt;/foreign-keys&gt;&lt;ref-type name="Journal Article"&gt;17&lt;/ref-type&gt;&lt;contributors&gt;&lt;authors&gt;&lt;author&gt;Awad, A. George&lt;/author&gt;&lt;author&gt;Voruganti, Lakshmi N. P.&lt;/author&gt;&lt;author&gt;Heslegrave, Ronald J.&lt;/author&gt;&lt;/authors&gt;&lt;/contributors&gt;&lt;titles&gt;&lt;title&gt;Measuring Quality of Life in Patients with Schizophrenia&lt;/title&gt;&lt;secondary-title&gt;PharmacoEconomics&lt;/secondary-title&gt;&lt;/titles&gt;&lt;periodical&gt;&lt;full-title&gt;PharmacoEconomics&lt;/full-title&gt;&lt;/periodical&gt;&lt;pages&gt;32-47&lt;/pages&gt;&lt;volume&gt;11&lt;/volume&gt;&lt;number&gt;1&lt;/number&gt;&lt;keywords&gt;&lt;keyword&gt;00019053-199711010-00005&lt;/keyword&gt;&lt;/keywords&gt;&lt;dates&gt;&lt;year&gt;1997&lt;/year&gt;&lt;/dates&gt;&lt;isbn&gt;1170-7690&lt;/isbn&gt;&lt;urls&gt;&lt;related-urls&gt;&lt;url&gt;http://adisonline.com/pharmacoeconomics/Fulltext/1997/11010/Measuring_Quality_of_Life_in_Patients_with.5.aspx &lt;/url&gt;&lt;/related-urls&gt;&lt;/urls&gt;&lt;/record&gt;&lt;/Cite&gt;&lt;/EndNote&gt;</w:instrText>
      </w:r>
      <w:r w:rsidRPr="00787196">
        <w:rPr>
          <w:rFonts w:cs="Arial"/>
          <w:szCs w:val="24"/>
        </w:rPr>
        <w:fldChar w:fldCharType="separate"/>
      </w:r>
      <w:r w:rsidRPr="00787196">
        <w:rPr>
          <w:rFonts w:cs="Arial"/>
          <w:szCs w:val="24"/>
        </w:rPr>
        <w:t>(Awad et al., 1997)</w:t>
      </w:r>
      <w:r w:rsidRPr="00787196">
        <w:rPr>
          <w:rFonts w:cs="Arial"/>
          <w:szCs w:val="24"/>
        </w:rPr>
        <w:fldChar w:fldCharType="end"/>
      </w:r>
      <w:r w:rsidRPr="00787196">
        <w:rPr>
          <w:rFonts w:cs="Arial"/>
          <w:szCs w:val="24"/>
        </w:rPr>
        <w:t>.</w:t>
      </w:r>
      <w:r w:rsidR="00AD09C6" w:rsidRPr="00787196">
        <w:rPr>
          <w:rFonts w:cs="Arial"/>
          <w:szCs w:val="24"/>
        </w:rPr>
        <w:t xml:space="preserve"> However, there are aspects of life quality </w:t>
      </w:r>
      <w:r w:rsidR="001E4F1E" w:rsidRPr="00787196">
        <w:rPr>
          <w:rFonts w:cs="Arial"/>
          <w:szCs w:val="24"/>
        </w:rPr>
        <w:t xml:space="preserve">that are not directly related to health (e.g. having a good job, </w:t>
      </w:r>
      <w:r w:rsidR="00B27FF9" w:rsidRPr="00787196">
        <w:rPr>
          <w:rFonts w:cs="Arial"/>
          <w:szCs w:val="24"/>
        </w:rPr>
        <w:t>owning a house, family life)</w:t>
      </w:r>
      <w:r w:rsidR="001E4F1E" w:rsidRPr="00787196">
        <w:rPr>
          <w:rFonts w:cs="Arial"/>
          <w:szCs w:val="24"/>
        </w:rPr>
        <w:t xml:space="preserve"> and so medicine is mostly concerned with “health-related” quality of life.</w:t>
      </w:r>
    </w:p>
    <w:p w14:paraId="09118BBA" w14:textId="5C44FE05" w:rsidR="00220739" w:rsidRPr="00787196" w:rsidRDefault="00220739" w:rsidP="004314BA">
      <w:pPr>
        <w:rPr>
          <w:rFonts w:cs="Arial"/>
          <w:szCs w:val="24"/>
        </w:rPr>
      </w:pPr>
      <w:r w:rsidRPr="00787196">
        <w:rPr>
          <w:rFonts w:cs="Arial"/>
          <w:szCs w:val="24"/>
        </w:rPr>
        <w:t>Q</w:t>
      </w:r>
      <w:r w:rsidR="005302DA" w:rsidRPr="00787196">
        <w:rPr>
          <w:rFonts w:cs="Arial"/>
          <w:szCs w:val="24"/>
        </w:rPr>
        <w:t xml:space="preserve">oL </w:t>
      </w:r>
      <w:r w:rsidRPr="00787196">
        <w:rPr>
          <w:rFonts w:cs="Arial"/>
          <w:szCs w:val="24"/>
        </w:rPr>
        <w:t>means different things to different people</w:t>
      </w:r>
      <w:r w:rsidR="00082A47" w:rsidRPr="00787196">
        <w:rPr>
          <w:rFonts w:cs="Arial"/>
          <w:szCs w:val="24"/>
        </w:rPr>
        <w:t xml:space="preserve">. It </w:t>
      </w:r>
      <w:r w:rsidRPr="00787196">
        <w:rPr>
          <w:rFonts w:cs="Arial"/>
          <w:szCs w:val="24"/>
        </w:rPr>
        <w:t>is a multidimensional construct</w:t>
      </w:r>
      <w:r w:rsidR="00435552" w:rsidRPr="00787196">
        <w:rPr>
          <w:rFonts w:cs="Arial"/>
          <w:szCs w:val="24"/>
        </w:rPr>
        <w:t xml:space="preserve"> </w:t>
      </w:r>
      <w:r w:rsidRPr="00787196">
        <w:rPr>
          <w:rFonts w:cs="Arial"/>
          <w:szCs w:val="24"/>
        </w:rPr>
        <w:fldChar w:fldCharType="begin"/>
      </w:r>
      <w:r w:rsidR="00223957" w:rsidRPr="00787196">
        <w:rPr>
          <w:rFonts w:cs="Arial"/>
          <w:szCs w:val="24"/>
        </w:rPr>
        <w:instrText xml:space="preserve"> ADDIN EN.CITE &lt;EndNote&gt;&lt;Cite&gt;&lt;Author&gt;Bowling&lt;/Author&gt;&lt;Year&gt;2001&lt;/Year&gt;&lt;RecNum&gt;37&lt;/RecNum&gt;&lt;DisplayText&gt;(Bowling, 2001)&lt;/DisplayText&gt;&lt;record&gt;&lt;rec-number&gt;37&lt;/rec-number&gt;&lt;foreign-keys&gt;&lt;key app="EN" db-id="pprx5af0eezz5resrauvszthwfd2xp5txea9"&gt;37&lt;/key&gt;&lt;/foreign-keys&gt;&lt;ref-type name="Book"&gt;6&lt;/ref-type&gt;&lt;contributors&gt;&lt;authors&gt;&lt;author&gt;Ann Bowling&lt;/author&gt;&lt;/authors&gt;&lt;/contributors&gt;&lt;titles&gt;&lt;title&gt;Measuring Disease&lt;/title&gt;&lt;/titles&gt;&lt;dates&gt;&lt;year&gt;2001&lt;/year&gt;&lt;/dates&gt;&lt;pub-location&gt;Philadelphia&lt;/pub-location&gt;&lt;publisher&gt;Open University Press&lt;/publisher&gt;&lt;/record&gt;&lt;/Cite&gt;&lt;/EndNote&gt;</w:instrText>
      </w:r>
      <w:r w:rsidRPr="00787196">
        <w:rPr>
          <w:rFonts w:cs="Arial"/>
          <w:szCs w:val="24"/>
        </w:rPr>
        <w:fldChar w:fldCharType="separate"/>
      </w:r>
      <w:r w:rsidRPr="00787196">
        <w:rPr>
          <w:rFonts w:cs="Arial"/>
          <w:szCs w:val="24"/>
        </w:rPr>
        <w:t>(Bowling, 2001)</w:t>
      </w:r>
      <w:r w:rsidRPr="00787196">
        <w:rPr>
          <w:rFonts w:cs="Arial"/>
          <w:szCs w:val="24"/>
        </w:rPr>
        <w:fldChar w:fldCharType="end"/>
      </w:r>
      <w:r w:rsidRPr="00787196">
        <w:rPr>
          <w:rFonts w:cs="Arial"/>
          <w:szCs w:val="24"/>
        </w:rPr>
        <w:t xml:space="preserve">. QoL </w:t>
      </w:r>
      <w:r w:rsidR="001E4F1E" w:rsidRPr="00787196">
        <w:rPr>
          <w:rFonts w:cs="Arial"/>
          <w:szCs w:val="24"/>
        </w:rPr>
        <w:t>can be</w:t>
      </w:r>
      <w:r w:rsidR="00604EA8" w:rsidRPr="00787196">
        <w:rPr>
          <w:rFonts w:cs="Arial"/>
          <w:szCs w:val="24"/>
        </w:rPr>
        <w:t xml:space="preserve"> seen </w:t>
      </w:r>
      <w:r w:rsidRPr="00787196">
        <w:rPr>
          <w:rFonts w:cs="Arial"/>
          <w:szCs w:val="24"/>
        </w:rPr>
        <w:t xml:space="preserve">as a fulfilment of need </w:t>
      </w:r>
      <w:r w:rsidRPr="00787196">
        <w:rPr>
          <w:rFonts w:cs="Arial"/>
          <w:szCs w:val="24"/>
        </w:rPr>
        <w:fldChar w:fldCharType="begin"/>
      </w:r>
      <w:r w:rsidRPr="00787196">
        <w:rPr>
          <w:rFonts w:cs="Arial"/>
          <w:szCs w:val="24"/>
        </w:rPr>
        <w:instrText xml:space="preserve"> ADDIN EN.CITE &lt;EndNote&gt;&lt;Cite&gt;&lt;Author&gt;Hornquist&lt;/Author&gt;&lt;Year&gt;1990&lt;/Year&gt;&lt;RecNum&gt;27&lt;/RecNum&gt;&lt;DisplayText&gt;(Hornquist, 1990)&lt;/DisplayText&gt;&lt;record&gt;&lt;rec-number&gt;27&lt;/rec-number&gt;&lt;foreign-keys&gt;&lt;key app="EN" db-id="pprx5af0eezz5resrauvszthwfd2xp5txea9"&gt;27&lt;/key&gt;&lt;/foreign-keys&gt;&lt;ref-type name="Journal Article"&gt;17&lt;/ref-type&gt;&lt;contributors&gt;&lt;authors&gt;&lt;author&gt;Hornquist, Jan Olof&lt;/author&gt;&lt;/authors&gt;&lt;/contributors&gt;&lt;titles&gt;&lt;title&gt;Quality of Life&lt;/title&gt;&lt;secondary-title&gt;Scandinavian Journal of Public Health&lt;/secondary-title&gt;&lt;/titles&gt;&lt;periodical&gt;&lt;full-title&gt;Scandinavian Journal of Public Health&lt;/full-title&gt;&lt;/periodical&gt;&lt;pages&gt;69-79&lt;/pages&gt;&lt;volume&gt;18&lt;/volume&gt;&lt;number&gt;1&lt;/number&gt;&lt;dates&gt;&lt;year&gt;1990&lt;/year&gt;&lt;pub-dates&gt;&lt;date&gt;March 1, 1990&lt;/date&gt;&lt;/pub-dates&gt;&lt;/dates&gt;&lt;urls&gt;&lt;related-urls&gt;&lt;url&gt;http://sjp.sagepub.com/content/18/1/69.abstract &lt;/url&gt;&lt;/related-urls&gt;&lt;/urls&gt;&lt;electronic-resource-num&gt;10.1177/140349489001800111&lt;/electronic-resource-num&gt;&lt;/record&gt;&lt;/Cite&gt;&lt;/EndNote&gt;</w:instrText>
      </w:r>
      <w:r w:rsidRPr="00787196">
        <w:rPr>
          <w:rFonts w:cs="Arial"/>
          <w:szCs w:val="24"/>
        </w:rPr>
        <w:fldChar w:fldCharType="separate"/>
      </w:r>
      <w:r w:rsidRPr="00787196">
        <w:rPr>
          <w:rFonts w:cs="Arial"/>
          <w:szCs w:val="24"/>
        </w:rPr>
        <w:t>(Hornquist, 1990)</w:t>
      </w:r>
      <w:r w:rsidRPr="00787196">
        <w:rPr>
          <w:rFonts w:cs="Arial"/>
          <w:szCs w:val="24"/>
        </w:rPr>
        <w:fldChar w:fldCharType="end"/>
      </w:r>
      <w:r w:rsidRPr="00787196">
        <w:rPr>
          <w:rFonts w:cs="Arial"/>
          <w:szCs w:val="24"/>
        </w:rPr>
        <w:t xml:space="preserve">, personal satisfaction </w:t>
      </w:r>
      <w:r w:rsidRPr="00787196">
        <w:rPr>
          <w:rFonts w:cs="Arial"/>
          <w:szCs w:val="24"/>
        </w:rPr>
        <w:fldChar w:fldCharType="begin"/>
      </w:r>
      <w:r w:rsidR="00223957" w:rsidRPr="00787196">
        <w:rPr>
          <w:rFonts w:cs="Arial"/>
          <w:szCs w:val="24"/>
        </w:rPr>
        <w:instrText xml:space="preserve"> ADDIN EN.CITE &lt;EndNote&gt;&lt;Cite&gt;&lt;Author&gt;Campbell&lt;/Author&gt;&lt;Year&gt;1976&lt;/Year&gt;&lt;RecNum&gt;28&lt;/RecNum&gt;&lt;DisplayText&gt;(Campbell et al., 1976, Emerson, 1985)&lt;/DisplayText&gt;&lt;record&gt;&lt;rec-number&gt;28&lt;/rec-number&gt;&lt;foreign-keys&gt;&lt;key app="EN" db-id="pprx5af0eezz5resrauvszthwfd2xp5txea9"&gt;28&lt;/key&gt;&lt;/foreign-keys&gt;&lt;ref-type name="Book"&gt;6&lt;/ref-type&gt;&lt;contributors&gt;&lt;authors&gt;&lt;author&gt;Angus Campbell&lt;/author&gt;&lt;author&gt;Philip E. Converse&lt;/author&gt;&lt;author&gt;Willard L. Rodgers&lt;/author&gt;&lt;/authors&gt;&lt;/contributors&gt;&lt;titles&gt;&lt;title&gt;The Quality of American Life&lt;/title&gt;&lt;/titles&gt;&lt;dates&gt;&lt;year&gt;1976&lt;/year&gt;&lt;/dates&gt;&lt;pub-location&gt;New York&lt;/pub-location&gt;&lt;publisher&gt;Russell Sage&lt;/publisher&gt;&lt;/record&gt;&lt;/Cite&gt;&lt;Cite&gt;&lt;Author&gt;Emerson&lt;/Author&gt;&lt;Year&gt;1985&lt;/Year&gt;&lt;RecNum&gt;0&lt;/RecNum&gt;&lt;IDText&gt;Evaluating the impact of deinstitutionalization on the lives of mentally retarded people&lt;/IDText&gt;&lt;record&gt;&lt;isbn&gt;0002-9351&lt;/isbn&gt;&lt;titles&gt;&lt;title&gt;Evaluating the impact of deinstitutionalization on the lives of mentally retarded people&lt;/title&gt;&lt;secondary-title&gt;American Journal of Mental Deficiency&lt;/secondary-title&gt;&lt;/titles&gt;&lt;contributors&gt;&lt;authors&gt;&lt;author&gt;Emerson, Eric B.&lt;/author&gt;&lt;/authors&gt;&lt;/contributors&gt;&lt;added-date format="utc"&gt;1385275088&lt;/added-date&gt;&lt;ref-type name="Journal Article"&gt;17&lt;/ref-type&gt;&lt;dates&gt;&lt;year&gt;1985&lt;/year&gt;&lt;/dates&gt;&lt;rec-number&gt;1297&lt;/rec-number&gt;&lt;publisher&gt;American Assn on Mental Retardation&lt;/publisher&gt;&lt;last-updated-date format="utc"&gt;1385713712&lt;/last-updated-date&gt;&lt;/record&gt;&lt;/Cite&gt;&lt;/EndNote&gt;</w:instrText>
      </w:r>
      <w:r w:rsidRPr="00787196">
        <w:rPr>
          <w:rFonts w:cs="Arial"/>
          <w:szCs w:val="24"/>
        </w:rPr>
        <w:fldChar w:fldCharType="separate"/>
      </w:r>
      <w:r w:rsidR="00805E82" w:rsidRPr="00787196">
        <w:rPr>
          <w:rFonts w:cs="Arial"/>
          <w:szCs w:val="24"/>
        </w:rPr>
        <w:t>(Campbell et al., 1976, Emerson, 1985)</w:t>
      </w:r>
      <w:r w:rsidRPr="00787196">
        <w:rPr>
          <w:rFonts w:cs="Arial"/>
          <w:szCs w:val="24"/>
        </w:rPr>
        <w:fldChar w:fldCharType="end"/>
      </w:r>
      <w:r w:rsidRPr="00787196">
        <w:rPr>
          <w:rFonts w:cs="Arial"/>
          <w:szCs w:val="24"/>
        </w:rPr>
        <w:t xml:space="preserve"> while others describe it </w:t>
      </w:r>
      <w:r w:rsidR="00604EA8" w:rsidRPr="00787196">
        <w:rPr>
          <w:rFonts w:cs="Arial"/>
          <w:szCs w:val="24"/>
        </w:rPr>
        <w:t>as a</w:t>
      </w:r>
      <w:r w:rsidRPr="00787196">
        <w:rPr>
          <w:rFonts w:cs="Arial"/>
          <w:szCs w:val="24"/>
        </w:rPr>
        <w:t xml:space="preserve"> fulfilment of life plan and overall wellbeing </w:t>
      </w:r>
      <w:r w:rsidRPr="00787196">
        <w:rPr>
          <w:rFonts w:cs="Arial"/>
          <w:szCs w:val="24"/>
        </w:rPr>
        <w:fldChar w:fldCharType="begin"/>
      </w:r>
      <w:r w:rsidR="00223957" w:rsidRPr="00787196">
        <w:rPr>
          <w:rFonts w:cs="Arial"/>
          <w:szCs w:val="24"/>
        </w:rPr>
        <w:instrText xml:space="preserve"> ADDIN EN.CITE &lt;EndNote&gt;&lt;Cite&gt;&lt;Author&gt;Goodinson&lt;/Author&gt;&lt;Year&gt;1989&lt;/Year&gt;&lt;RecNum&gt;29&lt;/RecNum&gt;&lt;DisplayText&gt;(Goodinson and Singleton, 1989, Felce and Perry, 1995)&lt;/DisplayText&gt;&lt;record&gt;&lt;rec-number&gt;29&lt;/rec-number&gt;&lt;foreign-keys&gt;&lt;key app="EN" db-id="pprx5af0eezz5resrauvszthwfd2xp5txea9"&gt;29&lt;/key&gt;&lt;/foreign-keys&gt;&lt;ref-type name="Journal Article"&gt;17&lt;/ref-type&gt;&lt;contributors&gt;&lt;authors&gt;&lt;author&gt;Goodinson, Susan M.&lt;/author&gt;&lt;author&gt;Singleton, Jane&lt;/author&gt;&lt;/authors&gt;&lt;/contributors&gt;&lt;titles&gt;&lt;title&gt;Quality of life: a critical review of current concepts, measures and their clinical implications&lt;/title&gt;&lt;secondary-title&gt;International Journal of Nursing Studies&lt;/secondary-title&gt;&lt;/titles&gt;&lt;periodical&gt;&lt;full-title&gt;International Journal of Nursing Studies&lt;/full-title&gt;&lt;/periodical&gt;&lt;pages&gt;327-341&lt;/pages&gt;&lt;volume&gt;26&lt;/volume&gt;&lt;number&gt;4&lt;/number&gt;&lt;dates&gt;&lt;year&gt;1989&lt;/year&gt;&lt;/dates&gt;&lt;urls&gt;&lt;related-urls&gt;&lt;url&gt;http://www.sciencedirect.com/science/article/pii/0020748989900199 &lt;/url&gt;&lt;/related-urls&gt;&lt;/urls&gt;&lt;/record&gt;&lt;/Cite&gt;&lt;Cite&gt;&lt;Author&gt;Felce&lt;/Author&gt;&lt;Year&gt;1995&lt;/Year&gt;&lt;RecNum&gt;0&lt;/RecNum&gt;&lt;IDText&gt;Quality of life: Its definition and measurement&lt;/IDText&gt;&lt;record&gt;&lt;dates&gt;&lt;pub-dates&gt;&lt;date&gt;1//&lt;/date&gt;&lt;/pub-dates&gt;&lt;year&gt;1995&lt;/year&gt;&lt;/dates&gt;&lt;urls&gt;&lt;related-urls&gt;&lt;url&gt;http://www.sciencedirect.com/science/article/pii/0891422294000288&lt;/url&gt;&lt;/related-urls&gt;&lt;/urls&gt;&lt;isbn&gt;0891-4222&lt;/isbn&gt;&lt;titles&gt;&lt;title&gt;Quality of life: Its definition and measurement&lt;/title&gt;&lt;secondary-title&gt;Research in Developmental Disabilities&lt;/secondary-title&gt;&lt;/titles&gt;&lt;pages&gt;51-74&lt;/pages&gt;&lt;number&gt;1&lt;/number&gt;&lt;access-date&gt;1995/2//&lt;/access-date&gt;&lt;contributors&gt;&lt;authors&gt;&lt;author&gt;Felce, David&lt;/author&gt;&lt;author&gt;Perry, Jonathan&lt;/author&gt;&lt;/authors&gt;&lt;/contributors&gt;&lt;added-date format="utc"&gt;1385267680&lt;/added-date&gt;&lt;ref-type name="Journal Article"&gt;17&lt;/ref-type&gt;&lt;rec-number&gt;1293&lt;/rec-number&gt;&lt;last-updated-date format="utc"&gt;1385713712&lt;/last-updated-date&gt;&lt;electronic-resource-num&gt;http://dx.doi.org/10.1016/0891-4222(94)00028-8&lt;/electronic-resource-num&gt;&lt;volume&gt;16&lt;/volume&gt;&lt;/record&gt;&lt;/Cite&gt;&lt;/EndNote&gt;</w:instrText>
      </w:r>
      <w:r w:rsidRPr="00787196">
        <w:rPr>
          <w:rFonts w:cs="Arial"/>
          <w:szCs w:val="24"/>
        </w:rPr>
        <w:fldChar w:fldCharType="separate"/>
      </w:r>
      <w:r w:rsidRPr="00787196">
        <w:rPr>
          <w:rFonts w:cs="Arial"/>
          <w:szCs w:val="24"/>
        </w:rPr>
        <w:t>(Goodinson and Singleton, 1989, Felce and Perry, 1995)</w:t>
      </w:r>
      <w:r w:rsidRPr="00787196">
        <w:rPr>
          <w:rFonts w:cs="Arial"/>
          <w:szCs w:val="24"/>
        </w:rPr>
        <w:fldChar w:fldCharType="end"/>
      </w:r>
      <w:r w:rsidRPr="00787196">
        <w:rPr>
          <w:rFonts w:cs="Arial"/>
          <w:szCs w:val="24"/>
        </w:rPr>
        <w:t>.</w:t>
      </w:r>
    </w:p>
    <w:p w14:paraId="0621DB67" w14:textId="28ED2EDF" w:rsidR="00B27FF9" w:rsidRPr="00787196" w:rsidRDefault="00220739" w:rsidP="004C3A25">
      <w:pPr>
        <w:rPr>
          <w:rFonts w:cs="Arial"/>
          <w:szCs w:val="24"/>
        </w:rPr>
      </w:pPr>
      <w:r w:rsidRPr="00787196">
        <w:rPr>
          <w:rFonts w:cs="Arial"/>
          <w:szCs w:val="24"/>
        </w:rPr>
        <w:t xml:space="preserve">The World Health Organization </w:t>
      </w:r>
      <w:r w:rsidRPr="00787196">
        <w:rPr>
          <w:rFonts w:cs="Arial"/>
          <w:szCs w:val="24"/>
        </w:rPr>
        <w:fldChar w:fldCharType="begin"/>
      </w:r>
      <w:r w:rsidR="00223957" w:rsidRPr="00787196">
        <w:rPr>
          <w:rFonts w:cs="Arial"/>
          <w:szCs w:val="24"/>
        </w:rPr>
        <w:instrText xml:space="preserve"> ADDIN EN.CITE &lt;EndNote&gt;&lt;Cite ExcludeAuth="1"&gt;&lt;Author&gt;World Health Organisation&lt;/Author&gt;&lt;Year&gt;1995&lt;/Year&gt;&lt;RecNum&gt;0&lt;/RecNum&gt;&lt;IDText&gt;The World Health Organization quality of life assessment (WHOQOL): Position paper from the World Health Organization&lt;/IDText&gt;&lt;DisplayText&gt;(1995)&lt;/DisplayText&gt;&lt;record&gt;&lt;dates&gt;&lt;pub-dates&gt;&lt;date&gt;11//&lt;/date&gt;&lt;/pub-dates&gt;&lt;year&gt;1995&lt;/year&gt;&lt;/dates&gt;&lt;keywords&gt;&lt;keyword&gt;quality of life assessment&lt;/keyword&gt;&lt;/keywords&gt;&lt;urls&gt;&lt;related-urls&gt;&lt;url&gt;http://www.sciencedirect.com/science/article/pii/027795369500112K&lt;/url&gt;&lt;/related-urls&gt;&lt;/urls&gt;&lt;isbn&gt;0277-9536&lt;/isbn&gt;&lt;titles&gt;&lt;title&gt;The World Health Organization quality of life assessment (WHOQOL): Position paper from the World Health Organization&lt;/title&gt;&lt;secondary-title&gt;Social Science &amp;amp;amp; Medicine&lt;/secondary-title&gt;&lt;/titles&gt;&lt;pages&gt;1403-1409&lt;/pages&gt;&lt;number&gt;10&lt;/number&gt;&lt;contributors&gt;&lt;authors&gt;&lt;author&gt;World Health Organisation,&lt;/author&gt;&lt;/authors&gt;&lt;/contributors&gt;&lt;added-date format="utc"&gt;1385543103&lt;/added-date&gt;&lt;ref-type name="Journal Article"&gt;17&lt;/ref-type&gt;&lt;rec-number&gt;1299&lt;/rec-number&gt;&lt;last-updated-date format="utc"&gt;1385713712&lt;/last-updated-date&gt;&lt;electronic-resource-num&gt;http://dx.doi.org/10.1016/0277-9536(95)00112-K&lt;/electronic-resource-num&gt;&lt;volume&gt;41&lt;/volume&gt;&lt;/record&gt;&lt;/Cite&gt;&lt;/EndNote&gt;</w:instrText>
      </w:r>
      <w:r w:rsidRPr="00787196">
        <w:rPr>
          <w:rFonts w:cs="Arial"/>
          <w:szCs w:val="24"/>
        </w:rPr>
        <w:fldChar w:fldCharType="separate"/>
      </w:r>
      <w:r w:rsidRPr="00787196">
        <w:rPr>
          <w:rFonts w:cs="Arial"/>
          <w:szCs w:val="24"/>
        </w:rPr>
        <w:t>(1995)</w:t>
      </w:r>
      <w:r w:rsidRPr="00787196">
        <w:rPr>
          <w:rFonts w:cs="Arial"/>
          <w:szCs w:val="24"/>
        </w:rPr>
        <w:fldChar w:fldCharType="end"/>
      </w:r>
      <w:r w:rsidRPr="00787196">
        <w:rPr>
          <w:rFonts w:cs="Arial"/>
          <w:szCs w:val="24"/>
        </w:rPr>
        <w:t xml:space="preserve"> defined quality of life as an </w:t>
      </w:r>
      <w:r w:rsidRPr="00787196">
        <w:rPr>
          <w:rFonts w:cs="Arial"/>
          <w:i/>
          <w:iCs/>
          <w:szCs w:val="24"/>
        </w:rPr>
        <w:t>“ individual’s perception of their position in life in the context of the culture and value systems in which they live and in relation to their goals, expectations, standards and concerns”</w:t>
      </w:r>
      <w:r w:rsidRPr="00787196">
        <w:rPr>
          <w:rFonts w:cs="Arial"/>
          <w:szCs w:val="24"/>
        </w:rPr>
        <w:t xml:space="preserve"> </w:t>
      </w:r>
      <w:r w:rsidRPr="00787196">
        <w:rPr>
          <w:rFonts w:cs="Arial"/>
          <w:i/>
          <w:iCs/>
          <w:szCs w:val="24"/>
        </w:rPr>
        <w:t>(p.1405)</w:t>
      </w:r>
      <w:r w:rsidR="00B27FF9" w:rsidRPr="00787196">
        <w:rPr>
          <w:rFonts w:cs="Arial"/>
          <w:szCs w:val="24"/>
        </w:rPr>
        <w:t xml:space="preserve">. </w:t>
      </w:r>
      <w:r w:rsidRPr="00787196">
        <w:rPr>
          <w:rFonts w:cs="Arial"/>
          <w:szCs w:val="24"/>
        </w:rPr>
        <w:t xml:space="preserve">This definition also describes QoL as a multidimensional concept </w:t>
      </w:r>
      <w:r w:rsidR="001F4F88" w:rsidRPr="00787196">
        <w:rPr>
          <w:rFonts w:cs="Arial"/>
          <w:szCs w:val="24"/>
        </w:rPr>
        <w:t xml:space="preserve">comprising various aspects </w:t>
      </w:r>
      <w:r w:rsidRPr="00787196">
        <w:rPr>
          <w:rFonts w:cs="Arial"/>
          <w:szCs w:val="24"/>
        </w:rPr>
        <w:t xml:space="preserve">and highlights that quality of life </w:t>
      </w:r>
      <w:r w:rsidR="001F4F88" w:rsidRPr="00787196">
        <w:rPr>
          <w:rFonts w:cs="Arial"/>
          <w:szCs w:val="24"/>
        </w:rPr>
        <w:t xml:space="preserve">as a </w:t>
      </w:r>
      <w:r w:rsidRPr="00787196">
        <w:rPr>
          <w:rFonts w:cs="Arial"/>
          <w:szCs w:val="24"/>
        </w:rPr>
        <w:t>subjective</w:t>
      </w:r>
      <w:r w:rsidR="001F4F88" w:rsidRPr="00787196">
        <w:rPr>
          <w:rFonts w:cs="Arial"/>
          <w:szCs w:val="24"/>
        </w:rPr>
        <w:t xml:space="preserve"> perception</w:t>
      </w:r>
      <w:r w:rsidRPr="00787196">
        <w:rPr>
          <w:rFonts w:cs="Arial"/>
          <w:szCs w:val="24"/>
        </w:rPr>
        <w:t>.</w:t>
      </w:r>
    </w:p>
    <w:p w14:paraId="49224414" w14:textId="2C7B2ED2" w:rsidR="00434C0C" w:rsidRPr="00787196" w:rsidRDefault="00220739" w:rsidP="00E92F0E">
      <w:pPr>
        <w:rPr>
          <w:rFonts w:cs="Arial"/>
          <w:szCs w:val="24"/>
        </w:rPr>
      </w:pPr>
      <w:r w:rsidRPr="00787196">
        <w:rPr>
          <w:rFonts w:cs="Arial"/>
          <w:szCs w:val="24"/>
        </w:rPr>
        <w:t xml:space="preserve">With various </w:t>
      </w:r>
      <w:r w:rsidR="001F4F88" w:rsidRPr="00787196">
        <w:rPr>
          <w:rFonts w:cs="Arial"/>
          <w:szCs w:val="24"/>
        </w:rPr>
        <w:t>interpretations and definitions,</w:t>
      </w:r>
      <w:r w:rsidR="001E4F1E" w:rsidRPr="00787196">
        <w:rPr>
          <w:rFonts w:cs="Arial"/>
          <w:szCs w:val="24"/>
        </w:rPr>
        <w:t xml:space="preserve"> the</w:t>
      </w:r>
      <w:r w:rsidR="001F4F88" w:rsidRPr="00787196">
        <w:rPr>
          <w:rFonts w:cs="Arial"/>
          <w:szCs w:val="24"/>
        </w:rPr>
        <w:t xml:space="preserve"> concept of </w:t>
      </w:r>
      <w:r w:rsidRPr="00787196">
        <w:rPr>
          <w:rFonts w:cs="Arial"/>
          <w:szCs w:val="24"/>
        </w:rPr>
        <w:t xml:space="preserve">QoL </w:t>
      </w:r>
      <w:r w:rsidR="001F4F88" w:rsidRPr="00787196">
        <w:rPr>
          <w:rFonts w:cs="Arial"/>
          <w:szCs w:val="24"/>
        </w:rPr>
        <w:t>is better understood than in the past b</w:t>
      </w:r>
      <w:r w:rsidRPr="00787196">
        <w:rPr>
          <w:rFonts w:cs="Arial"/>
          <w:szCs w:val="24"/>
        </w:rPr>
        <w:t xml:space="preserve">ut still remains </w:t>
      </w:r>
      <w:r w:rsidR="001E4F1E" w:rsidRPr="00787196">
        <w:rPr>
          <w:rFonts w:cs="Arial"/>
          <w:szCs w:val="24"/>
        </w:rPr>
        <w:t xml:space="preserve">elusive and </w:t>
      </w:r>
      <w:r w:rsidRPr="00787196">
        <w:rPr>
          <w:rFonts w:cs="Arial"/>
          <w:szCs w:val="24"/>
        </w:rPr>
        <w:t>hard to interpret. There is no single universally</w:t>
      </w:r>
      <w:r w:rsidR="00434C0C" w:rsidRPr="00787196">
        <w:rPr>
          <w:rFonts w:cs="Arial"/>
          <w:szCs w:val="24"/>
        </w:rPr>
        <w:t xml:space="preserve"> accepted definition. It remains</w:t>
      </w:r>
      <w:r w:rsidRPr="00787196">
        <w:rPr>
          <w:rFonts w:cs="Arial"/>
          <w:szCs w:val="24"/>
        </w:rPr>
        <w:t xml:space="preserve"> a person</w:t>
      </w:r>
      <w:r w:rsidR="00CD1BEE" w:rsidRPr="00787196">
        <w:rPr>
          <w:rFonts w:cs="Arial"/>
          <w:szCs w:val="24"/>
        </w:rPr>
        <w:t>-</w:t>
      </w:r>
      <w:r w:rsidRPr="00787196">
        <w:rPr>
          <w:rFonts w:cs="Arial"/>
          <w:szCs w:val="24"/>
        </w:rPr>
        <w:t xml:space="preserve">centred </w:t>
      </w:r>
      <w:r w:rsidRPr="00787196">
        <w:rPr>
          <w:rFonts w:cs="Arial"/>
          <w:szCs w:val="24"/>
        </w:rPr>
        <w:lastRenderedPageBreak/>
        <w:t>multidimensional concep</w:t>
      </w:r>
      <w:r w:rsidR="00434C0C" w:rsidRPr="00787196">
        <w:rPr>
          <w:rFonts w:cs="Arial"/>
          <w:szCs w:val="24"/>
        </w:rPr>
        <w:t>t comprising a range of factor</w:t>
      </w:r>
      <w:r w:rsidR="00CD1BEE" w:rsidRPr="00787196">
        <w:rPr>
          <w:rFonts w:cs="Arial"/>
          <w:szCs w:val="24"/>
        </w:rPr>
        <w:t>s</w:t>
      </w:r>
      <w:r w:rsidR="00434C0C" w:rsidRPr="00787196">
        <w:rPr>
          <w:rFonts w:cs="Arial"/>
          <w:szCs w:val="24"/>
        </w:rPr>
        <w:t xml:space="preserve"> </w:t>
      </w:r>
      <w:r w:rsidR="00CD1BEE" w:rsidRPr="00787196">
        <w:rPr>
          <w:rFonts w:cs="Arial"/>
          <w:szCs w:val="24"/>
        </w:rPr>
        <w:t xml:space="preserve">not just those associated </w:t>
      </w:r>
      <w:r w:rsidR="004314BA" w:rsidRPr="00787196">
        <w:rPr>
          <w:rFonts w:cs="Arial"/>
          <w:szCs w:val="24"/>
        </w:rPr>
        <w:t>with health</w:t>
      </w:r>
      <w:r w:rsidRPr="00787196">
        <w:rPr>
          <w:rFonts w:cs="Arial"/>
          <w:szCs w:val="24"/>
        </w:rPr>
        <w:t xml:space="preserve"> </w:t>
      </w:r>
      <w:r w:rsidR="00CD1BEE" w:rsidRPr="00787196">
        <w:rPr>
          <w:rFonts w:cs="Arial"/>
          <w:szCs w:val="24"/>
        </w:rPr>
        <w:t>but also</w:t>
      </w:r>
      <w:r w:rsidRPr="00787196">
        <w:rPr>
          <w:rFonts w:cs="Arial"/>
          <w:szCs w:val="24"/>
        </w:rPr>
        <w:t xml:space="preserve"> factors </w:t>
      </w:r>
      <w:r w:rsidR="00434C0C" w:rsidRPr="00787196">
        <w:rPr>
          <w:rFonts w:cs="Arial"/>
          <w:szCs w:val="24"/>
        </w:rPr>
        <w:t>such as</w:t>
      </w:r>
      <w:r w:rsidR="00CD1BEE" w:rsidRPr="00787196">
        <w:rPr>
          <w:rFonts w:cs="Arial"/>
          <w:szCs w:val="24"/>
        </w:rPr>
        <w:t xml:space="preserve"> social,</w:t>
      </w:r>
      <w:r w:rsidR="00434C0C" w:rsidRPr="00787196">
        <w:rPr>
          <w:rFonts w:cs="Arial"/>
          <w:szCs w:val="24"/>
        </w:rPr>
        <w:t xml:space="preserve"> </w:t>
      </w:r>
      <w:r w:rsidRPr="00787196">
        <w:rPr>
          <w:rFonts w:cs="Arial"/>
          <w:szCs w:val="24"/>
        </w:rPr>
        <w:t>p</w:t>
      </w:r>
      <w:r w:rsidR="00E92F0E" w:rsidRPr="00787196">
        <w:rPr>
          <w:rFonts w:cs="Arial"/>
          <w:szCs w:val="24"/>
        </w:rPr>
        <w:t>olitical</w:t>
      </w:r>
      <w:r w:rsidR="00CD1BEE" w:rsidRPr="00787196">
        <w:rPr>
          <w:rFonts w:cs="Arial"/>
          <w:szCs w:val="24"/>
        </w:rPr>
        <w:t xml:space="preserve"> </w:t>
      </w:r>
      <w:r w:rsidR="004314BA" w:rsidRPr="00787196">
        <w:rPr>
          <w:rFonts w:cs="Arial"/>
          <w:szCs w:val="24"/>
        </w:rPr>
        <w:t>and cultural</w:t>
      </w:r>
      <w:r w:rsidR="00E92F0E" w:rsidRPr="00787196">
        <w:rPr>
          <w:rFonts w:cs="Arial"/>
          <w:szCs w:val="24"/>
        </w:rPr>
        <w:t>.</w:t>
      </w:r>
    </w:p>
    <w:p w14:paraId="429A91E7" w14:textId="71EE89AE" w:rsidR="00220739" w:rsidRPr="00787196" w:rsidRDefault="00434C0C" w:rsidP="00466EFC">
      <w:pPr>
        <w:rPr>
          <w:rFonts w:cs="Arial"/>
          <w:szCs w:val="24"/>
        </w:rPr>
      </w:pPr>
      <w:r w:rsidRPr="00787196">
        <w:rPr>
          <w:rFonts w:cs="Arial"/>
          <w:szCs w:val="24"/>
        </w:rPr>
        <w:t xml:space="preserve">With </w:t>
      </w:r>
      <w:r w:rsidR="00A377D4" w:rsidRPr="00787196">
        <w:rPr>
          <w:rFonts w:cs="Arial"/>
          <w:szCs w:val="24"/>
        </w:rPr>
        <w:t>overall</w:t>
      </w:r>
      <w:r w:rsidR="00220739" w:rsidRPr="00787196">
        <w:rPr>
          <w:rFonts w:cs="Arial"/>
          <w:szCs w:val="24"/>
        </w:rPr>
        <w:t xml:space="preserve"> improvements in health</w:t>
      </w:r>
      <w:r w:rsidRPr="00787196">
        <w:rPr>
          <w:rFonts w:cs="Arial"/>
          <w:szCs w:val="24"/>
        </w:rPr>
        <w:t xml:space="preserve"> and</w:t>
      </w:r>
      <w:r w:rsidR="00220739" w:rsidRPr="00787196">
        <w:rPr>
          <w:rFonts w:cs="Arial"/>
          <w:szCs w:val="24"/>
        </w:rPr>
        <w:t xml:space="preserve"> increased life expectancy, the focus </w:t>
      </w:r>
      <w:r w:rsidR="00A377D4" w:rsidRPr="00787196">
        <w:rPr>
          <w:rFonts w:cs="Arial"/>
          <w:szCs w:val="24"/>
        </w:rPr>
        <w:t>has shifted</w:t>
      </w:r>
      <w:r w:rsidR="00220739" w:rsidRPr="00787196">
        <w:rPr>
          <w:rFonts w:cs="Arial"/>
          <w:szCs w:val="24"/>
        </w:rPr>
        <w:t xml:space="preserve"> towards improving</w:t>
      </w:r>
      <w:r w:rsidR="001E4F1E" w:rsidRPr="00787196">
        <w:rPr>
          <w:rFonts w:cs="Arial"/>
          <w:szCs w:val="24"/>
        </w:rPr>
        <w:t xml:space="preserve"> the quality of life of</w:t>
      </w:r>
      <w:r w:rsidR="00220739" w:rsidRPr="00787196">
        <w:rPr>
          <w:rFonts w:cs="Arial"/>
          <w:szCs w:val="24"/>
        </w:rPr>
        <w:t xml:space="preserve"> individual</w:t>
      </w:r>
      <w:r w:rsidR="001E4F1E" w:rsidRPr="00787196">
        <w:rPr>
          <w:rFonts w:cs="Arial"/>
          <w:szCs w:val="24"/>
        </w:rPr>
        <w:t>s</w:t>
      </w:r>
      <w:r w:rsidR="00220739" w:rsidRPr="00787196">
        <w:rPr>
          <w:rFonts w:cs="Arial"/>
          <w:szCs w:val="24"/>
        </w:rPr>
        <w:t>.</w:t>
      </w:r>
    </w:p>
    <w:p w14:paraId="3EDC19AB" w14:textId="418B5637" w:rsidR="00220739" w:rsidRPr="00787196" w:rsidRDefault="00220739" w:rsidP="00D9694A">
      <w:pPr>
        <w:pStyle w:val="Heading3"/>
      </w:pPr>
      <w:bookmarkStart w:id="28" w:name="_Toc488655614"/>
      <w:r w:rsidRPr="00787196">
        <w:t>Health Related Quality of Life (HRQoL)</w:t>
      </w:r>
      <w:bookmarkEnd w:id="28"/>
    </w:p>
    <w:p w14:paraId="15DB0113" w14:textId="55554CED" w:rsidR="00BD2942" w:rsidRPr="00787196" w:rsidRDefault="001E4F1E" w:rsidP="00B27FF9">
      <w:pPr>
        <w:rPr>
          <w:rFonts w:cs="Arial"/>
          <w:i/>
          <w:iCs/>
          <w:szCs w:val="24"/>
        </w:rPr>
      </w:pPr>
      <w:r w:rsidRPr="00787196">
        <w:rPr>
          <w:rFonts w:cs="Arial"/>
          <w:szCs w:val="24"/>
        </w:rPr>
        <w:t>Those aspects of</w:t>
      </w:r>
      <w:r w:rsidR="00220739" w:rsidRPr="00787196">
        <w:rPr>
          <w:rFonts w:cs="Arial"/>
          <w:szCs w:val="24"/>
        </w:rPr>
        <w:t xml:space="preserve"> Q</w:t>
      </w:r>
      <w:r w:rsidRPr="00787196">
        <w:rPr>
          <w:rFonts w:cs="Arial"/>
          <w:szCs w:val="24"/>
        </w:rPr>
        <w:t xml:space="preserve">oL directly related to health may be regarded </w:t>
      </w:r>
      <w:r w:rsidR="00220739" w:rsidRPr="00787196">
        <w:rPr>
          <w:rFonts w:cs="Arial"/>
          <w:szCs w:val="24"/>
        </w:rPr>
        <w:t xml:space="preserve">as an outcome </w:t>
      </w:r>
      <w:r w:rsidR="00BD2942" w:rsidRPr="00787196">
        <w:rPr>
          <w:rFonts w:cs="Arial"/>
          <w:szCs w:val="24"/>
        </w:rPr>
        <w:t>of</w:t>
      </w:r>
      <w:r w:rsidR="00434C0C" w:rsidRPr="00787196">
        <w:rPr>
          <w:rFonts w:cs="Arial"/>
          <w:szCs w:val="24"/>
        </w:rPr>
        <w:t xml:space="preserve"> </w:t>
      </w:r>
      <w:r w:rsidR="00220739" w:rsidRPr="00787196">
        <w:rPr>
          <w:rFonts w:cs="Arial"/>
          <w:szCs w:val="24"/>
        </w:rPr>
        <w:t>health</w:t>
      </w:r>
      <w:r w:rsidR="00434C0C" w:rsidRPr="00787196">
        <w:rPr>
          <w:rFonts w:cs="Arial"/>
          <w:szCs w:val="24"/>
        </w:rPr>
        <w:t xml:space="preserve"> and</w:t>
      </w:r>
      <w:r w:rsidR="00220739" w:rsidRPr="00787196">
        <w:rPr>
          <w:rFonts w:cs="Arial"/>
          <w:szCs w:val="24"/>
        </w:rPr>
        <w:t xml:space="preserve"> care.</w:t>
      </w:r>
      <w:r w:rsidR="00B27FF9" w:rsidRPr="00787196">
        <w:rPr>
          <w:rFonts w:cs="Arial"/>
          <w:szCs w:val="24"/>
        </w:rPr>
        <w:t xml:space="preserve"> Thus </w:t>
      </w:r>
      <w:r w:rsidR="00BD2942" w:rsidRPr="00787196">
        <w:rPr>
          <w:rFonts w:cs="Arial"/>
          <w:szCs w:val="24"/>
        </w:rPr>
        <w:t xml:space="preserve">HRQoL is defined as the </w:t>
      </w:r>
      <w:r w:rsidR="00BD2942" w:rsidRPr="00787196">
        <w:rPr>
          <w:rFonts w:cs="Arial"/>
          <w:i/>
          <w:iCs/>
          <w:szCs w:val="24"/>
        </w:rPr>
        <w:t xml:space="preserve">“physical, psychological and social domains of health, seen as distinct areas that are inﬂuenced by person’s experiences, beliefs, expectations and perceptions” </w:t>
      </w:r>
      <w:r w:rsidR="00BD2942" w:rsidRPr="00787196">
        <w:rPr>
          <w:rFonts w:cs="Arial"/>
          <w:szCs w:val="24"/>
        </w:rPr>
        <w:fldChar w:fldCharType="begin"/>
      </w:r>
      <w:r w:rsidR="00BD2942" w:rsidRPr="00787196">
        <w:rPr>
          <w:rFonts w:cs="Arial"/>
          <w:szCs w:val="24"/>
        </w:rPr>
        <w:instrText xml:space="preserve"> ADDIN EN.CITE &lt;EndNote&gt;&lt;Cite&gt;&lt;Author&gt;Testa&lt;/Author&gt;&lt;Year&gt;1996&lt;/Year&gt;&lt;RecNum&gt;36&lt;/RecNum&gt;&lt;DisplayText&gt;(Testa and Simonson, 1996)&lt;/DisplayText&gt;&lt;record&gt;&lt;rec-number&gt;36&lt;/rec-number&gt;&lt;foreign-keys&gt;&lt;key app="EN" db-id="pprx5af0eezz5resrauvszthwfd2xp5txea9"&gt;36&lt;/key&gt;&lt;/foreign-keys&gt;&lt;ref-type name="Journal Article"&gt;17&lt;/ref-type&gt;&lt;contributors&gt;&lt;authors&gt;&lt;author&gt;Testa, Marcia A.&lt;/author&gt;&lt;author&gt;Simonson, Donald C.&lt;/author&gt;&lt;/authors&gt;&lt;/contributors&gt;&lt;titles&gt;&lt;title&gt;Assessment of Quality-of-Life Outcomes&lt;/title&gt;&lt;secondary-title&gt;New England Journal of Medicine&lt;/secondary-title&gt;&lt;/titles&gt;&lt;periodical&gt;&lt;full-title&gt;New England Journal of Medicine&lt;/full-title&gt;&lt;/periodical&gt;&lt;pages&gt;835-840&lt;/pages&gt;&lt;volume&gt;334&lt;/volume&gt;&lt;number&gt;13&lt;/number&gt;&lt;dates&gt;&lt;year&gt;1996&lt;/year&gt;&lt;/dates&gt;&lt;urls&gt;&lt;related-urls&gt;&lt;url&gt;http://www.nejm.org/doi/full/10.1056/NEJM199603283341306 &lt;/url&gt;&lt;/related-urls&gt;&lt;/urls&gt;&lt;electronic-resource-num&gt;doi:10.1056/NEJM199603283341306&lt;/electronic-resource-num&gt;&lt;/record&gt;&lt;/Cite&gt;&lt;Cite&gt;&lt;Author&gt;Testa&lt;/Author&gt;&lt;Year&gt;1996&lt;/Year&gt;&lt;RecNum&gt;36&lt;/RecNum&gt;&lt;record&gt;&lt;rec-number&gt;36&lt;/rec-number&gt;&lt;foreign-keys&gt;&lt;key app="EN" db-id="pprx5af0eezz5resrauvszthwfd2xp5txea9"&gt;36&lt;/key&gt;&lt;/foreign-keys&gt;&lt;ref-type name="Journal Article"&gt;17&lt;/ref-type&gt;&lt;contributors&gt;&lt;authors&gt;&lt;author&gt;Testa, Marcia A.&lt;/author&gt;&lt;author&gt;Simonson, Donald C.&lt;/author&gt;&lt;/authors&gt;&lt;/contributors&gt;&lt;titles&gt;&lt;title&gt;Assessment of Quality-of-Life Outcomes&lt;/title&gt;&lt;secondary-title&gt;New England Journal of Medicine&lt;/secondary-title&gt;&lt;/titles&gt;&lt;periodical&gt;&lt;full-title&gt;New England Journal of Medicine&lt;/full-title&gt;&lt;/periodical&gt;&lt;pages&gt;835-840&lt;/pages&gt;&lt;volume&gt;334&lt;/volume&gt;&lt;number&gt;13&lt;/number&gt;&lt;dates&gt;&lt;year&gt;1996&lt;/year&gt;&lt;/dates&gt;&lt;urls&gt;&lt;related-urls&gt;&lt;url&gt;http://www.nejm.org/doi/full/10.1056/NEJM199603283341306 &lt;/url&gt;&lt;/related-urls&gt;&lt;/urls&gt;&lt;electronic-resource-num&gt;doi:10.1056/NEJM199603283341306&lt;/electronic-resource-num&gt;&lt;/record&gt;&lt;/Cite&gt;&lt;/EndNote&gt;</w:instrText>
      </w:r>
      <w:r w:rsidR="00BD2942" w:rsidRPr="00787196">
        <w:rPr>
          <w:rFonts w:cs="Arial"/>
          <w:szCs w:val="24"/>
        </w:rPr>
        <w:fldChar w:fldCharType="separate"/>
      </w:r>
      <w:r w:rsidR="00BD2942" w:rsidRPr="00787196">
        <w:rPr>
          <w:rFonts w:cs="Arial"/>
          <w:szCs w:val="24"/>
        </w:rPr>
        <w:t>(Testa and Simonson, 1996)</w:t>
      </w:r>
      <w:r w:rsidR="00BD2942" w:rsidRPr="00787196">
        <w:rPr>
          <w:rFonts w:cs="Arial"/>
          <w:szCs w:val="24"/>
        </w:rPr>
        <w:fldChar w:fldCharType="end"/>
      </w:r>
      <w:r w:rsidR="00BD2942" w:rsidRPr="00787196">
        <w:rPr>
          <w:rFonts w:cs="Arial"/>
          <w:szCs w:val="24"/>
        </w:rPr>
        <w:t xml:space="preserve"> </w:t>
      </w:r>
    </w:p>
    <w:p w14:paraId="0DC4F405" w14:textId="0EE8B280" w:rsidR="00BD2942" w:rsidRPr="00787196" w:rsidRDefault="00BD2942" w:rsidP="00B27FF9">
      <w:pPr>
        <w:rPr>
          <w:rFonts w:cs="Arial"/>
          <w:color w:val="4F81BD"/>
          <w:sz w:val="32"/>
          <w:szCs w:val="32"/>
        </w:rPr>
      </w:pPr>
      <w:r w:rsidRPr="00787196">
        <w:rPr>
          <w:rFonts w:cs="Arial"/>
          <w:szCs w:val="24"/>
        </w:rPr>
        <w:t xml:space="preserve">The above definition sees HRQoL as a concept comprising varied domains of health </w:t>
      </w:r>
      <w:r w:rsidR="00B27FF9" w:rsidRPr="00787196">
        <w:rPr>
          <w:rFonts w:cs="Arial"/>
          <w:szCs w:val="24"/>
        </w:rPr>
        <w:t>from subjective</w:t>
      </w:r>
      <w:r w:rsidRPr="00787196">
        <w:rPr>
          <w:rFonts w:cs="Arial"/>
          <w:szCs w:val="24"/>
        </w:rPr>
        <w:t xml:space="preserve"> patient -centered perspective. The concept of HRQoL has evolved further and is now discussed with a more specific approach. </w:t>
      </w:r>
      <w:r w:rsidR="00B27FF9" w:rsidRPr="00787196">
        <w:rPr>
          <w:rFonts w:cs="Arial"/>
          <w:szCs w:val="24"/>
        </w:rPr>
        <w:t xml:space="preserve">For example, many </w:t>
      </w:r>
      <w:r w:rsidRPr="00787196">
        <w:rPr>
          <w:rFonts w:cs="Arial"/>
          <w:szCs w:val="24"/>
        </w:rPr>
        <w:t>HRQoL measures are now condition or disease specific.</w:t>
      </w:r>
    </w:p>
    <w:p w14:paraId="17128883" w14:textId="0B56F680" w:rsidR="004C3A25" w:rsidRPr="00787196" w:rsidRDefault="00B27FF9" w:rsidP="008310E0">
      <w:pPr>
        <w:rPr>
          <w:rFonts w:cs="Arial"/>
          <w:szCs w:val="24"/>
        </w:rPr>
      </w:pPr>
      <w:r w:rsidRPr="00787196">
        <w:rPr>
          <w:rFonts w:cs="Arial"/>
          <w:szCs w:val="24"/>
        </w:rPr>
        <w:t>The</w:t>
      </w:r>
      <w:r w:rsidR="00220739" w:rsidRPr="00787196">
        <w:rPr>
          <w:rFonts w:cs="Arial"/>
          <w:szCs w:val="24"/>
        </w:rPr>
        <w:t xml:space="preserve"> outcome answers whether treatment improves the value of life itself </w:t>
      </w:r>
      <w:r w:rsidRPr="00787196">
        <w:rPr>
          <w:rFonts w:cs="Arial"/>
          <w:szCs w:val="24"/>
        </w:rPr>
        <w:t>using</w:t>
      </w:r>
      <w:r w:rsidR="00220739" w:rsidRPr="00787196">
        <w:rPr>
          <w:rFonts w:cs="Arial"/>
          <w:szCs w:val="24"/>
        </w:rPr>
        <w:t xml:space="preserve"> a subjective patient-led baseline against which effects of treatment are evaluated </w:t>
      </w:r>
      <w:r w:rsidR="00220739" w:rsidRPr="00787196">
        <w:rPr>
          <w:rFonts w:cs="Arial"/>
          <w:szCs w:val="24"/>
        </w:rPr>
        <w:fldChar w:fldCharType="begin"/>
      </w:r>
      <w:r w:rsidR="00223957" w:rsidRPr="00787196">
        <w:rPr>
          <w:rFonts w:cs="Arial"/>
          <w:szCs w:val="24"/>
        </w:rPr>
        <w:instrText xml:space="preserve"> ADDIN EN.CITE &lt;EndNote&gt;&lt;Cite&gt;&lt;Author&gt;Bowling&lt;/Author&gt;&lt;Year&gt;2009&lt;/Year&gt;&lt;RecNum&gt;0&lt;/RecNum&gt;&lt;IDText&gt;Research methods in health: investigating health and health services&lt;/IDText&gt;&lt;DisplayText&gt;(Bowling, 2009)&lt;/DisplayText&gt;&lt;record&gt;&lt;isbn&gt;0335233643&lt;/isbn&gt;&lt;titles&gt;&lt;title&gt;Research methods in health: investigating health and health services&lt;/title&gt;&lt;/titles&gt;&lt;contributors&gt;&lt;authors&gt;&lt;author&gt;Bowling, Ann&lt;/author&gt;&lt;/authors&gt;&lt;/contributors&gt;&lt;added-date format="utc"&gt;1385652330&lt;/added-date&gt;&lt;ref-type name="Book"&gt;6&lt;/ref-type&gt;&lt;dates&gt;&lt;year&gt;2009&lt;/year&gt;&lt;/dates&gt;&lt;rec-number&gt;1305&lt;/rec-number&gt;&lt;publisher&gt;McGraw-Hill International&lt;/publisher&gt;&lt;last-updated-date format="utc"&gt;1385713712&lt;/last-updated-date&gt;&lt;/record&gt;&lt;/Cite&gt;&lt;/EndNote&gt;</w:instrText>
      </w:r>
      <w:r w:rsidR="00220739" w:rsidRPr="00787196">
        <w:rPr>
          <w:rFonts w:cs="Arial"/>
          <w:szCs w:val="24"/>
        </w:rPr>
        <w:fldChar w:fldCharType="separate"/>
      </w:r>
      <w:r w:rsidR="00220739" w:rsidRPr="00787196">
        <w:rPr>
          <w:rFonts w:cs="Arial"/>
          <w:szCs w:val="24"/>
        </w:rPr>
        <w:t>(Bowling, 2009)</w:t>
      </w:r>
      <w:r w:rsidR="00220739" w:rsidRPr="00787196">
        <w:rPr>
          <w:rFonts w:cs="Arial"/>
          <w:szCs w:val="24"/>
        </w:rPr>
        <w:fldChar w:fldCharType="end"/>
      </w:r>
      <w:r w:rsidR="00220739" w:rsidRPr="00787196">
        <w:rPr>
          <w:rFonts w:cs="Arial"/>
          <w:szCs w:val="24"/>
        </w:rPr>
        <w:t xml:space="preserve">. It synergises the concepts of </w:t>
      </w:r>
      <w:r w:rsidR="00E709A2" w:rsidRPr="00787196">
        <w:rPr>
          <w:rFonts w:cs="Arial"/>
          <w:szCs w:val="24"/>
        </w:rPr>
        <w:t xml:space="preserve">both </w:t>
      </w:r>
      <w:r w:rsidR="00220739" w:rsidRPr="00787196">
        <w:rPr>
          <w:rFonts w:cs="Arial"/>
          <w:szCs w:val="24"/>
        </w:rPr>
        <w:t>health and QoL</w:t>
      </w:r>
      <w:r w:rsidR="00E709A2" w:rsidRPr="00787196">
        <w:rPr>
          <w:rFonts w:cs="Arial"/>
          <w:szCs w:val="24"/>
        </w:rPr>
        <w:t xml:space="preserve"> and </w:t>
      </w:r>
      <w:r w:rsidR="004314BA" w:rsidRPr="00787196">
        <w:rPr>
          <w:rFonts w:cs="Arial"/>
          <w:szCs w:val="24"/>
        </w:rPr>
        <w:t>is widely</w:t>
      </w:r>
      <w:r w:rsidR="00E709A2" w:rsidRPr="00787196">
        <w:rPr>
          <w:rFonts w:cs="Arial"/>
          <w:szCs w:val="24"/>
        </w:rPr>
        <w:t xml:space="preserve"> used as a </w:t>
      </w:r>
      <w:r w:rsidRPr="00787196">
        <w:rPr>
          <w:rFonts w:cs="Arial"/>
          <w:szCs w:val="24"/>
        </w:rPr>
        <w:t xml:space="preserve">measure </w:t>
      </w:r>
      <w:r w:rsidR="00220739" w:rsidRPr="00787196">
        <w:rPr>
          <w:rFonts w:cs="Arial"/>
          <w:szCs w:val="24"/>
        </w:rPr>
        <w:t>of</w:t>
      </w:r>
      <w:r w:rsidR="00E709A2" w:rsidRPr="00787196">
        <w:rPr>
          <w:rFonts w:cs="Arial"/>
          <w:szCs w:val="24"/>
        </w:rPr>
        <w:t xml:space="preserve"> for</w:t>
      </w:r>
      <w:r w:rsidR="00220739" w:rsidRPr="00787196">
        <w:rPr>
          <w:rFonts w:cs="Arial"/>
          <w:szCs w:val="24"/>
        </w:rPr>
        <w:t xml:space="preserve"> health and illness</w:t>
      </w:r>
      <w:r w:rsidR="00E709A2" w:rsidRPr="00787196">
        <w:rPr>
          <w:rFonts w:cs="Arial"/>
          <w:szCs w:val="24"/>
        </w:rPr>
        <w:t xml:space="preserve"> based on individual experiences</w:t>
      </w:r>
      <w:r w:rsidR="00220739" w:rsidRPr="00787196">
        <w:rPr>
          <w:rFonts w:cs="Arial"/>
          <w:szCs w:val="24"/>
        </w:rPr>
        <w:t xml:space="preserve">. </w:t>
      </w:r>
    </w:p>
    <w:p w14:paraId="1CE5C675" w14:textId="4B80ABA2" w:rsidR="00220739" w:rsidRPr="00787196" w:rsidRDefault="00220739" w:rsidP="00D9694A">
      <w:pPr>
        <w:pStyle w:val="Heading3"/>
      </w:pPr>
      <w:bookmarkStart w:id="29" w:name="_Toc488655615"/>
      <w:r w:rsidRPr="00787196">
        <w:t>Oral health</w:t>
      </w:r>
      <w:bookmarkEnd w:id="29"/>
    </w:p>
    <w:p w14:paraId="47C5DC17" w14:textId="2FB6F76B" w:rsidR="00B27FF9" w:rsidRPr="00787196" w:rsidRDefault="00220739" w:rsidP="004C3A25">
      <w:pPr>
        <w:rPr>
          <w:rFonts w:cs="Arial"/>
          <w:szCs w:val="24"/>
        </w:rPr>
      </w:pPr>
      <w:r w:rsidRPr="00787196">
        <w:rPr>
          <w:rFonts w:cs="Arial"/>
          <w:szCs w:val="24"/>
        </w:rPr>
        <w:t xml:space="preserve">Oral health has been defined by the Department of Health </w:t>
      </w:r>
      <w:r w:rsidRPr="00787196">
        <w:rPr>
          <w:rFonts w:cs="Arial"/>
          <w:szCs w:val="24"/>
        </w:rPr>
        <w:fldChar w:fldCharType="begin"/>
      </w:r>
      <w:r w:rsidR="00223957" w:rsidRPr="00787196">
        <w:rPr>
          <w:rFonts w:cs="Arial"/>
          <w:szCs w:val="24"/>
        </w:rPr>
        <w:instrText xml:space="preserve"> ADDIN EN.CITE &lt;EndNote&gt;&lt;Cite ExcludeAuth="1"&gt;&lt;Author&gt;Department of Health&lt;/Author&gt;&lt;Year&gt;1994&lt;/Year&gt;&lt;RecNum&gt;13&lt;/RecNum&gt;&lt;DisplayText&gt;(1994)&lt;/DisplayText&gt;&lt;record&gt;&lt;rec-number&gt;13&lt;/rec-number&gt;&lt;foreign-keys&gt;&lt;key app="EN" db-id="pprx5af0eezz5resrauvszthwfd2xp5txea9"&gt;13&lt;/key&gt;&lt;/foreign-keys&gt;&lt;ref-type name="Government Document"&gt;46&lt;/ref-type&gt;&lt;contributors&gt;&lt;authors&gt;&lt;author&gt;Department of Health,&lt;/author&gt;&lt;/authors&gt;&lt;/contributors&gt;&lt;titles&gt;&lt;title&gt;An Oral Health Strategy for England&lt;/title&gt;&lt;/titles&gt;&lt;dates&gt;&lt;year&gt;1994&lt;/year&gt;&lt;/dates&gt;&lt;pub-location&gt;London&lt;/pub-location&gt;&lt;publisher&gt;Department of Health&lt;/publisher&gt;&lt;/record&gt;&lt;/Cite&gt;&lt;/EndNote&gt;</w:instrText>
      </w:r>
      <w:r w:rsidRPr="00787196">
        <w:rPr>
          <w:rFonts w:cs="Arial"/>
          <w:szCs w:val="24"/>
        </w:rPr>
        <w:fldChar w:fldCharType="separate"/>
      </w:r>
      <w:r w:rsidRPr="00787196">
        <w:rPr>
          <w:rFonts w:cs="Arial"/>
          <w:szCs w:val="24"/>
        </w:rPr>
        <w:t>(1994)</w:t>
      </w:r>
      <w:r w:rsidRPr="00787196">
        <w:rPr>
          <w:rFonts w:cs="Arial"/>
          <w:szCs w:val="24"/>
        </w:rPr>
        <w:fldChar w:fldCharType="end"/>
      </w:r>
      <w:r w:rsidRPr="00787196">
        <w:rPr>
          <w:rFonts w:cs="Arial"/>
          <w:szCs w:val="24"/>
        </w:rPr>
        <w:t xml:space="preserve"> in the United Kingdom as the </w:t>
      </w:r>
      <w:r w:rsidRPr="00787196">
        <w:rPr>
          <w:rFonts w:cs="Arial"/>
          <w:i/>
          <w:iCs/>
          <w:szCs w:val="24"/>
        </w:rPr>
        <w:t>‘standard of health of the oral and related tissues which enables an individual to eat, speak and socialize without active disease, discomfort or embarrassment and which contributes to general well-being'</w:t>
      </w:r>
      <w:r w:rsidRPr="00787196">
        <w:rPr>
          <w:rFonts w:cs="Arial"/>
          <w:szCs w:val="24"/>
        </w:rPr>
        <w:t xml:space="preserve"> </w:t>
      </w:r>
      <w:r w:rsidRPr="00787196">
        <w:rPr>
          <w:rFonts w:cs="Arial"/>
          <w:i/>
          <w:iCs/>
          <w:szCs w:val="24"/>
        </w:rPr>
        <w:t>(p.2)</w:t>
      </w:r>
      <w:r w:rsidRPr="00787196">
        <w:rPr>
          <w:rFonts w:cs="Arial"/>
          <w:szCs w:val="24"/>
        </w:rPr>
        <w:t xml:space="preserve">. </w:t>
      </w:r>
    </w:p>
    <w:p w14:paraId="653EB85A" w14:textId="4DAF5E07" w:rsidR="000D62C1" w:rsidRPr="00787196" w:rsidRDefault="00220739" w:rsidP="0081140C">
      <w:pPr>
        <w:rPr>
          <w:sz w:val="26"/>
        </w:rPr>
      </w:pPr>
      <w:r w:rsidRPr="00787196">
        <w:rPr>
          <w:rFonts w:cs="Arial"/>
          <w:szCs w:val="24"/>
        </w:rPr>
        <w:t xml:space="preserve">Oral health </w:t>
      </w:r>
      <w:r w:rsidR="009A6867" w:rsidRPr="00787196">
        <w:rPr>
          <w:rFonts w:cs="Arial"/>
          <w:szCs w:val="24"/>
        </w:rPr>
        <w:t>is an</w:t>
      </w:r>
      <w:r w:rsidRPr="00787196">
        <w:rPr>
          <w:rFonts w:cs="Arial"/>
          <w:szCs w:val="24"/>
        </w:rPr>
        <w:t xml:space="preserve"> integral part of general health </w:t>
      </w:r>
      <w:r w:rsidR="00BD2942" w:rsidRPr="00787196">
        <w:rPr>
          <w:rFonts w:cs="Arial"/>
          <w:szCs w:val="24"/>
        </w:rPr>
        <w:t>rather than</w:t>
      </w:r>
      <w:r w:rsidRPr="00787196">
        <w:rPr>
          <w:rFonts w:cs="Arial"/>
          <w:szCs w:val="24"/>
        </w:rPr>
        <w:t xml:space="preserve"> something in isolation. The </w:t>
      </w:r>
      <w:r w:rsidR="00BD1A43" w:rsidRPr="00787196">
        <w:rPr>
          <w:rFonts w:cs="Arial"/>
          <w:szCs w:val="24"/>
        </w:rPr>
        <w:t>Department</w:t>
      </w:r>
      <w:r w:rsidR="00BE7B64" w:rsidRPr="00787196">
        <w:rPr>
          <w:rFonts w:cs="Arial"/>
          <w:szCs w:val="24"/>
        </w:rPr>
        <w:t xml:space="preserve"> of Health </w:t>
      </w:r>
      <w:r w:rsidRPr="00787196">
        <w:rPr>
          <w:rFonts w:cs="Arial"/>
          <w:szCs w:val="24"/>
        </w:rPr>
        <w:t xml:space="preserve">definition of oral health follows the bio-psychosocial model as it highlights </w:t>
      </w:r>
      <w:r w:rsidR="00BD1A43" w:rsidRPr="00787196">
        <w:rPr>
          <w:rFonts w:cs="Arial"/>
          <w:szCs w:val="24"/>
        </w:rPr>
        <w:t>the subjective experience and the</w:t>
      </w:r>
      <w:r w:rsidRPr="00787196">
        <w:rPr>
          <w:rFonts w:cs="Arial"/>
          <w:szCs w:val="24"/>
        </w:rPr>
        <w:t xml:space="preserve"> individual’s ability to carry out every day activities, which in turn enriches their overall well-being.</w:t>
      </w:r>
    </w:p>
    <w:p w14:paraId="3233411E" w14:textId="49C24A07" w:rsidR="00220739" w:rsidRPr="00787196" w:rsidRDefault="00220739" w:rsidP="00D9694A">
      <w:pPr>
        <w:pStyle w:val="Heading3"/>
      </w:pPr>
      <w:bookmarkStart w:id="30" w:name="_Toc488655616"/>
      <w:r w:rsidRPr="00787196">
        <w:lastRenderedPageBreak/>
        <w:t>Oral health related quality of life</w:t>
      </w:r>
      <w:bookmarkEnd w:id="30"/>
    </w:p>
    <w:p w14:paraId="7355EF5E" w14:textId="6773B07C" w:rsidR="00220739" w:rsidRPr="00787196" w:rsidRDefault="00220739" w:rsidP="00E92F0E">
      <w:pPr>
        <w:rPr>
          <w:rFonts w:cs="Arial"/>
          <w:szCs w:val="24"/>
        </w:rPr>
      </w:pPr>
      <w:r w:rsidRPr="00787196">
        <w:rPr>
          <w:rFonts w:cs="Arial"/>
          <w:szCs w:val="24"/>
        </w:rPr>
        <w:t>Similar to HRQoL, ideas on developing socio-dental indicators related to oral health were put forth by authors in the later decades of the 20</w:t>
      </w:r>
      <w:r w:rsidRPr="00787196">
        <w:rPr>
          <w:rFonts w:cs="Arial"/>
          <w:szCs w:val="24"/>
          <w:vertAlign w:val="superscript"/>
        </w:rPr>
        <w:t>th</w:t>
      </w:r>
      <w:r w:rsidRPr="00787196">
        <w:rPr>
          <w:rFonts w:cs="Arial"/>
          <w:szCs w:val="24"/>
        </w:rPr>
        <w:t xml:space="preserve"> century </w:t>
      </w:r>
      <w:r w:rsidRPr="00787196">
        <w:rPr>
          <w:rFonts w:cs="Arial"/>
          <w:szCs w:val="24"/>
        </w:rPr>
        <w:fldChar w:fldCharType="begin">
          <w:fldData xml:space="preserve">PEVuZE5vdGU+PENpdGU+PEF1dGhvcj5Db2hlbjwvQXV0aG9yPjxZZWFyPjE5NzY8L1llYXI+PFJl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=
</w:fldData>
        </w:fldChar>
      </w:r>
      <w:r w:rsidR="00CE759F" w:rsidRPr="00787196">
        <w:rPr>
          <w:rFonts w:cs="Arial"/>
          <w:szCs w:val="24"/>
        </w:rPr>
        <w:instrText xml:space="preserve"> ADDIN EN.CITE </w:instrText>
      </w:r>
      <w:r w:rsidR="00CE759F" w:rsidRPr="00787196">
        <w:rPr>
          <w:rFonts w:cs="Arial"/>
          <w:szCs w:val="24"/>
        </w:rPr>
        <w:fldChar w:fldCharType="begin">
          <w:fldData xml:space="preserve">PEVuZE5vdGU+PENpdGU+PEF1dGhvcj5Db2hlbjwvQXV0aG9yPjxZZWFyPjE5NzY8L1llYXI+PFJl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=
</w:fldData>
        </w:fldChar>
      </w:r>
      <w:r w:rsidR="00CE759F" w:rsidRPr="00787196">
        <w:rPr>
          <w:rFonts w:cs="Arial"/>
          <w:szCs w:val="24"/>
        </w:rPr>
        <w:instrText xml:space="preserve"> ADDIN EN.CITE.DATA </w:instrText>
      </w:r>
      <w:r w:rsidR="00CE759F" w:rsidRPr="00787196">
        <w:rPr>
          <w:rFonts w:cs="Arial"/>
          <w:szCs w:val="24"/>
        </w:rPr>
      </w:r>
      <w:r w:rsidR="00CE759F"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(Cohen and Jago, 1976, Reisine and Bailit, 1980)</w:t>
      </w:r>
      <w:r w:rsidRPr="00787196">
        <w:rPr>
          <w:rFonts w:cs="Arial"/>
          <w:szCs w:val="24"/>
        </w:rPr>
        <w:fldChar w:fldCharType="end"/>
      </w:r>
      <w:r w:rsidR="000D62C1" w:rsidRPr="00787196">
        <w:rPr>
          <w:rFonts w:cs="Arial"/>
          <w:szCs w:val="24"/>
        </w:rPr>
        <w:t xml:space="preserve"> </w:t>
      </w:r>
      <w:r w:rsidR="00BD1A43" w:rsidRPr="00787196">
        <w:rPr>
          <w:rFonts w:cs="Arial"/>
          <w:szCs w:val="24"/>
        </w:rPr>
        <w:t>because</w:t>
      </w:r>
      <w:r w:rsidRPr="00787196">
        <w:rPr>
          <w:rFonts w:cs="Arial"/>
          <w:szCs w:val="24"/>
        </w:rPr>
        <w:t xml:space="preserve"> clinical indices </w:t>
      </w:r>
      <w:r w:rsidR="00BD1A43" w:rsidRPr="00787196">
        <w:rPr>
          <w:rFonts w:cs="Arial"/>
          <w:szCs w:val="24"/>
        </w:rPr>
        <w:t>omitted the</w:t>
      </w:r>
      <w:r w:rsidRPr="00787196">
        <w:rPr>
          <w:rFonts w:cs="Arial"/>
          <w:szCs w:val="24"/>
        </w:rPr>
        <w:t xml:space="preserve"> person’s subjective assessments of oral health. </w:t>
      </w:r>
      <w:r w:rsidR="00BD1A43" w:rsidRPr="00787196">
        <w:rPr>
          <w:rFonts w:cs="Arial"/>
          <w:szCs w:val="24"/>
        </w:rPr>
        <w:t>As t</w:t>
      </w:r>
      <w:r w:rsidRPr="00787196">
        <w:rPr>
          <w:rFonts w:cs="Arial"/>
          <w:szCs w:val="24"/>
        </w:rPr>
        <w:t>he focus of dentistry</w:t>
      </w:r>
      <w:r w:rsidR="000D62C1" w:rsidRPr="00787196">
        <w:rPr>
          <w:rFonts w:cs="Arial"/>
          <w:szCs w:val="24"/>
        </w:rPr>
        <w:t xml:space="preserve"> </w:t>
      </w:r>
      <w:r w:rsidRPr="00787196">
        <w:rPr>
          <w:rFonts w:cs="Arial"/>
          <w:szCs w:val="24"/>
        </w:rPr>
        <w:t xml:space="preserve">has moved </w:t>
      </w:r>
      <w:r w:rsidR="000D62C1" w:rsidRPr="00787196">
        <w:rPr>
          <w:rFonts w:cs="Arial"/>
          <w:szCs w:val="24"/>
        </w:rPr>
        <w:t>beyond</w:t>
      </w:r>
      <w:r w:rsidRPr="00787196">
        <w:rPr>
          <w:rFonts w:cs="Arial"/>
          <w:szCs w:val="24"/>
        </w:rPr>
        <w:t xml:space="preserve"> or</w:t>
      </w:r>
      <w:r w:rsidR="00BD1A43" w:rsidRPr="00787196">
        <w:rPr>
          <w:rFonts w:cs="Arial"/>
          <w:szCs w:val="24"/>
        </w:rPr>
        <w:t>al diseases towards oral health, t</w:t>
      </w:r>
      <w:r w:rsidRPr="00787196">
        <w:rPr>
          <w:rFonts w:cs="Arial"/>
          <w:szCs w:val="24"/>
        </w:rPr>
        <w:t xml:space="preserve">he concept of Oral Health Related Quality of Life </w:t>
      </w:r>
      <w:r w:rsidR="000D62C1" w:rsidRPr="00787196">
        <w:rPr>
          <w:rFonts w:cs="Arial"/>
          <w:szCs w:val="24"/>
        </w:rPr>
        <w:t xml:space="preserve">(OHQoL) has </w:t>
      </w:r>
      <w:r w:rsidR="0081140C" w:rsidRPr="00787196">
        <w:rPr>
          <w:rFonts w:cs="Arial"/>
          <w:szCs w:val="24"/>
        </w:rPr>
        <w:t xml:space="preserve">come to the fore </w:t>
      </w:r>
      <w:r w:rsidR="00BD1A43" w:rsidRPr="00787196">
        <w:rPr>
          <w:rFonts w:cs="Arial"/>
          <w:szCs w:val="24"/>
        </w:rPr>
        <w:t>as a</w:t>
      </w:r>
      <w:r w:rsidRPr="00787196">
        <w:rPr>
          <w:rFonts w:cs="Arial"/>
          <w:szCs w:val="24"/>
        </w:rPr>
        <w:t xml:space="preserve"> multi-dimensional concept bridg</w:t>
      </w:r>
      <w:r w:rsidR="00BD1A43" w:rsidRPr="00787196">
        <w:rPr>
          <w:rFonts w:cs="Arial"/>
          <w:szCs w:val="24"/>
        </w:rPr>
        <w:t>ing</w:t>
      </w:r>
      <w:r w:rsidRPr="00787196">
        <w:rPr>
          <w:rFonts w:cs="Arial"/>
          <w:szCs w:val="24"/>
        </w:rPr>
        <w:t xml:space="preserve"> clinical variables and subjective status </w:t>
      </w:r>
      <w:r w:rsidR="000D62C1" w:rsidRPr="00787196">
        <w:rPr>
          <w:rFonts w:cs="Arial"/>
          <w:szCs w:val="24"/>
        </w:rPr>
        <w:t xml:space="preserve">of </w:t>
      </w:r>
      <w:r w:rsidR="00236F15" w:rsidRPr="00787196">
        <w:rPr>
          <w:rFonts w:cs="Arial"/>
          <w:szCs w:val="24"/>
        </w:rPr>
        <w:t>individual’s</w:t>
      </w:r>
      <w:r w:rsidRPr="00787196">
        <w:rPr>
          <w:rFonts w:cs="Arial"/>
          <w:szCs w:val="24"/>
        </w:rPr>
        <w:t xml:space="preserve"> oral health.</w:t>
      </w:r>
    </w:p>
    <w:p w14:paraId="594B41E1" w14:textId="4BF3BEA1" w:rsidR="00BD1A43" w:rsidRPr="00787196" w:rsidRDefault="00220739" w:rsidP="00466EFC">
      <w:pPr>
        <w:rPr>
          <w:rFonts w:cs="Arial"/>
          <w:szCs w:val="24"/>
        </w:rPr>
      </w:pPr>
      <w:r w:rsidRPr="00787196">
        <w:rPr>
          <w:rFonts w:cs="Arial"/>
          <w:szCs w:val="24"/>
        </w:rPr>
        <w:t xml:space="preserve">OHQoL has </w:t>
      </w:r>
      <w:r w:rsidR="00BD1A43" w:rsidRPr="00787196">
        <w:rPr>
          <w:rFonts w:cs="Arial"/>
          <w:szCs w:val="24"/>
        </w:rPr>
        <w:t xml:space="preserve">had </w:t>
      </w:r>
      <w:r w:rsidRPr="00787196">
        <w:rPr>
          <w:rFonts w:cs="Arial"/>
          <w:szCs w:val="24"/>
        </w:rPr>
        <w:t xml:space="preserve">a range of definitions </w:t>
      </w:r>
      <w:r w:rsidR="00BD1A43" w:rsidRPr="00787196">
        <w:rPr>
          <w:rFonts w:cs="Arial"/>
          <w:szCs w:val="24"/>
        </w:rPr>
        <w:t>that have</w:t>
      </w:r>
      <w:r w:rsidRPr="00787196">
        <w:rPr>
          <w:rFonts w:cs="Arial"/>
          <w:szCs w:val="24"/>
        </w:rPr>
        <w:t xml:space="preserve"> evolved over the years. An early definition by Locker </w:t>
      </w:r>
      <w:r w:rsidRPr="00787196">
        <w:rPr>
          <w:rFonts w:cs="Arial"/>
          <w:szCs w:val="24"/>
        </w:rPr>
        <w:fldChar w:fldCharType="begin"/>
      </w:r>
      <w:r w:rsidR="00223957" w:rsidRPr="00787196">
        <w:rPr>
          <w:rFonts w:cs="Arial"/>
          <w:szCs w:val="24"/>
        </w:rPr>
        <w:instrText xml:space="preserve"> ADDIN EN.CITE &lt;EndNote&gt;&lt;Cite ExcludeAuth="1"&gt;&lt;Author&gt;Locker&lt;/Author&gt;&lt;Year&gt;1989&lt;/Year&gt;&lt;RecNum&gt;220&lt;/RecNum&gt;&lt;DisplayText&gt;(1989)&lt;/DisplayText&gt;&lt;record&gt;&lt;rec-number&gt;220&lt;/rec-number&gt;&lt;foreign-keys&gt;&lt;key app="EN" db-id="xf0vwtv58a0w9wezwe9vp0fn0wwt2fp5srs0"&gt;220&lt;/key&gt;&lt;/foreign-keys&gt;&lt;ref-type name="Book"&gt;6&lt;/ref-type&gt;&lt;contributors&gt;&lt;authors&gt;&lt;author&gt;Locker, David&lt;/author&gt;&lt;/authors&gt;&lt;/contributors&gt;&lt;titles&gt;&lt;title&gt;An introduction to behavioural science &amp;amp; dentistry&lt;/title&gt;&lt;/titles&gt;&lt;dates&gt;&lt;year&gt;1989&lt;/year&gt;&lt;/dates&gt;&lt;pub-location&gt;London ; New York&lt;/pub-location&gt;&lt;publisher&gt;Tavistock/Routledge&lt;/publisher&gt;&lt;isbn&gt;0415018269 9780415018265&lt;/isbn&gt;&lt;accession-num&gt;20897494&lt;/accession-num&gt;&lt;/record&gt;&lt;/Cite&gt;&lt;/EndNote&gt;</w:instrText>
      </w:r>
      <w:r w:rsidRPr="00787196">
        <w:rPr>
          <w:rFonts w:cs="Arial"/>
          <w:szCs w:val="24"/>
        </w:rPr>
        <w:fldChar w:fldCharType="separate"/>
      </w:r>
      <w:r w:rsidRPr="00787196">
        <w:rPr>
          <w:rFonts w:cs="Arial"/>
          <w:szCs w:val="24"/>
        </w:rPr>
        <w:t>(1989)</w:t>
      </w:r>
      <w:r w:rsidRPr="00787196">
        <w:rPr>
          <w:rFonts w:cs="Arial"/>
          <w:szCs w:val="24"/>
        </w:rPr>
        <w:fldChar w:fldCharType="end"/>
      </w:r>
      <w:r w:rsidR="003C1F44" w:rsidRPr="00787196">
        <w:rPr>
          <w:rFonts w:cs="Arial"/>
          <w:szCs w:val="24"/>
        </w:rPr>
        <w:t xml:space="preserve"> </w:t>
      </w:r>
      <w:r w:rsidRPr="00787196">
        <w:rPr>
          <w:rFonts w:cs="Arial"/>
          <w:szCs w:val="24"/>
        </w:rPr>
        <w:t>s</w:t>
      </w:r>
      <w:r w:rsidR="00BD1A43" w:rsidRPr="00787196">
        <w:rPr>
          <w:rFonts w:cs="Arial"/>
          <w:szCs w:val="24"/>
        </w:rPr>
        <w:t>aw</w:t>
      </w:r>
      <w:r w:rsidR="003C1F44" w:rsidRPr="00787196">
        <w:rPr>
          <w:rFonts w:cs="Arial"/>
          <w:szCs w:val="24"/>
        </w:rPr>
        <w:t xml:space="preserve"> OHQoL as</w:t>
      </w:r>
      <w:r w:rsidRPr="00787196">
        <w:rPr>
          <w:rFonts w:cs="Arial"/>
          <w:szCs w:val="24"/>
        </w:rPr>
        <w:t xml:space="preserve"> </w:t>
      </w:r>
      <w:r w:rsidRPr="00787196">
        <w:rPr>
          <w:rFonts w:cs="Arial"/>
          <w:i/>
          <w:iCs/>
          <w:szCs w:val="24"/>
        </w:rPr>
        <w:t>‘the functioning of the oral cavity and the person as a whole and with subjectively perceived sympto</w:t>
      </w:r>
      <w:r w:rsidR="003C1F44" w:rsidRPr="00787196">
        <w:rPr>
          <w:rFonts w:cs="Arial"/>
          <w:i/>
          <w:iCs/>
          <w:szCs w:val="24"/>
        </w:rPr>
        <w:t>ms such as pain and discomfort’</w:t>
      </w:r>
    </w:p>
    <w:p w14:paraId="4660DEA3" w14:textId="7EE8E3C6" w:rsidR="00220739" w:rsidRPr="00787196" w:rsidRDefault="00220739" w:rsidP="00DA59AF">
      <w:pPr>
        <w:rPr>
          <w:rFonts w:cs="Arial"/>
          <w:szCs w:val="24"/>
        </w:rPr>
      </w:pPr>
      <w:r w:rsidRPr="00787196">
        <w:rPr>
          <w:rFonts w:cs="Arial"/>
          <w:szCs w:val="24"/>
        </w:rPr>
        <w:t xml:space="preserve">Gift and Atchison </w:t>
      </w:r>
      <w:r w:rsidRPr="00787196">
        <w:rPr>
          <w:rFonts w:cs="Arial"/>
          <w:szCs w:val="24"/>
        </w:rPr>
        <w:fldChar w:fldCharType="begin"/>
      </w:r>
      <w:r w:rsidRPr="00787196">
        <w:rPr>
          <w:rFonts w:cs="Arial"/>
          <w:szCs w:val="24"/>
        </w:rPr>
        <w:instrText xml:space="preserve"> ADDIN EN.CITE &lt;EndNote&gt;&lt;Cite ExcludeAuth="1"&gt;&lt;Year&gt;1995&lt;/Year&gt;&lt;RecNum&gt;35&lt;/RecNum&gt;&lt;DisplayText&gt;(1995)&lt;/DisplayText&gt;&lt;record&gt;&lt;rec-number&gt;35&lt;/rec-number&gt;&lt;foreign-keys&gt;&lt;key app="EN" db-id="pprx5af0eezz5resrauvszthwfd2xp5txea9"&gt;35&lt;/key&gt;&lt;/foreign-keys&gt;&lt;ref-type name="Journal Article"&gt;17&lt;/ref-type&gt;&lt;contributors&gt;&lt;authors&gt;&lt;author&gt;Gift, Helen C.&lt;/author&gt;&lt;author&gt;Atchison, Kathryn A.&lt;/author&gt;&lt;/authors&gt;&lt;/contributors&gt;&lt;titles&gt;&lt;title&gt;Oral Health, Health, and Health-Related Quality of Life&lt;/title&gt;&lt;secondary-title&gt;Medical Care&lt;/secondary-title&gt;&lt;/titles&gt;&lt;periodical&gt;&lt;full-title&gt;Medical Care&lt;/full-title&gt;&lt;/periodical&gt;&lt;pages&gt;NS57-NS77&lt;/pages&gt;&lt;volume&gt;33&lt;/volume&gt;&lt;number&gt;11&lt;/number&gt;&lt;dates&gt;&lt;year&gt;1995&lt;/year&gt;&lt;pub-dates&gt;&lt;date&gt;11/01&lt;/date&gt;&lt;/pub-dates&gt;&lt;/dates&gt;&lt;publisher&gt;Lippincott Williams &amp;amp; Wilkins&lt;/publisher&gt;&lt;urls&gt;&lt;related-urls&gt;&lt;url&gt;http://www.jstor.org/stable/3766698 &lt;/url&gt;&lt;/related-urls&gt;&lt;/urls&gt;&lt;/record&gt;&lt;/Cite&gt;&lt;/EndNote&gt;</w:instrText>
      </w:r>
      <w:r w:rsidRPr="00787196">
        <w:rPr>
          <w:rFonts w:cs="Arial"/>
          <w:szCs w:val="24"/>
        </w:rPr>
        <w:fldChar w:fldCharType="separate"/>
      </w:r>
      <w:r w:rsidRPr="00787196">
        <w:rPr>
          <w:rFonts w:cs="Arial"/>
          <w:szCs w:val="24"/>
        </w:rPr>
        <w:t>(1995)</w:t>
      </w:r>
      <w:r w:rsidRPr="00787196">
        <w:rPr>
          <w:rFonts w:cs="Arial"/>
          <w:szCs w:val="24"/>
        </w:rPr>
        <w:fldChar w:fldCharType="end"/>
      </w:r>
      <w:r w:rsidRPr="00787196">
        <w:rPr>
          <w:rFonts w:cs="Arial"/>
          <w:szCs w:val="24"/>
        </w:rPr>
        <w:t xml:space="preserve"> interpret</w:t>
      </w:r>
      <w:r w:rsidR="000D62C1" w:rsidRPr="00787196">
        <w:rPr>
          <w:rFonts w:cs="Arial"/>
          <w:szCs w:val="24"/>
        </w:rPr>
        <w:t>ed</w:t>
      </w:r>
      <w:r w:rsidRPr="00787196">
        <w:rPr>
          <w:rFonts w:cs="Arial"/>
          <w:szCs w:val="24"/>
        </w:rPr>
        <w:t xml:space="preserve"> OHQoL </w:t>
      </w:r>
      <w:r w:rsidR="00236F15" w:rsidRPr="00787196">
        <w:rPr>
          <w:rFonts w:cs="Arial"/>
          <w:szCs w:val="24"/>
        </w:rPr>
        <w:t xml:space="preserve">as a concept </w:t>
      </w:r>
      <w:r w:rsidR="000D62C1" w:rsidRPr="00787196">
        <w:rPr>
          <w:rFonts w:cs="Arial"/>
          <w:szCs w:val="24"/>
        </w:rPr>
        <w:t xml:space="preserve">comprising </w:t>
      </w:r>
      <w:r w:rsidRPr="00787196">
        <w:rPr>
          <w:rFonts w:cs="Arial"/>
          <w:szCs w:val="24"/>
        </w:rPr>
        <w:t xml:space="preserve">factors such as survival, absence of impairment; disease or symptoms; discomfort and pain, good physical functioning (chewing and swallowing); emotional </w:t>
      </w:r>
      <w:r w:rsidR="00236F15" w:rsidRPr="00787196">
        <w:rPr>
          <w:rFonts w:cs="Arial"/>
          <w:szCs w:val="24"/>
        </w:rPr>
        <w:t>functioning and</w:t>
      </w:r>
      <w:r w:rsidRPr="00787196">
        <w:rPr>
          <w:rFonts w:cs="Arial"/>
          <w:szCs w:val="24"/>
        </w:rPr>
        <w:t xml:space="preserve"> </w:t>
      </w:r>
      <w:r w:rsidR="00236F15" w:rsidRPr="00787196">
        <w:rPr>
          <w:rFonts w:cs="Arial"/>
          <w:szCs w:val="24"/>
        </w:rPr>
        <w:t>s</w:t>
      </w:r>
      <w:r w:rsidRPr="00787196">
        <w:rPr>
          <w:rFonts w:cs="Arial"/>
          <w:szCs w:val="24"/>
        </w:rPr>
        <w:t xml:space="preserve">ocial functioning. Subsequently, it was described as a concept that does not only focus on the oral cavity alone, but also the way oral disorders, diseases and conditions threaten health, wellbeing and quality of life in individuals </w:t>
      </w:r>
      <w:r w:rsidRPr="00787196">
        <w:rPr>
          <w:rFonts w:cs="Arial"/>
          <w:szCs w:val="24"/>
        </w:rPr>
        <w:fldChar w:fldCharType="begin"/>
      </w:r>
      <w:r w:rsidR="00223957" w:rsidRPr="00787196">
        <w:rPr>
          <w:rFonts w:cs="Arial"/>
          <w:szCs w:val="24"/>
        </w:rPr>
        <w:instrText xml:space="preserve"> ADDIN EN.CITE &lt;EndNote&gt;&lt;Cite&gt;&lt;Author&gt;Locker&lt;/Author&gt;&lt;Year&gt;1997&lt;/Year&gt;&lt;RecNum&gt;103&lt;/RecNum&gt;&lt;DisplayText&gt;(Locker, 1997)&lt;/DisplayText&gt;&lt;record&gt;&lt;rec-number&gt;103&lt;/rec-number&gt;&lt;foreign-keys&gt;&lt;key app="EN" db-id="eed022vveaved7eed995ftx4fad0afvdzzed"&gt;103&lt;/key&gt;&lt;/foreign-keys&gt;&lt;ref-type name="Book Section"&gt;5&lt;/ref-type&gt;&lt;contributors&gt;&lt;authors&gt;&lt;author&gt;David Locker&lt;/author&gt;&lt;/authors&gt;&lt;secondary-authors&gt;&lt;author&gt;Slade, Gary D.&lt;/author&gt;&lt;/secondary-authors&gt;&lt;/contributors&gt;&lt;titles&gt;&lt;title&gt;Concepts of oral health. Disease and the quality of life.&lt;/title&gt;&lt;secondary-title&gt;Measuring oral health and quality of life&lt;/secondary-title&gt;&lt;/titles&gt;&lt;dates&gt;&lt;year&gt;1997&lt;/year&gt;&lt;pub-dates&gt;&lt;date&gt;1997&lt;/date&gt;&lt;/pub-dates&gt;&lt;/dates&gt;&lt;pub-location&gt;Chapel Hill, NC&lt;/pub-location&gt;&lt;publisher&gt;Dept. of Dental Ecology, School of Dentistry, University of North Carolina&lt;/publisher&gt;&lt;remote-database-name&gt;/z-wcorg/&lt;/remote-database-name&gt;&lt;remote-database-provider&gt;http://worldcat.org&lt;/remote-database-provider&gt;&lt;language&gt;English&lt;/language&gt;&lt;/record&gt;&lt;/Cite&gt;&lt;/EndNote&gt;</w:instrText>
      </w:r>
      <w:r w:rsidRPr="00787196">
        <w:rPr>
          <w:rFonts w:cs="Arial"/>
          <w:szCs w:val="24"/>
        </w:rPr>
        <w:fldChar w:fldCharType="separate"/>
      </w:r>
      <w:r w:rsidRPr="00787196">
        <w:rPr>
          <w:rFonts w:cs="Arial"/>
          <w:szCs w:val="24"/>
        </w:rPr>
        <w:t>(Locker, 1997)</w:t>
      </w:r>
      <w:r w:rsidRPr="00787196">
        <w:rPr>
          <w:rFonts w:cs="Arial"/>
          <w:szCs w:val="24"/>
        </w:rPr>
        <w:fldChar w:fldCharType="end"/>
      </w:r>
      <w:r w:rsidRPr="00787196">
        <w:rPr>
          <w:rFonts w:cs="Arial"/>
          <w:szCs w:val="24"/>
        </w:rPr>
        <w:t xml:space="preserve">. </w:t>
      </w:r>
    </w:p>
    <w:p w14:paraId="0DD0D590" w14:textId="77777777" w:rsidR="00965A66" w:rsidRPr="00787196" w:rsidRDefault="00236F15" w:rsidP="00965A66">
      <w:pPr>
        <w:rPr>
          <w:rFonts w:cs="Arial"/>
          <w:szCs w:val="24"/>
        </w:rPr>
      </w:pPr>
      <w:r w:rsidRPr="00787196">
        <w:rPr>
          <w:rFonts w:cs="Arial"/>
          <w:szCs w:val="24"/>
        </w:rPr>
        <w:t>T</w:t>
      </w:r>
      <w:r w:rsidR="00220739" w:rsidRPr="00787196">
        <w:rPr>
          <w:rFonts w:cs="Arial"/>
          <w:szCs w:val="24"/>
        </w:rPr>
        <w:t xml:space="preserve">he most recent definition of Locker and Allen (2007) </w:t>
      </w:r>
      <w:r w:rsidR="003741AE" w:rsidRPr="00787196">
        <w:rPr>
          <w:rFonts w:cs="Arial"/>
          <w:szCs w:val="24"/>
        </w:rPr>
        <w:t xml:space="preserve">differentiates </w:t>
      </w:r>
      <w:r w:rsidR="00220739" w:rsidRPr="00787196">
        <w:rPr>
          <w:rFonts w:cs="Arial"/>
          <w:szCs w:val="24"/>
        </w:rPr>
        <w:t xml:space="preserve">between oral health status </w:t>
      </w:r>
      <w:r w:rsidR="003741AE" w:rsidRPr="00787196">
        <w:rPr>
          <w:rFonts w:cs="Arial"/>
          <w:szCs w:val="24"/>
        </w:rPr>
        <w:t xml:space="preserve">on a subjective level </w:t>
      </w:r>
      <w:r w:rsidR="004314BA" w:rsidRPr="00787196">
        <w:rPr>
          <w:rFonts w:cs="Arial"/>
          <w:szCs w:val="24"/>
        </w:rPr>
        <w:t>and evaluation</w:t>
      </w:r>
      <w:r w:rsidR="00220739" w:rsidRPr="00787196">
        <w:rPr>
          <w:rFonts w:cs="Arial"/>
          <w:szCs w:val="24"/>
        </w:rPr>
        <w:t xml:space="preserve"> of oral health status</w:t>
      </w:r>
      <w:r w:rsidR="003741AE" w:rsidRPr="00787196">
        <w:rPr>
          <w:rFonts w:cs="Arial"/>
          <w:szCs w:val="24"/>
        </w:rPr>
        <w:t xml:space="preserve"> on a subjective level (</w:t>
      </w:r>
      <w:r w:rsidR="00DB4B28" w:rsidRPr="00787196">
        <w:rPr>
          <w:rFonts w:cs="Arial"/>
          <w:szCs w:val="24"/>
        </w:rPr>
        <w:t>i.e.</w:t>
      </w:r>
      <w:r w:rsidR="003741AE" w:rsidRPr="00787196">
        <w:rPr>
          <w:rFonts w:cs="Arial"/>
          <w:szCs w:val="24"/>
        </w:rPr>
        <w:t>) OHQoL</w:t>
      </w:r>
      <w:r w:rsidR="00220739" w:rsidRPr="00787196">
        <w:rPr>
          <w:rFonts w:cs="Arial"/>
          <w:szCs w:val="24"/>
        </w:rPr>
        <w:t xml:space="preserve">. </w:t>
      </w:r>
    </w:p>
    <w:p w14:paraId="685FE086" w14:textId="3511FAD7" w:rsidR="00220739" w:rsidRPr="00787196" w:rsidRDefault="00220739" w:rsidP="00965A66">
      <w:pPr>
        <w:rPr>
          <w:rFonts w:cs="Arial"/>
          <w:szCs w:val="24"/>
        </w:rPr>
      </w:pPr>
      <w:r w:rsidRPr="00787196">
        <w:rPr>
          <w:rFonts w:cs="Arial"/>
          <w:szCs w:val="24"/>
        </w:rPr>
        <w:t>They defined</w:t>
      </w:r>
      <w:r w:rsidR="007F29F0" w:rsidRPr="00787196">
        <w:rPr>
          <w:rFonts w:cs="Arial"/>
          <w:szCs w:val="24"/>
        </w:rPr>
        <w:t xml:space="preserve"> OHQoL </w:t>
      </w:r>
      <w:r w:rsidRPr="00787196">
        <w:rPr>
          <w:rFonts w:cs="Arial"/>
          <w:szCs w:val="24"/>
        </w:rPr>
        <w:t xml:space="preserve">as “ </w:t>
      </w:r>
      <w:r w:rsidRPr="00787196">
        <w:rPr>
          <w:rFonts w:cs="Arial"/>
          <w:i/>
          <w:szCs w:val="24"/>
        </w:rPr>
        <w:t>the impact of oral disease and disorders on aspects of everyday life that a patient or person values, that are of sufficient magnitude, in terms of frequency, severity or duration to affect their experience and perception of their life overall” (p.409)</w:t>
      </w:r>
      <w:r w:rsidRPr="00787196">
        <w:rPr>
          <w:rFonts w:cs="Arial"/>
          <w:szCs w:val="24"/>
        </w:rPr>
        <w:t xml:space="preserve"> </w:t>
      </w:r>
      <w:r w:rsidRPr="00787196">
        <w:rPr>
          <w:rFonts w:cs="Arial"/>
          <w:szCs w:val="24"/>
        </w:rPr>
        <w:fldChar w:fldCharType="begin"/>
      </w:r>
      <w:r w:rsidR="00AF47F6" w:rsidRPr="00787196">
        <w:rPr>
          <w:rFonts w:cs="Arial"/>
          <w:szCs w:val="24"/>
        </w:rPr>
        <w:instrText xml:space="preserve"> ADDIN EN.CITE &lt;EndNote&gt;&lt;Cite&gt;&lt;Author&gt;Locker&lt;/Author&gt;&lt;Year&gt;2007&lt;/Year&gt;&lt;RecNum&gt;0&lt;/RecNum&gt;&lt;IDText&gt;What do measures of &amp;apos;oral health-related quality of life&amp;apos; measure?&lt;/IDText&gt;&lt;DisplayText&gt;(Locker and Allen, 2007)&lt;/DisplayText&gt;&lt;record&gt;&lt;dates&gt;&lt;pub-dates&gt;&lt;date&gt;Dec&lt;/date&gt;&lt;/pub-dates&gt;&lt;year&gt;2007&lt;/year&gt;&lt;/dates&gt;&lt;keywords&gt;&lt;keyword&gt;Activities of Daily Living&lt;/keyword&gt;&lt;keyword&gt;Adolescent&lt;/keyword&gt;&lt;keyword&gt;Aged&lt;/keyword&gt;&lt;keyword&gt;Child&lt;/keyword&gt;&lt;keyword&gt;Child Welfare/psychology&lt;/keyword&gt;&lt;keyword&gt;Evaluation Studies as Topic&lt;/keyword&gt;&lt;keyword&gt;Geriatric Assessment&lt;/keyword&gt;&lt;keyword&gt;Health Status Indicators&lt;/keyword&gt;&lt;keyword&gt;Humans&lt;/keyword&gt;&lt;keyword&gt;Oral Health/*standards&lt;/keyword&gt;&lt;keyword&gt;*Quality of Life&lt;/keyword&gt;&lt;keyword&gt;Questionnaires&lt;/keyword&gt;&lt;keyword&gt;Self-Assessment&lt;/keyword&gt;&lt;keyword&gt;Sickness Impact Profile&lt;/keyword&gt;&lt;keyword&gt;Terminology as Topic&lt;/keyword&gt;&lt;/keywords&gt;&lt;isbn&gt;0301-5661&lt;/isbn&gt;&lt;titles&gt;&lt;title&gt;What do measures of &amp;apos;oral health-related quality of life&amp;apos; measure?&lt;/title&gt;&lt;secondary-title&gt;Community Dentistry and Oral Epidemiology&lt;/secondary-title&gt;&lt;alt-title&gt;Community dentistry and oral epidemiology&lt;/alt-title&gt;&lt;/titles&gt;&lt;pages&gt;401-11&lt;/pages&gt;&lt;number&gt;6&lt;/number&gt;&lt;contributors&gt;&lt;authors&gt;&lt;author&gt;Locker, D.&lt;/author&gt;&lt;author&gt;Allen, F.&lt;/author&gt;&lt;/authors&gt;&lt;/contributors&gt;&lt;edition&gt;2007/11/28&lt;/edition&gt;&lt;language&gt;eng&lt;/language&gt;&lt;added-date format="utc"&gt;1372666412&lt;/added-date&gt;&lt;ref-type name="Journal Article"&gt;17&lt;/ref-type&gt;&lt;auth-address&gt;Community Dental Health Services Research Unit, Faculty of Dentistry, University of Toronto, Canada. david.locker@utoronto.ca&lt;/auth-address&gt;&lt;remote-database-provider&gt;Nlm&lt;/remote-database-provider&gt;&lt;rec-number&gt;821&lt;/rec-number&gt;&lt;last-updated-date format="utc"&gt;1483574475&lt;/last-updated-date&gt;&lt;accession-num&gt;18039281&lt;/accession-num&gt;&lt;electronic-resource-num&gt;10.1111/j.1600-0528.2007.00418.x&lt;/electronic-resource-num&gt;&lt;volume&gt;35(6)&lt;/volume&gt;&lt;/record&gt;&lt;/Cite&gt;&lt;/EndNote&gt;</w:instrText>
      </w:r>
      <w:r w:rsidRPr="00787196">
        <w:rPr>
          <w:rFonts w:cs="Arial"/>
          <w:szCs w:val="24"/>
        </w:rPr>
        <w:fldChar w:fldCharType="separate"/>
      </w:r>
      <w:r w:rsidR="006F6192" w:rsidRPr="00787196">
        <w:rPr>
          <w:rFonts w:cs="Arial"/>
          <w:noProof/>
          <w:szCs w:val="24"/>
        </w:rPr>
        <w:t>(Locker and Allen, 2007)</w:t>
      </w:r>
      <w:r w:rsidRPr="00787196">
        <w:rPr>
          <w:rFonts w:cs="Arial"/>
          <w:szCs w:val="24"/>
        </w:rPr>
        <w:fldChar w:fldCharType="end"/>
      </w:r>
    </w:p>
    <w:p w14:paraId="41355A22" w14:textId="4947964F" w:rsidR="00220739" w:rsidRPr="00787196" w:rsidRDefault="00220739" w:rsidP="00DA59AF">
      <w:pPr>
        <w:rPr>
          <w:rFonts w:cs="Arial"/>
          <w:szCs w:val="24"/>
        </w:rPr>
      </w:pPr>
      <w:r w:rsidRPr="00787196">
        <w:rPr>
          <w:rFonts w:cs="Arial"/>
          <w:szCs w:val="24"/>
        </w:rPr>
        <w:t xml:space="preserve">The above definition of OHQoL </w:t>
      </w:r>
      <w:r w:rsidR="00236F15" w:rsidRPr="00787196">
        <w:rPr>
          <w:rFonts w:cs="Arial"/>
          <w:szCs w:val="24"/>
        </w:rPr>
        <w:t>is the</w:t>
      </w:r>
      <w:r w:rsidR="00E23428" w:rsidRPr="00787196">
        <w:rPr>
          <w:rFonts w:cs="Arial"/>
          <w:szCs w:val="24"/>
        </w:rPr>
        <w:t xml:space="preserve"> most </w:t>
      </w:r>
      <w:r w:rsidRPr="00787196">
        <w:rPr>
          <w:rFonts w:cs="Arial"/>
          <w:szCs w:val="24"/>
        </w:rPr>
        <w:t>compatible and relevant to this study</w:t>
      </w:r>
      <w:r w:rsidR="00E23428" w:rsidRPr="00787196">
        <w:rPr>
          <w:rFonts w:cs="Arial"/>
          <w:szCs w:val="24"/>
        </w:rPr>
        <w:t xml:space="preserve"> as it </w:t>
      </w:r>
      <w:r w:rsidR="00DA59AF" w:rsidRPr="00787196">
        <w:rPr>
          <w:rFonts w:cs="Arial"/>
          <w:szCs w:val="24"/>
        </w:rPr>
        <w:t>links</w:t>
      </w:r>
      <w:r w:rsidR="00DA59AF" w:rsidRPr="00787196">
        <w:rPr>
          <w:rFonts w:cs="Arial"/>
          <w:lang w:val="en-US"/>
        </w:rPr>
        <w:t xml:space="preserve"> subjective health status, oral health and OHQoL. </w:t>
      </w:r>
    </w:p>
    <w:p w14:paraId="030BAB85" w14:textId="5D7B278F" w:rsidR="002F1254" w:rsidRPr="00787196" w:rsidRDefault="002F1254" w:rsidP="00226A04">
      <w:pPr>
        <w:pStyle w:val="Heading4"/>
        <w:rPr>
          <w:rStyle w:val="apple-style-span"/>
        </w:rPr>
      </w:pPr>
      <w:r w:rsidRPr="00787196">
        <w:rPr>
          <w:rStyle w:val="apple-style-span"/>
        </w:rPr>
        <w:lastRenderedPageBreak/>
        <w:t>Applications and potential uses of HRQoL and OHQoL instruments</w:t>
      </w:r>
    </w:p>
    <w:p w14:paraId="71BFBB2B" w14:textId="62D6AC2B" w:rsidR="002F1254" w:rsidRPr="00787196" w:rsidRDefault="003741AE" w:rsidP="00DA59AF">
      <w:pPr>
        <w:pStyle w:val="NormalWeb"/>
        <w:spacing w:before="240" w:beforeAutospacing="0" w:after="240" w:afterAutospacing="0" w:line="360" w:lineRule="auto"/>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 xml:space="preserve">Many studies have suggested the importance and the </w:t>
      </w:r>
      <w:r w:rsidR="002F1254" w:rsidRPr="00787196">
        <w:rPr>
          <w:rStyle w:val="apple-style-span"/>
          <w:rFonts w:ascii="Arial" w:hAnsi="Arial" w:cs="Arial"/>
          <w:shd w:val="clear" w:color="auto" w:fill="FFFFFF"/>
          <w:lang w:val="en-GB"/>
        </w:rPr>
        <w:t>use</w:t>
      </w:r>
      <w:r w:rsidR="00DA59AF" w:rsidRPr="00787196">
        <w:rPr>
          <w:rStyle w:val="apple-style-span"/>
          <w:rFonts w:ascii="Arial" w:hAnsi="Arial" w:cs="Arial"/>
          <w:shd w:val="clear" w:color="auto" w:fill="FFFFFF"/>
          <w:lang w:val="en-GB"/>
        </w:rPr>
        <w:t>s</w:t>
      </w:r>
      <w:r w:rsidR="002F1254" w:rsidRPr="00787196">
        <w:rPr>
          <w:rStyle w:val="apple-style-span"/>
          <w:rFonts w:ascii="Arial" w:hAnsi="Arial" w:cs="Arial"/>
          <w:shd w:val="clear" w:color="auto" w:fill="FFFFFF"/>
          <w:lang w:val="en-GB"/>
        </w:rPr>
        <w:t xml:space="preserve"> of </w:t>
      </w:r>
      <w:r w:rsidR="002F1254" w:rsidRPr="00787196">
        <w:rPr>
          <w:rStyle w:val="apple-style-span"/>
          <w:rFonts w:ascii="Arial" w:hAnsi="Arial" w:cs="Arial"/>
          <w:shd w:val="clear" w:color="auto" w:fill="FFFFFF"/>
          <w:lang w:val="en-GB"/>
        </w:rPr>
        <w:fldChar w:fldCharType="begin">
          <w:fldData xml:space="preserve">PEVuZE5vdGU+PENpdGU+PEF1dGhvcj5Mb2NrZXI8L0F1dGhvcj48WWVhcj4xOTk2PC9ZZWFyPjxS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</w:fldData>
        </w:fldChar>
      </w:r>
      <w:r w:rsidR="00232C36" w:rsidRPr="00787196">
        <w:rPr>
          <w:rStyle w:val="apple-style-span"/>
          <w:rFonts w:ascii="Arial" w:hAnsi="Arial" w:cs="Arial"/>
          <w:shd w:val="clear" w:color="auto" w:fill="FFFFFF"/>
          <w:lang w:val="en-GB"/>
        </w:rPr>
        <w:instrText xml:space="preserve"> ADDIN EN.CITE </w:instrText>
      </w:r>
      <w:r w:rsidR="00232C36" w:rsidRPr="00787196">
        <w:rPr>
          <w:rStyle w:val="apple-style-span"/>
          <w:rFonts w:ascii="Arial" w:hAnsi="Arial" w:cs="Arial"/>
          <w:shd w:val="clear" w:color="auto" w:fill="FFFFFF"/>
          <w:lang w:val="en-GB"/>
        </w:rPr>
        <w:fldChar w:fldCharType="begin">
          <w:fldData xml:space="preserve">PEVuZE5vdGU+PENpdGU+PEF1dGhvcj5Mb2NrZXI8L0F1dGhvcj48WWVhcj4xOTk2PC9ZZWFyPjxS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</w:fldData>
        </w:fldChar>
      </w:r>
      <w:r w:rsidR="00232C36" w:rsidRPr="00787196">
        <w:rPr>
          <w:rStyle w:val="apple-style-span"/>
          <w:rFonts w:ascii="Arial" w:hAnsi="Arial" w:cs="Arial"/>
          <w:shd w:val="clear" w:color="auto" w:fill="FFFFFF"/>
          <w:lang w:val="en-GB"/>
        </w:rPr>
        <w:instrText xml:space="preserve"> ADDIN EN.CITE.DATA </w:instrText>
      </w:r>
      <w:r w:rsidR="00232C36" w:rsidRPr="00787196">
        <w:rPr>
          <w:rStyle w:val="apple-style-span"/>
          <w:rFonts w:ascii="Arial" w:hAnsi="Arial" w:cs="Arial"/>
          <w:shd w:val="clear" w:color="auto" w:fill="FFFFFF"/>
          <w:lang w:val="en-GB"/>
        </w:rPr>
      </w:r>
      <w:r w:rsidR="00232C36" w:rsidRPr="00787196">
        <w:rPr>
          <w:rStyle w:val="apple-style-span"/>
          <w:rFonts w:ascii="Arial" w:hAnsi="Arial" w:cs="Arial"/>
          <w:shd w:val="clear" w:color="auto" w:fill="FFFFFF"/>
          <w:lang w:val="en-GB"/>
        </w:rPr>
        <w:fldChar w:fldCharType="end"/>
      </w:r>
      <w:r w:rsidR="002F1254" w:rsidRPr="00787196">
        <w:rPr>
          <w:rStyle w:val="apple-style-span"/>
          <w:rFonts w:ascii="Arial" w:hAnsi="Arial" w:cs="Arial"/>
          <w:shd w:val="clear" w:color="auto" w:fill="FFFFFF"/>
          <w:lang w:val="en-GB"/>
        </w:rPr>
      </w:r>
      <w:r w:rsidR="002F1254" w:rsidRPr="00787196">
        <w:rPr>
          <w:rStyle w:val="apple-style-span"/>
          <w:rFonts w:ascii="Arial" w:hAnsi="Arial" w:cs="Arial"/>
          <w:shd w:val="clear" w:color="auto" w:fill="FFFFFF"/>
          <w:lang w:val="en-GB"/>
        </w:rPr>
        <w:fldChar w:fldCharType="separate"/>
      </w:r>
      <w:r w:rsidR="00232C36" w:rsidRPr="00787196">
        <w:rPr>
          <w:rStyle w:val="apple-style-span"/>
          <w:rFonts w:ascii="Arial" w:hAnsi="Arial" w:cs="Arial"/>
          <w:shd w:val="clear" w:color="auto" w:fill="FFFFFF"/>
          <w:lang w:val="en-GB"/>
        </w:rPr>
        <w:t>(Locker, 1996, Fayers and Machin, 2000, Khanna and Tsevat, 2007)</w:t>
      </w:r>
      <w:r w:rsidR="002F1254" w:rsidRPr="00787196">
        <w:rPr>
          <w:rStyle w:val="apple-style-span"/>
          <w:rFonts w:ascii="Arial" w:hAnsi="Arial" w:cs="Arial"/>
          <w:shd w:val="clear" w:color="auto" w:fill="FFFFFF"/>
          <w:lang w:val="en-GB"/>
        </w:rPr>
        <w:fldChar w:fldCharType="end"/>
      </w:r>
      <w:r w:rsidRPr="00787196">
        <w:rPr>
          <w:rStyle w:val="apple-style-span"/>
          <w:rFonts w:ascii="Arial" w:hAnsi="Arial" w:cs="Arial"/>
          <w:shd w:val="clear" w:color="auto" w:fill="FFFFFF"/>
          <w:lang w:val="en-GB"/>
        </w:rPr>
        <w:t xml:space="preserve">. Robinson and colleagues (2003) </w:t>
      </w:r>
      <w:r w:rsidR="002F1254" w:rsidRPr="00787196">
        <w:rPr>
          <w:rStyle w:val="apple-style-span"/>
          <w:rFonts w:ascii="Arial" w:hAnsi="Arial" w:cs="Arial"/>
          <w:shd w:val="clear" w:color="auto" w:fill="FFFFFF"/>
          <w:lang w:val="en-GB"/>
        </w:rPr>
        <w:t>summari</w:t>
      </w:r>
      <w:r w:rsidRPr="00787196">
        <w:rPr>
          <w:rStyle w:val="apple-style-span"/>
          <w:rFonts w:ascii="Arial" w:hAnsi="Arial" w:cs="Arial"/>
          <w:shd w:val="clear" w:color="auto" w:fill="FFFFFF"/>
          <w:lang w:val="en-GB"/>
        </w:rPr>
        <w:t>sed the uses of OHQoL under various categories as tabulated in Table 2-1</w:t>
      </w:r>
      <w:r w:rsidR="002F1254" w:rsidRPr="00787196">
        <w:rPr>
          <w:rStyle w:val="apple-style-span"/>
          <w:rFonts w:ascii="Arial" w:hAnsi="Arial" w:cs="Arial"/>
          <w:shd w:val="clear" w:color="auto" w:fill="FFFFFF"/>
          <w:lang w:val="en-GB"/>
        </w:rPr>
        <w:t>.</w:t>
      </w:r>
    </w:p>
    <w:p w14:paraId="41B239F7" w14:textId="1A88BA60" w:rsidR="008A2429" w:rsidRPr="00787196" w:rsidRDefault="00BD6316" w:rsidP="00DA59AF">
      <w:pPr>
        <w:pStyle w:val="NormalWeb"/>
        <w:spacing w:before="240" w:beforeAutospacing="0" w:after="240" w:afterAutospacing="0" w:line="360" w:lineRule="auto"/>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 xml:space="preserve">Public health policies and allocating resources of health based on evidence can be planned using </w:t>
      </w:r>
      <w:r w:rsidR="002F1254" w:rsidRPr="00787196">
        <w:rPr>
          <w:rStyle w:val="apple-style-span"/>
          <w:rFonts w:ascii="Arial" w:hAnsi="Arial" w:cs="Arial"/>
          <w:shd w:val="clear" w:color="auto" w:fill="FFFFFF"/>
          <w:lang w:val="en-GB"/>
        </w:rPr>
        <w:t>H</w:t>
      </w:r>
      <w:r w:rsidRPr="00787196">
        <w:rPr>
          <w:rStyle w:val="apple-style-span"/>
          <w:rFonts w:ascii="Arial" w:hAnsi="Arial" w:cs="Arial"/>
          <w:shd w:val="clear" w:color="auto" w:fill="FFFFFF"/>
          <w:lang w:val="en-GB"/>
        </w:rPr>
        <w:t>R</w:t>
      </w:r>
      <w:r w:rsidR="002F1254" w:rsidRPr="00787196">
        <w:rPr>
          <w:rStyle w:val="apple-style-span"/>
          <w:rFonts w:ascii="Arial" w:hAnsi="Arial" w:cs="Arial"/>
          <w:shd w:val="clear" w:color="auto" w:fill="FFFFFF"/>
          <w:lang w:val="en-GB"/>
        </w:rPr>
        <w:t>QoL</w:t>
      </w:r>
      <w:r w:rsidRPr="00787196">
        <w:rPr>
          <w:rStyle w:val="apple-style-span"/>
          <w:rFonts w:ascii="Arial" w:hAnsi="Arial" w:cs="Arial"/>
          <w:shd w:val="clear" w:color="auto" w:fill="FFFFFF"/>
          <w:lang w:val="en-GB"/>
        </w:rPr>
        <w:t xml:space="preserve"> measures</w:t>
      </w:r>
      <w:r w:rsidR="002F1254" w:rsidRPr="00787196">
        <w:rPr>
          <w:rStyle w:val="apple-style-span"/>
          <w:rFonts w:ascii="Arial" w:hAnsi="Arial" w:cs="Arial"/>
          <w:shd w:val="clear" w:color="auto" w:fill="FFFFFF"/>
          <w:lang w:val="en-GB"/>
        </w:rPr>
        <w:t xml:space="preserve"> </w:t>
      </w:r>
      <w:r w:rsidR="002F1254" w:rsidRPr="00787196">
        <w:rPr>
          <w:rStyle w:val="apple-style-span"/>
          <w:rFonts w:ascii="Arial" w:hAnsi="Arial" w:cs="Arial"/>
          <w:shd w:val="clear" w:color="auto" w:fill="FFFFFF"/>
          <w:lang w:val="en-GB"/>
        </w:rPr>
        <w:fldChar w:fldCharType="begin"/>
      </w:r>
      <w:r w:rsidR="00232C36" w:rsidRPr="00787196">
        <w:rPr>
          <w:rStyle w:val="apple-style-span"/>
          <w:rFonts w:ascii="Arial" w:hAnsi="Arial" w:cs="Arial"/>
          <w:shd w:val="clear" w:color="auto" w:fill="FFFFFF"/>
          <w:lang w:val="en-GB"/>
        </w:rPr>
        <w:instrText xml:space="preserve"> ADDIN EN.CITE &lt;EndNote&gt;&lt;Cite&gt;&lt;Author&gt;Guyatt&lt;/Author&gt;&lt;Year&gt;1993&lt;/Year&gt;&lt;RecNum&gt;630&lt;/RecNum&gt;&lt;DisplayText&gt;(Guyatt et al., 1993)&lt;/DisplayText&gt;&lt;record&gt;&lt;rec-number&gt;630&lt;/rec-number&gt;&lt;foreign-keys&gt;&lt;key app="EN" db-id="ptfsfw2e7fvv0we0zspxtffwpeaexrxpr2xs"&gt;630&lt;/key&gt;&lt;/foreign-keys&gt;&lt;ref-type name="Journal Article"&gt;17&lt;/ref-type&gt;&lt;contributors&gt;&lt;authors&gt;&lt;author&gt;Guyatt, Gordon H.&lt;/author&gt;&lt;author&gt;Feeny, David H.&lt;/author&gt;&lt;author&gt;Patrick, Donald L.&lt;/author&gt;&lt;/authors&gt;&lt;/contributors&gt;&lt;titles&gt;&lt;title&gt;Measuring Health-Related Quality of Life&lt;/title&gt;&lt;secondary-title&gt;Annals of Internal Medicine&lt;/secondary-title&gt;&lt;/titles&gt;&lt;periodical&gt;&lt;full-title&gt;Annals of Internal Medicine&lt;/full-title&gt;&lt;/periodical&gt;&lt;pages&gt;622-629&lt;/pages&gt;&lt;volume&gt;118&lt;/volume&gt;&lt;number&gt;8&lt;/number&gt;&lt;dates&gt;&lt;year&gt;1993&lt;/year&gt;&lt;pub-dates&gt;&lt;date&gt;April 15, 1993&lt;/date&gt;&lt;/pub-dates&gt;&lt;/dates&gt;&lt;urls&gt;&lt;related-urls&gt;&lt;url&gt;http://www.annals.org/content/118/8/622.abstract &lt;/url&gt;&lt;/related-urls&gt;&lt;/urls&gt;&lt;electronic-resource-num&gt;10.1059/0003-4819-118-8-199304150-00009&lt;/electronic-resource-num&gt;&lt;/record&gt;&lt;/Cite&gt;&lt;/EndNote&gt;</w:instrText>
      </w:r>
      <w:r w:rsidR="002F1254" w:rsidRPr="00787196">
        <w:rPr>
          <w:rStyle w:val="apple-style-span"/>
          <w:rFonts w:ascii="Arial" w:hAnsi="Arial" w:cs="Arial"/>
          <w:shd w:val="clear" w:color="auto" w:fill="FFFFFF"/>
          <w:lang w:val="en-GB"/>
        </w:rPr>
        <w:fldChar w:fldCharType="separate"/>
      </w:r>
      <w:r w:rsidR="00232C36" w:rsidRPr="00787196">
        <w:rPr>
          <w:rStyle w:val="apple-style-span"/>
          <w:rFonts w:ascii="Arial" w:hAnsi="Arial" w:cs="Arial"/>
          <w:shd w:val="clear" w:color="auto" w:fill="FFFFFF"/>
          <w:lang w:val="en-GB"/>
        </w:rPr>
        <w:t>(Guyatt et al., 1993)</w:t>
      </w:r>
      <w:r w:rsidR="002F1254" w:rsidRPr="00787196">
        <w:rPr>
          <w:rStyle w:val="apple-style-span"/>
          <w:rFonts w:ascii="Arial" w:hAnsi="Arial" w:cs="Arial"/>
          <w:shd w:val="clear" w:color="auto" w:fill="FFFFFF"/>
          <w:lang w:val="en-GB"/>
        </w:rPr>
        <w:fldChar w:fldCharType="end"/>
      </w:r>
      <w:r w:rsidR="00DA59AF" w:rsidRPr="00787196">
        <w:rPr>
          <w:rStyle w:val="apple-style-span"/>
          <w:rFonts w:ascii="Arial" w:hAnsi="Arial" w:cs="Arial"/>
          <w:shd w:val="clear" w:color="auto" w:fill="FFFFFF"/>
          <w:lang w:val="en-GB"/>
        </w:rPr>
        <w:t xml:space="preserve">. </w:t>
      </w:r>
      <w:r w:rsidRPr="00787196">
        <w:rPr>
          <w:rStyle w:val="apple-style-span"/>
          <w:rFonts w:ascii="Arial" w:hAnsi="Arial" w:cs="Arial"/>
          <w:shd w:val="clear" w:color="auto" w:fill="FFFFFF"/>
          <w:lang w:val="en-GB"/>
        </w:rPr>
        <w:t>Assistance in terms of</w:t>
      </w:r>
      <w:r w:rsidR="002F1254" w:rsidRPr="00787196">
        <w:rPr>
          <w:rFonts w:ascii="Arial" w:hAnsi="Arial" w:cs="Arial"/>
          <w:lang w:val="en-GB"/>
        </w:rPr>
        <w:t xml:space="preserve"> </w:t>
      </w:r>
      <w:r w:rsidR="006805D1" w:rsidRPr="00787196">
        <w:rPr>
          <w:rFonts w:ascii="Arial" w:hAnsi="Arial" w:cs="Arial"/>
          <w:lang w:val="en-GB"/>
        </w:rPr>
        <w:t xml:space="preserve">evaluating and </w:t>
      </w:r>
      <w:r w:rsidR="002F1254" w:rsidRPr="00787196">
        <w:rPr>
          <w:rStyle w:val="apple-style-span"/>
          <w:rFonts w:ascii="Arial" w:hAnsi="Arial" w:cs="Arial"/>
          <w:shd w:val="clear" w:color="auto" w:fill="FFFFFF"/>
          <w:lang w:val="en-GB"/>
        </w:rPr>
        <w:t xml:space="preserve">screening psychosocial </w:t>
      </w:r>
      <w:r w:rsidR="006805D1" w:rsidRPr="00787196">
        <w:rPr>
          <w:rStyle w:val="apple-style-span"/>
          <w:rFonts w:ascii="Arial" w:hAnsi="Arial" w:cs="Arial"/>
          <w:shd w:val="clear" w:color="auto" w:fill="FFFFFF"/>
          <w:lang w:val="en-GB"/>
        </w:rPr>
        <w:t>issues at a clinical level</w:t>
      </w:r>
      <w:r w:rsidR="002F1254" w:rsidRPr="00787196">
        <w:rPr>
          <w:rStyle w:val="apple-style-span"/>
          <w:rFonts w:ascii="Arial" w:hAnsi="Arial" w:cs="Arial"/>
          <w:shd w:val="clear" w:color="auto" w:fill="FFFFFF"/>
          <w:lang w:val="en-GB"/>
        </w:rPr>
        <w:t xml:space="preserve"> </w:t>
      </w:r>
      <w:r w:rsidR="002F1254" w:rsidRPr="00787196">
        <w:rPr>
          <w:rStyle w:val="apple-style-span"/>
          <w:rFonts w:ascii="Arial" w:hAnsi="Arial" w:cs="Arial"/>
          <w:shd w:val="clear" w:color="auto" w:fill="FFFFFF"/>
          <w:lang w:val="en-GB"/>
        </w:rPr>
        <w:fldChar w:fldCharType="begin"/>
      </w:r>
      <w:r w:rsidR="00232C36" w:rsidRPr="00787196">
        <w:rPr>
          <w:rStyle w:val="apple-style-span"/>
          <w:rFonts w:ascii="Arial" w:hAnsi="Arial" w:cs="Arial"/>
          <w:shd w:val="clear" w:color="auto" w:fill="FFFFFF"/>
          <w:lang w:val="en-GB"/>
        </w:rPr>
        <w:instrText xml:space="preserve"> ADDIN EN.CITE &lt;EndNote&gt;&lt;Cite&gt;&lt;Author&gt;Fitzpatrick&lt;/Author&gt;&lt;Year&gt;1992&lt;/Year&gt;&lt;RecNum&gt;640&lt;/RecNum&gt;&lt;DisplayText&gt;(Fitzpatrick et al., 1992)&lt;/DisplayText&gt;&lt;record&gt;&lt;rec-number&gt;640&lt;/rec-number&gt;&lt;foreign-keys&gt;&lt;key app="EN" db-id="ptfsfw2e7fvv0we0zspxtffwpeaexrxpr2xs"&gt;640&lt;/key&gt;&lt;/foreign-keys&gt;&lt;ref-type name="Journal Article"&gt;17&lt;/ref-type&gt;&lt;contributors&gt;&lt;authors&gt;&lt;author&gt;R. Fitzpatrick&lt;/author&gt;&lt;author&gt;A. Fletcher&lt;/author&gt;&lt;author&gt;S. Gore&lt;/author&gt;&lt;author&gt;D. Jones&lt;/author&gt;&lt;author&gt;D. Spiegelhalter&lt;/author&gt;&lt;author&gt;D. Cox&lt;/author&gt;&lt;/authors&gt;&lt;/contributors&gt;&lt;titles&gt;&lt;title&gt;Quality of life measures in health care. I: Applications and issues in assessment&lt;/title&gt;&lt;secondary-title&gt;BMJ&lt;/secondary-title&gt;&lt;/titles&gt;&lt;periodical&gt;&lt;full-title&gt;BMJ&lt;/full-title&gt;&lt;/periodical&gt;&lt;pages&gt;1074-1077&lt;/pages&gt;&lt;volume&gt;305&lt;/volume&gt;&lt;number&gt;6861&lt;/number&gt;&lt;dates&gt;&lt;year&gt;1992&lt;/year&gt;&lt;pub-dates&gt;&lt;date&gt;1992-10-31 00:00:00&lt;/date&gt;&lt;/pub-dates&gt;&lt;/dates&gt;&lt;urls&gt;&lt;pdf-urls&gt;&lt;url&gt;http://www.bmj.com/bmj/305/6861/1074.full.pdf &lt;/url&gt;&lt;/pdf-urls&gt;&lt;/urls&gt;&lt;electronic-resource-num&gt;10.1136/bmj.305.6861.1074&lt;/electronic-resource-num&gt;&lt;/record&gt;&lt;/Cite&gt;&lt;/EndNote&gt;</w:instrText>
      </w:r>
      <w:r w:rsidR="002F1254" w:rsidRPr="00787196">
        <w:rPr>
          <w:rStyle w:val="apple-style-span"/>
          <w:rFonts w:ascii="Arial" w:hAnsi="Arial" w:cs="Arial"/>
          <w:shd w:val="clear" w:color="auto" w:fill="FFFFFF"/>
          <w:lang w:val="en-GB"/>
        </w:rPr>
        <w:fldChar w:fldCharType="separate"/>
      </w:r>
      <w:r w:rsidR="00232C36" w:rsidRPr="00787196">
        <w:rPr>
          <w:rStyle w:val="apple-style-span"/>
          <w:rFonts w:ascii="Arial" w:hAnsi="Arial" w:cs="Arial"/>
          <w:shd w:val="clear" w:color="auto" w:fill="FFFFFF"/>
          <w:lang w:val="en-GB"/>
        </w:rPr>
        <w:t>(Fitzpatrick et al., 1992)</w:t>
      </w:r>
      <w:r w:rsidR="002F1254" w:rsidRPr="00787196">
        <w:rPr>
          <w:rStyle w:val="apple-style-span"/>
          <w:rFonts w:ascii="Arial" w:hAnsi="Arial" w:cs="Arial"/>
          <w:shd w:val="clear" w:color="auto" w:fill="FFFFFF"/>
          <w:lang w:val="en-GB"/>
        </w:rPr>
        <w:fldChar w:fldCharType="end"/>
      </w:r>
      <w:r w:rsidR="002F1254" w:rsidRPr="00787196">
        <w:rPr>
          <w:rStyle w:val="apple-style-span"/>
          <w:rFonts w:ascii="Arial" w:hAnsi="Arial" w:cs="Arial"/>
          <w:shd w:val="clear" w:color="auto" w:fill="FFFFFF"/>
          <w:lang w:val="en-GB"/>
        </w:rPr>
        <w:t xml:space="preserve"> and </w:t>
      </w:r>
      <w:r w:rsidR="006805D1" w:rsidRPr="00787196">
        <w:rPr>
          <w:rStyle w:val="apple-style-span"/>
          <w:rFonts w:ascii="Arial" w:hAnsi="Arial" w:cs="Arial"/>
          <w:shd w:val="clear" w:color="auto" w:fill="FFFFFF"/>
          <w:lang w:val="en-GB"/>
        </w:rPr>
        <w:t xml:space="preserve">also in terms of healthcare </w:t>
      </w:r>
      <w:r w:rsidR="002F1254" w:rsidRPr="00787196">
        <w:rPr>
          <w:rStyle w:val="apple-style-span"/>
          <w:rFonts w:ascii="Arial" w:hAnsi="Arial" w:cs="Arial"/>
          <w:shd w:val="clear" w:color="auto" w:fill="FFFFFF"/>
          <w:lang w:val="en-GB"/>
        </w:rPr>
        <w:t xml:space="preserve">outcomes </w:t>
      </w:r>
      <w:r w:rsidR="002F1254" w:rsidRPr="00787196">
        <w:rPr>
          <w:rStyle w:val="apple-style-span"/>
          <w:rFonts w:ascii="Arial" w:hAnsi="Arial" w:cs="Arial"/>
          <w:shd w:val="clear" w:color="auto" w:fill="FFFFFF"/>
          <w:lang w:val="en-GB"/>
        </w:rPr>
        <w:fldChar w:fldCharType="begin"/>
      </w:r>
      <w:r w:rsidR="002F1254" w:rsidRPr="00787196">
        <w:rPr>
          <w:rStyle w:val="apple-style-span"/>
          <w:rFonts w:ascii="Arial" w:hAnsi="Arial" w:cs="Arial"/>
          <w:shd w:val="clear" w:color="auto" w:fill="FFFFFF"/>
          <w:lang w:val="en-GB"/>
        </w:rPr>
        <w:instrText xml:space="preserve"> ADDIN EN.CITE &lt;EndNote&gt;&lt;Cite&gt;&lt;Author&gt;Fayers&lt;/Author&gt;&lt;Year&gt;2000&lt;/Year&gt;&lt;RecNum&gt;562&lt;/RecNum&gt;&lt;DisplayText&gt;(Fayers and Machin, 2000)&lt;/DisplayText&gt;&lt;record&gt;&lt;rec-number&gt;562&lt;/rec-number&gt;&lt;foreign-keys&gt;&lt;key app="EN" db-id="ptfsfw2e7fvv0we0zspxtffwpeaexrxpr2xs"&gt;562&lt;/key&gt;&lt;/foreign-keys&gt;&lt;ref-type name="Book"&gt;6&lt;/ref-type&gt;&lt;contributors&gt;&lt;authors&gt;&lt;author&gt;Peter M. Fayers&lt;/author&gt;&lt;author&gt;David Machin&lt;/author&gt;&lt;/authors&gt;&lt;/contributors&gt;&lt;titles&gt;&lt;title&gt;Quality of Life: Assessment, Analysis and Interpretation&lt;/title&gt;&lt;/titles&gt;&lt;keywords&gt;&lt;keyword&gt;quality of life&lt;/keyword&gt;&lt;keyword&gt;curative intent&lt;/keyword&gt;&lt;keyword&gt;palliative intent&lt;/keyword&gt;&lt;keyword&gt;generic instruments&lt;/keyword&gt;&lt;keyword&gt;disease-specific instruments&lt;/keyword&gt;&lt;keyword&gt;decision making&lt;/keyword&gt;&lt;keyword&gt;symptom relief&lt;/keyword&gt;&lt;keyword&gt;rehabilitation&lt;/keyword&gt;&lt;keyword&gt;patient&lt;/keyword&gt;&lt;/keywords&gt;&lt;dates&gt;&lt;year&gt;2000&lt;/year&gt;&lt;/dates&gt;&lt;pub-location&gt;Baffins Lane,Chichester, London&lt;/pub-location&gt;&lt;publisher&gt;John Wiley &amp;amp; Sons, Ltd&lt;/publisher&gt;&lt;urls&gt;&lt;related-urls&gt;&lt;url&gt;http://dx.doi.org/10.1002/0470846283.ch1 &lt;/url&gt;&lt;/related-urls&gt;&lt;/urls&gt;&lt;/record&gt;&lt;/Cite&gt;&lt;/EndNote&gt;</w:instrText>
      </w:r>
      <w:r w:rsidR="002F1254" w:rsidRPr="00787196">
        <w:rPr>
          <w:rStyle w:val="apple-style-span"/>
          <w:rFonts w:ascii="Arial" w:hAnsi="Arial" w:cs="Arial"/>
          <w:shd w:val="clear" w:color="auto" w:fill="FFFFFF"/>
          <w:lang w:val="en-GB"/>
        </w:rPr>
        <w:fldChar w:fldCharType="separate"/>
      </w:r>
      <w:r w:rsidR="002F1254" w:rsidRPr="00787196">
        <w:rPr>
          <w:rStyle w:val="apple-style-span"/>
          <w:rFonts w:ascii="Arial" w:hAnsi="Arial" w:cs="Arial"/>
          <w:shd w:val="clear" w:color="auto" w:fill="FFFFFF"/>
          <w:lang w:val="en-GB"/>
        </w:rPr>
        <w:t>(Fayers and Machin, 2000)</w:t>
      </w:r>
      <w:r w:rsidR="002F1254" w:rsidRPr="00787196">
        <w:rPr>
          <w:rStyle w:val="apple-style-span"/>
          <w:rFonts w:ascii="Arial" w:hAnsi="Arial" w:cs="Arial"/>
          <w:shd w:val="clear" w:color="auto" w:fill="FFFFFF"/>
          <w:lang w:val="en-GB"/>
        </w:rPr>
        <w:fldChar w:fldCharType="end"/>
      </w:r>
      <w:r w:rsidR="002F1254" w:rsidRPr="00787196">
        <w:rPr>
          <w:rStyle w:val="apple-style-span"/>
          <w:rFonts w:ascii="Arial" w:hAnsi="Arial" w:cs="Arial"/>
          <w:shd w:val="clear" w:color="auto" w:fill="FFFFFF"/>
          <w:lang w:val="en-GB"/>
        </w:rPr>
        <w:t xml:space="preserve"> and </w:t>
      </w:r>
      <w:r w:rsidR="00FB3567" w:rsidRPr="00787196">
        <w:rPr>
          <w:rStyle w:val="apple-style-span"/>
          <w:rFonts w:ascii="Arial" w:hAnsi="Arial" w:cs="Arial"/>
          <w:shd w:val="clear" w:color="auto" w:fill="FFFFFF"/>
          <w:lang w:val="en-GB"/>
        </w:rPr>
        <w:t xml:space="preserve">explore </w:t>
      </w:r>
      <w:r w:rsidR="002F1254" w:rsidRPr="00787196">
        <w:rPr>
          <w:rStyle w:val="apple-style-span"/>
          <w:rFonts w:ascii="Arial" w:hAnsi="Arial" w:cs="Arial"/>
          <w:shd w:val="clear" w:color="auto" w:fill="FFFFFF"/>
          <w:lang w:val="en-GB"/>
        </w:rPr>
        <w:t xml:space="preserve"> different pathways </w:t>
      </w:r>
      <w:r w:rsidR="00C5426C" w:rsidRPr="00787196">
        <w:rPr>
          <w:rStyle w:val="apple-style-span"/>
          <w:rFonts w:ascii="Arial" w:hAnsi="Arial" w:cs="Arial"/>
          <w:shd w:val="clear" w:color="auto" w:fill="FFFFFF"/>
          <w:lang w:val="en-GB"/>
        </w:rPr>
        <w:t xml:space="preserve">that influence </w:t>
      </w:r>
      <w:r w:rsidR="002F1254" w:rsidRPr="00787196">
        <w:rPr>
          <w:rStyle w:val="apple-style-span"/>
          <w:rFonts w:ascii="Arial" w:hAnsi="Arial" w:cs="Arial"/>
          <w:shd w:val="clear" w:color="auto" w:fill="FFFFFF"/>
          <w:lang w:val="en-GB"/>
        </w:rPr>
        <w:t xml:space="preserve">health </w:t>
      </w:r>
      <w:r w:rsidR="002F1254" w:rsidRPr="00787196">
        <w:rPr>
          <w:rStyle w:val="apple-style-span"/>
          <w:rFonts w:ascii="Arial" w:hAnsi="Arial" w:cs="Arial"/>
          <w:shd w:val="clear" w:color="auto" w:fill="FFFFFF"/>
          <w:lang w:val="en-GB"/>
        </w:rPr>
        <w:fldChar w:fldCharType="begin"/>
      </w:r>
      <w:r w:rsidR="002F1254" w:rsidRPr="00787196">
        <w:rPr>
          <w:rStyle w:val="apple-style-span"/>
          <w:rFonts w:ascii="Arial" w:hAnsi="Arial" w:cs="Arial"/>
          <w:shd w:val="clear" w:color="auto" w:fill="FFFFFF"/>
          <w:lang w:val="en-GB"/>
        </w:rPr>
        <w:instrText xml:space="preserve"> ADDIN EN.CITE &lt;EndNote&gt;&lt;Cite&gt;&lt;Author&gt;Locker&lt;/Author&gt;&lt;Year&gt;1996&lt;/Year&gt;&lt;RecNum&gt;603&lt;/RecNum&gt;&lt;DisplayText&gt;(Locker, 1996)&lt;/DisplayText&gt;&lt;record&gt;&lt;rec-number&gt;603&lt;/rec-number&gt;&lt;foreign-keys&gt;&lt;key app="EN" db-id="ptfsfw2e7fvv0we0zspxtffwpeaexrxpr2xs"&gt;603&lt;/key&gt;&lt;/foreign-keys&gt;&lt;ref-type name="Journal Article"&gt;17&lt;/ref-type&gt;&lt;contributors&gt;&lt;authors&gt;&lt;author&gt;Locker, D.&lt;/author&gt;&lt;/authors&gt;&lt;/contributors&gt;&lt;auth-address&gt;Faculty of Dentistry, University of Toronto, Ontario, Canada.&lt;/auth-address&gt;&lt;titles&gt;&lt;title&gt;Applications of self-reported assessments of oral health outcomes&lt;/title&gt;&lt;secondary-title&gt;Journal of dental education&lt;/secondary-title&gt;&lt;/titles&gt;&lt;periodical&gt;&lt;full-title&gt;Journal of dental education&lt;/full-title&gt;&lt;/periodical&gt;&lt;pages&gt;494-500&lt;/pages&gt;&lt;volume&gt;60&lt;/volume&gt;&lt;number&gt;6&lt;/number&gt;&lt;keywords&gt;&lt;keyword&gt;Attitude of Health Personnel&lt;/keyword&gt;&lt;keyword&gt;Dental Care&lt;/keyword&gt;&lt;keyword&gt;Dental Research&lt;/keyword&gt;&lt;keyword&gt;Dentist-Patient Relations&lt;/keyword&gt;&lt;keyword&gt;Health Services Needs and Demand&lt;/keyword&gt;&lt;keyword&gt;Health Status Indicators&lt;/keyword&gt;&lt;keyword&gt;Humans&lt;/keyword&gt;&lt;keyword&gt;Oral Health&lt;/keyword&gt;&lt;keyword&gt;Outcome Assessment (Health Care)&lt;/keyword&gt;&lt;keyword&gt;Professional Practice&lt;/keyword&gt;&lt;keyword&gt;Public Health&lt;/keyword&gt;&lt;keyword&gt;Self-Assessment&lt;/keyword&gt;&lt;/keywords&gt;&lt;dates&gt;&lt;year&gt;1996&lt;/year&gt;&lt;/dates&gt;&lt;urls&gt;&lt;related-urls&gt;&lt;url&gt;http://ukpmc.ac.uk/abstract/MED/8675810 &lt;/url&gt;&lt;/related-urls&gt;&lt;/urls&gt;&lt;/record&gt;&lt;/Cite&gt;&lt;/EndNote&gt;</w:instrText>
      </w:r>
      <w:r w:rsidR="002F1254" w:rsidRPr="00787196">
        <w:rPr>
          <w:rStyle w:val="apple-style-span"/>
          <w:rFonts w:ascii="Arial" w:hAnsi="Arial" w:cs="Arial"/>
          <w:shd w:val="clear" w:color="auto" w:fill="FFFFFF"/>
          <w:lang w:val="en-GB"/>
        </w:rPr>
        <w:fldChar w:fldCharType="separate"/>
      </w:r>
      <w:r w:rsidR="002F1254" w:rsidRPr="00787196">
        <w:rPr>
          <w:rStyle w:val="apple-style-span"/>
          <w:rFonts w:ascii="Arial" w:hAnsi="Arial" w:cs="Arial"/>
          <w:shd w:val="clear" w:color="auto" w:fill="FFFFFF"/>
          <w:lang w:val="en-GB"/>
        </w:rPr>
        <w:t>(Locker, 1996)</w:t>
      </w:r>
      <w:r w:rsidR="002F1254" w:rsidRPr="00787196">
        <w:rPr>
          <w:rStyle w:val="apple-style-span"/>
          <w:rFonts w:ascii="Arial" w:hAnsi="Arial" w:cs="Arial"/>
          <w:shd w:val="clear" w:color="auto" w:fill="FFFFFF"/>
          <w:lang w:val="en-GB"/>
        </w:rPr>
        <w:fldChar w:fldCharType="end"/>
      </w:r>
      <w:r w:rsidR="002F1254" w:rsidRPr="00787196">
        <w:rPr>
          <w:rStyle w:val="apple-style-span"/>
          <w:rFonts w:ascii="Arial" w:hAnsi="Arial" w:cs="Arial"/>
          <w:shd w:val="clear" w:color="auto" w:fill="FFFFFF"/>
          <w:lang w:val="en-GB"/>
        </w:rPr>
        <w:t xml:space="preserve">. </w:t>
      </w:r>
      <w:r w:rsidR="00FB3567" w:rsidRPr="00787196">
        <w:rPr>
          <w:rStyle w:val="apple-style-span"/>
          <w:rFonts w:ascii="Arial" w:hAnsi="Arial" w:cs="Arial"/>
          <w:shd w:val="clear" w:color="auto" w:fill="FFFFFF"/>
          <w:lang w:val="en-GB"/>
        </w:rPr>
        <w:t xml:space="preserve">They also help with </w:t>
      </w:r>
      <w:r w:rsidR="002F1254" w:rsidRPr="00787196">
        <w:rPr>
          <w:rStyle w:val="apple-style-span"/>
          <w:rFonts w:ascii="Arial" w:hAnsi="Arial" w:cs="Arial"/>
          <w:shd w:val="clear" w:color="auto" w:fill="FFFFFF"/>
          <w:lang w:val="en-GB"/>
        </w:rPr>
        <w:t>needs assessment and prioriti</w:t>
      </w:r>
      <w:r w:rsidR="00FB3567" w:rsidRPr="00787196">
        <w:rPr>
          <w:rStyle w:val="apple-style-span"/>
          <w:rFonts w:ascii="Arial" w:hAnsi="Arial" w:cs="Arial"/>
          <w:shd w:val="clear" w:color="auto" w:fill="FFFFFF"/>
          <w:lang w:val="en-GB"/>
        </w:rPr>
        <w:t>s</w:t>
      </w:r>
      <w:r w:rsidR="002F1254" w:rsidRPr="00787196">
        <w:rPr>
          <w:rStyle w:val="apple-style-span"/>
          <w:rFonts w:ascii="Arial" w:hAnsi="Arial" w:cs="Arial"/>
          <w:shd w:val="clear" w:color="auto" w:fill="FFFFFF"/>
          <w:lang w:val="en-GB"/>
        </w:rPr>
        <w:t>ation</w:t>
      </w:r>
      <w:r w:rsidR="00FB3567" w:rsidRPr="00787196">
        <w:rPr>
          <w:rStyle w:val="apple-style-span"/>
          <w:rFonts w:ascii="Arial" w:hAnsi="Arial" w:cs="Arial"/>
          <w:shd w:val="clear" w:color="auto" w:fill="FFFFFF"/>
          <w:lang w:val="en-GB"/>
        </w:rPr>
        <w:t xml:space="preserve"> of healthcare services</w:t>
      </w:r>
      <w:r w:rsidR="002F1254" w:rsidRPr="00787196">
        <w:rPr>
          <w:rStyle w:val="apple-style-span"/>
          <w:rFonts w:ascii="Arial" w:hAnsi="Arial" w:cs="Arial"/>
          <w:shd w:val="clear" w:color="auto" w:fill="FFFFFF"/>
          <w:lang w:val="en-GB"/>
        </w:rPr>
        <w:t xml:space="preserve"> </w:t>
      </w:r>
      <w:r w:rsidR="002F1254" w:rsidRPr="00787196">
        <w:rPr>
          <w:rStyle w:val="apple-style-span"/>
          <w:rFonts w:ascii="Arial" w:hAnsi="Arial" w:cs="Arial"/>
          <w:shd w:val="clear" w:color="auto" w:fill="FFFFFF"/>
          <w:lang w:val="en-GB"/>
        </w:rPr>
        <w:fldChar w:fldCharType="begin"/>
      </w:r>
      <w:r w:rsidR="00232C36" w:rsidRPr="00787196">
        <w:rPr>
          <w:rStyle w:val="apple-style-span"/>
          <w:rFonts w:ascii="Arial" w:hAnsi="Arial" w:cs="Arial"/>
          <w:shd w:val="clear" w:color="auto" w:fill="FFFFFF"/>
          <w:lang w:val="en-GB"/>
        </w:rPr>
        <w:instrText xml:space="preserve"> ADDIN EN.CITE &lt;EndNote&gt;&lt;Cite&gt;&lt;Author&gt;Gherunpong&lt;/Author&gt;&lt;Year&gt;2006&lt;/Year&gt;&lt;RecNum&gt;469&lt;/RecNum&gt;&lt;DisplayText&gt;(Gherunpong et al., 2006)&lt;/DisplayText&gt;&lt;record&gt;&lt;rec-number&gt;469&lt;/rec-number&gt;&lt;foreign-keys&gt;&lt;key app="EN" db-id="ptfsfw2e7fvv0we0zspxtffwpeaexrxpr2xs"&gt;469&lt;/key&gt;&lt;/foreign-keys&gt;&lt;ref-type name="Journal Article"&gt;17&lt;/ref-type&gt;&lt;contributors&gt;&lt;authors&gt;&lt;author&gt;Gherunpong, S.&lt;/author&gt;&lt;author&gt;Tsakos, G.&lt;/author&gt;&lt;author&gt;Sheiham, A.&lt;/author&gt;&lt;/authors&gt;&lt;/contributors&gt;&lt;titles&gt;&lt;title&gt;A sociodental approach to assessing dental needs of children: concept and models&lt;/title&gt;&lt;secondary-title&gt;International Journal of Paediatric Dentistry&lt;/secondary-title&gt;&lt;/titles&gt;&lt;periodical&gt;&lt;full-title&gt;International Journal of Paediatric Dentistry&lt;/full-title&gt;&lt;/periodical&gt;&lt;pages&gt;81-88&lt;/pages&gt;&lt;volume&gt;16&lt;/volume&gt;&lt;number&gt;2&lt;/number&gt;&lt;dates&gt;&lt;year&gt;2006&lt;/year&gt;&lt;/dates&gt;&lt;publisher&gt;Blackwell Science Ltd&lt;/publisher&gt;&lt;urls&gt;&lt;related-urls&gt;&lt;url&gt;http://dx.doi.org/10.1111/j.1365-263X.2006.00701.x &lt;/url&gt;&lt;/related-urls&gt;&lt;/urls&gt;&lt;/record&gt;&lt;/Cite&gt;&lt;/EndNote&gt;</w:instrText>
      </w:r>
      <w:r w:rsidR="002F1254" w:rsidRPr="00787196">
        <w:rPr>
          <w:rStyle w:val="apple-style-span"/>
          <w:rFonts w:ascii="Arial" w:hAnsi="Arial" w:cs="Arial"/>
          <w:shd w:val="clear" w:color="auto" w:fill="FFFFFF"/>
          <w:lang w:val="en-GB"/>
        </w:rPr>
        <w:fldChar w:fldCharType="separate"/>
      </w:r>
      <w:r w:rsidR="00232C36" w:rsidRPr="00787196">
        <w:rPr>
          <w:rStyle w:val="apple-style-span"/>
          <w:rFonts w:ascii="Arial" w:hAnsi="Arial" w:cs="Arial"/>
          <w:shd w:val="clear" w:color="auto" w:fill="FFFFFF"/>
          <w:lang w:val="en-GB"/>
        </w:rPr>
        <w:t>(Gherunpong et al., 2006)</w:t>
      </w:r>
      <w:r w:rsidR="002F1254" w:rsidRPr="00787196">
        <w:rPr>
          <w:rStyle w:val="apple-style-span"/>
          <w:rFonts w:ascii="Arial" w:hAnsi="Arial" w:cs="Arial"/>
          <w:shd w:val="clear" w:color="auto" w:fill="FFFFFF"/>
          <w:lang w:val="en-GB"/>
        </w:rPr>
        <w:fldChar w:fldCharType="end"/>
      </w:r>
      <w:r w:rsidR="002F1254" w:rsidRPr="00787196">
        <w:rPr>
          <w:rStyle w:val="apple-style-span"/>
          <w:rFonts w:ascii="Arial" w:hAnsi="Arial" w:cs="Arial"/>
          <w:shd w:val="clear" w:color="auto" w:fill="FFFFFF"/>
          <w:lang w:val="en-GB"/>
        </w:rPr>
        <w:t>.</w:t>
      </w:r>
    </w:p>
    <w:p w14:paraId="758D4160" w14:textId="77777777" w:rsidR="008A2429" w:rsidRPr="00787196" w:rsidRDefault="008A2429">
      <w:pPr>
        <w:spacing w:before="0" w:after="0" w:line="240" w:lineRule="auto"/>
        <w:jc w:val="left"/>
        <w:rPr>
          <w:rStyle w:val="apple-style-span"/>
          <w:rFonts w:eastAsia="Times New Roman" w:cs="Arial"/>
          <w:szCs w:val="24"/>
          <w:shd w:val="clear" w:color="auto" w:fill="FFFFFF"/>
          <w:lang w:eastAsia="en-US" w:bidi="hi-IN"/>
        </w:rPr>
      </w:pPr>
      <w:r w:rsidRPr="00787196">
        <w:rPr>
          <w:rStyle w:val="apple-style-span"/>
          <w:rFonts w:cs="Arial"/>
          <w:shd w:val="clear" w:color="auto" w:fill="FFFFFF"/>
        </w:rPr>
        <w:br w:type="page"/>
      </w:r>
    </w:p>
    <w:p w14:paraId="35EAC40A" w14:textId="77777777" w:rsidR="008A2429" w:rsidRPr="00787196" w:rsidRDefault="008A2429" w:rsidP="002F1254">
      <w:pPr>
        <w:pStyle w:val="NormalWeb"/>
        <w:spacing w:before="240" w:beforeAutospacing="0" w:after="240" w:afterAutospacing="0" w:line="360" w:lineRule="auto"/>
        <w:rPr>
          <w:rStyle w:val="apple-style-span"/>
          <w:rFonts w:ascii="Arial" w:hAnsi="Arial" w:cs="Arial"/>
          <w:shd w:val="clear" w:color="auto" w:fill="FFFFFF"/>
          <w:lang w:val="en-GB"/>
        </w:rPr>
      </w:pPr>
    </w:p>
    <w:p w14:paraId="368CDC77" w14:textId="18626359" w:rsidR="002F1254" w:rsidRPr="00787196" w:rsidRDefault="000332A1" w:rsidP="00743BDB">
      <w:pPr>
        <w:pStyle w:val="Caption"/>
        <w:keepNext/>
        <w:jc w:val="center"/>
        <w:rPr>
          <w:rStyle w:val="apple-style-span"/>
          <w:rFonts w:cs="Arial"/>
          <w:b/>
          <w:bCs/>
          <w:i w:val="0"/>
          <w:iCs w:val="0"/>
          <w:color w:val="auto"/>
          <w:sz w:val="24"/>
          <w:szCs w:val="24"/>
          <w:shd w:val="clear" w:color="auto" w:fill="FFFFFF"/>
        </w:rPr>
      </w:pPr>
      <w:bookmarkStart w:id="31" w:name="_Toc397681190"/>
      <w:bookmarkStart w:id="32" w:name="_Toc488655524"/>
      <w:r w:rsidRPr="00787196">
        <w:rPr>
          <w:b/>
          <w:bCs/>
          <w:i w:val="0"/>
          <w:iCs w:val="0"/>
          <w:color w:val="auto"/>
          <w:sz w:val="24"/>
          <w:szCs w:val="24"/>
        </w:rPr>
        <w:t xml:space="preserve">Table </w:t>
      </w:r>
      <w:r w:rsidRPr="00787196">
        <w:rPr>
          <w:b/>
          <w:bCs/>
          <w:i w:val="0"/>
          <w:iCs w:val="0"/>
          <w:color w:val="auto"/>
          <w:sz w:val="24"/>
          <w:szCs w:val="24"/>
        </w:rPr>
        <w:fldChar w:fldCharType="begin"/>
      </w:r>
      <w:r w:rsidRPr="00787196">
        <w:rPr>
          <w:b/>
          <w:bCs/>
          <w:i w:val="0"/>
          <w:iCs w:val="0"/>
          <w:color w:val="auto"/>
          <w:sz w:val="24"/>
          <w:szCs w:val="24"/>
        </w:rPr>
        <w:instrText xml:space="preserve"> STYLEREF 1 \s </w:instrText>
      </w:r>
      <w:r w:rsidRPr="00787196">
        <w:rPr>
          <w:b/>
          <w:bCs/>
          <w:i w:val="0"/>
          <w:iCs w:val="0"/>
          <w:color w:val="auto"/>
          <w:sz w:val="24"/>
          <w:szCs w:val="24"/>
        </w:rPr>
        <w:fldChar w:fldCharType="separate"/>
      </w:r>
      <w:r w:rsidR="00C069BC" w:rsidRPr="00787196">
        <w:rPr>
          <w:b/>
          <w:bCs/>
          <w:i w:val="0"/>
          <w:iCs w:val="0"/>
          <w:noProof/>
          <w:color w:val="auto"/>
          <w:sz w:val="24"/>
          <w:szCs w:val="24"/>
        </w:rPr>
        <w:t>2</w:t>
      </w:r>
      <w:r w:rsidRPr="00787196">
        <w:rPr>
          <w:b/>
          <w:bCs/>
          <w:i w:val="0"/>
          <w:iCs w:val="0"/>
          <w:color w:val="auto"/>
          <w:sz w:val="24"/>
          <w:szCs w:val="24"/>
        </w:rPr>
        <w:fldChar w:fldCharType="end"/>
      </w:r>
      <w:r w:rsidRPr="00787196">
        <w:rPr>
          <w:b/>
          <w:bCs/>
          <w:i w:val="0"/>
          <w:iCs w:val="0"/>
          <w:color w:val="auto"/>
          <w:sz w:val="24"/>
          <w:szCs w:val="24"/>
        </w:rPr>
        <w:noBreakHyphen/>
      </w:r>
      <w:r w:rsidRPr="00787196">
        <w:rPr>
          <w:b/>
          <w:bCs/>
          <w:i w:val="0"/>
          <w:iCs w:val="0"/>
          <w:color w:val="auto"/>
          <w:sz w:val="24"/>
          <w:szCs w:val="24"/>
        </w:rPr>
        <w:fldChar w:fldCharType="begin"/>
      </w:r>
      <w:r w:rsidRPr="00787196">
        <w:rPr>
          <w:b/>
          <w:bCs/>
          <w:i w:val="0"/>
          <w:iCs w:val="0"/>
          <w:color w:val="auto"/>
          <w:sz w:val="24"/>
          <w:szCs w:val="24"/>
        </w:rPr>
        <w:instrText xml:space="preserve"> SEQ Table \* ARABIC \s 1 </w:instrText>
      </w:r>
      <w:r w:rsidRPr="00787196">
        <w:rPr>
          <w:b/>
          <w:bCs/>
          <w:i w:val="0"/>
          <w:iCs w:val="0"/>
          <w:color w:val="auto"/>
          <w:sz w:val="24"/>
          <w:szCs w:val="24"/>
        </w:rPr>
        <w:fldChar w:fldCharType="separate"/>
      </w:r>
      <w:r w:rsidR="00C069BC" w:rsidRPr="00787196">
        <w:rPr>
          <w:b/>
          <w:bCs/>
          <w:i w:val="0"/>
          <w:iCs w:val="0"/>
          <w:noProof/>
          <w:color w:val="auto"/>
          <w:sz w:val="24"/>
          <w:szCs w:val="24"/>
        </w:rPr>
        <w:t>1</w:t>
      </w:r>
      <w:r w:rsidRPr="00787196">
        <w:rPr>
          <w:b/>
          <w:bCs/>
          <w:i w:val="0"/>
          <w:iCs w:val="0"/>
          <w:color w:val="auto"/>
          <w:sz w:val="24"/>
          <w:szCs w:val="24"/>
        </w:rPr>
        <w:fldChar w:fldCharType="end"/>
      </w:r>
      <w:r w:rsidR="00743BDB" w:rsidRPr="00787196">
        <w:rPr>
          <w:b/>
          <w:bCs/>
          <w:i w:val="0"/>
          <w:iCs w:val="0"/>
          <w:color w:val="auto"/>
          <w:sz w:val="24"/>
          <w:szCs w:val="24"/>
        </w:rPr>
        <w:t xml:space="preserve"> Various inherent uses of HRQ</w:t>
      </w:r>
      <w:r w:rsidRPr="00787196">
        <w:rPr>
          <w:b/>
          <w:bCs/>
          <w:i w:val="0"/>
          <w:iCs w:val="0"/>
          <w:color w:val="auto"/>
          <w:sz w:val="24"/>
          <w:szCs w:val="24"/>
        </w:rPr>
        <w:t>oL/ OHQoL measures</w:t>
      </w:r>
      <w:bookmarkEnd w:id="31"/>
      <w:bookmarkEnd w:id="32"/>
    </w:p>
    <w:tbl>
      <w:tblPr>
        <w:tblStyle w:val="TableGrid"/>
        <w:tblW w:w="9064" w:type="dxa"/>
        <w:tblInd w:w="108" w:type="dxa"/>
        <w:tblLook w:val="04A0" w:firstRow="1" w:lastRow="0" w:firstColumn="1" w:lastColumn="0" w:noHBand="0" w:noVBand="1"/>
      </w:tblPr>
      <w:tblGrid>
        <w:gridCol w:w="1767"/>
        <w:gridCol w:w="7297"/>
      </w:tblGrid>
      <w:tr w:rsidR="002F1254" w:rsidRPr="00787196" w14:paraId="50FF1934" w14:textId="77777777" w:rsidTr="00C5426C">
        <w:trPr>
          <w:trHeight w:val="393"/>
        </w:trPr>
        <w:tc>
          <w:tcPr>
            <w:tcW w:w="1767" w:type="dxa"/>
            <w:vAlign w:val="center"/>
          </w:tcPr>
          <w:p w14:paraId="54F290A7" w14:textId="01D6294B" w:rsidR="002F1254" w:rsidRPr="00787196" w:rsidRDefault="00C5426C" w:rsidP="00C5426C">
            <w:pPr>
              <w:pStyle w:val="NormalWeb"/>
              <w:spacing w:before="0" w:beforeAutospacing="0" w:after="0" w:afterAutospacing="0"/>
              <w:jc w:val="center"/>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Areas</w:t>
            </w:r>
          </w:p>
        </w:tc>
        <w:tc>
          <w:tcPr>
            <w:tcW w:w="7297" w:type="dxa"/>
            <w:vAlign w:val="center"/>
          </w:tcPr>
          <w:p w14:paraId="78A4452F" w14:textId="22E6E4A3" w:rsidR="002F1254" w:rsidRPr="00787196" w:rsidRDefault="002F1254" w:rsidP="00C5426C">
            <w:pPr>
              <w:pStyle w:val="NormalWeb"/>
              <w:spacing w:before="0" w:beforeAutospacing="0" w:after="0" w:afterAutospacing="0"/>
              <w:jc w:val="center"/>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Potential uses</w:t>
            </w:r>
            <w:r w:rsidR="00C5426C" w:rsidRPr="00787196">
              <w:rPr>
                <w:rStyle w:val="apple-style-span"/>
                <w:rFonts w:ascii="Arial" w:hAnsi="Arial" w:cs="Arial"/>
                <w:shd w:val="clear" w:color="auto" w:fill="FFFFFF"/>
                <w:lang w:val="en-GB"/>
              </w:rPr>
              <w:t xml:space="preserve"> of HRQoL/ OHQoL</w:t>
            </w:r>
          </w:p>
        </w:tc>
      </w:tr>
      <w:tr w:rsidR="002F1254" w:rsidRPr="00787196" w14:paraId="29987789" w14:textId="77777777" w:rsidTr="00C5426C">
        <w:trPr>
          <w:trHeight w:val="675"/>
        </w:trPr>
        <w:tc>
          <w:tcPr>
            <w:tcW w:w="1767" w:type="dxa"/>
            <w:vAlign w:val="center"/>
          </w:tcPr>
          <w:p w14:paraId="6576C6C4" w14:textId="77777777" w:rsidR="002F1254" w:rsidRPr="00787196" w:rsidRDefault="002F1254" w:rsidP="00C5426C">
            <w:pPr>
              <w:pStyle w:val="NormalWeb"/>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Political</w:t>
            </w:r>
          </w:p>
        </w:tc>
        <w:tc>
          <w:tcPr>
            <w:tcW w:w="7297" w:type="dxa"/>
            <w:vAlign w:val="center"/>
          </w:tcPr>
          <w:p w14:paraId="548C68AC" w14:textId="163E3BF1" w:rsidR="002F1254" w:rsidRPr="00787196" w:rsidRDefault="002F1254" w:rsidP="00466EFC">
            <w:pPr>
              <w:pStyle w:val="NormalWeb"/>
              <w:numPr>
                <w:ilvl w:val="0"/>
                <w:numId w:val="32"/>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Planning public health policy</w:t>
            </w:r>
            <w:r w:rsidR="00C5426C" w:rsidRPr="00787196">
              <w:rPr>
                <w:rStyle w:val="apple-style-span"/>
                <w:rFonts w:ascii="Arial" w:hAnsi="Arial" w:cs="Arial"/>
                <w:shd w:val="clear" w:color="auto" w:fill="FFFFFF"/>
                <w:lang w:val="en-GB"/>
              </w:rPr>
              <w:t xml:space="preserve">, </w:t>
            </w:r>
            <w:r w:rsidRPr="00787196">
              <w:rPr>
                <w:rStyle w:val="apple-style-span"/>
                <w:rFonts w:ascii="Arial" w:hAnsi="Arial" w:cs="Arial"/>
                <w:shd w:val="clear" w:color="auto" w:fill="FFFFFF"/>
                <w:lang w:val="en-GB"/>
              </w:rPr>
              <w:t>resource allocation</w:t>
            </w:r>
          </w:p>
        </w:tc>
      </w:tr>
      <w:tr w:rsidR="002F1254" w:rsidRPr="00787196" w14:paraId="270ABEBC" w14:textId="77777777" w:rsidTr="00C5426C">
        <w:trPr>
          <w:trHeight w:val="563"/>
        </w:trPr>
        <w:tc>
          <w:tcPr>
            <w:tcW w:w="1767" w:type="dxa"/>
            <w:vAlign w:val="center"/>
          </w:tcPr>
          <w:p w14:paraId="592E8F92" w14:textId="77777777" w:rsidR="002F1254" w:rsidRPr="00787196" w:rsidRDefault="002F1254" w:rsidP="00C5426C">
            <w:pPr>
              <w:pStyle w:val="NormalWeb"/>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Clinical Uses</w:t>
            </w:r>
          </w:p>
        </w:tc>
        <w:tc>
          <w:tcPr>
            <w:tcW w:w="7297" w:type="dxa"/>
            <w:vAlign w:val="center"/>
          </w:tcPr>
          <w:p w14:paraId="6A46B4D8" w14:textId="77777777"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Communication tools</w:t>
            </w:r>
          </w:p>
          <w:p w14:paraId="3594B662" w14:textId="04C589A3"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Commissioning program</w:t>
            </w:r>
            <w:r w:rsidR="00C5426C" w:rsidRPr="00787196">
              <w:rPr>
                <w:rStyle w:val="apple-style-span"/>
                <w:rFonts w:ascii="Arial" w:hAnsi="Arial" w:cs="Arial"/>
                <w:shd w:val="clear" w:color="auto" w:fill="FFFFFF"/>
                <w:lang w:val="en-GB"/>
              </w:rPr>
              <w:t>me</w:t>
            </w:r>
            <w:r w:rsidRPr="00787196">
              <w:rPr>
                <w:rStyle w:val="apple-style-span"/>
                <w:rFonts w:ascii="Arial" w:hAnsi="Arial" w:cs="Arial"/>
                <w:shd w:val="clear" w:color="auto" w:fill="FFFFFF"/>
                <w:lang w:val="en-GB"/>
              </w:rPr>
              <w:t xml:space="preserve"> of care</w:t>
            </w:r>
          </w:p>
          <w:p w14:paraId="2525A75E" w14:textId="293DE9F7"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Evaluating intervention</w:t>
            </w:r>
            <w:r w:rsidR="00C5426C" w:rsidRPr="00787196">
              <w:rPr>
                <w:rStyle w:val="apple-style-span"/>
                <w:rFonts w:ascii="Arial" w:hAnsi="Arial" w:cs="Arial"/>
                <w:shd w:val="clear" w:color="auto" w:fill="FFFFFF"/>
                <w:lang w:val="en-GB"/>
              </w:rPr>
              <w:t>s</w:t>
            </w:r>
          </w:p>
          <w:p w14:paraId="30928BDA" w14:textId="3DE3248B"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Assessing the outcomes</w:t>
            </w:r>
            <w:r w:rsidR="00C5426C" w:rsidRPr="00787196">
              <w:rPr>
                <w:rStyle w:val="apple-style-span"/>
                <w:rFonts w:ascii="Arial" w:hAnsi="Arial" w:cs="Arial"/>
                <w:shd w:val="clear" w:color="auto" w:fill="FFFFFF"/>
                <w:lang w:val="en-GB"/>
              </w:rPr>
              <w:t xml:space="preserve"> in </w:t>
            </w:r>
            <w:r w:rsidRPr="00787196">
              <w:rPr>
                <w:rStyle w:val="apple-style-span"/>
                <w:rFonts w:ascii="Arial" w:hAnsi="Arial" w:cs="Arial"/>
                <w:shd w:val="clear" w:color="auto" w:fill="FFFFFF"/>
                <w:lang w:val="en-GB"/>
              </w:rPr>
              <w:t>new treatment</w:t>
            </w:r>
            <w:r w:rsidR="00C5426C" w:rsidRPr="00787196">
              <w:rPr>
                <w:rStyle w:val="apple-style-span"/>
                <w:rFonts w:ascii="Arial" w:hAnsi="Arial" w:cs="Arial"/>
                <w:shd w:val="clear" w:color="auto" w:fill="FFFFFF"/>
                <w:lang w:val="en-GB"/>
              </w:rPr>
              <w:t xml:space="preserve"> methods</w:t>
            </w:r>
          </w:p>
          <w:p w14:paraId="010C07B6" w14:textId="152B3D3B" w:rsidR="002F1254" w:rsidRPr="00787196" w:rsidRDefault="00F2555A"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Understanding patient’s point</w:t>
            </w:r>
            <w:r w:rsidR="002F1254" w:rsidRPr="00787196">
              <w:rPr>
                <w:rStyle w:val="apple-style-span"/>
                <w:rFonts w:ascii="Arial" w:hAnsi="Arial" w:cs="Arial"/>
                <w:shd w:val="clear" w:color="auto" w:fill="FFFFFF"/>
                <w:lang w:val="en-GB"/>
              </w:rPr>
              <w:t xml:space="preserve"> of view</w:t>
            </w:r>
          </w:p>
          <w:p w14:paraId="4590789B" w14:textId="141EC22D"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 xml:space="preserve">Screening </w:t>
            </w:r>
          </w:p>
          <w:p w14:paraId="526FA195" w14:textId="5ABB274D"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Identify</w:t>
            </w:r>
            <w:r w:rsidR="00C5426C" w:rsidRPr="00787196">
              <w:rPr>
                <w:rStyle w:val="apple-style-span"/>
                <w:rFonts w:ascii="Arial" w:hAnsi="Arial" w:cs="Arial"/>
                <w:shd w:val="clear" w:color="auto" w:fill="FFFFFF"/>
                <w:lang w:val="en-GB"/>
              </w:rPr>
              <w:t xml:space="preserve"> </w:t>
            </w:r>
            <w:r w:rsidRPr="00787196">
              <w:rPr>
                <w:rStyle w:val="apple-style-span"/>
                <w:rFonts w:ascii="Arial" w:hAnsi="Arial" w:cs="Arial"/>
                <w:shd w:val="clear" w:color="auto" w:fill="FFFFFF"/>
                <w:lang w:val="en-GB"/>
              </w:rPr>
              <w:t>and prioriti</w:t>
            </w:r>
            <w:r w:rsidR="00C5426C" w:rsidRPr="00787196">
              <w:rPr>
                <w:rStyle w:val="apple-style-span"/>
                <w:rFonts w:ascii="Arial" w:hAnsi="Arial" w:cs="Arial"/>
                <w:shd w:val="clear" w:color="auto" w:fill="FFFFFF"/>
                <w:lang w:val="en-GB"/>
              </w:rPr>
              <w:t xml:space="preserve">se </w:t>
            </w:r>
            <w:r w:rsidRPr="00787196">
              <w:rPr>
                <w:rStyle w:val="apple-style-span"/>
                <w:rFonts w:ascii="Arial" w:hAnsi="Arial" w:cs="Arial"/>
                <w:shd w:val="clear" w:color="auto" w:fill="FFFFFF"/>
                <w:lang w:val="en-GB"/>
              </w:rPr>
              <w:t>patient problems and preferences</w:t>
            </w:r>
          </w:p>
          <w:p w14:paraId="1F96BD2E" w14:textId="77777777"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Monitoring and evaluating individual patient care</w:t>
            </w:r>
          </w:p>
          <w:p w14:paraId="74E43E56" w14:textId="77777777"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Identifying which patients might benefit most from treatment</w:t>
            </w:r>
          </w:p>
          <w:p w14:paraId="73386505" w14:textId="252D9EAC"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Involv</w:t>
            </w:r>
            <w:r w:rsidR="00C5426C" w:rsidRPr="00787196">
              <w:rPr>
                <w:rStyle w:val="apple-style-span"/>
                <w:rFonts w:ascii="Arial" w:hAnsi="Arial" w:cs="Arial"/>
                <w:shd w:val="clear" w:color="auto" w:fill="FFFFFF"/>
                <w:lang w:val="en-GB"/>
              </w:rPr>
              <w:t xml:space="preserve">e </w:t>
            </w:r>
            <w:r w:rsidR="00F2555A" w:rsidRPr="00787196">
              <w:rPr>
                <w:rStyle w:val="apple-style-span"/>
                <w:rFonts w:ascii="Arial" w:hAnsi="Arial" w:cs="Arial"/>
                <w:shd w:val="clear" w:color="auto" w:fill="FFFFFF"/>
                <w:lang w:val="en-GB"/>
              </w:rPr>
              <w:t>patient’s</w:t>
            </w:r>
            <w:r w:rsidRPr="00787196">
              <w:rPr>
                <w:rStyle w:val="apple-style-span"/>
                <w:rFonts w:ascii="Arial" w:hAnsi="Arial" w:cs="Arial"/>
                <w:shd w:val="clear" w:color="auto" w:fill="FFFFFF"/>
                <w:lang w:val="en-GB"/>
              </w:rPr>
              <w:t xml:space="preserve"> perspectives in decision making &amp; self-care</w:t>
            </w:r>
          </w:p>
          <w:p w14:paraId="558873B7" w14:textId="06961BCD" w:rsidR="002F1254" w:rsidRPr="00787196" w:rsidRDefault="00C5426C"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w:t>
            </w:r>
            <w:r w:rsidR="002F1254" w:rsidRPr="00787196">
              <w:rPr>
                <w:rStyle w:val="apple-style-span"/>
                <w:rFonts w:ascii="Arial" w:hAnsi="Arial" w:cs="Arial"/>
                <w:shd w:val="clear" w:color="auto" w:fill="FFFFFF"/>
                <w:lang w:val="en-GB"/>
              </w:rPr>
              <w:t>redict outcomes in order to provide appropriate care</w:t>
            </w:r>
          </w:p>
          <w:p w14:paraId="6ECC19E8" w14:textId="77777777" w:rsidR="002F1254" w:rsidRPr="00787196" w:rsidRDefault="002F1254" w:rsidP="00C119A5">
            <w:pPr>
              <w:pStyle w:val="NormalWeb"/>
              <w:numPr>
                <w:ilvl w:val="0"/>
                <w:numId w:val="33"/>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Clinical Audit</w:t>
            </w:r>
          </w:p>
        </w:tc>
      </w:tr>
      <w:tr w:rsidR="002F1254" w:rsidRPr="00787196" w14:paraId="2CE46A34" w14:textId="77777777" w:rsidTr="00C5426C">
        <w:trPr>
          <w:trHeight w:val="486"/>
        </w:trPr>
        <w:tc>
          <w:tcPr>
            <w:tcW w:w="1767" w:type="dxa"/>
            <w:vAlign w:val="center"/>
          </w:tcPr>
          <w:p w14:paraId="624409E3" w14:textId="77777777" w:rsidR="002F1254" w:rsidRPr="00787196" w:rsidRDefault="002F1254" w:rsidP="00C5426C">
            <w:pPr>
              <w:pStyle w:val="NormalWeb"/>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Research</w:t>
            </w:r>
          </w:p>
        </w:tc>
        <w:tc>
          <w:tcPr>
            <w:tcW w:w="7297" w:type="dxa"/>
            <w:vAlign w:val="center"/>
          </w:tcPr>
          <w:p w14:paraId="673C3044" w14:textId="77777777"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Evaluating outcomes of health care interventions</w:t>
            </w:r>
          </w:p>
          <w:p w14:paraId="0B1482A3" w14:textId="1C795625"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Elucidat</w:t>
            </w:r>
            <w:r w:rsidR="00C5426C" w:rsidRPr="00787196">
              <w:rPr>
                <w:rStyle w:val="apple-style-span"/>
                <w:rFonts w:ascii="Arial" w:hAnsi="Arial" w:cs="Arial"/>
                <w:shd w:val="clear" w:color="auto" w:fill="FFFFFF"/>
                <w:lang w:val="en-GB"/>
              </w:rPr>
              <w:t xml:space="preserve">e </w:t>
            </w:r>
            <w:r w:rsidRPr="00787196">
              <w:rPr>
                <w:rStyle w:val="apple-style-span"/>
                <w:rFonts w:ascii="Arial" w:hAnsi="Arial" w:cs="Arial"/>
                <w:shd w:val="clear" w:color="auto" w:fill="FFFFFF"/>
                <w:lang w:val="en-GB"/>
              </w:rPr>
              <w:t>relationships between different aspects of health</w:t>
            </w:r>
          </w:p>
        </w:tc>
      </w:tr>
      <w:tr w:rsidR="002F1254" w:rsidRPr="00787196" w14:paraId="35D27D65" w14:textId="77777777" w:rsidTr="00C5426C">
        <w:trPr>
          <w:trHeight w:val="486"/>
        </w:trPr>
        <w:tc>
          <w:tcPr>
            <w:tcW w:w="1767" w:type="dxa"/>
            <w:vAlign w:val="center"/>
          </w:tcPr>
          <w:p w14:paraId="51CB0F34" w14:textId="77777777" w:rsidR="002F1254" w:rsidRPr="00787196" w:rsidRDefault="002F1254" w:rsidP="00C5426C">
            <w:pPr>
              <w:pStyle w:val="NormalWeb"/>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Public Health</w:t>
            </w:r>
          </w:p>
        </w:tc>
        <w:tc>
          <w:tcPr>
            <w:tcW w:w="7297" w:type="dxa"/>
            <w:vAlign w:val="center"/>
          </w:tcPr>
          <w:p w14:paraId="76130E36" w14:textId="5485ADF5"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Describing and monitoring illness in population</w:t>
            </w:r>
            <w:r w:rsidR="00C5426C" w:rsidRPr="00787196">
              <w:rPr>
                <w:rStyle w:val="apple-style-span"/>
                <w:rFonts w:ascii="Arial" w:hAnsi="Arial" w:cs="Arial"/>
                <w:shd w:val="clear" w:color="auto" w:fill="FFFFFF"/>
                <w:lang w:val="en-GB"/>
              </w:rPr>
              <w:t>s</w:t>
            </w:r>
          </w:p>
          <w:p w14:paraId="54152307" w14:textId="509C9BF8"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Plan, monitor and evaluat</w:t>
            </w:r>
            <w:r w:rsidR="00C5426C" w:rsidRPr="00787196">
              <w:rPr>
                <w:rStyle w:val="apple-style-span"/>
                <w:rFonts w:ascii="Arial" w:hAnsi="Arial" w:cs="Arial"/>
                <w:shd w:val="clear" w:color="auto" w:fill="FFFFFF"/>
                <w:lang w:val="en-GB"/>
              </w:rPr>
              <w:t>e</w:t>
            </w:r>
            <w:r w:rsidRPr="00787196">
              <w:rPr>
                <w:rStyle w:val="apple-style-span"/>
                <w:rFonts w:ascii="Arial" w:hAnsi="Arial" w:cs="Arial"/>
                <w:shd w:val="clear" w:color="auto" w:fill="FFFFFF"/>
                <w:lang w:val="en-GB"/>
              </w:rPr>
              <w:t xml:space="preserve"> service</w:t>
            </w:r>
          </w:p>
          <w:p w14:paraId="49EDB5A9" w14:textId="76B3F22F"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Needs assessment and prioriti</w:t>
            </w:r>
            <w:r w:rsidR="00C5426C" w:rsidRPr="00787196">
              <w:rPr>
                <w:rStyle w:val="apple-style-span"/>
                <w:rFonts w:ascii="Arial" w:hAnsi="Arial" w:cs="Arial"/>
                <w:shd w:val="clear" w:color="auto" w:fill="FFFFFF"/>
                <w:lang w:val="en-GB"/>
              </w:rPr>
              <w:t>s</w:t>
            </w:r>
            <w:r w:rsidRPr="00787196">
              <w:rPr>
                <w:rStyle w:val="apple-style-span"/>
                <w:rFonts w:ascii="Arial" w:hAnsi="Arial" w:cs="Arial"/>
                <w:shd w:val="clear" w:color="auto" w:fill="FFFFFF"/>
                <w:lang w:val="en-GB"/>
              </w:rPr>
              <w:t>ation</w:t>
            </w:r>
          </w:p>
          <w:p w14:paraId="3F5EE05F" w14:textId="1E422AF8" w:rsidR="002F1254" w:rsidRPr="00787196" w:rsidRDefault="002F1254" w:rsidP="00C119A5">
            <w:pPr>
              <w:pStyle w:val="NormalWeb"/>
              <w:numPr>
                <w:ilvl w:val="0"/>
                <w:numId w:val="34"/>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Encourag</w:t>
            </w:r>
            <w:r w:rsidR="00C5426C" w:rsidRPr="00787196">
              <w:rPr>
                <w:rStyle w:val="apple-style-span"/>
                <w:rFonts w:ascii="Arial" w:hAnsi="Arial" w:cs="Arial"/>
                <w:shd w:val="clear" w:color="auto" w:fill="FFFFFF"/>
                <w:lang w:val="en-GB"/>
              </w:rPr>
              <w:t xml:space="preserve">e </w:t>
            </w:r>
            <w:r w:rsidRPr="00787196">
              <w:rPr>
                <w:rStyle w:val="apple-style-span"/>
                <w:rFonts w:ascii="Arial" w:hAnsi="Arial" w:cs="Arial"/>
                <w:shd w:val="clear" w:color="auto" w:fill="FFFFFF"/>
                <w:lang w:val="en-GB"/>
              </w:rPr>
              <w:t>greater lay participation in health care</w:t>
            </w:r>
          </w:p>
        </w:tc>
      </w:tr>
      <w:tr w:rsidR="002F1254" w:rsidRPr="00787196" w14:paraId="161438DD" w14:textId="77777777" w:rsidTr="00C5426C">
        <w:trPr>
          <w:trHeight w:val="503"/>
        </w:trPr>
        <w:tc>
          <w:tcPr>
            <w:tcW w:w="1767" w:type="dxa"/>
            <w:vAlign w:val="center"/>
          </w:tcPr>
          <w:p w14:paraId="67216035" w14:textId="77777777" w:rsidR="002F1254" w:rsidRPr="00787196" w:rsidRDefault="002F1254" w:rsidP="00C5426C">
            <w:pPr>
              <w:pStyle w:val="NormalWeb"/>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Theoretical</w:t>
            </w:r>
          </w:p>
        </w:tc>
        <w:tc>
          <w:tcPr>
            <w:tcW w:w="7297" w:type="dxa"/>
            <w:vAlign w:val="center"/>
          </w:tcPr>
          <w:p w14:paraId="0674CD44" w14:textId="77777777" w:rsidR="002F1254" w:rsidRPr="00787196" w:rsidRDefault="002F1254" w:rsidP="00C119A5">
            <w:pPr>
              <w:pStyle w:val="NormalWeb"/>
              <w:numPr>
                <w:ilvl w:val="0"/>
                <w:numId w:val="35"/>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Exploring models of health</w:t>
            </w:r>
          </w:p>
          <w:p w14:paraId="49F34E6B" w14:textId="77777777" w:rsidR="002F1254" w:rsidRPr="00787196" w:rsidRDefault="002F1254" w:rsidP="00C119A5">
            <w:pPr>
              <w:pStyle w:val="NormalWeb"/>
              <w:numPr>
                <w:ilvl w:val="0"/>
                <w:numId w:val="35"/>
              </w:numPr>
              <w:spacing w:before="0" w:beforeAutospacing="0" w:after="0" w:afterAutospacing="0"/>
              <w:jc w:val="left"/>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Describing factors influential to health</w:t>
            </w:r>
          </w:p>
        </w:tc>
      </w:tr>
    </w:tbl>
    <w:p w14:paraId="20D62F88" w14:textId="3A088045" w:rsidR="002F1254" w:rsidRPr="00787196" w:rsidRDefault="002F1254" w:rsidP="002F1254">
      <w:pPr>
        <w:pStyle w:val="NormalWeb"/>
        <w:spacing w:before="240" w:beforeAutospacing="0" w:after="240" w:afterAutospacing="0"/>
        <w:rPr>
          <w:rStyle w:val="apple-style-span"/>
          <w:rFonts w:ascii="Arial" w:hAnsi="Arial" w:cs="Arial"/>
          <w:shd w:val="clear" w:color="auto" w:fill="FFFFFF"/>
          <w:lang w:val="en-GB"/>
        </w:rPr>
      </w:pPr>
      <w:r w:rsidRPr="00787196">
        <w:rPr>
          <w:rStyle w:val="apple-style-span"/>
          <w:rFonts w:ascii="Arial" w:hAnsi="Arial" w:cs="Arial"/>
          <w:shd w:val="clear" w:color="auto" w:fill="FFFFFF"/>
          <w:lang w:val="en-GB"/>
        </w:rPr>
        <w:t xml:space="preserve">Source: Robinson </w:t>
      </w:r>
      <w:r w:rsidR="003D5D6F" w:rsidRPr="00787196">
        <w:rPr>
          <w:rStyle w:val="apple-style-span"/>
          <w:rFonts w:ascii="Arial" w:hAnsi="Arial" w:cs="Arial"/>
          <w:shd w:val="clear" w:color="auto" w:fill="FFFFFF"/>
          <w:lang w:val="en-GB"/>
        </w:rPr>
        <w:t>et.al</w:t>
      </w:r>
      <w:r w:rsidRPr="00787196">
        <w:rPr>
          <w:rStyle w:val="apple-style-span"/>
          <w:rFonts w:ascii="Arial" w:hAnsi="Arial" w:cs="Arial"/>
          <w:shd w:val="clear" w:color="auto" w:fill="FFFFFF"/>
          <w:lang w:val="en-GB"/>
        </w:rPr>
        <w:t xml:space="preserve"> </w:t>
      </w:r>
      <w:r w:rsidRPr="00787196">
        <w:rPr>
          <w:rStyle w:val="apple-style-span"/>
          <w:rFonts w:ascii="Arial" w:hAnsi="Arial" w:cs="Arial"/>
          <w:shd w:val="clear" w:color="auto" w:fill="FFFFFF"/>
          <w:lang w:val="en-GB"/>
        </w:rPr>
        <w:fldChar w:fldCharType="begin"/>
      </w:r>
      <w:r w:rsidRPr="00787196">
        <w:rPr>
          <w:rStyle w:val="apple-style-span"/>
          <w:rFonts w:ascii="Arial" w:hAnsi="Arial" w:cs="Arial"/>
          <w:shd w:val="clear" w:color="auto" w:fill="FFFFFF"/>
          <w:lang w:val="en-GB"/>
        </w:rPr>
        <w:instrText xml:space="preserve"> ADDIN EN.CITE &lt;EndNote&gt;&lt;Cite ExcludeAuth="1"&gt;&lt;Author&gt;Robinson&lt;/Author&gt;&lt;Year&gt;2003&lt;/Year&gt;&lt;RecNum&gt;1586&lt;/RecNum&gt;&lt;DisplayText&gt;(2003)&lt;/DisplayText&gt;&lt;record&gt;&lt;rec-number&gt;1586&lt;/rec-number&gt;&lt;foreign-keys&gt;&lt;key app="EN" db-id="ptfsfw2e7fvv0we0zspxtffwpeaexrxpr2xs"&gt;1586&lt;/key&gt;&lt;/foreign-keys&gt;&lt;ref-type name="Book Section"&gt;5&lt;/ref-type&gt;&lt;contributors&gt;&lt;authors&gt;&lt;author&gt;Robinson, Peter&lt;/author&gt;&lt;author&gt;Carr, Alison&lt;/author&gt;&lt;author&gt;Higginson, Irene&lt;/author&gt;&lt;/authors&gt;&lt;secondary-authors&gt;&lt;author&gt;Robinson, Peter&lt;/author&gt;&lt;author&gt;Carr, Alison&lt;/author&gt;&lt;author&gt;Higginson, Irene&lt;/author&gt;&lt;/secondary-authors&gt;&lt;/contributors&gt;&lt;titles&gt;&lt;title&gt;How to choose a quality of life measure&lt;/title&gt;&lt;secondary-title&gt;Quality of life&lt;/secondary-title&gt;&lt;short-title&gt;Quality of life&lt;/short-title&gt;&lt;/titles&gt;&lt;pages&gt;88-100&lt;/pages&gt;&lt;section&gt;How to choose a quality of life measure&lt;/section&gt;&lt;keywords&gt;&lt;keyword&gt;Medical protocols&lt;/keyword&gt;&lt;/keywords&gt;&lt;dates&gt;&lt;year&gt;2003&lt;/year&gt;&lt;/dates&gt;&lt;publisher&gt;Blackwell Publishing&lt;/publisher&gt;&lt;isbn&gt;9780585428642&lt;/isbn&gt;&lt;urls&gt;&lt;related-urls&gt;&lt;url&gt;https://www.dawsonera.com:443/abstract/9780585428642&lt;/url&gt;&lt;/related-urls&gt;&lt;/urls&gt;&lt;/record&gt;&lt;/Cite&gt;&lt;/EndNote&gt;</w:instrText>
      </w:r>
      <w:r w:rsidRPr="00787196">
        <w:rPr>
          <w:rStyle w:val="apple-style-span"/>
          <w:rFonts w:ascii="Arial" w:hAnsi="Arial" w:cs="Arial"/>
          <w:shd w:val="clear" w:color="auto" w:fill="FFFFFF"/>
          <w:lang w:val="en-GB"/>
        </w:rPr>
        <w:fldChar w:fldCharType="separate"/>
      </w:r>
      <w:r w:rsidRPr="00787196">
        <w:rPr>
          <w:rStyle w:val="apple-style-span"/>
          <w:rFonts w:ascii="Arial" w:hAnsi="Arial" w:cs="Arial"/>
          <w:shd w:val="clear" w:color="auto" w:fill="FFFFFF"/>
          <w:lang w:val="en-GB"/>
        </w:rPr>
        <w:t>(2003)</w:t>
      </w:r>
      <w:r w:rsidRPr="00787196">
        <w:rPr>
          <w:rStyle w:val="apple-style-span"/>
          <w:rFonts w:ascii="Arial" w:hAnsi="Arial" w:cs="Arial"/>
          <w:shd w:val="clear" w:color="auto" w:fill="FFFFFF"/>
          <w:lang w:val="en-GB"/>
        </w:rPr>
        <w:fldChar w:fldCharType="end"/>
      </w:r>
    </w:p>
    <w:p w14:paraId="732DA8F6" w14:textId="77777777" w:rsidR="00965A66" w:rsidRPr="00787196" w:rsidRDefault="00965A66" w:rsidP="002F1254">
      <w:pPr>
        <w:pStyle w:val="NormalWeb"/>
        <w:spacing w:before="240" w:beforeAutospacing="0" w:after="240" w:afterAutospacing="0"/>
        <w:rPr>
          <w:rStyle w:val="apple-style-span"/>
          <w:rFonts w:ascii="Arial" w:hAnsi="Arial" w:cs="Arial"/>
          <w:shd w:val="clear" w:color="auto" w:fill="FFFFFF"/>
          <w:lang w:val="en-GB"/>
        </w:rPr>
      </w:pPr>
    </w:p>
    <w:p w14:paraId="13568DDE" w14:textId="77777777" w:rsidR="002C4FCD" w:rsidRPr="00787196" w:rsidRDefault="002C4FCD" w:rsidP="00D9694A">
      <w:pPr>
        <w:pStyle w:val="Heading3"/>
      </w:pPr>
      <w:bookmarkStart w:id="33" w:name="_Toc488655617"/>
      <w:r w:rsidRPr="00787196">
        <w:t>Theoretical Models and OHQoL</w:t>
      </w:r>
      <w:bookmarkEnd w:id="33"/>
    </w:p>
    <w:p w14:paraId="7A8D2FD9" w14:textId="77777777" w:rsidR="002C4FCD" w:rsidRPr="00787196" w:rsidRDefault="002C4FCD" w:rsidP="002C4FCD">
      <w:pPr>
        <w:spacing w:after="0"/>
        <w:rPr>
          <w:rFonts w:cs="Arial"/>
          <w:szCs w:val="24"/>
        </w:rPr>
      </w:pPr>
      <w:r w:rsidRPr="00787196">
        <w:rPr>
          <w:rFonts w:cs="Arial"/>
          <w:szCs w:val="24"/>
        </w:rPr>
        <w:t>Thus far, this review has indicated that subjective health outcomes can be poorly defined and have inconsistent relationships with clinical indicators. The advantage of a theoretical model is that it helps conceptualise these complex inter-relationships between various factors (i.e. clinical factors, OHQoL, environmental, psychological, emotional and cultural factors).</w:t>
      </w:r>
    </w:p>
    <w:p w14:paraId="0D80034F" w14:textId="13A9AC27" w:rsidR="00D854EB" w:rsidRPr="00787196" w:rsidRDefault="00D854EB">
      <w:pPr>
        <w:spacing w:before="0" w:after="0" w:line="240" w:lineRule="auto"/>
        <w:jc w:val="left"/>
        <w:rPr>
          <w:rFonts w:cs="Arial"/>
          <w:szCs w:val="24"/>
        </w:rPr>
      </w:pPr>
      <w:r w:rsidRPr="00787196">
        <w:rPr>
          <w:rFonts w:cs="Arial"/>
          <w:szCs w:val="24"/>
        </w:rPr>
        <w:br w:type="page"/>
      </w:r>
    </w:p>
    <w:p w14:paraId="7A565CE5" w14:textId="66308EB4" w:rsidR="00AA0B8E" w:rsidRPr="00787196" w:rsidRDefault="00242D79" w:rsidP="00AA0B8E">
      <w:pPr>
        <w:spacing w:after="0"/>
        <w:rPr>
          <w:rFonts w:cs="Arial"/>
          <w:szCs w:val="24"/>
        </w:rPr>
      </w:pPr>
      <w:r w:rsidRPr="00787196">
        <w:rPr>
          <w:rFonts w:cs="Arial"/>
          <w:szCs w:val="24"/>
        </w:rPr>
        <w:lastRenderedPageBreak/>
        <w:t>The</w:t>
      </w:r>
      <w:r w:rsidR="00F2555A" w:rsidRPr="00787196">
        <w:rPr>
          <w:rFonts w:cs="Arial"/>
          <w:szCs w:val="24"/>
        </w:rPr>
        <w:t xml:space="preserve">oretical models </w:t>
      </w:r>
      <w:r w:rsidRPr="00787196">
        <w:rPr>
          <w:rFonts w:cs="Arial"/>
          <w:szCs w:val="24"/>
        </w:rPr>
        <w:t xml:space="preserve">are </w:t>
      </w:r>
      <w:r w:rsidR="00906169" w:rsidRPr="00787196">
        <w:rPr>
          <w:rFonts w:cs="Arial"/>
          <w:szCs w:val="24"/>
        </w:rPr>
        <w:t>imperative for the evolution of science</w:t>
      </w:r>
      <w:r w:rsidRPr="00787196">
        <w:rPr>
          <w:rFonts w:cs="Arial"/>
          <w:szCs w:val="24"/>
        </w:rPr>
        <w:t xml:space="preserve">. </w:t>
      </w:r>
      <w:r w:rsidR="009710BC" w:rsidRPr="00787196">
        <w:rPr>
          <w:rFonts w:cs="Arial"/>
          <w:szCs w:val="24"/>
        </w:rPr>
        <w:t>Theory based m</w:t>
      </w:r>
      <w:r w:rsidR="00906169" w:rsidRPr="00787196">
        <w:rPr>
          <w:rFonts w:cs="Arial"/>
          <w:szCs w:val="24"/>
        </w:rPr>
        <w:t xml:space="preserve">odels </w:t>
      </w:r>
      <w:r w:rsidRPr="00787196">
        <w:rPr>
          <w:rFonts w:cs="Arial"/>
          <w:szCs w:val="24"/>
        </w:rPr>
        <w:t xml:space="preserve">are developed from theories based </w:t>
      </w:r>
      <w:r w:rsidR="009710BC" w:rsidRPr="00787196">
        <w:rPr>
          <w:rFonts w:cs="Arial"/>
          <w:szCs w:val="24"/>
        </w:rPr>
        <w:t xml:space="preserve">on </w:t>
      </w:r>
      <w:r w:rsidR="00906169" w:rsidRPr="00787196">
        <w:rPr>
          <w:rFonts w:cs="Arial"/>
          <w:szCs w:val="24"/>
        </w:rPr>
        <w:t xml:space="preserve">specific </w:t>
      </w:r>
      <w:r w:rsidR="009710BC" w:rsidRPr="00787196">
        <w:rPr>
          <w:rFonts w:cs="Arial"/>
          <w:szCs w:val="24"/>
        </w:rPr>
        <w:t>idea sets</w:t>
      </w:r>
      <w:r w:rsidRPr="00787196">
        <w:rPr>
          <w:rFonts w:cs="Arial"/>
          <w:szCs w:val="24"/>
        </w:rPr>
        <w:t xml:space="preserve"> </w:t>
      </w:r>
      <w:r w:rsidR="009710BC" w:rsidRPr="00787196">
        <w:rPr>
          <w:rFonts w:cs="Arial"/>
          <w:szCs w:val="24"/>
        </w:rPr>
        <w:t>which explain a</w:t>
      </w:r>
      <w:r w:rsidRPr="00787196">
        <w:rPr>
          <w:rFonts w:cs="Arial"/>
          <w:szCs w:val="24"/>
        </w:rPr>
        <w:t xml:space="preserve"> natural </w:t>
      </w:r>
      <w:r w:rsidR="009710BC" w:rsidRPr="00787196">
        <w:rPr>
          <w:rFonts w:cs="Arial"/>
          <w:szCs w:val="24"/>
        </w:rPr>
        <w:t>occurrence</w:t>
      </w:r>
      <w:r w:rsidRPr="00787196">
        <w:rPr>
          <w:rFonts w:cs="Arial"/>
          <w:szCs w:val="24"/>
        </w:rPr>
        <w:t xml:space="preserve">. </w:t>
      </w:r>
      <w:r w:rsidR="008B7258" w:rsidRPr="00787196">
        <w:rPr>
          <w:rFonts w:cs="Arial"/>
          <w:szCs w:val="24"/>
        </w:rPr>
        <w:t>McLaren</w:t>
      </w:r>
      <w:r w:rsidR="009710BC" w:rsidRPr="00787196">
        <w:rPr>
          <w:rFonts w:cs="Arial"/>
          <w:szCs w:val="24"/>
        </w:rPr>
        <w:t xml:space="preserve"> </w:t>
      </w:r>
      <w:r w:rsidR="007F3DA9" w:rsidRPr="00787196">
        <w:rPr>
          <w:rFonts w:cs="Arial"/>
          <w:szCs w:val="24"/>
        </w:rPr>
        <w:fldChar w:fldCharType="begin"/>
      </w:r>
      <w:r w:rsidR="00A655F3" w:rsidRPr="00787196">
        <w:rPr>
          <w:rFonts w:cs="Arial"/>
          <w:szCs w:val="24"/>
        </w:rPr>
        <w:instrText xml:space="preserve"> ADDIN EN.CITE &lt;EndNote&gt;&lt;Cite ExcludeAuth="1"&gt;&lt;Author&gt;McLaren&lt;/Author&gt;&lt;Year&gt;1998&lt;/Year&gt;&lt;IDText&gt;A critical review of the biopsychosocial model&lt;/IDText&gt;&lt;DisplayText&gt;(1998)&lt;/DisplayText&gt;&lt;record&gt;&lt;dates&gt;&lt;pub-dates&gt;&lt;date&gt;Feb&lt;/date&gt;&lt;/pub-dates&gt;&lt;year&gt;1998&lt;/year&gt;&lt;/dates&gt;&lt;keywords&gt;&lt;keyword&gt;Humans&lt;/keyword&gt;&lt;keyword&gt;*Mind-Body Relations, Metaphysical&lt;/keyword&gt;&lt;keyword&gt;*Philosophy, Medical&lt;/keyword&gt;&lt;keyword&gt;Physician-Patient Relations&lt;/keyword&gt;&lt;keyword&gt;Psychiatry&lt;/keyword&gt;&lt;keyword&gt;*Psychophysiology&lt;/keyword&gt;&lt;keyword&gt;Social Environment&lt;/keyword&gt;&lt;/keywords&gt;&lt;isbn&gt;0004-8674 (Print)&amp;#xD;0004-8674&lt;/isbn&gt;&lt;titles&gt;&lt;title&gt;A critical review of the biopsychosocial model&lt;/title&gt;&lt;secondary-title&gt;Aust N Z J Psychiatry&lt;/secondary-title&gt;&lt;alt-title&gt;The Australian and New Zealand journal of psychiatry&lt;/alt-title&gt;&lt;/titles&gt;&lt;pages&gt;86-92; discussion 93-6&lt;/pages&gt;&lt;number&gt;1&lt;/number&gt;&lt;contributors&gt;&lt;authors&gt;&lt;author&gt;McLaren, N.&lt;/author&gt;&lt;/authors&gt;&lt;/contributors&gt;&lt;edition&gt;1998/05/02&lt;/edition&gt;&lt;language&gt;eng&lt;/language&gt;&lt;added-date format="utc"&gt;1483504192&lt;/added-date&gt;&lt;ref-type name="Journal Article"&gt;17&lt;/ref-type&gt;&lt;remote-database-provider&gt;NLM&lt;/remote-database-provider&gt;&lt;rec-number&gt;2760&lt;/rec-number&gt;&lt;last-updated-date format="utc"&gt;1483504192&lt;/last-updated-date&gt;&lt;accession-num&gt;9565189&lt;/accession-num&gt;&lt;volume&gt;32&lt;/volume&gt;&lt;/record&gt;&lt;/Cite&gt;&lt;/EndNote&gt;</w:instrText>
      </w:r>
      <w:r w:rsidR="007F3DA9" w:rsidRPr="00787196">
        <w:rPr>
          <w:rFonts w:cs="Arial"/>
          <w:szCs w:val="24"/>
        </w:rPr>
        <w:fldChar w:fldCharType="separate"/>
      </w:r>
      <w:r w:rsidR="00A655F3" w:rsidRPr="00787196">
        <w:rPr>
          <w:rFonts w:cs="Arial"/>
          <w:noProof/>
          <w:szCs w:val="24"/>
        </w:rPr>
        <w:t>(1998)</w:t>
      </w:r>
      <w:r w:rsidR="007F3DA9" w:rsidRPr="00787196">
        <w:rPr>
          <w:rFonts w:cs="Arial"/>
          <w:szCs w:val="24"/>
        </w:rPr>
        <w:fldChar w:fldCharType="end"/>
      </w:r>
      <w:r w:rsidR="00A655F3" w:rsidRPr="00787196">
        <w:rPr>
          <w:rFonts w:cs="Arial"/>
          <w:szCs w:val="24"/>
        </w:rPr>
        <w:t xml:space="preserve"> </w:t>
      </w:r>
      <w:r w:rsidR="00E91AAF" w:rsidRPr="00787196">
        <w:rPr>
          <w:rFonts w:cs="Arial"/>
          <w:szCs w:val="24"/>
        </w:rPr>
        <w:t>highlighted on the predictability on theoretical models over mere theories</w:t>
      </w:r>
      <w:r w:rsidR="009710BC" w:rsidRPr="00787196">
        <w:rPr>
          <w:rFonts w:cs="Arial"/>
          <w:szCs w:val="24"/>
        </w:rPr>
        <w:t>.</w:t>
      </w:r>
      <w:r w:rsidR="00E91AAF" w:rsidRPr="00787196">
        <w:rPr>
          <w:rFonts w:cs="Arial"/>
          <w:szCs w:val="24"/>
        </w:rPr>
        <w:t xml:space="preserve"> The author suggested that models can predict </w:t>
      </w:r>
      <w:r w:rsidR="00F274A5" w:rsidRPr="00787196">
        <w:rPr>
          <w:rFonts w:cs="Arial"/>
          <w:szCs w:val="24"/>
        </w:rPr>
        <w:t xml:space="preserve">material outcomes and can quantify them upon which theories can then be </w:t>
      </w:r>
      <w:r w:rsidR="007C6F81" w:rsidRPr="00787196">
        <w:rPr>
          <w:rFonts w:cs="Arial"/>
          <w:szCs w:val="24"/>
        </w:rPr>
        <w:t>integrated</w:t>
      </w:r>
      <w:r w:rsidR="00F274A5" w:rsidRPr="00787196">
        <w:rPr>
          <w:rFonts w:cs="Arial"/>
          <w:szCs w:val="24"/>
        </w:rPr>
        <w:t>.</w:t>
      </w:r>
      <w:r w:rsidRPr="00787196">
        <w:rPr>
          <w:rFonts w:cs="Arial"/>
          <w:szCs w:val="24"/>
        </w:rPr>
        <w:t xml:space="preserve"> Theoretical models </w:t>
      </w:r>
      <w:r w:rsidR="00053886" w:rsidRPr="00787196">
        <w:rPr>
          <w:rFonts w:cs="Arial"/>
          <w:szCs w:val="24"/>
        </w:rPr>
        <w:t xml:space="preserve">can </w:t>
      </w:r>
      <w:r w:rsidR="000172A0" w:rsidRPr="00787196">
        <w:rPr>
          <w:rFonts w:cs="Arial"/>
          <w:szCs w:val="24"/>
        </w:rPr>
        <w:t xml:space="preserve">thus bridge </w:t>
      </w:r>
      <w:r w:rsidRPr="00787196">
        <w:rPr>
          <w:rFonts w:cs="Arial"/>
          <w:szCs w:val="24"/>
        </w:rPr>
        <w:t xml:space="preserve">theory to </w:t>
      </w:r>
      <w:r w:rsidR="00F274A5" w:rsidRPr="00787196">
        <w:rPr>
          <w:rFonts w:cs="Arial"/>
          <w:szCs w:val="24"/>
        </w:rPr>
        <w:t>practicality</w:t>
      </w:r>
      <w:r w:rsidRPr="00787196">
        <w:rPr>
          <w:rFonts w:cs="Arial"/>
          <w:szCs w:val="24"/>
        </w:rPr>
        <w:t xml:space="preserve">. For </w:t>
      </w:r>
      <w:r w:rsidR="00F2555A" w:rsidRPr="00787196">
        <w:rPr>
          <w:rFonts w:cs="Arial"/>
          <w:szCs w:val="24"/>
        </w:rPr>
        <w:t>instance,</w:t>
      </w:r>
      <w:r w:rsidR="000172A0" w:rsidRPr="00787196">
        <w:rPr>
          <w:rFonts w:cs="Arial"/>
          <w:szCs w:val="24"/>
        </w:rPr>
        <w:t xml:space="preserve"> in medical sciences</w:t>
      </w:r>
      <w:r w:rsidRPr="00787196">
        <w:rPr>
          <w:rFonts w:cs="Arial"/>
          <w:szCs w:val="24"/>
        </w:rPr>
        <w:t xml:space="preserve">, </w:t>
      </w:r>
      <w:r w:rsidR="00F274A5" w:rsidRPr="00787196">
        <w:rPr>
          <w:rFonts w:cs="Arial"/>
          <w:szCs w:val="24"/>
        </w:rPr>
        <w:t xml:space="preserve">theoretical </w:t>
      </w:r>
      <w:r w:rsidRPr="00787196">
        <w:rPr>
          <w:rFonts w:cs="Arial"/>
          <w:szCs w:val="24"/>
        </w:rPr>
        <w:t xml:space="preserve">models can </w:t>
      </w:r>
      <w:r w:rsidR="000172A0" w:rsidRPr="00787196">
        <w:rPr>
          <w:rFonts w:cs="Arial"/>
          <w:szCs w:val="24"/>
        </w:rPr>
        <w:t xml:space="preserve">structure </w:t>
      </w:r>
      <w:r w:rsidR="00F274A5" w:rsidRPr="00787196">
        <w:rPr>
          <w:rFonts w:cs="Arial"/>
          <w:szCs w:val="24"/>
        </w:rPr>
        <w:t xml:space="preserve">medical </w:t>
      </w:r>
      <w:r w:rsidR="000172A0" w:rsidRPr="00787196">
        <w:rPr>
          <w:rFonts w:cs="Arial"/>
          <w:szCs w:val="24"/>
        </w:rPr>
        <w:t xml:space="preserve">practice </w:t>
      </w:r>
      <w:r w:rsidR="00AA0B8E" w:rsidRPr="00787196">
        <w:rPr>
          <w:rFonts w:cs="Arial"/>
          <w:szCs w:val="24"/>
        </w:rPr>
        <w:t>by explaining</w:t>
      </w:r>
      <w:r w:rsidRPr="00787196">
        <w:rPr>
          <w:rFonts w:cs="Arial"/>
          <w:szCs w:val="24"/>
        </w:rPr>
        <w:t xml:space="preserve"> natural processes of diseases</w:t>
      </w:r>
      <w:r w:rsidR="00AA0B8E" w:rsidRPr="00787196">
        <w:rPr>
          <w:rFonts w:cs="Arial"/>
          <w:szCs w:val="24"/>
        </w:rPr>
        <w:t xml:space="preserve"> and conditions</w:t>
      </w:r>
      <w:r w:rsidRPr="00787196">
        <w:rPr>
          <w:rFonts w:cs="Arial"/>
          <w:szCs w:val="24"/>
        </w:rPr>
        <w:t xml:space="preserve">. </w:t>
      </w:r>
    </w:p>
    <w:p w14:paraId="00377A90" w14:textId="5A5B571F" w:rsidR="002C4FCD" w:rsidRPr="00787196" w:rsidRDefault="00595E94" w:rsidP="006C2B50">
      <w:pPr>
        <w:spacing w:after="0"/>
        <w:rPr>
          <w:rFonts w:cs="Arial"/>
          <w:szCs w:val="24"/>
        </w:rPr>
      </w:pPr>
      <w:r w:rsidRPr="00787196">
        <w:rPr>
          <w:rFonts w:cs="Arial"/>
          <w:szCs w:val="24"/>
        </w:rPr>
        <w:t>Bio</w:t>
      </w:r>
      <w:r w:rsidR="00242D79" w:rsidRPr="00787196">
        <w:rPr>
          <w:rFonts w:cs="Arial"/>
          <w:szCs w:val="24"/>
        </w:rPr>
        <w:t>med</w:t>
      </w:r>
      <w:r w:rsidR="00963DE6" w:rsidRPr="00787196">
        <w:rPr>
          <w:rFonts w:cs="Arial"/>
          <w:szCs w:val="24"/>
        </w:rPr>
        <w:t xml:space="preserve">ical scientists established </w:t>
      </w:r>
      <w:r w:rsidR="0048147C" w:rsidRPr="00787196">
        <w:rPr>
          <w:rFonts w:cs="Arial"/>
          <w:szCs w:val="24"/>
        </w:rPr>
        <w:t xml:space="preserve">the </w:t>
      </w:r>
      <w:r w:rsidR="00963DE6" w:rsidRPr="00787196">
        <w:rPr>
          <w:rFonts w:cs="Arial"/>
          <w:szCs w:val="24"/>
        </w:rPr>
        <w:t xml:space="preserve">biomedical </w:t>
      </w:r>
      <w:r w:rsidR="00242D79" w:rsidRPr="00787196">
        <w:rPr>
          <w:rFonts w:cs="Arial"/>
          <w:szCs w:val="24"/>
        </w:rPr>
        <w:t>model to study diseases</w:t>
      </w:r>
      <w:r w:rsidR="00963DE6" w:rsidRPr="00787196">
        <w:rPr>
          <w:rFonts w:cs="Arial"/>
          <w:szCs w:val="24"/>
        </w:rPr>
        <w:t xml:space="preserve"> and</w:t>
      </w:r>
      <w:r w:rsidR="00242D79" w:rsidRPr="00787196">
        <w:rPr>
          <w:rFonts w:cs="Arial"/>
          <w:szCs w:val="24"/>
        </w:rPr>
        <w:t xml:space="preserve"> explain </w:t>
      </w:r>
      <w:r w:rsidR="00963DE6" w:rsidRPr="00787196">
        <w:rPr>
          <w:rFonts w:cs="Arial"/>
          <w:szCs w:val="24"/>
        </w:rPr>
        <w:t>their causes</w:t>
      </w:r>
      <w:r w:rsidR="00242D79" w:rsidRPr="00787196">
        <w:rPr>
          <w:rFonts w:cs="Arial"/>
          <w:szCs w:val="24"/>
        </w:rPr>
        <w:t xml:space="preserve"> and patholog</w:t>
      </w:r>
      <w:r w:rsidR="00963DE6" w:rsidRPr="00787196">
        <w:rPr>
          <w:rFonts w:cs="Arial"/>
          <w:szCs w:val="24"/>
        </w:rPr>
        <w:t>y</w:t>
      </w:r>
      <w:r w:rsidR="00242D79" w:rsidRPr="00787196">
        <w:rPr>
          <w:rFonts w:cs="Arial"/>
          <w:szCs w:val="24"/>
        </w:rPr>
        <w:t xml:space="preserve"> using technical </w:t>
      </w:r>
      <w:r w:rsidR="00963DE6" w:rsidRPr="00787196">
        <w:rPr>
          <w:rFonts w:cs="Arial"/>
          <w:szCs w:val="24"/>
        </w:rPr>
        <w:t xml:space="preserve">medical </w:t>
      </w:r>
      <w:r w:rsidR="00242D79" w:rsidRPr="00787196">
        <w:rPr>
          <w:rFonts w:cs="Arial"/>
          <w:szCs w:val="24"/>
        </w:rPr>
        <w:t xml:space="preserve">terms. </w:t>
      </w:r>
      <w:r w:rsidR="00963DE6" w:rsidRPr="00787196">
        <w:rPr>
          <w:rFonts w:cs="Arial"/>
          <w:szCs w:val="24"/>
        </w:rPr>
        <w:t xml:space="preserve">It helps physicians understand the </w:t>
      </w:r>
      <w:r w:rsidR="00CA4996" w:rsidRPr="00787196">
        <w:rPr>
          <w:rFonts w:cs="Arial"/>
          <w:szCs w:val="24"/>
        </w:rPr>
        <w:t xml:space="preserve">clinical, </w:t>
      </w:r>
      <w:r w:rsidR="007C6F81" w:rsidRPr="00787196">
        <w:rPr>
          <w:rFonts w:cs="Arial"/>
          <w:szCs w:val="24"/>
        </w:rPr>
        <w:t>biological, and</w:t>
      </w:r>
      <w:r w:rsidR="00CA4996" w:rsidRPr="00787196">
        <w:rPr>
          <w:rFonts w:cs="Arial"/>
          <w:szCs w:val="24"/>
        </w:rPr>
        <w:t xml:space="preserve"> </w:t>
      </w:r>
      <w:r w:rsidR="00242D79" w:rsidRPr="00787196">
        <w:rPr>
          <w:rFonts w:cs="Arial"/>
          <w:szCs w:val="24"/>
        </w:rPr>
        <w:t xml:space="preserve">pathological changes and features </w:t>
      </w:r>
      <w:r w:rsidR="0062102A" w:rsidRPr="00787196">
        <w:rPr>
          <w:rFonts w:cs="Arial"/>
          <w:szCs w:val="24"/>
        </w:rPr>
        <w:fldChar w:fldCharType="begin"/>
      </w:r>
      <w:r w:rsidR="0062102A" w:rsidRPr="00787196">
        <w:rPr>
          <w:rFonts w:cs="Arial"/>
          <w:szCs w:val="24"/>
        </w:rPr>
        <w:instrText xml:space="preserve"> ADDIN EN.CITE &lt;EndNote&gt;&lt;Cite&gt;&lt;Author&gt;Quintner&lt;/Author&gt;&lt;Year&gt;2008&lt;/Year&gt;&lt;IDText&gt;Pain medicine and its models: helping or hindering?&lt;/IDText&gt;&lt;DisplayText&gt;(Quintner et al., 2008)&lt;/DisplayText&gt;&lt;record&gt;&lt;dates&gt;&lt;pub-dates&gt;&lt;date&gt;Oct&lt;/date&gt;&lt;/pub-dates&gt;&lt;year&gt;2008&lt;/year&gt;&lt;/dates&gt;&lt;keywords&gt;&lt;keyword&gt;*Attitude of Health Personnel&lt;/keyword&gt;&lt;keyword&gt;Humans&lt;/keyword&gt;&lt;keyword&gt;*Models, Biological&lt;/keyword&gt;&lt;keyword&gt;*Models, Psychological&lt;/keyword&gt;&lt;keyword&gt;Pain/*physiopathology/*psychology&lt;/keyword&gt;&lt;/keywords&gt;&lt;isbn&gt;1526-2375&lt;/isbn&gt;&lt;titles&gt;&lt;title&gt;Pain medicine and its models: helping or hindering?&lt;/title&gt;&lt;secondary-title&gt;Pain Medicine&lt;/secondary-title&gt;&lt;alt-title&gt;Pain medicine (Malden, Mass.)&lt;/alt-title&gt;&lt;/titles&gt;&lt;pages&gt;824-34&lt;/pages&gt;&lt;number&gt;7&lt;/number&gt;&lt;contributors&gt;&lt;authors&gt;&lt;author&gt;Quintner, J. L.&lt;/author&gt;&lt;author&gt;Cohen, M. L.&lt;/author&gt;&lt;author&gt;Buchanan, D.&lt;/author&gt;&lt;author&gt;Katz, J. D.&lt;/author&gt;&lt;author&gt;Williamson, O. D.&lt;/author&gt;&lt;/authors&gt;&lt;/contributors&gt;&lt;edition&gt;2008/10/28&lt;/edition&gt;&lt;language&gt;eng&lt;/language&gt;&lt;added-date format="utc"&gt;1483503752&lt;/added-date&gt;&lt;ref-type name="Journal Article"&gt;17&lt;/ref-type&gt;&lt;auth-address&gt;Department of Rheumatology, Royal Perth Hospital, Perth, Western Australia, Australia.&lt;/auth-address&gt;&lt;remote-database-provider&gt;NLM&lt;/remote-database-provider&gt;&lt;rec-number&gt;2759&lt;/rec-number&gt;&lt;last-updated-date format="utc"&gt;1483503752&lt;/last-updated-date&gt;&lt;accession-num&gt;18950437&lt;/accession-num&gt;&lt;electronic-resource-num&gt;10.1111/j.1526-4637.2007.00391.x&lt;/electronic-resource-num&gt;&lt;volume&gt;9&lt;/volume&gt;&lt;/record&gt;&lt;/Cite&gt;&lt;/EndNote&gt;</w:instrText>
      </w:r>
      <w:r w:rsidR="0062102A" w:rsidRPr="00787196">
        <w:rPr>
          <w:rFonts w:cs="Arial"/>
          <w:szCs w:val="24"/>
        </w:rPr>
        <w:fldChar w:fldCharType="separate"/>
      </w:r>
      <w:r w:rsidR="0062102A" w:rsidRPr="00787196">
        <w:rPr>
          <w:rFonts w:cs="Arial"/>
          <w:noProof/>
          <w:szCs w:val="24"/>
        </w:rPr>
        <w:t>(Quintner et al., 2008)</w:t>
      </w:r>
      <w:r w:rsidR="0062102A" w:rsidRPr="00787196">
        <w:rPr>
          <w:rFonts w:cs="Arial"/>
          <w:szCs w:val="24"/>
        </w:rPr>
        <w:fldChar w:fldCharType="end"/>
      </w:r>
      <w:r w:rsidR="00242D79" w:rsidRPr="00787196">
        <w:rPr>
          <w:rFonts w:cs="Arial"/>
          <w:szCs w:val="24"/>
        </w:rPr>
        <w:t>.</w:t>
      </w:r>
      <w:r w:rsidR="0048147C" w:rsidRPr="00787196">
        <w:rPr>
          <w:rFonts w:cs="Arial"/>
          <w:szCs w:val="24"/>
        </w:rPr>
        <w:t xml:space="preserve"> Theory based models are </w:t>
      </w:r>
      <w:r w:rsidR="00963DE6" w:rsidRPr="00787196">
        <w:rPr>
          <w:rFonts w:cs="Arial"/>
          <w:szCs w:val="24"/>
        </w:rPr>
        <w:t xml:space="preserve">also </w:t>
      </w:r>
      <w:r w:rsidR="0048147C" w:rsidRPr="00787196">
        <w:rPr>
          <w:rFonts w:cs="Arial"/>
          <w:szCs w:val="24"/>
        </w:rPr>
        <w:t xml:space="preserve">suggested to </w:t>
      </w:r>
      <w:r w:rsidR="00D854EB" w:rsidRPr="00787196">
        <w:rPr>
          <w:rFonts w:cs="Arial"/>
          <w:szCs w:val="24"/>
        </w:rPr>
        <w:t xml:space="preserve">predict natural </w:t>
      </w:r>
      <w:r w:rsidR="00963DE6" w:rsidRPr="00787196">
        <w:rPr>
          <w:rFonts w:cs="Arial"/>
          <w:szCs w:val="24"/>
        </w:rPr>
        <w:t xml:space="preserve">occurrences </w:t>
      </w:r>
      <w:r w:rsidR="00D854EB" w:rsidRPr="00787196">
        <w:rPr>
          <w:rFonts w:cs="Arial"/>
          <w:szCs w:val="24"/>
        </w:rPr>
        <w:t>by</w:t>
      </w:r>
      <w:r w:rsidR="00242D79" w:rsidRPr="00787196">
        <w:rPr>
          <w:rFonts w:cs="Arial"/>
          <w:szCs w:val="24"/>
        </w:rPr>
        <w:t xml:space="preserve"> </w:t>
      </w:r>
      <w:r w:rsidR="00963DE6" w:rsidRPr="00787196">
        <w:rPr>
          <w:rFonts w:cs="Arial"/>
          <w:szCs w:val="24"/>
        </w:rPr>
        <w:t xml:space="preserve">means of </w:t>
      </w:r>
      <w:r w:rsidR="00242D79" w:rsidRPr="00787196">
        <w:rPr>
          <w:rFonts w:cs="Arial"/>
          <w:szCs w:val="24"/>
        </w:rPr>
        <w:t xml:space="preserve">using logical material consequences </w:t>
      </w:r>
      <w:r w:rsidR="00D854EB" w:rsidRPr="00787196">
        <w:rPr>
          <w:rFonts w:cs="Arial"/>
          <w:szCs w:val="24"/>
        </w:rPr>
        <w:t xml:space="preserve">approach </w:t>
      </w:r>
      <w:r w:rsidR="00C619F0" w:rsidRPr="00787196">
        <w:rPr>
          <w:rFonts w:cs="Arial"/>
          <w:szCs w:val="24"/>
        </w:rPr>
        <w:t xml:space="preserve">empirically. In a study by </w:t>
      </w:r>
      <w:r w:rsidR="00242D79" w:rsidRPr="00787196">
        <w:rPr>
          <w:rFonts w:cs="Arial"/>
          <w:szCs w:val="24"/>
        </w:rPr>
        <w:t xml:space="preserve">Janket and colleagues </w:t>
      </w:r>
      <w:r w:rsidR="00C619F0" w:rsidRPr="00787196">
        <w:rPr>
          <w:rFonts w:cs="Arial"/>
          <w:szCs w:val="24"/>
        </w:rPr>
        <w:fldChar w:fldCharType="begin"/>
      </w:r>
      <w:r w:rsidR="00C619F0" w:rsidRPr="00787196">
        <w:rPr>
          <w:rFonts w:cs="Arial"/>
          <w:szCs w:val="24"/>
        </w:rPr>
        <w:instrText xml:space="preserve"> ADDIN EN.CITE &lt;EndNote&gt;&lt;Cite ExcludeAuth="1"&gt;&lt;Author&gt;Janket&lt;/Author&gt;&lt;Year&gt;2004&lt;/Year&gt;&lt;IDText&gt;Asymptotic dental score and prevalent coronary heart disease&lt;/IDText&gt;&lt;DisplayText&gt;(2004)&lt;/DisplayText&gt;&lt;record&gt;&lt;dates&gt;&lt;pub-dates&gt;&lt;date&gt;Mar 09&lt;/date&gt;&lt;/pub-dates&gt;&lt;year&gt;2004&lt;/year&gt;&lt;/dates&gt;&lt;keywords&gt;&lt;keyword&gt;Coronary Disease/diagnosis/*epidemiology/immunology&lt;/keyword&gt;&lt;keyword&gt;Female&lt;/keyword&gt;&lt;keyword&gt;Humans&lt;/keyword&gt;&lt;keyword&gt;Logistic Models&lt;/keyword&gt;&lt;keyword&gt;Male&lt;/keyword&gt;&lt;keyword&gt;Models, Theoretical&lt;/keyword&gt;&lt;keyword&gt;Mouth Diseases/*complications/diagnosis&lt;/keyword&gt;&lt;keyword&gt;Prevalence&lt;/keyword&gt;&lt;keyword&gt;ROC Curve&lt;/keyword&gt;&lt;/keywords&gt;&lt;isbn&gt;0009-7322&lt;/isbn&gt;&lt;titles&gt;&lt;title&gt;Asymptotic dental score and prevalent coronary heart disease&lt;/title&gt;&lt;secondary-title&gt;Circulation&lt;/secondary-title&gt;&lt;alt-title&gt;Circulation&lt;/alt-title&gt;&lt;/titles&gt;&lt;pages&gt;1095-100&lt;/pages&gt;&lt;number&gt;9&lt;/number&gt;&lt;contributors&gt;&lt;authors&gt;&lt;author&gt;Janket, S. J.&lt;/author&gt;&lt;author&gt;Qvarnstrom, M.&lt;/author&gt;&lt;author&gt;Meurman, J. H.&lt;/author&gt;&lt;author&gt;Baird, A. E.&lt;/author&gt;&lt;author&gt;Nuutinen, P.&lt;/author&gt;&lt;author&gt;Jones, J. A.&lt;/author&gt;&lt;/authors&gt;&lt;/contributors&gt;&lt;edition&gt;2004/02/18&lt;/edition&gt;&lt;language&gt;eng&lt;/language&gt;&lt;added-date format="utc"&gt;1483508906&lt;/added-date&gt;&lt;ref-type name="Journal Article"&gt;17&lt;/ref-type&gt;&lt;auth-address&gt;Department of General Dentistry, Boston University Goldman School of Dental Medicine, 100 E. Newton St, Boston, Mass 02118, USA. sjanket@hsph.harvard.edu&lt;/auth-address&gt;&lt;remote-database-provider&gt;NLM&lt;/remote-database-provider&gt;&lt;rec-number&gt;2761&lt;/rec-number&gt;&lt;last-updated-date format="utc"&gt;1483508906&lt;/last-updated-date&gt;&lt;accession-num&gt;14967717&lt;/accession-num&gt;&lt;electronic-resource-num&gt;10.1161/01.cir.0000118497.44961.1e&lt;/electronic-resource-num&gt;&lt;volume&gt;109&lt;/volume&gt;&lt;/record&gt;&lt;/Cite&gt;&lt;/EndNote&gt;</w:instrText>
      </w:r>
      <w:r w:rsidR="00C619F0" w:rsidRPr="00787196">
        <w:rPr>
          <w:rFonts w:cs="Arial"/>
          <w:szCs w:val="24"/>
        </w:rPr>
        <w:fldChar w:fldCharType="separate"/>
      </w:r>
      <w:r w:rsidR="00C619F0" w:rsidRPr="00787196">
        <w:rPr>
          <w:rFonts w:cs="Arial"/>
          <w:noProof/>
          <w:szCs w:val="24"/>
        </w:rPr>
        <w:t>(2004)</w:t>
      </w:r>
      <w:r w:rsidR="00C619F0" w:rsidRPr="00787196">
        <w:rPr>
          <w:rFonts w:cs="Arial"/>
          <w:szCs w:val="24"/>
        </w:rPr>
        <w:fldChar w:fldCharType="end"/>
      </w:r>
      <w:r w:rsidR="00C619F0" w:rsidRPr="00787196">
        <w:rPr>
          <w:rFonts w:cs="Arial"/>
          <w:szCs w:val="24"/>
        </w:rPr>
        <w:t>, an Asymptomatic Dental Score</w:t>
      </w:r>
      <w:r w:rsidR="00CA3787" w:rsidRPr="00787196">
        <w:rPr>
          <w:rFonts w:cs="Arial"/>
          <w:szCs w:val="24"/>
        </w:rPr>
        <w:t xml:space="preserve"> (ADS) </w:t>
      </w:r>
      <w:r w:rsidR="00C619F0" w:rsidRPr="00787196">
        <w:rPr>
          <w:rFonts w:cs="Arial"/>
          <w:szCs w:val="24"/>
        </w:rPr>
        <w:t>was developed based on this criteria, as a potential pre-screening tool for coronary heart disease. In this study,</w:t>
      </w:r>
      <w:r w:rsidR="00D854EB" w:rsidRPr="00787196">
        <w:rPr>
          <w:rFonts w:cs="Arial"/>
          <w:szCs w:val="24"/>
        </w:rPr>
        <w:t xml:space="preserve"> </w:t>
      </w:r>
      <w:r w:rsidR="00C619F0" w:rsidRPr="00787196">
        <w:rPr>
          <w:rFonts w:cs="Arial"/>
          <w:szCs w:val="24"/>
        </w:rPr>
        <w:t xml:space="preserve">among </w:t>
      </w:r>
      <w:r w:rsidR="00242D79" w:rsidRPr="00787196">
        <w:rPr>
          <w:rFonts w:cs="Arial"/>
          <w:szCs w:val="24"/>
        </w:rPr>
        <w:t>256</w:t>
      </w:r>
      <w:r w:rsidR="00D854EB" w:rsidRPr="00787196">
        <w:rPr>
          <w:rFonts w:cs="Arial"/>
          <w:szCs w:val="24"/>
        </w:rPr>
        <w:t xml:space="preserve"> </w:t>
      </w:r>
      <w:r w:rsidR="00242D79" w:rsidRPr="00787196">
        <w:rPr>
          <w:rFonts w:cs="Arial"/>
          <w:szCs w:val="24"/>
        </w:rPr>
        <w:t xml:space="preserve">patients from </w:t>
      </w:r>
      <w:r w:rsidR="00C619F0" w:rsidRPr="00787196">
        <w:rPr>
          <w:rFonts w:cs="Arial"/>
          <w:szCs w:val="24"/>
        </w:rPr>
        <w:t>a</w:t>
      </w:r>
      <w:r w:rsidR="00242D79" w:rsidRPr="00787196">
        <w:rPr>
          <w:rFonts w:cs="Arial"/>
          <w:szCs w:val="24"/>
        </w:rPr>
        <w:t xml:space="preserve"> University Hospital </w:t>
      </w:r>
      <w:r w:rsidR="00C61B78" w:rsidRPr="00787196">
        <w:rPr>
          <w:rFonts w:cs="Arial"/>
          <w:szCs w:val="24"/>
        </w:rPr>
        <w:t xml:space="preserve">in Finland </w:t>
      </w:r>
      <w:r w:rsidR="00C619F0" w:rsidRPr="00787196">
        <w:rPr>
          <w:rFonts w:cs="Arial"/>
          <w:szCs w:val="24"/>
        </w:rPr>
        <w:t xml:space="preserve">with </w:t>
      </w:r>
      <w:r w:rsidR="00120525" w:rsidRPr="00787196">
        <w:rPr>
          <w:rFonts w:cs="Arial"/>
          <w:szCs w:val="24"/>
        </w:rPr>
        <w:t>chronic</w:t>
      </w:r>
      <w:r w:rsidR="00242D79" w:rsidRPr="00787196">
        <w:rPr>
          <w:rFonts w:cs="Arial"/>
          <w:szCs w:val="24"/>
        </w:rPr>
        <w:t xml:space="preserve"> heart disease</w:t>
      </w:r>
      <w:r w:rsidR="00C619F0" w:rsidRPr="00787196">
        <w:rPr>
          <w:rFonts w:cs="Arial"/>
          <w:szCs w:val="24"/>
        </w:rPr>
        <w:t xml:space="preserve"> screened by angiograms, a</w:t>
      </w:r>
      <w:r w:rsidR="00242D79" w:rsidRPr="00787196">
        <w:rPr>
          <w:rFonts w:cs="Arial"/>
          <w:szCs w:val="24"/>
        </w:rPr>
        <w:t xml:space="preserve">ll </w:t>
      </w:r>
      <w:r w:rsidR="00C619F0" w:rsidRPr="00787196">
        <w:rPr>
          <w:rFonts w:cs="Arial"/>
          <w:szCs w:val="24"/>
        </w:rPr>
        <w:t xml:space="preserve">the clinical </w:t>
      </w:r>
      <w:r w:rsidR="00242D79" w:rsidRPr="00787196">
        <w:rPr>
          <w:rFonts w:cs="Arial"/>
          <w:szCs w:val="24"/>
        </w:rPr>
        <w:t xml:space="preserve">dental </w:t>
      </w:r>
      <w:r w:rsidR="00C619F0" w:rsidRPr="00787196">
        <w:rPr>
          <w:rFonts w:cs="Arial"/>
          <w:szCs w:val="24"/>
        </w:rPr>
        <w:t>factors that</w:t>
      </w:r>
      <w:r w:rsidR="00120525" w:rsidRPr="00787196">
        <w:rPr>
          <w:rFonts w:cs="Arial"/>
          <w:szCs w:val="24"/>
        </w:rPr>
        <w:t xml:space="preserve"> create</w:t>
      </w:r>
      <w:r w:rsidR="00242D79" w:rsidRPr="00787196">
        <w:rPr>
          <w:rFonts w:cs="Arial"/>
          <w:szCs w:val="24"/>
        </w:rPr>
        <w:t xml:space="preserve"> inflammatory</w:t>
      </w:r>
      <w:r w:rsidR="00D854EB" w:rsidRPr="00787196">
        <w:rPr>
          <w:rFonts w:cs="Arial"/>
          <w:szCs w:val="24"/>
        </w:rPr>
        <w:t xml:space="preserve"> </w:t>
      </w:r>
      <w:r w:rsidR="00CA3787" w:rsidRPr="00787196">
        <w:rPr>
          <w:rFonts w:cs="Arial"/>
          <w:szCs w:val="24"/>
        </w:rPr>
        <w:t xml:space="preserve">mediators such as </w:t>
      </w:r>
      <w:r w:rsidR="00242D79" w:rsidRPr="00787196">
        <w:rPr>
          <w:rFonts w:cs="Arial"/>
          <w:szCs w:val="24"/>
        </w:rPr>
        <w:t xml:space="preserve">caries, root </w:t>
      </w:r>
      <w:r w:rsidR="00CA3787" w:rsidRPr="00787196">
        <w:rPr>
          <w:rFonts w:cs="Arial"/>
          <w:szCs w:val="24"/>
        </w:rPr>
        <w:t xml:space="preserve">stumps, </w:t>
      </w:r>
      <w:r w:rsidR="00242D79" w:rsidRPr="00787196">
        <w:rPr>
          <w:rFonts w:cs="Arial"/>
          <w:szCs w:val="24"/>
        </w:rPr>
        <w:t>gingivitis</w:t>
      </w:r>
      <w:r w:rsidR="00CA3787" w:rsidRPr="00787196">
        <w:rPr>
          <w:rFonts w:cs="Arial"/>
          <w:szCs w:val="24"/>
        </w:rPr>
        <w:t xml:space="preserve"> and even pericoronitis</w:t>
      </w:r>
      <w:r w:rsidR="00242D79" w:rsidRPr="00787196">
        <w:rPr>
          <w:rFonts w:cs="Arial"/>
          <w:szCs w:val="24"/>
        </w:rPr>
        <w:t xml:space="preserve"> </w:t>
      </w:r>
      <w:r w:rsidR="00120525" w:rsidRPr="00787196">
        <w:rPr>
          <w:rFonts w:cs="Arial"/>
          <w:szCs w:val="24"/>
        </w:rPr>
        <w:t>were examined</w:t>
      </w:r>
      <w:r w:rsidR="00CA3787" w:rsidRPr="00787196">
        <w:rPr>
          <w:rFonts w:cs="Arial"/>
          <w:szCs w:val="24"/>
        </w:rPr>
        <w:t>. Based on these measures, ADS</w:t>
      </w:r>
      <w:r w:rsidR="00242D79" w:rsidRPr="00787196">
        <w:rPr>
          <w:rFonts w:cs="Arial"/>
          <w:szCs w:val="24"/>
        </w:rPr>
        <w:t xml:space="preserve"> was developed by </w:t>
      </w:r>
      <w:r w:rsidR="00120525" w:rsidRPr="00787196">
        <w:rPr>
          <w:rFonts w:cs="Arial"/>
          <w:szCs w:val="24"/>
        </w:rPr>
        <w:t>logistic regression</w:t>
      </w:r>
      <w:r w:rsidR="00242D79" w:rsidRPr="00787196">
        <w:rPr>
          <w:rFonts w:cs="Arial"/>
          <w:szCs w:val="24"/>
        </w:rPr>
        <w:t xml:space="preserve"> analyses. </w:t>
      </w:r>
      <w:r w:rsidR="00CA3787" w:rsidRPr="00787196">
        <w:rPr>
          <w:rFonts w:cs="Arial"/>
          <w:szCs w:val="24"/>
        </w:rPr>
        <w:t xml:space="preserve">The study concluded that </w:t>
      </w:r>
      <w:r w:rsidR="00120525" w:rsidRPr="00787196">
        <w:rPr>
          <w:rFonts w:cs="Arial"/>
          <w:szCs w:val="24"/>
        </w:rPr>
        <w:t xml:space="preserve">ADS </w:t>
      </w:r>
      <w:r w:rsidR="00242D79" w:rsidRPr="00787196">
        <w:rPr>
          <w:rFonts w:cs="Arial"/>
          <w:szCs w:val="24"/>
        </w:rPr>
        <w:t>contribut</w:t>
      </w:r>
      <w:r w:rsidR="00C61B78" w:rsidRPr="00787196">
        <w:rPr>
          <w:rFonts w:cs="Arial"/>
          <w:szCs w:val="24"/>
        </w:rPr>
        <w:t xml:space="preserve">ed </w:t>
      </w:r>
      <w:r w:rsidR="007C6F81" w:rsidRPr="00787196">
        <w:rPr>
          <w:rFonts w:cs="Arial"/>
          <w:szCs w:val="24"/>
        </w:rPr>
        <w:t>significantly as</w:t>
      </w:r>
      <w:r w:rsidR="00242D79" w:rsidRPr="00787196">
        <w:rPr>
          <w:rFonts w:cs="Arial"/>
          <w:szCs w:val="24"/>
        </w:rPr>
        <w:t xml:space="preserve"> a</w:t>
      </w:r>
      <w:r w:rsidR="00D854EB" w:rsidRPr="00787196">
        <w:rPr>
          <w:rFonts w:cs="Arial"/>
          <w:szCs w:val="24"/>
        </w:rPr>
        <w:t xml:space="preserve"> </w:t>
      </w:r>
      <w:r w:rsidR="00242D79" w:rsidRPr="00787196">
        <w:rPr>
          <w:rFonts w:cs="Arial"/>
          <w:szCs w:val="24"/>
        </w:rPr>
        <w:t xml:space="preserve">predictor of chronic heart </w:t>
      </w:r>
      <w:r w:rsidR="007C6F81" w:rsidRPr="00787196">
        <w:rPr>
          <w:rFonts w:cs="Arial"/>
          <w:szCs w:val="24"/>
        </w:rPr>
        <w:t>diseases</w:t>
      </w:r>
      <w:r w:rsidR="00242D79" w:rsidRPr="00787196">
        <w:rPr>
          <w:rFonts w:cs="Arial"/>
          <w:szCs w:val="24"/>
        </w:rPr>
        <w:t xml:space="preserve"> </w:t>
      </w:r>
      <w:r w:rsidR="00CA3787" w:rsidRPr="00787196">
        <w:rPr>
          <w:rFonts w:cs="Arial"/>
          <w:szCs w:val="24"/>
        </w:rPr>
        <w:t>Similarly</w:t>
      </w:r>
      <w:r w:rsidR="00242D79" w:rsidRPr="00787196">
        <w:rPr>
          <w:rFonts w:cs="Arial"/>
          <w:szCs w:val="24"/>
        </w:rPr>
        <w:t>, Baker and</w:t>
      </w:r>
      <w:r w:rsidR="00D854EB" w:rsidRPr="00787196">
        <w:rPr>
          <w:rFonts w:cs="Arial"/>
          <w:szCs w:val="24"/>
        </w:rPr>
        <w:t xml:space="preserve"> </w:t>
      </w:r>
      <w:r w:rsidR="00120525" w:rsidRPr="00787196">
        <w:rPr>
          <w:rFonts w:cs="Arial"/>
          <w:szCs w:val="24"/>
        </w:rPr>
        <w:t>colleagues (</w:t>
      </w:r>
      <w:r w:rsidR="00242D79" w:rsidRPr="00787196">
        <w:rPr>
          <w:rFonts w:cs="Arial"/>
          <w:szCs w:val="24"/>
        </w:rPr>
        <w:t xml:space="preserve">2010) tested the </w:t>
      </w:r>
      <w:r w:rsidR="00120525" w:rsidRPr="00787196">
        <w:rPr>
          <w:rFonts w:cs="Arial"/>
          <w:szCs w:val="24"/>
        </w:rPr>
        <w:t>Wilson and</w:t>
      </w:r>
      <w:r w:rsidR="00242D79" w:rsidRPr="00787196">
        <w:rPr>
          <w:rFonts w:cs="Arial"/>
          <w:szCs w:val="24"/>
        </w:rPr>
        <w:t xml:space="preserve"> Cleary model</w:t>
      </w:r>
      <w:r w:rsidR="00C61B78" w:rsidRPr="00787196">
        <w:rPr>
          <w:rFonts w:cs="Arial"/>
          <w:szCs w:val="24"/>
        </w:rPr>
        <w:t xml:space="preserve"> (1995)</w:t>
      </w:r>
      <w:r w:rsidR="00242D79" w:rsidRPr="00787196">
        <w:rPr>
          <w:rFonts w:cs="Arial"/>
          <w:szCs w:val="24"/>
        </w:rPr>
        <w:t xml:space="preserve"> in relation to determinants </w:t>
      </w:r>
      <w:r w:rsidR="00120525" w:rsidRPr="00787196">
        <w:rPr>
          <w:rFonts w:cs="Arial"/>
          <w:szCs w:val="24"/>
        </w:rPr>
        <w:t xml:space="preserve">children’s oral health. </w:t>
      </w:r>
    </w:p>
    <w:p w14:paraId="1F3FE5EF" w14:textId="505CE93E" w:rsidR="00D854EB" w:rsidRPr="00787196" w:rsidRDefault="00CA3787" w:rsidP="00B92B59">
      <w:pPr>
        <w:spacing w:after="0"/>
        <w:rPr>
          <w:rFonts w:cs="Arial"/>
          <w:szCs w:val="24"/>
        </w:rPr>
      </w:pPr>
      <w:r w:rsidRPr="00787196">
        <w:rPr>
          <w:rFonts w:cs="Arial"/>
          <w:szCs w:val="24"/>
        </w:rPr>
        <w:t>T</w:t>
      </w:r>
      <w:r w:rsidR="00242D79" w:rsidRPr="00787196">
        <w:rPr>
          <w:rFonts w:cs="Arial"/>
          <w:szCs w:val="24"/>
        </w:rPr>
        <w:t>heor</w:t>
      </w:r>
      <w:r w:rsidR="00C61B78" w:rsidRPr="00787196">
        <w:rPr>
          <w:rFonts w:cs="Arial"/>
          <w:szCs w:val="24"/>
        </w:rPr>
        <w:t xml:space="preserve">y based </w:t>
      </w:r>
      <w:r w:rsidR="00242D79" w:rsidRPr="00787196">
        <w:rPr>
          <w:rFonts w:cs="Arial"/>
          <w:szCs w:val="24"/>
        </w:rPr>
        <w:t xml:space="preserve">models </w:t>
      </w:r>
      <w:r w:rsidRPr="00787196">
        <w:rPr>
          <w:rFonts w:cs="Arial"/>
          <w:szCs w:val="24"/>
        </w:rPr>
        <w:t xml:space="preserve">can </w:t>
      </w:r>
      <w:r w:rsidR="0018074E" w:rsidRPr="00787196">
        <w:rPr>
          <w:rFonts w:cs="Arial"/>
          <w:szCs w:val="24"/>
        </w:rPr>
        <w:t>be utilised as a</w:t>
      </w:r>
      <w:r w:rsidR="00242D79" w:rsidRPr="00787196">
        <w:rPr>
          <w:rFonts w:cs="Arial"/>
          <w:szCs w:val="24"/>
        </w:rPr>
        <w:t xml:space="preserve"> guide</w:t>
      </w:r>
      <w:r w:rsidRPr="00787196">
        <w:rPr>
          <w:rFonts w:cs="Arial"/>
          <w:szCs w:val="24"/>
        </w:rPr>
        <w:t xml:space="preserve"> and plan future</w:t>
      </w:r>
      <w:r w:rsidR="00242D79" w:rsidRPr="00787196">
        <w:rPr>
          <w:rFonts w:cs="Arial"/>
          <w:szCs w:val="24"/>
        </w:rPr>
        <w:t xml:space="preserve"> </w:t>
      </w:r>
      <w:r w:rsidRPr="00787196">
        <w:rPr>
          <w:rFonts w:cs="Arial"/>
          <w:szCs w:val="24"/>
        </w:rPr>
        <w:t>actions and strategies.</w:t>
      </w:r>
      <w:r w:rsidR="0018074E" w:rsidRPr="00787196">
        <w:rPr>
          <w:rFonts w:cs="Arial"/>
          <w:szCs w:val="24"/>
        </w:rPr>
        <w:t xml:space="preserve"> For </w:t>
      </w:r>
      <w:r w:rsidR="007C6F81" w:rsidRPr="00787196">
        <w:rPr>
          <w:rFonts w:cs="Arial"/>
          <w:szCs w:val="24"/>
        </w:rPr>
        <w:t>instance,</w:t>
      </w:r>
      <w:r w:rsidR="0018074E" w:rsidRPr="00787196">
        <w:rPr>
          <w:rFonts w:cs="Arial"/>
          <w:szCs w:val="24"/>
        </w:rPr>
        <w:t xml:space="preserve"> the Wilson and Cleary model (1995) evaluated associations between clinical status, symptom status, individual and environmental factors, functional status, general health perceptions and overall health related quality of life. By exploring the relationship between these factors various strategies and policies can be planned </w:t>
      </w:r>
      <w:r w:rsidR="00C814E8" w:rsidRPr="00787196">
        <w:rPr>
          <w:rFonts w:cs="Arial"/>
          <w:szCs w:val="24"/>
        </w:rPr>
        <w:t xml:space="preserve">to </w:t>
      </w:r>
      <w:r w:rsidR="0018074E" w:rsidRPr="00787196">
        <w:rPr>
          <w:rFonts w:cs="Arial"/>
          <w:szCs w:val="24"/>
        </w:rPr>
        <w:t xml:space="preserve">improve </w:t>
      </w:r>
      <w:r w:rsidR="00C814E8" w:rsidRPr="00787196">
        <w:rPr>
          <w:rFonts w:cs="Arial"/>
          <w:szCs w:val="24"/>
        </w:rPr>
        <w:t xml:space="preserve">outcomes </w:t>
      </w:r>
      <w:r w:rsidR="0018074E" w:rsidRPr="00787196">
        <w:rPr>
          <w:rFonts w:cs="Arial"/>
          <w:szCs w:val="24"/>
        </w:rPr>
        <w:t>and health related quality of life</w:t>
      </w:r>
      <w:r w:rsidR="00C814E8" w:rsidRPr="00787196">
        <w:rPr>
          <w:rFonts w:cs="Arial"/>
          <w:szCs w:val="24"/>
        </w:rPr>
        <w:t xml:space="preserve">. </w:t>
      </w:r>
      <w:r w:rsidR="00B92B59" w:rsidRPr="00787196">
        <w:rPr>
          <w:rFonts w:cs="Arial"/>
          <w:szCs w:val="24"/>
        </w:rPr>
        <w:t xml:space="preserve">Nammontri and colleagues (2013) used this model to design a health promotion </w:t>
      </w:r>
      <w:r w:rsidR="0034543C" w:rsidRPr="00787196">
        <w:rPr>
          <w:rFonts w:cs="Arial"/>
          <w:szCs w:val="24"/>
        </w:rPr>
        <w:t>intervention so</w:t>
      </w:r>
      <w:r w:rsidR="00B92B59" w:rsidRPr="00787196">
        <w:rPr>
          <w:rFonts w:cs="Arial"/>
          <w:szCs w:val="24"/>
        </w:rPr>
        <w:t xml:space="preserve"> as to improve children’s OHQoL</w:t>
      </w:r>
      <w:r w:rsidR="00D854EB" w:rsidRPr="00787196">
        <w:rPr>
          <w:rFonts w:cs="Arial"/>
          <w:szCs w:val="24"/>
        </w:rPr>
        <w:t xml:space="preserve"> </w:t>
      </w:r>
    </w:p>
    <w:p w14:paraId="1A36760B" w14:textId="483D2DE6" w:rsidR="00BB11B1" w:rsidRPr="00787196" w:rsidRDefault="0034543C" w:rsidP="00173541">
      <w:pPr>
        <w:spacing w:after="0"/>
        <w:rPr>
          <w:rFonts w:cs="Arial"/>
          <w:szCs w:val="24"/>
        </w:rPr>
      </w:pPr>
      <w:r w:rsidRPr="00787196">
        <w:rPr>
          <w:rFonts w:cs="Arial"/>
          <w:szCs w:val="24"/>
        </w:rPr>
        <w:lastRenderedPageBreak/>
        <w:t>T</w:t>
      </w:r>
      <w:r w:rsidR="00242D79" w:rsidRPr="00787196">
        <w:rPr>
          <w:rFonts w:cs="Arial"/>
          <w:szCs w:val="24"/>
        </w:rPr>
        <w:t xml:space="preserve">heoretical </w:t>
      </w:r>
      <w:r w:rsidR="00D854EB" w:rsidRPr="00787196">
        <w:rPr>
          <w:rFonts w:cs="Arial"/>
          <w:szCs w:val="24"/>
        </w:rPr>
        <w:t>models are</w:t>
      </w:r>
      <w:r w:rsidR="00AB3854" w:rsidRPr="00787196">
        <w:rPr>
          <w:rFonts w:cs="Arial"/>
          <w:szCs w:val="24"/>
        </w:rPr>
        <w:t xml:space="preserve"> used for systematic </w:t>
      </w:r>
      <w:r w:rsidR="00242D79" w:rsidRPr="00787196">
        <w:rPr>
          <w:rFonts w:cs="Arial"/>
          <w:szCs w:val="24"/>
        </w:rPr>
        <w:t>analyse</w:t>
      </w:r>
      <w:r w:rsidR="00AB3854" w:rsidRPr="00787196">
        <w:rPr>
          <w:rFonts w:cs="Arial"/>
          <w:szCs w:val="24"/>
        </w:rPr>
        <w:t>s of</w:t>
      </w:r>
      <w:r w:rsidR="00242D79" w:rsidRPr="00787196">
        <w:rPr>
          <w:rFonts w:cs="Arial"/>
          <w:szCs w:val="24"/>
        </w:rPr>
        <w:t xml:space="preserve"> data than </w:t>
      </w:r>
      <w:r w:rsidR="00C814E8" w:rsidRPr="00787196">
        <w:rPr>
          <w:rFonts w:cs="Arial"/>
          <w:szCs w:val="24"/>
        </w:rPr>
        <w:t xml:space="preserve">just mere </w:t>
      </w:r>
      <w:r w:rsidR="00D854EB" w:rsidRPr="00787196">
        <w:rPr>
          <w:rFonts w:cs="Arial"/>
          <w:szCs w:val="24"/>
        </w:rPr>
        <w:t>analyses</w:t>
      </w:r>
      <w:r w:rsidR="00242D79" w:rsidRPr="00787196">
        <w:rPr>
          <w:rFonts w:cs="Arial"/>
          <w:szCs w:val="24"/>
        </w:rPr>
        <w:t xml:space="preserve"> </w:t>
      </w:r>
      <w:r w:rsidR="00C814E8" w:rsidRPr="00787196">
        <w:rPr>
          <w:rFonts w:cs="Arial"/>
          <w:szCs w:val="24"/>
        </w:rPr>
        <w:t>of</w:t>
      </w:r>
      <w:r w:rsidR="00242D79" w:rsidRPr="00787196">
        <w:rPr>
          <w:rFonts w:cs="Arial"/>
          <w:szCs w:val="24"/>
        </w:rPr>
        <w:t xml:space="preserve"> </w:t>
      </w:r>
      <w:r w:rsidR="00C814E8" w:rsidRPr="00787196">
        <w:rPr>
          <w:rFonts w:cs="Arial"/>
          <w:szCs w:val="24"/>
        </w:rPr>
        <w:t>theorised</w:t>
      </w:r>
      <w:r w:rsidR="00D854EB" w:rsidRPr="00787196">
        <w:rPr>
          <w:rFonts w:cs="Arial"/>
          <w:szCs w:val="24"/>
        </w:rPr>
        <w:t xml:space="preserve"> </w:t>
      </w:r>
      <w:r w:rsidR="00C814E8" w:rsidRPr="00787196">
        <w:rPr>
          <w:rFonts w:cs="Arial"/>
          <w:szCs w:val="24"/>
        </w:rPr>
        <w:t xml:space="preserve">associations </w:t>
      </w:r>
      <w:r w:rsidR="00DA31B7" w:rsidRPr="00787196">
        <w:rPr>
          <w:rFonts w:cs="Arial"/>
          <w:szCs w:val="24"/>
        </w:rPr>
        <w:fldChar w:fldCharType="begin"/>
      </w:r>
      <w:r w:rsidR="00173541" w:rsidRPr="00787196">
        <w:rPr>
          <w:rFonts w:cs="Arial"/>
          <w:szCs w:val="24"/>
        </w:rPr>
        <w:instrText xml:space="preserve"> ADDIN EN.CITE &lt;EndNote&gt;&lt;Cite&gt;&lt;Author&gt;Boorse&lt;/Author&gt;&lt;Year&gt;1977&lt;/Year&gt;&lt;IDText&gt;Health as a Theoretical Concept&lt;/IDText&gt;&lt;DisplayText&gt;(Boorse, 1977, Boorse, 1997)&lt;/DisplayText&gt;&lt;record&gt;&lt;urls&gt;&lt;related-urls&gt;&lt;url&gt;http://www.jstor.org/stable/186939&lt;/url&gt;&lt;/related-urls&gt;&lt;/urls&gt;&lt;isbn&gt;00318248, 1539767X&lt;/isbn&gt;&lt;custom1&gt;Full publication date: Dec., 1977&lt;/custom1&gt;&lt;titles&gt;&lt;title&gt;Health as a Theoretical Concept&lt;/title&gt;&lt;secondary-title&gt;Philosophy of Science&lt;/secondary-title&gt;&lt;/titles&gt;&lt;pages&gt;542-573&lt;/pages&gt;&lt;number&gt;4&lt;/number&gt;&lt;contributors&gt;&lt;authors&gt;&lt;author&gt;Boorse, Christopher&lt;/author&gt;&lt;/authors&gt;&lt;/contributors&gt;&lt;added-date format="utc"&gt;1483633841&lt;/added-date&gt;&lt;ref-type name="Journal Article"&gt;17&lt;/ref-type&gt;&lt;dates&gt;&lt;year&gt;1977&lt;/year&gt;&lt;/dates&gt;&lt;rec-number&gt;2769&lt;/rec-number&gt;&lt;publisher&gt;[University of Chicago Press, Philosophy of Science Association]&lt;/publisher&gt;&lt;last-updated-date format="utc"&gt;1483635218&lt;/last-updated-date&gt;&lt;volume&gt;44&lt;/volume&gt;&lt;/record&gt;&lt;/Cite&gt;&lt;Cite&gt;&lt;Author&gt;Boorse&lt;/Author&gt;&lt;Year&gt;1997&lt;/Year&gt;&lt;IDText&gt;A Rebuttal on Health&lt;/IDText&gt;&lt;record&gt;&lt;dates&gt;&lt;pub-dates&gt;&lt;date&gt;1997//&lt;/date&gt;&lt;/pub-dates&gt;&lt;year&gt;1997&lt;/year&gt;&lt;/dates&gt;&lt;urls&gt;&lt;related-urls&gt;&lt;url&gt;http://dx.doi.org/10.1007/978-1-59259-451-1_1&lt;/url&gt;&lt;/related-urls&gt;&lt;/urls&gt;&lt;isbn&gt;978-1-59259-451-1&lt;/isbn&gt;&lt;titles&gt;&lt;title&gt;A Rebuttal on Health&lt;/title&gt;&lt;secondary-title&gt;What Is Disease?&lt;/secondary-title&gt;&lt;/titles&gt;&lt;pages&gt;1-134&lt;/pages&gt;&lt;contributors&gt;&lt;authors&gt;&lt;author&gt;Boorse, Christopher&lt;/author&gt;&lt;/authors&gt;&lt;/contributors&gt;&lt;added-date format="utc"&gt;1483633841&lt;/added-date&gt;&lt;pub-location&gt;Totowa, NJ&lt;/pub-location&gt;&lt;ref-type name="Book Section"&gt;5&lt;/ref-type&gt;&lt;rec-number&gt;2768&lt;/rec-number&gt;&lt;publisher&gt;Humana Press&lt;/publisher&gt;&lt;last-updated-date format="utc"&gt;1483633841&lt;/last-updated-date&gt;&lt;contributors&gt;&lt;secondary-authors&gt;&lt;author&gt;Humber, James M.&lt;/author&gt;&lt;author&gt;Almeder, Robert F.&lt;/author&gt;&lt;/secondary-authors&gt;&lt;/contributors&gt;&lt;electronic-resource-num&gt;10.1007/978-1-59259-451-1_1&lt;/electronic-resource-num&gt;&lt;/record&gt;&lt;/Cite&gt;&lt;/EndNote&gt;</w:instrText>
      </w:r>
      <w:r w:rsidR="00DA31B7" w:rsidRPr="00787196">
        <w:rPr>
          <w:rFonts w:cs="Arial"/>
          <w:szCs w:val="24"/>
        </w:rPr>
        <w:fldChar w:fldCharType="separate"/>
      </w:r>
      <w:r w:rsidR="00DA31B7" w:rsidRPr="00787196">
        <w:rPr>
          <w:rFonts w:cs="Arial"/>
          <w:noProof/>
          <w:szCs w:val="24"/>
        </w:rPr>
        <w:t>(Boorse, 1977, Boorse, 1997)</w:t>
      </w:r>
      <w:r w:rsidR="00DA31B7" w:rsidRPr="00787196">
        <w:rPr>
          <w:rFonts w:cs="Arial"/>
          <w:szCs w:val="24"/>
        </w:rPr>
        <w:fldChar w:fldCharType="end"/>
      </w:r>
      <w:r w:rsidR="00242D79" w:rsidRPr="00787196">
        <w:rPr>
          <w:rFonts w:cs="Arial"/>
          <w:szCs w:val="24"/>
        </w:rPr>
        <w:t>.</w:t>
      </w:r>
      <w:r w:rsidR="00120525" w:rsidRPr="00787196">
        <w:rPr>
          <w:rFonts w:cs="Arial"/>
          <w:szCs w:val="24"/>
        </w:rPr>
        <w:t xml:space="preserve"> </w:t>
      </w:r>
      <w:r w:rsidR="00C814E8" w:rsidRPr="00787196">
        <w:rPr>
          <w:rFonts w:cs="Arial"/>
          <w:szCs w:val="24"/>
        </w:rPr>
        <w:t>The</w:t>
      </w:r>
      <w:r w:rsidR="00AC16E7" w:rsidRPr="00787196">
        <w:rPr>
          <w:rFonts w:cs="Arial"/>
          <w:szCs w:val="24"/>
        </w:rPr>
        <w:t>y</w:t>
      </w:r>
      <w:r w:rsidR="00C814E8" w:rsidRPr="00787196">
        <w:rPr>
          <w:rFonts w:cs="Arial"/>
          <w:szCs w:val="24"/>
        </w:rPr>
        <w:t xml:space="preserve"> can further be statistically</w:t>
      </w:r>
      <w:r w:rsidR="00AC16E7" w:rsidRPr="00787196">
        <w:rPr>
          <w:rFonts w:cs="Arial"/>
          <w:szCs w:val="24"/>
        </w:rPr>
        <w:t xml:space="preserve"> enhanced</w:t>
      </w:r>
      <w:r w:rsidR="00242D79" w:rsidRPr="00787196">
        <w:rPr>
          <w:rFonts w:cs="Arial"/>
          <w:szCs w:val="24"/>
        </w:rPr>
        <w:t xml:space="preserve"> to </w:t>
      </w:r>
      <w:r w:rsidR="00C814E8" w:rsidRPr="00787196">
        <w:rPr>
          <w:rFonts w:cs="Arial"/>
          <w:szCs w:val="24"/>
        </w:rPr>
        <w:t xml:space="preserve">quantify and gauge </w:t>
      </w:r>
      <w:r w:rsidR="00BB11B1" w:rsidRPr="00787196">
        <w:rPr>
          <w:rFonts w:cs="Arial"/>
          <w:szCs w:val="24"/>
        </w:rPr>
        <w:t>specified effect</w:t>
      </w:r>
      <w:r w:rsidR="00C814E8" w:rsidRPr="00787196">
        <w:rPr>
          <w:rFonts w:cs="Arial"/>
          <w:szCs w:val="24"/>
        </w:rPr>
        <w:t xml:space="preserve"> size</w:t>
      </w:r>
      <w:r w:rsidR="00BB11B1" w:rsidRPr="00787196">
        <w:rPr>
          <w:rFonts w:cs="Arial"/>
          <w:szCs w:val="24"/>
        </w:rPr>
        <w:t xml:space="preserve">. </w:t>
      </w:r>
    </w:p>
    <w:p w14:paraId="19C45FDC" w14:textId="4B44428F" w:rsidR="00381912" w:rsidRPr="00787196" w:rsidRDefault="00AC16E7" w:rsidP="002C4FCD">
      <w:pPr>
        <w:spacing w:after="0"/>
        <w:rPr>
          <w:rFonts w:cs="Arial"/>
          <w:szCs w:val="24"/>
        </w:rPr>
      </w:pPr>
      <w:r w:rsidRPr="00787196">
        <w:rPr>
          <w:rFonts w:cs="Arial"/>
          <w:szCs w:val="24"/>
        </w:rPr>
        <w:t xml:space="preserve">To summarise, theory based models </w:t>
      </w:r>
      <w:r w:rsidR="007C6F81" w:rsidRPr="00787196">
        <w:rPr>
          <w:rFonts w:cs="Arial"/>
          <w:szCs w:val="24"/>
        </w:rPr>
        <w:t>can be</w:t>
      </w:r>
      <w:r w:rsidRPr="00787196">
        <w:rPr>
          <w:rFonts w:cs="Arial"/>
          <w:szCs w:val="24"/>
        </w:rPr>
        <w:t xml:space="preserve"> used as a framework to</w:t>
      </w:r>
      <w:r w:rsidR="00242D79" w:rsidRPr="00787196">
        <w:rPr>
          <w:rFonts w:cs="Arial"/>
          <w:szCs w:val="24"/>
        </w:rPr>
        <w:t xml:space="preserve"> guid</w:t>
      </w:r>
      <w:r w:rsidRPr="00787196">
        <w:rPr>
          <w:rFonts w:cs="Arial"/>
          <w:szCs w:val="24"/>
        </w:rPr>
        <w:t>e</w:t>
      </w:r>
      <w:r w:rsidR="00242D79" w:rsidRPr="00787196">
        <w:rPr>
          <w:rFonts w:cs="Arial"/>
          <w:szCs w:val="24"/>
        </w:rPr>
        <w:t xml:space="preserve"> </w:t>
      </w:r>
      <w:r w:rsidRPr="00787196">
        <w:rPr>
          <w:rFonts w:cs="Arial"/>
          <w:szCs w:val="24"/>
        </w:rPr>
        <w:t xml:space="preserve">and well </w:t>
      </w:r>
      <w:r w:rsidR="00242D79" w:rsidRPr="00787196">
        <w:rPr>
          <w:rFonts w:cs="Arial"/>
          <w:szCs w:val="24"/>
        </w:rPr>
        <w:t xml:space="preserve">understand </w:t>
      </w:r>
      <w:r w:rsidRPr="00787196">
        <w:rPr>
          <w:rFonts w:cs="Arial"/>
          <w:szCs w:val="24"/>
        </w:rPr>
        <w:t xml:space="preserve">theorised associations </w:t>
      </w:r>
      <w:r w:rsidR="00242D79" w:rsidRPr="00787196">
        <w:rPr>
          <w:rFonts w:cs="Arial"/>
          <w:szCs w:val="24"/>
        </w:rPr>
        <w:t xml:space="preserve">between variables, </w:t>
      </w:r>
      <w:r w:rsidR="007C6F81" w:rsidRPr="00787196">
        <w:rPr>
          <w:rFonts w:cs="Arial"/>
          <w:szCs w:val="24"/>
        </w:rPr>
        <w:t>help with</w:t>
      </w:r>
      <w:r w:rsidR="00242D79" w:rsidRPr="00787196">
        <w:rPr>
          <w:rFonts w:cs="Arial"/>
          <w:szCs w:val="24"/>
        </w:rPr>
        <w:t xml:space="preserve"> statistical </w:t>
      </w:r>
      <w:r w:rsidRPr="00787196">
        <w:rPr>
          <w:rFonts w:cs="Arial"/>
          <w:szCs w:val="24"/>
        </w:rPr>
        <w:t>analysis, interpretation of results</w:t>
      </w:r>
      <w:r w:rsidR="00242D79" w:rsidRPr="00787196">
        <w:rPr>
          <w:rFonts w:cs="Arial"/>
          <w:szCs w:val="24"/>
        </w:rPr>
        <w:t xml:space="preserve"> </w:t>
      </w:r>
      <w:r w:rsidR="006F1759" w:rsidRPr="00787196">
        <w:rPr>
          <w:rFonts w:cs="Arial"/>
          <w:szCs w:val="24"/>
        </w:rPr>
        <w:t>and help expedite with the designing</w:t>
      </w:r>
      <w:r w:rsidR="00242D79" w:rsidRPr="00787196">
        <w:rPr>
          <w:rFonts w:cs="Arial"/>
          <w:szCs w:val="24"/>
        </w:rPr>
        <w:t xml:space="preserve"> and evaluati</w:t>
      </w:r>
      <w:r w:rsidR="006F1759" w:rsidRPr="00787196">
        <w:rPr>
          <w:rFonts w:cs="Arial"/>
          <w:szCs w:val="24"/>
        </w:rPr>
        <w:t>ve process</w:t>
      </w:r>
      <w:r w:rsidR="00242D79" w:rsidRPr="00787196">
        <w:rPr>
          <w:rFonts w:cs="Arial"/>
          <w:szCs w:val="24"/>
        </w:rPr>
        <w:t xml:space="preserve"> of interventions.</w:t>
      </w:r>
      <w:r w:rsidR="00381912" w:rsidRPr="00787196">
        <w:rPr>
          <w:rFonts w:cs="Arial"/>
          <w:szCs w:val="24"/>
        </w:rPr>
        <w:t xml:space="preserve"> Most OHQoL studies in the past have lacked an application of a theoretical framework.</w:t>
      </w:r>
    </w:p>
    <w:p w14:paraId="34633BA1" w14:textId="4FFAD803" w:rsidR="00220739" w:rsidRPr="00787196" w:rsidRDefault="00220739" w:rsidP="00D9694A">
      <w:pPr>
        <w:pStyle w:val="Heading3"/>
      </w:pPr>
      <w:bookmarkStart w:id="34" w:name="_Toc488655618"/>
      <w:r w:rsidRPr="00787196">
        <w:t xml:space="preserve">Lockers conceptual model of </w:t>
      </w:r>
      <w:r w:rsidR="007712FF">
        <w:t>o</w:t>
      </w:r>
      <w:r w:rsidRPr="00787196">
        <w:t>ral health (1988)</w:t>
      </w:r>
      <w:bookmarkEnd w:id="34"/>
    </w:p>
    <w:p w14:paraId="4AA54F4B" w14:textId="0B87246C" w:rsidR="00634570" w:rsidRPr="00787196" w:rsidRDefault="00634570" w:rsidP="00466EFC">
      <w:pPr>
        <w:spacing w:after="0"/>
        <w:ind w:right="19"/>
        <w:rPr>
          <w:rFonts w:cs="Arial"/>
          <w:szCs w:val="24"/>
        </w:rPr>
      </w:pPr>
      <w:r w:rsidRPr="00787196">
        <w:rPr>
          <w:rFonts w:cs="Arial"/>
          <w:szCs w:val="24"/>
        </w:rPr>
        <w:t>Based on the</w:t>
      </w:r>
      <w:r w:rsidR="00220739" w:rsidRPr="00787196">
        <w:rPr>
          <w:rFonts w:cs="Arial"/>
          <w:szCs w:val="24"/>
        </w:rPr>
        <w:t xml:space="preserve"> International Classification of Functioning, Disability and Health (ICF)</w:t>
      </w:r>
      <w:r w:rsidRPr="00787196">
        <w:rPr>
          <w:rFonts w:cs="Arial"/>
          <w:szCs w:val="24"/>
        </w:rPr>
        <w:t>,</w:t>
      </w:r>
      <w:r w:rsidR="00220739" w:rsidRPr="00787196">
        <w:rPr>
          <w:rFonts w:cs="Arial"/>
          <w:szCs w:val="24"/>
        </w:rPr>
        <w:t xml:space="preserve"> </w:t>
      </w:r>
      <w:r w:rsidRPr="00787196">
        <w:rPr>
          <w:rFonts w:cs="Arial"/>
          <w:szCs w:val="24"/>
        </w:rPr>
        <w:t xml:space="preserve">Locker’s conceptual model of oral health </w:t>
      </w:r>
      <w:r w:rsidRPr="00787196">
        <w:rPr>
          <w:rFonts w:cs="Arial"/>
          <w:szCs w:val="24"/>
        </w:rPr>
        <w:fldChar w:fldCharType="begin"/>
      </w:r>
      <w:r w:rsidRPr="00787196">
        <w:rPr>
          <w:rFonts w:cs="Arial"/>
          <w:szCs w:val="24"/>
        </w:rPr>
        <w:instrText xml:space="preserve"> ADDIN EN.CITE &lt;EndNote&gt;&lt;Cite ExcludeAuth="1"&gt;&lt;Author&gt;Locker&lt;/Author&gt;&lt;Year&gt;1988&lt;/Year&gt;&lt;RecNum&gt;0&lt;/RecNum&gt;&lt;IDText&gt;Measuring oral health: a conceptual framework&lt;/IDText&gt;&lt;DisplayText&gt;(1988)&lt;/DisplayText&gt;&lt;record&gt;&lt;dates&gt;&lt;pub-dates&gt;&lt;date&gt;Mar&lt;/date&gt;&lt;/pub-dates&gt;&lt;year&gt;1988&lt;/year&gt;&lt;/dates&gt;&lt;isbn&gt;0265-539X (Print)&amp;#xD;0265-539x&lt;/isbn&gt;&lt;titles&gt;&lt;title&gt;Measuring oral health: a conceptual framework&lt;/title&gt;&lt;secondary-title&gt;Community Dent Health&lt;/secondary-title&gt;&lt;alt-title&gt;Community dental health&lt;/alt-title&gt;&lt;/titles&gt;&lt;pages&gt;3-18&lt;/pages&gt;&lt;number&gt;1&lt;/number&gt;&lt;contributors&gt;&lt;authors&gt;&lt;author&gt;Locker, D.&lt;/author&gt;&lt;/authors&gt;&lt;/contributors&gt;&lt;edition&gt;1988/03/01&lt;/edition&gt;&lt;language&gt;eng&lt;/language&gt;&lt;added-date format="utc"&gt;1368636239&lt;/added-date&gt;&lt;ref-type name="Journal Article"&gt;17&lt;/ref-type&gt;&lt;remote-database-provider&gt;Nlm&lt;/remote-database-provider&gt;&lt;rec-number&gt;688&lt;/rec-number&gt;&lt;last-updated-date format="utc"&gt;1385713712&lt;/last-updated-date&gt;&lt;accession-num&gt;3285972&lt;/accession-num&gt;&lt;volume&gt;5&lt;/volume&gt;&lt;/record&gt;&lt;/Cite&gt;&lt;/EndNote&gt;</w:instrText>
      </w:r>
      <w:r w:rsidRPr="00787196">
        <w:rPr>
          <w:rFonts w:cs="Arial"/>
          <w:szCs w:val="24"/>
        </w:rPr>
        <w:fldChar w:fldCharType="separate"/>
      </w:r>
      <w:r w:rsidRPr="00787196">
        <w:rPr>
          <w:rFonts w:cs="Arial"/>
          <w:szCs w:val="24"/>
        </w:rPr>
        <w:t>(1988)</w:t>
      </w:r>
      <w:r w:rsidRPr="00787196">
        <w:rPr>
          <w:rFonts w:cs="Arial"/>
          <w:szCs w:val="24"/>
        </w:rPr>
        <w:fldChar w:fldCharType="end"/>
      </w:r>
      <w:r w:rsidRPr="00787196">
        <w:rPr>
          <w:rFonts w:cs="Arial"/>
          <w:szCs w:val="24"/>
        </w:rPr>
        <w:t xml:space="preserve"> was developed.</w:t>
      </w:r>
    </w:p>
    <w:p w14:paraId="7FD27328" w14:textId="2260A527" w:rsidR="00220739" w:rsidRPr="00787196" w:rsidRDefault="00634570" w:rsidP="007C6F81">
      <w:pPr>
        <w:spacing w:after="0"/>
        <w:ind w:right="19"/>
        <w:rPr>
          <w:rFonts w:cs="Arial"/>
          <w:szCs w:val="24"/>
        </w:rPr>
      </w:pPr>
      <w:r w:rsidRPr="00787196">
        <w:rPr>
          <w:rFonts w:cs="Arial"/>
          <w:szCs w:val="24"/>
        </w:rPr>
        <w:t>This model related</w:t>
      </w:r>
      <w:r w:rsidR="00220739" w:rsidRPr="00787196">
        <w:rPr>
          <w:rFonts w:cs="Arial"/>
          <w:szCs w:val="24"/>
        </w:rPr>
        <w:t xml:space="preserve"> oral disease</w:t>
      </w:r>
      <w:r w:rsidRPr="00787196">
        <w:rPr>
          <w:rFonts w:cs="Arial"/>
          <w:szCs w:val="24"/>
        </w:rPr>
        <w:t xml:space="preserve"> with factors such</w:t>
      </w:r>
      <w:r w:rsidR="00220739" w:rsidRPr="00787196">
        <w:rPr>
          <w:rFonts w:cs="Arial"/>
          <w:szCs w:val="24"/>
        </w:rPr>
        <w:t>, impairment, disability and handicap. Th</w:t>
      </w:r>
      <w:r w:rsidRPr="00787196">
        <w:rPr>
          <w:rFonts w:cs="Arial"/>
          <w:szCs w:val="24"/>
        </w:rPr>
        <w:t>e</w:t>
      </w:r>
      <w:r w:rsidR="00220739" w:rsidRPr="00787196">
        <w:rPr>
          <w:rFonts w:cs="Arial"/>
          <w:szCs w:val="24"/>
        </w:rPr>
        <w:t xml:space="preserve"> model </w:t>
      </w:r>
      <w:r w:rsidRPr="00787196">
        <w:rPr>
          <w:rFonts w:cs="Arial"/>
          <w:szCs w:val="24"/>
        </w:rPr>
        <w:t>was</w:t>
      </w:r>
      <w:r w:rsidR="00220739" w:rsidRPr="00787196">
        <w:rPr>
          <w:rFonts w:cs="Arial"/>
          <w:szCs w:val="24"/>
        </w:rPr>
        <w:t xml:space="preserve"> compatible with</w:t>
      </w:r>
      <w:r w:rsidRPr="00787196">
        <w:rPr>
          <w:rFonts w:cs="Arial"/>
          <w:szCs w:val="24"/>
        </w:rPr>
        <w:t>in</w:t>
      </w:r>
      <w:r w:rsidR="00220739" w:rsidRPr="00787196">
        <w:rPr>
          <w:rFonts w:cs="Arial"/>
          <w:szCs w:val="24"/>
        </w:rPr>
        <w:t xml:space="preserve"> the Wilson and Cleary model (1995) </w:t>
      </w:r>
      <w:r w:rsidR="008310E0" w:rsidRPr="00787196">
        <w:rPr>
          <w:rFonts w:cs="Arial"/>
          <w:szCs w:val="24"/>
        </w:rPr>
        <w:t xml:space="preserve">which </w:t>
      </w:r>
      <w:r w:rsidRPr="00787196">
        <w:rPr>
          <w:rFonts w:cs="Arial"/>
          <w:szCs w:val="24"/>
        </w:rPr>
        <w:t>was consequently developed</w:t>
      </w:r>
      <w:r w:rsidR="00830AD6" w:rsidRPr="00787196">
        <w:rPr>
          <w:rFonts w:cs="Arial"/>
          <w:szCs w:val="24"/>
        </w:rPr>
        <w:t>.</w:t>
      </w:r>
      <w:r w:rsidR="007C6F81" w:rsidRPr="00787196">
        <w:rPr>
          <w:rFonts w:cs="Arial"/>
          <w:szCs w:val="24"/>
        </w:rPr>
        <w:t xml:space="preserve"> </w:t>
      </w:r>
    </w:p>
    <w:p w14:paraId="5AAFD4A1" w14:textId="3FEA1DCC" w:rsidR="007C6F81" w:rsidRPr="00787196" w:rsidRDefault="00220739" w:rsidP="002C4FCD">
      <w:pPr>
        <w:rPr>
          <w:rFonts w:cs="Arial"/>
          <w:szCs w:val="24"/>
        </w:rPr>
      </w:pPr>
      <w:r w:rsidRPr="00787196">
        <w:rPr>
          <w:rFonts w:cs="Arial"/>
          <w:szCs w:val="24"/>
        </w:rPr>
        <w:t xml:space="preserve">Impairment in this model refers to </w:t>
      </w:r>
      <w:r w:rsidR="00A65D9C" w:rsidRPr="00787196">
        <w:rPr>
          <w:rFonts w:cs="Arial"/>
          <w:szCs w:val="24"/>
        </w:rPr>
        <w:t>various clinical manifestations in the oral cavity</w:t>
      </w:r>
      <w:r w:rsidRPr="00787196">
        <w:rPr>
          <w:rFonts w:cs="Arial"/>
          <w:szCs w:val="24"/>
        </w:rPr>
        <w:t xml:space="preserve"> </w:t>
      </w:r>
      <w:r w:rsidR="00634570" w:rsidRPr="00787196">
        <w:rPr>
          <w:rFonts w:cs="Arial"/>
          <w:szCs w:val="24"/>
        </w:rPr>
        <w:t>such as periodontal</w:t>
      </w:r>
      <w:r w:rsidRPr="00787196">
        <w:rPr>
          <w:rFonts w:cs="Arial"/>
          <w:szCs w:val="24"/>
        </w:rPr>
        <w:t xml:space="preserve"> attachment loss, missing teeth and malocclusion </w:t>
      </w:r>
      <w:r w:rsidR="00634570" w:rsidRPr="00787196">
        <w:rPr>
          <w:rFonts w:cs="Arial"/>
          <w:szCs w:val="24"/>
        </w:rPr>
        <w:t xml:space="preserve">which </w:t>
      </w:r>
      <w:r w:rsidRPr="00787196">
        <w:rPr>
          <w:rFonts w:cs="Arial"/>
          <w:szCs w:val="24"/>
        </w:rPr>
        <w:t xml:space="preserve">lead to </w:t>
      </w:r>
      <w:r w:rsidR="00634570" w:rsidRPr="00787196">
        <w:rPr>
          <w:rFonts w:cs="Arial"/>
          <w:szCs w:val="24"/>
        </w:rPr>
        <w:t xml:space="preserve">limitations </w:t>
      </w:r>
      <w:r w:rsidR="00A65D9C" w:rsidRPr="00787196">
        <w:rPr>
          <w:rFonts w:cs="Arial"/>
          <w:szCs w:val="24"/>
        </w:rPr>
        <w:t xml:space="preserve">at a </w:t>
      </w:r>
      <w:r w:rsidRPr="00787196">
        <w:rPr>
          <w:rFonts w:cs="Arial"/>
          <w:szCs w:val="24"/>
        </w:rPr>
        <w:t xml:space="preserve">physical, biochemical and functional </w:t>
      </w:r>
      <w:r w:rsidR="00A65D9C" w:rsidRPr="00787196">
        <w:rPr>
          <w:rFonts w:cs="Arial"/>
          <w:szCs w:val="24"/>
        </w:rPr>
        <w:t>level</w:t>
      </w:r>
      <w:r w:rsidRPr="00787196">
        <w:rPr>
          <w:rFonts w:cs="Arial"/>
          <w:szCs w:val="24"/>
        </w:rPr>
        <w:t xml:space="preserve">. Functional limitation refers to restriction of the body or its components (e.g.) tongue, jaw movements. Disability refers to the limitation in performing the tasks and roles of the individual. Finally, the disadvantages that are experienced by the individuals as a result of failing to meet the expectations of the society they live is the Handicap (e.g.) wearing new dentures </w:t>
      </w:r>
      <w:r w:rsidR="00466EFC" w:rsidRPr="00787196">
        <w:rPr>
          <w:rFonts w:cs="Arial"/>
          <w:szCs w:val="24"/>
        </w:rPr>
        <w:t>can cause</w:t>
      </w:r>
      <w:r w:rsidRPr="00787196">
        <w:rPr>
          <w:rFonts w:cs="Arial"/>
          <w:szCs w:val="24"/>
        </w:rPr>
        <w:t xml:space="preserve"> a restriction </w:t>
      </w:r>
      <w:r w:rsidR="00466EFC" w:rsidRPr="00787196">
        <w:rPr>
          <w:rFonts w:cs="Arial"/>
          <w:szCs w:val="24"/>
        </w:rPr>
        <w:t>of diet</w:t>
      </w:r>
      <w:r w:rsidRPr="00787196">
        <w:rPr>
          <w:rFonts w:cs="Arial"/>
          <w:szCs w:val="24"/>
        </w:rPr>
        <w:t xml:space="preserve"> which can lead to individuals avoiding eating </w:t>
      </w:r>
      <w:r w:rsidR="005B6046" w:rsidRPr="00787196">
        <w:rPr>
          <w:rFonts w:cs="Arial"/>
          <w:szCs w:val="24"/>
        </w:rPr>
        <w:t xml:space="preserve">and socialising </w:t>
      </w:r>
      <w:r w:rsidRPr="00787196">
        <w:rPr>
          <w:rFonts w:cs="Arial"/>
          <w:szCs w:val="24"/>
        </w:rPr>
        <w:t>with other</w:t>
      </w:r>
      <w:r w:rsidR="005B6046" w:rsidRPr="00787196">
        <w:rPr>
          <w:rFonts w:cs="Arial"/>
          <w:szCs w:val="24"/>
        </w:rPr>
        <w:t>s.</w:t>
      </w:r>
    </w:p>
    <w:p w14:paraId="1385F148" w14:textId="77777777" w:rsidR="007C6F81" w:rsidRPr="00787196" w:rsidRDefault="007C6F81">
      <w:pPr>
        <w:spacing w:before="0" w:after="0" w:line="240" w:lineRule="auto"/>
        <w:jc w:val="left"/>
        <w:rPr>
          <w:rFonts w:cs="Arial"/>
          <w:szCs w:val="24"/>
        </w:rPr>
      </w:pPr>
      <w:r w:rsidRPr="00787196">
        <w:rPr>
          <w:rFonts w:cs="Arial"/>
          <w:szCs w:val="24"/>
        </w:rPr>
        <w:br w:type="page"/>
      </w:r>
    </w:p>
    <w:p w14:paraId="3296027C" w14:textId="77777777" w:rsidR="00220739" w:rsidRPr="00787196" w:rsidRDefault="00220739" w:rsidP="002C4FCD">
      <w:pPr>
        <w:rPr>
          <w:rFonts w:cs="Arial"/>
          <w:szCs w:val="24"/>
        </w:rPr>
      </w:pPr>
    </w:p>
    <w:p w14:paraId="03F9727B" w14:textId="053D3B52" w:rsidR="002C4FCD" w:rsidRPr="00787196" w:rsidRDefault="00B15B7D" w:rsidP="00173541">
      <w:pPr>
        <w:rPr>
          <w:rFonts w:cs="Arial"/>
          <w:szCs w:val="24"/>
        </w:rPr>
      </w:pPr>
      <w:r w:rsidRPr="00787196">
        <w:rPr>
          <w:noProof/>
        </w:rPr>
        <mc:AlternateContent>
          <mc:Choice Requires="wpg">
            <w:drawing>
              <wp:anchor distT="0" distB="0" distL="114300" distR="114300" simplePos="0" relativeHeight="251650560" behindDoc="0" locked="0" layoutInCell="1" allowOverlap="1" wp14:anchorId="78384AB2" wp14:editId="7449F96A">
                <wp:simplePos x="0" y="0"/>
                <wp:positionH relativeFrom="column">
                  <wp:posOffset>154704</wp:posOffset>
                </wp:positionH>
                <wp:positionV relativeFrom="paragraph">
                  <wp:posOffset>2063263</wp:posOffset>
                </wp:positionV>
                <wp:extent cx="5213710" cy="2210937"/>
                <wp:effectExtent l="114300" t="133350" r="120650" b="0"/>
                <wp:wrapNone/>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710" cy="2210937"/>
                          <a:chOff x="0" y="0"/>
                          <a:chExt cx="6398110" cy="2702000"/>
                        </a:xfrm>
                      </wpg:grpSpPr>
                      <wpg:grpSp>
                        <wpg:cNvPr id="230" name="Group 230"/>
                        <wpg:cNvGrpSpPr/>
                        <wpg:grpSpPr>
                          <a:xfrm>
                            <a:off x="0" y="0"/>
                            <a:ext cx="6398110" cy="2524835"/>
                            <a:chOff x="0" y="0"/>
                            <a:chExt cx="6398207" cy="2525436"/>
                          </a:xfrm>
                        </wpg:grpSpPr>
                        <wpg:grpSp>
                          <wpg:cNvPr id="232" name="Group 232"/>
                          <wpg:cNvGrpSpPr/>
                          <wpg:grpSpPr>
                            <a:xfrm>
                              <a:off x="0" y="0"/>
                              <a:ext cx="6398207" cy="2006220"/>
                              <a:chOff x="-71048" y="458936"/>
                              <a:chExt cx="6654104" cy="2042703"/>
                            </a:xfrm>
                          </wpg:grpSpPr>
                          <wps:wsp>
                            <wps:cNvPr id="95" name="Left Brace 32"/>
                            <wps:cNvSpPr/>
                            <wps:spPr>
                              <a:xfrm rot="16200000">
                                <a:off x="1889910" y="514103"/>
                                <a:ext cx="97548" cy="3877523"/>
                              </a:xfrm>
                              <a:prstGeom prst="leftBrace">
                                <a:avLst/>
                              </a:prstGeom>
                              <a:noFill/>
                              <a:ln w="9525" cap="flat" cmpd="sng" algn="ctr">
                                <a:solidFill>
                                  <a:sysClr val="windowText" lastClr="000000"/>
                                </a:solidFill>
                                <a:prstDash val="solid"/>
                              </a:ln>
                              <a:effectLst>
                                <a:glow rad="127000">
                                  <a:srgbClr val="1F497D">
                                    <a:lumMod val="60000"/>
                                    <a:lumOff val="40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Left Brace 33"/>
                            <wps:cNvSpPr/>
                            <wps:spPr>
                              <a:xfrm rot="16200000">
                                <a:off x="4563521" y="2011538"/>
                                <a:ext cx="97551" cy="882650"/>
                              </a:xfrm>
                              <a:prstGeom prst="leftBrace">
                                <a:avLst/>
                              </a:prstGeom>
                              <a:noFill/>
                              <a:ln w="9525" cap="flat" cmpd="sng" algn="ctr">
                                <a:solidFill>
                                  <a:sysClr val="windowText" lastClr="000000"/>
                                </a:solidFill>
                                <a:prstDash val="solid"/>
                              </a:ln>
                              <a:effectLst>
                                <a:glow rad="127000">
                                  <a:srgbClr val="1F497D">
                                    <a:lumMod val="60000"/>
                                    <a:lumOff val="40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Left Brace 34"/>
                            <wps:cNvSpPr/>
                            <wps:spPr>
                              <a:xfrm rot="16200000">
                                <a:off x="5867013" y="2004192"/>
                                <a:ext cx="112244" cy="882650"/>
                              </a:xfrm>
                              <a:prstGeom prst="leftBrace">
                                <a:avLst/>
                              </a:prstGeom>
                              <a:noFill/>
                              <a:ln w="9525" cap="flat" cmpd="sng" algn="ctr">
                                <a:solidFill>
                                  <a:sysClr val="windowText" lastClr="000000"/>
                                </a:solidFill>
                                <a:prstDash val="solid"/>
                              </a:ln>
                              <a:effectLst>
                                <a:glow rad="127000">
                                  <a:srgbClr val="1F497D">
                                    <a:lumMod val="60000"/>
                                    <a:lumOff val="40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36"/>
                            <wpg:cNvGrpSpPr/>
                            <wpg:grpSpPr>
                              <a:xfrm>
                                <a:off x="-71048" y="458936"/>
                                <a:ext cx="6654104" cy="1792610"/>
                                <a:chOff x="-71048" y="459229"/>
                                <a:chExt cx="6654104" cy="1793749"/>
                              </a:xfrm>
                            </wpg:grpSpPr>
                            <wps:wsp>
                              <wps:cNvPr id="227" name="Line 226"/>
                              <wps:cNvCnPr/>
                              <wps:spPr bwMode="auto">
                                <a:xfrm>
                                  <a:off x="2320119" y="1651379"/>
                                  <a:ext cx="438785" cy="0"/>
                                </a:xfrm>
                                <a:prstGeom prst="line">
                                  <a:avLst/>
                                </a:prstGeom>
                                <a:solidFill>
                                  <a:srgbClr val="1F497D">
                                    <a:lumMod val="40000"/>
                                    <a:lumOff val="60000"/>
                                  </a:srgbClr>
                                </a:solidFill>
                                <a:ln w="12700">
                                  <a:solidFill>
                                    <a:srgbClr val="000000"/>
                                  </a:solidFill>
                                  <a:round/>
                                  <a:headEnd/>
                                  <a:tailEnd type="triangle" w="med" len="med"/>
                                </a:ln>
                                <a:effectLst>
                                  <a:glow rad="127000">
                                    <a:srgbClr val="1F497D">
                                      <a:lumMod val="60000"/>
                                      <a:lumOff val="40000"/>
                                      <a:alpha val="40000"/>
                                    </a:srgbClr>
                                  </a:glow>
                                </a:effectLst>
                                <a:extLst/>
                              </wps:spPr>
                              <wps:bodyPr/>
                            </wps:wsp>
                            <wpg:grpSp>
                              <wpg:cNvPr id="228" name="Group 48"/>
                              <wpg:cNvGrpSpPr/>
                              <wpg:grpSpPr>
                                <a:xfrm>
                                  <a:off x="-71048" y="459229"/>
                                  <a:ext cx="6654104" cy="1793749"/>
                                  <a:chOff x="-71048" y="459298"/>
                                  <a:chExt cx="6654104" cy="1794013"/>
                                </a:xfrm>
                              </wpg:grpSpPr>
                              <wps:wsp>
                                <wps:cNvPr id="257" name="Line 226"/>
                                <wps:cNvCnPr>
                                  <a:endCxn id="301" idx="1"/>
                                </wps:cNvCnPr>
                                <wps:spPr bwMode="auto">
                                  <a:xfrm>
                                    <a:off x="2537208" y="616229"/>
                                    <a:ext cx="2130211" cy="11979"/>
                                  </a:xfrm>
                                  <a:prstGeom prst="line">
                                    <a:avLst/>
                                  </a:prstGeom>
                                  <a:noFill/>
                                  <a:ln w="9525" cap="flat" cmpd="sng" algn="ctr">
                                    <a:solidFill>
                                      <a:sysClr val="windowText" lastClr="000000">
                                        <a:shade val="95000"/>
                                        <a:satMod val="105000"/>
                                      </a:sysClr>
                                    </a:solidFill>
                                    <a:prstDash val="solid"/>
                                    <a:headEnd/>
                                    <a:tailEnd type="triangle" w="med" len="med"/>
                                  </a:ln>
                                  <a:effectLst>
                                    <a:glow rad="127000">
                                      <a:srgbClr val="1F497D">
                                        <a:lumMod val="60000"/>
                                        <a:lumOff val="40000"/>
                                        <a:alpha val="40000"/>
                                      </a:srgbClr>
                                    </a:glow>
                                  </a:effectLst>
                                  <a:extLst/>
                                </wps:spPr>
                                <wps:bodyPr/>
                              </wps:wsp>
                              <wps:wsp>
                                <wps:cNvPr id="229" name="Straight Connector 78"/>
                                <wps:cNvCnPr/>
                                <wps:spPr>
                                  <a:xfrm flipH="1">
                                    <a:off x="1855978" y="616229"/>
                                    <a:ext cx="681230" cy="862887"/>
                                  </a:xfrm>
                                  <a:prstGeom prst="line">
                                    <a:avLst/>
                                  </a:prstGeom>
                                  <a:noFill/>
                                  <a:ln w="9525" cap="flat" cmpd="sng" algn="ctr">
                                    <a:solidFill>
                                      <a:sysClr val="windowText" lastClr="000000"/>
                                    </a:solidFill>
                                    <a:prstDash val="solid"/>
                                  </a:ln>
                                  <a:effectLst>
                                    <a:glow rad="127000">
                                      <a:srgbClr val="1F497D">
                                        <a:lumMod val="60000"/>
                                        <a:lumOff val="40000"/>
                                        <a:alpha val="40000"/>
                                      </a:srgbClr>
                                    </a:glow>
                                  </a:effectLst>
                                </wps:spPr>
                                <wps:bodyPr/>
                              </wps:wsp>
                              <wpg:grpSp>
                                <wpg:cNvPr id="231" name="Group 81"/>
                                <wpg:cNvGrpSpPr/>
                                <wpg:grpSpPr>
                                  <a:xfrm>
                                    <a:off x="-71048" y="459298"/>
                                    <a:ext cx="6654104" cy="1794013"/>
                                    <a:chOff x="-71048" y="459298"/>
                                    <a:chExt cx="6654104" cy="1794013"/>
                                  </a:xfrm>
                                </wpg:grpSpPr>
                                <wpg:grpSp>
                                  <wpg:cNvPr id="233" name="Group 82"/>
                                  <wpg:cNvGrpSpPr/>
                                  <wpg:grpSpPr>
                                    <a:xfrm>
                                      <a:off x="-71048" y="459298"/>
                                      <a:ext cx="6654104" cy="1792935"/>
                                      <a:chOff x="-71048" y="459298"/>
                                      <a:chExt cx="6654104" cy="1792935"/>
                                    </a:xfrm>
                                  </wpg:grpSpPr>
                                  <wpg:grpSp>
                                    <wpg:cNvPr id="234" name="Group 581"/>
                                    <wpg:cNvGrpSpPr>
                                      <a:grpSpLocks/>
                                    </wpg:cNvGrpSpPr>
                                    <wpg:grpSpPr bwMode="auto">
                                      <a:xfrm>
                                        <a:off x="-71048" y="797121"/>
                                        <a:ext cx="6654104" cy="1455112"/>
                                        <a:chOff x="452" y="5180"/>
                                        <a:chExt cx="14985" cy="1815"/>
                                      </a:xfrm>
                                      <a:solidFill>
                                        <a:srgbClr val="1F497D">
                                          <a:lumMod val="40000"/>
                                          <a:lumOff val="60000"/>
                                        </a:srgbClr>
                                      </a:solidFill>
                                      <a:effectLst>
                                        <a:glow rad="101600">
                                          <a:srgbClr val="4F81BD">
                                            <a:lumMod val="60000"/>
                                            <a:lumOff val="40000"/>
                                            <a:alpha val="40000"/>
                                          </a:srgbClr>
                                        </a:glow>
                                      </a:effectLst>
                                    </wpg:grpSpPr>
                                    <wps:wsp>
                                      <wps:cNvPr id="235" name="Text Box 219"/>
                                      <wps:cNvSpPr txBox="1">
                                        <a:spLocks noChangeArrowheads="1"/>
                                      </wps:cNvSpPr>
                                      <wps:spPr bwMode="auto">
                                        <a:xfrm>
                                          <a:off x="10003" y="6030"/>
                                          <a:ext cx="2255" cy="366"/>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7EC593" w14:textId="77777777" w:rsidR="006E7D7A" w:rsidRPr="00966CB4" w:rsidRDefault="006E7D7A" w:rsidP="00B15B7D">
                                            <w:pPr>
                                              <w:spacing w:before="0"/>
                                              <w:jc w:val="center"/>
                                              <w:rPr>
                                                <w:b/>
                                                <w:sz w:val="20"/>
                                                <w:szCs w:val="20"/>
                                              </w:rPr>
                                            </w:pPr>
                                            <w:r w:rsidRPr="00966CB4">
                                              <w:rPr>
                                                <w:b/>
                                                <w:sz w:val="20"/>
                                                <w:szCs w:val="20"/>
                                              </w:rPr>
                                              <w:t>Disability</w:t>
                                            </w:r>
                                            <w:r w:rsidRPr="00966CB4">
                                              <w:rPr>
                                                <w:b/>
                                                <w:sz w:val="20"/>
                                                <w:szCs w:val="20"/>
                                              </w:rPr>
                                              <w:tab/>
                                            </w:r>
                                          </w:p>
                                        </w:txbxContent>
                                      </wps:txbx>
                                      <wps:bodyPr rot="0" vert="horz" wrap="square" lIns="91440" tIns="45720" rIns="91440" bIns="45720" anchor="t" anchorCtr="0" upright="1">
                                        <a:noAutofit/>
                                      </wps:bodyPr>
                                    </wps:wsp>
                                    <wps:wsp>
                                      <wps:cNvPr id="288" name="Text Box 220"/>
                                      <wps:cNvSpPr txBox="1">
                                        <a:spLocks noChangeArrowheads="1"/>
                                      </wps:cNvSpPr>
                                      <wps:spPr bwMode="auto">
                                        <a:xfrm>
                                          <a:off x="452" y="6055"/>
                                          <a:ext cx="2160" cy="358"/>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6E571F" w14:textId="77777777" w:rsidR="006E7D7A" w:rsidRPr="00966CB4" w:rsidRDefault="006E7D7A" w:rsidP="00B15B7D">
                                            <w:pPr>
                                              <w:shd w:val="clear" w:color="auto" w:fill="8DB3E2"/>
                                              <w:spacing w:before="0"/>
                                              <w:jc w:val="center"/>
                                              <w:rPr>
                                                <w:b/>
                                                <w:sz w:val="20"/>
                                                <w:szCs w:val="20"/>
                                              </w:rPr>
                                            </w:pPr>
                                            <w:r w:rsidRPr="00966CB4">
                                              <w:rPr>
                                                <w:b/>
                                                <w:sz w:val="20"/>
                                                <w:szCs w:val="20"/>
                                              </w:rPr>
                                              <w:t>Disease</w:t>
                                            </w:r>
                                          </w:p>
                                        </w:txbxContent>
                                      </wps:txbx>
                                      <wps:bodyPr rot="0" vert="horz" wrap="square" lIns="91440" tIns="45720" rIns="91440" bIns="45720" anchor="t" anchorCtr="0" upright="1">
                                        <a:noAutofit/>
                                      </wps:bodyPr>
                                    </wps:wsp>
                                    <wps:wsp>
                                      <wps:cNvPr id="289" name="Text Box 221"/>
                                      <wps:cNvSpPr txBox="1">
                                        <a:spLocks noChangeArrowheads="1"/>
                                      </wps:cNvSpPr>
                                      <wps:spPr bwMode="auto">
                                        <a:xfrm>
                                          <a:off x="3198" y="6055"/>
                                          <a:ext cx="2649" cy="342"/>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10F503" w14:textId="77777777" w:rsidR="006E7D7A" w:rsidRPr="00966CB4" w:rsidRDefault="006E7D7A" w:rsidP="00B15B7D">
                                            <w:pPr>
                                              <w:spacing w:before="0"/>
                                              <w:jc w:val="center"/>
                                              <w:rPr>
                                                <w:b/>
                                                <w:sz w:val="20"/>
                                                <w:szCs w:val="20"/>
                                              </w:rPr>
                                            </w:pPr>
                                            <w:r w:rsidRPr="00966CB4">
                                              <w:rPr>
                                                <w:b/>
                                                <w:sz w:val="20"/>
                                                <w:szCs w:val="20"/>
                                              </w:rPr>
                                              <w:t>Impairment</w:t>
                                            </w:r>
                                          </w:p>
                                        </w:txbxContent>
                                      </wps:txbx>
                                      <wps:bodyPr rot="0" vert="horz" wrap="square" lIns="91440" tIns="45720" rIns="91440" bIns="45720" anchor="t" anchorCtr="0" upright="1">
                                        <a:noAutofit/>
                                      </wps:bodyPr>
                                    </wps:wsp>
                                    <wps:wsp>
                                      <wps:cNvPr id="290" name="Text Box 222"/>
                                      <wps:cNvSpPr txBox="1">
                                        <a:spLocks noChangeArrowheads="1"/>
                                      </wps:cNvSpPr>
                                      <wps:spPr bwMode="auto">
                                        <a:xfrm>
                                          <a:off x="6326" y="5914"/>
                                          <a:ext cx="3017" cy="553"/>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944923" w14:textId="77777777" w:rsidR="006E7D7A" w:rsidRPr="00966CB4" w:rsidRDefault="006E7D7A" w:rsidP="00B15B7D">
                                            <w:pPr>
                                              <w:spacing w:before="0" w:after="0" w:line="240" w:lineRule="auto"/>
                                              <w:jc w:val="center"/>
                                              <w:rPr>
                                                <w:sz w:val="20"/>
                                                <w:szCs w:val="20"/>
                                              </w:rPr>
                                            </w:pPr>
                                            <w:r w:rsidRPr="00966CB4">
                                              <w:rPr>
                                                <w:b/>
                                                <w:sz w:val="20"/>
                                                <w:szCs w:val="20"/>
                                              </w:rPr>
                                              <w:t>Functional</w:t>
                                            </w:r>
                                            <w:r>
                                              <w:rPr>
                                                <w:b/>
                                                <w:sz w:val="20"/>
                                                <w:szCs w:val="20"/>
                                              </w:rPr>
                                              <w:t xml:space="preserve"> </w:t>
                                            </w:r>
                                            <w:r w:rsidRPr="00966CB4">
                                              <w:rPr>
                                                <w:b/>
                                                <w:sz w:val="20"/>
                                                <w:szCs w:val="20"/>
                                              </w:rPr>
                                              <w:t>limitation</w:t>
                                            </w:r>
                                          </w:p>
                                        </w:txbxContent>
                                      </wps:txbx>
                                      <wps:bodyPr rot="0" vert="horz" wrap="square" lIns="91440" tIns="45720" rIns="91440" bIns="45720" anchor="t" anchorCtr="0" upright="1">
                                        <a:noAutofit/>
                                      </wps:bodyPr>
                                    </wps:wsp>
                                    <wps:wsp>
                                      <wps:cNvPr id="291" name="Text Box 224"/>
                                      <wps:cNvSpPr txBox="1">
                                        <a:spLocks noChangeArrowheads="1"/>
                                      </wps:cNvSpPr>
                                      <wps:spPr bwMode="auto">
                                        <a:xfrm>
                                          <a:off x="12957" y="6038"/>
                                          <a:ext cx="2480" cy="359"/>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C67D69" w14:textId="77777777" w:rsidR="006E7D7A" w:rsidRPr="00966CB4" w:rsidRDefault="006E7D7A" w:rsidP="00B15B7D">
                                            <w:pPr>
                                              <w:spacing w:before="0"/>
                                              <w:jc w:val="center"/>
                                              <w:rPr>
                                                <w:b/>
                                                <w:sz w:val="20"/>
                                                <w:szCs w:val="20"/>
                                              </w:rPr>
                                            </w:pPr>
                                            <w:r w:rsidRPr="00966CB4">
                                              <w:rPr>
                                                <w:b/>
                                                <w:sz w:val="20"/>
                                                <w:szCs w:val="20"/>
                                              </w:rPr>
                                              <w:t>Handicap</w:t>
                                            </w:r>
                                          </w:p>
                                        </w:txbxContent>
                                      </wps:txbx>
                                      <wps:bodyPr rot="0" vert="horz" wrap="square" lIns="91440" tIns="45720" rIns="91440" bIns="45720" anchor="t" anchorCtr="0" upright="1">
                                        <a:noAutofit/>
                                      </wps:bodyPr>
                                    </wps:wsp>
                                    <wps:wsp>
                                      <wps:cNvPr id="292" name="Line 226"/>
                                      <wps:cNvCnPr>
                                        <a:stCxn id="288" idx="3"/>
                                        <a:endCxn id="289" idx="1"/>
                                      </wps:cNvCnPr>
                                      <wps:spPr bwMode="auto">
                                        <a:xfrm flipV="1">
                                          <a:off x="2612" y="6226"/>
                                          <a:ext cx="586" cy="8"/>
                                        </a:xfrm>
                                        <a:prstGeom prst="line">
                                          <a:avLst/>
                                        </a:prstGeom>
                                        <a:solidFill>
                                          <a:srgbClr val="1F497D">
                                            <a:lumMod val="40000"/>
                                            <a:lumOff val="60000"/>
                                          </a:srgbClr>
                                        </a:solidFill>
                                        <a:ln w="12700">
                                          <a:solidFill>
                                            <a:srgbClr val="000000"/>
                                          </a:solidFill>
                                          <a:round/>
                                          <a:headEnd/>
                                          <a:tailEnd type="triangle" w="med" len="med"/>
                                        </a:ln>
                                        <a:extLst/>
                                      </wps:spPr>
                                      <wps:bodyPr/>
                                    </wps:wsp>
                                    <wps:wsp>
                                      <wps:cNvPr id="293" name="Line 229"/>
                                      <wps:cNvCnPr>
                                        <a:stCxn id="290" idx="0"/>
                                      </wps:cNvCnPr>
                                      <wps:spPr bwMode="auto">
                                        <a:xfrm flipH="1" flipV="1">
                                          <a:off x="7833" y="5518"/>
                                          <a:ext cx="1" cy="396"/>
                                        </a:xfrm>
                                        <a:prstGeom prst="line">
                                          <a:avLst/>
                                        </a:prstGeom>
                                        <a:grpFill/>
                                        <a:ln w="12700">
                                          <a:solidFill>
                                            <a:srgbClr val="000000"/>
                                          </a:solidFill>
                                          <a:round/>
                                          <a:headEnd type="triangle" w="med" len="med"/>
                                          <a:tailEnd/>
                                        </a:ln>
                                        <a:extLst/>
                                      </wps:spPr>
                                      <wps:bodyPr/>
                                    </wps:wsp>
                                    <wps:wsp>
                                      <wps:cNvPr id="294" name="Line 230"/>
                                      <wps:cNvCnPr/>
                                      <wps:spPr bwMode="auto">
                                        <a:xfrm flipV="1">
                                          <a:off x="10541" y="6397"/>
                                          <a:ext cx="345" cy="291"/>
                                        </a:xfrm>
                                        <a:prstGeom prst="line">
                                          <a:avLst/>
                                        </a:prstGeom>
                                        <a:grpFill/>
                                        <a:ln w="12700">
                                          <a:solidFill>
                                            <a:srgbClr val="000000"/>
                                          </a:solidFill>
                                          <a:round/>
                                          <a:headEnd/>
                                          <a:tailEnd type="triangle" w="med" len="med"/>
                                        </a:ln>
                                        <a:extLst/>
                                      </wps:spPr>
                                      <wps:bodyPr/>
                                    </wps:wsp>
                                    <wps:wsp>
                                      <wps:cNvPr id="295" name="Line 232"/>
                                      <wps:cNvCnPr>
                                        <a:stCxn id="300" idx="3"/>
                                        <a:endCxn id="291" idx="0"/>
                                      </wps:cNvCnPr>
                                      <wps:spPr bwMode="auto">
                                        <a:xfrm>
                                          <a:off x="9042" y="5342"/>
                                          <a:ext cx="5155" cy="696"/>
                                        </a:xfrm>
                                        <a:prstGeom prst="line">
                                          <a:avLst/>
                                        </a:prstGeom>
                                        <a:grpFill/>
                                        <a:ln w="12700">
                                          <a:solidFill>
                                            <a:srgbClr val="000000"/>
                                          </a:solidFill>
                                          <a:round/>
                                          <a:headEnd/>
                                          <a:tailEnd type="triangle" w="med" len="med"/>
                                        </a:ln>
                                        <a:extLst/>
                                      </wps:spPr>
                                      <wps:bodyPr/>
                                    </wps:wsp>
                                    <wps:wsp>
                                      <wps:cNvPr id="296" name="Line 234"/>
                                      <wps:cNvCnPr/>
                                      <wps:spPr bwMode="auto">
                                        <a:xfrm flipV="1">
                                          <a:off x="12629" y="6467"/>
                                          <a:ext cx="1476" cy="528"/>
                                        </a:xfrm>
                                        <a:prstGeom prst="line">
                                          <a:avLst/>
                                        </a:prstGeom>
                                        <a:noFill/>
                                        <a:ln w="9525" cap="flat" cmpd="sng" algn="ctr">
                                          <a:solidFill>
                                            <a:sysClr val="windowText" lastClr="000000">
                                              <a:shade val="95000"/>
                                              <a:satMod val="105000"/>
                                            </a:sysClr>
                                          </a:solidFill>
                                          <a:prstDash val="solid"/>
                                          <a:headEnd/>
                                          <a:tailEnd type="triangle" w="med" len="med"/>
                                        </a:ln>
                                        <a:effectLst/>
                                        <a:extLst/>
                                      </wps:spPr>
                                      <wps:bodyPr/>
                                    </wps:wsp>
                                    <wps:wsp>
                                      <wps:cNvPr id="297" name="Line 235"/>
                                      <wps:cNvCnPr>
                                        <a:stCxn id="289" idx="0"/>
                                        <a:endCxn id="300" idx="1"/>
                                      </wps:cNvCnPr>
                                      <wps:spPr bwMode="auto">
                                        <a:xfrm flipV="1">
                                          <a:off x="4523" y="5342"/>
                                          <a:ext cx="1803" cy="713"/>
                                        </a:xfrm>
                                        <a:prstGeom prst="line">
                                          <a:avLst/>
                                        </a:prstGeom>
                                        <a:grpFill/>
                                        <a:ln w="12700">
                                          <a:solidFill>
                                            <a:srgbClr val="000000"/>
                                          </a:solidFill>
                                          <a:round/>
                                          <a:headEnd/>
                                          <a:tailEnd type="triangle" w="med" len="med"/>
                                        </a:ln>
                                        <a:extLst/>
                                      </wps:spPr>
                                      <wps:bodyPr/>
                                    </wps:wsp>
                                    <wps:wsp>
                                      <wps:cNvPr id="298" name="Line 236"/>
                                      <wps:cNvCnPr/>
                                      <wps:spPr bwMode="auto">
                                        <a:xfrm>
                                          <a:off x="9343" y="6217"/>
                                          <a:ext cx="661" cy="6"/>
                                        </a:xfrm>
                                        <a:prstGeom prst="line">
                                          <a:avLst/>
                                        </a:prstGeom>
                                        <a:grpFill/>
                                        <a:ln w="12700">
                                          <a:solidFill>
                                            <a:srgbClr val="000000"/>
                                          </a:solidFill>
                                          <a:round/>
                                          <a:headEnd/>
                                          <a:tailEnd type="triangle" w="med" len="med"/>
                                        </a:ln>
                                        <a:extLst/>
                                      </wps:spPr>
                                      <wps:bodyPr/>
                                    </wps:wsp>
                                    <wps:wsp>
                                      <wps:cNvPr id="299" name="Line 238"/>
                                      <wps:cNvCnPr>
                                        <a:endCxn id="291" idx="1"/>
                                      </wps:cNvCnPr>
                                      <wps:spPr bwMode="auto">
                                        <a:xfrm flipV="1">
                                          <a:off x="12259" y="6217"/>
                                          <a:ext cx="697" cy="6"/>
                                        </a:xfrm>
                                        <a:prstGeom prst="line">
                                          <a:avLst/>
                                        </a:prstGeom>
                                        <a:grpFill/>
                                        <a:ln w="12700">
                                          <a:solidFill>
                                            <a:srgbClr val="000000"/>
                                          </a:solidFill>
                                          <a:round/>
                                          <a:headEnd/>
                                          <a:tailEnd type="triangle" w="med" len="med"/>
                                        </a:ln>
                                        <a:extLst/>
                                      </wps:spPr>
                                      <wps:bodyPr/>
                                    </wps:wsp>
                                    <wps:wsp>
                                      <wps:cNvPr id="300" name="Text Box 239"/>
                                      <wps:cNvSpPr txBox="1">
                                        <a:spLocks noChangeArrowheads="1"/>
                                      </wps:cNvSpPr>
                                      <wps:spPr bwMode="auto">
                                        <a:xfrm>
                                          <a:off x="6326" y="5180"/>
                                          <a:ext cx="2716" cy="325"/>
                                        </a:xfrm>
                                        <a:prstGeom prst="rect">
                                          <a:avLst/>
                                        </a:prstGeom>
                                        <a:solidFill>
                                          <a:srgbClr val="1F497D">
                                            <a:lumMod val="40000"/>
                                            <a:lumOff val="60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C5F9BD" w14:textId="77777777" w:rsidR="006E7D7A" w:rsidRPr="00966CB4" w:rsidRDefault="006E7D7A" w:rsidP="00B15B7D">
                                            <w:pPr>
                                              <w:spacing w:before="0"/>
                                              <w:jc w:val="center"/>
                                              <w:rPr>
                                                <w:b/>
                                                <w:sz w:val="20"/>
                                                <w:szCs w:val="20"/>
                                              </w:rPr>
                                            </w:pPr>
                                            <w:r w:rsidRPr="00966CB4">
                                              <w:rPr>
                                                <w:b/>
                                                <w:sz w:val="20"/>
                                                <w:szCs w:val="20"/>
                                              </w:rPr>
                                              <w:t>Pain</w:t>
                                            </w:r>
                                          </w:p>
                                        </w:txbxContent>
                                      </wps:txbx>
                                      <wps:bodyPr rot="0" vert="horz" wrap="square" lIns="91440" tIns="45720" rIns="91440" bIns="45720" anchor="t" anchorCtr="0" upright="1">
                                        <a:noAutofit/>
                                      </wps:bodyPr>
                                    </wps:wsp>
                                  </wpg:grpSp>
                                  <wps:wsp>
                                    <wps:cNvPr id="301" name="Text Box 239"/>
                                    <wps:cNvSpPr txBox="1">
                                      <a:spLocks noChangeArrowheads="1"/>
                                    </wps:cNvSpPr>
                                    <wps:spPr bwMode="auto">
                                      <a:xfrm>
                                        <a:off x="4667420" y="459298"/>
                                        <a:ext cx="1151003" cy="337820"/>
                                      </a:xfrm>
                                      <a:prstGeom prst="rect">
                                        <a:avLst/>
                                      </a:prstGeom>
                                      <a:solidFill>
                                        <a:srgbClr val="1F497D">
                                          <a:lumMod val="40000"/>
                                          <a:lumOff val="60000"/>
                                        </a:srgbClr>
                                      </a:solidFill>
                                      <a:ln>
                                        <a:noFill/>
                                      </a:ln>
                                      <a:effectLst>
                                        <a:glow rad="127000">
                                          <a:srgbClr val="1F497D">
                                            <a:lumMod val="60000"/>
                                            <a:lumOff val="40000"/>
                                            <a:alpha val="40000"/>
                                          </a:srgbClr>
                                        </a:glow>
                                      </a:effectLst>
                                      <a:extLst>
                                        <a:ext uri="{91240B29-F687-4F45-9708-019B960494DF}">
                                          <a14:hiddenLine xmlns:a14="http://schemas.microsoft.com/office/drawing/2010/main" w="6350">
                                            <a:solidFill>
                                              <a:srgbClr val="000000"/>
                                            </a:solidFill>
                                            <a:miter lim="800000"/>
                                            <a:headEnd/>
                                            <a:tailEnd/>
                                          </a14:hiddenLine>
                                        </a:ext>
                                      </a:extLst>
                                    </wps:spPr>
                                    <wps:txbx>
                                      <w:txbxContent>
                                        <w:p w14:paraId="700AA445" w14:textId="77777777" w:rsidR="006E7D7A" w:rsidRPr="00966CB4" w:rsidRDefault="006E7D7A" w:rsidP="00B15B7D">
                                          <w:pPr>
                                            <w:spacing w:before="0" w:after="0"/>
                                            <w:jc w:val="center"/>
                                            <w:rPr>
                                              <w:b/>
                                              <w:sz w:val="20"/>
                                              <w:szCs w:val="20"/>
                                            </w:rPr>
                                          </w:pPr>
                                          <w:r w:rsidRPr="00966CB4">
                                            <w:rPr>
                                              <w:b/>
                                              <w:sz w:val="20"/>
                                              <w:szCs w:val="20"/>
                                            </w:rPr>
                                            <w:t>Death</w:t>
                                          </w:r>
                                        </w:p>
                                      </w:txbxContent>
                                    </wps:txbx>
                                    <wps:bodyPr rot="0" vert="horz" wrap="square" lIns="91440" tIns="45720" rIns="91440" bIns="45720" anchor="t" anchorCtr="0" upright="1">
                                      <a:noAutofit/>
                                    </wps:bodyPr>
                                  </wps:wsp>
                                </wpg:grpSp>
                                <wps:wsp>
                                  <wps:cNvPr id="302" name="Straight Connector 302"/>
                                  <wps:cNvCnPr/>
                                  <wps:spPr>
                                    <a:xfrm flipH="1" flipV="1">
                                      <a:off x="2320119" y="2251881"/>
                                      <a:ext cx="3015768" cy="151"/>
                                    </a:xfrm>
                                    <a:prstGeom prst="line">
                                      <a:avLst/>
                                    </a:prstGeom>
                                    <a:noFill/>
                                    <a:ln w="9525" cap="flat" cmpd="sng" algn="ctr">
                                      <a:solidFill>
                                        <a:sysClr val="windowText" lastClr="000000">
                                          <a:shade val="95000"/>
                                          <a:satMod val="105000"/>
                                        </a:sysClr>
                                      </a:solidFill>
                                      <a:prstDash val="solid"/>
                                    </a:ln>
                                    <a:effectLst>
                                      <a:glow rad="101600">
                                        <a:srgbClr val="1F497D">
                                          <a:lumMod val="60000"/>
                                          <a:lumOff val="40000"/>
                                          <a:alpha val="40000"/>
                                        </a:srgbClr>
                                      </a:glow>
                                    </a:effectLst>
                                  </wps:spPr>
                                  <wps:bodyPr/>
                                </wps:wsp>
                                <wps:wsp>
                                  <wps:cNvPr id="303" name="Straight Connector 303"/>
                                  <wps:cNvCnPr/>
                                  <wps:spPr>
                                    <a:xfrm flipH="1" flipV="1">
                                      <a:off x="1842448" y="1787857"/>
                                      <a:ext cx="477670" cy="465454"/>
                                    </a:xfrm>
                                    <a:prstGeom prst="line">
                                      <a:avLst/>
                                    </a:prstGeom>
                                    <a:noFill/>
                                    <a:ln w="9525" cap="flat" cmpd="sng" algn="ctr">
                                      <a:solidFill>
                                        <a:sysClr val="windowText" lastClr="000000"/>
                                      </a:solidFill>
                                      <a:prstDash val="solid"/>
                                    </a:ln>
                                    <a:effectLst>
                                      <a:glow rad="101600">
                                        <a:srgbClr val="1F497D">
                                          <a:lumMod val="60000"/>
                                          <a:lumOff val="40000"/>
                                          <a:alpha val="40000"/>
                                        </a:srgbClr>
                                      </a:glow>
                                    </a:effectLst>
                                  </wps:spPr>
                                  <wps:bodyPr/>
                                </wps:wsp>
                                <wps:wsp>
                                  <wps:cNvPr id="304" name="Straight Connector 304"/>
                                  <wps:cNvCnPr/>
                                  <wps:spPr>
                                    <a:xfrm flipH="1">
                                      <a:off x="2634018" y="2006221"/>
                                      <a:ext cx="1777869" cy="0"/>
                                    </a:xfrm>
                                    <a:prstGeom prst="line">
                                      <a:avLst/>
                                    </a:prstGeom>
                                    <a:noFill/>
                                    <a:ln w="9525" cap="flat" cmpd="sng" algn="ctr">
                                      <a:solidFill>
                                        <a:sysClr val="windowText" lastClr="000000"/>
                                      </a:solidFill>
                                      <a:prstDash val="solid"/>
                                    </a:ln>
                                    <a:effectLst>
                                      <a:glow rad="101600">
                                        <a:srgbClr val="1F497D">
                                          <a:lumMod val="60000"/>
                                          <a:lumOff val="40000"/>
                                          <a:alpha val="40000"/>
                                        </a:srgbClr>
                                      </a:glow>
                                    </a:effectLst>
                                  </wps:spPr>
                                  <wps:bodyPr/>
                                </wps:wsp>
                                <wps:wsp>
                                  <wps:cNvPr id="305" name="Straight Connector 305"/>
                                  <wps:cNvCnPr/>
                                  <wps:spPr>
                                    <a:xfrm flipH="1" flipV="1">
                                      <a:off x="2074460" y="1787857"/>
                                      <a:ext cx="556098" cy="217785"/>
                                    </a:xfrm>
                                    <a:prstGeom prst="line">
                                      <a:avLst/>
                                    </a:prstGeom>
                                    <a:noFill/>
                                    <a:ln w="9525" cap="flat" cmpd="sng" algn="ctr">
                                      <a:solidFill>
                                        <a:sysClr val="windowText" lastClr="000000"/>
                                      </a:solidFill>
                                      <a:prstDash val="solid"/>
                                    </a:ln>
                                    <a:effectLst>
                                      <a:glow rad="127000">
                                        <a:srgbClr val="1F497D">
                                          <a:lumMod val="60000"/>
                                          <a:lumOff val="40000"/>
                                          <a:alpha val="40000"/>
                                        </a:srgbClr>
                                      </a:glow>
                                    </a:effectLst>
                                  </wps:spPr>
                                  <wps:bodyPr/>
                                </wps:wsp>
                              </wpg:grpSp>
                            </wpg:grpSp>
                          </wpg:grpSp>
                        </wpg:grpSp>
                        <wps:wsp>
                          <wps:cNvPr id="306" name="Text Box 306"/>
                          <wps:cNvSpPr txBox="1"/>
                          <wps:spPr>
                            <a:xfrm>
                              <a:off x="1357919" y="2006221"/>
                              <a:ext cx="1083945" cy="310486"/>
                            </a:xfrm>
                            <a:prstGeom prst="rect">
                              <a:avLst/>
                            </a:prstGeom>
                            <a:solidFill>
                              <a:sysClr val="window" lastClr="FFFFFF">
                                <a:alpha val="0"/>
                              </a:sysClr>
                            </a:solidFill>
                            <a:ln w="6350">
                              <a:noFill/>
                            </a:ln>
                            <a:effectLst/>
                          </wps:spPr>
                          <wps:txbx>
                            <w:txbxContent>
                              <w:p w14:paraId="634CD863" w14:textId="77777777" w:rsidR="006E7D7A" w:rsidRPr="005C1F30" w:rsidRDefault="006E7D7A" w:rsidP="00B15B7D">
                                <w:pPr>
                                  <w:spacing w:before="0" w:after="0"/>
                                  <w:jc w:val="center"/>
                                  <w:rPr>
                                    <w:b/>
                                    <w:bCs/>
                                    <w:sz w:val="20"/>
                                    <w:szCs w:val="20"/>
                                  </w:rPr>
                                </w:pPr>
                                <w:r w:rsidRPr="005C1F30">
                                  <w:rPr>
                                    <w:b/>
                                    <w:bCs/>
                                    <w:sz w:val="20"/>
                                    <w:szCs w:val="20"/>
                                  </w:rPr>
                                  <w:t>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3957851" y="2006221"/>
                              <a:ext cx="1083945" cy="519215"/>
                            </a:xfrm>
                            <a:prstGeom prst="rect">
                              <a:avLst/>
                            </a:prstGeom>
                            <a:solidFill>
                              <a:sysClr val="window" lastClr="FFFFFF">
                                <a:alpha val="0"/>
                              </a:sysClr>
                            </a:solidFill>
                            <a:ln w="6350">
                              <a:noFill/>
                            </a:ln>
                            <a:effectLst/>
                          </wps:spPr>
                          <wps:txbx>
                            <w:txbxContent>
                              <w:p w14:paraId="16162868" w14:textId="77777777" w:rsidR="006E7D7A" w:rsidRPr="005C1F30" w:rsidRDefault="006E7D7A" w:rsidP="00B15B7D">
                                <w:pPr>
                                  <w:spacing w:before="0" w:after="0" w:line="240" w:lineRule="auto"/>
                                  <w:jc w:val="center"/>
                                  <w:rPr>
                                    <w:b/>
                                    <w:bCs/>
                                  </w:rPr>
                                </w:pPr>
                                <w:r w:rsidRPr="005C1F30">
                                  <w:rPr>
                                    <w:b/>
                                    <w:bCs/>
                                    <w:sz w:val="20"/>
                                    <w:szCs w:val="20"/>
                                  </w:rPr>
                                  <w:t>Individua</w:t>
                                </w:r>
                                <w:r w:rsidRPr="005C1F30">
                                  <w:rPr>
                                    <w:b/>
                                    <w:bC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5225103" y="2006230"/>
                              <a:ext cx="1083872" cy="346289"/>
                            </a:xfrm>
                            <a:prstGeom prst="rect">
                              <a:avLst/>
                            </a:prstGeom>
                            <a:solidFill>
                              <a:sysClr val="window" lastClr="FFFFFF">
                                <a:alpha val="0"/>
                              </a:sysClr>
                            </a:solidFill>
                            <a:ln w="6350">
                              <a:noFill/>
                            </a:ln>
                            <a:effectLst/>
                          </wps:spPr>
                          <wps:txbx>
                            <w:txbxContent>
                              <w:p w14:paraId="6B18DA79" w14:textId="77777777" w:rsidR="006E7D7A" w:rsidRPr="005C1F30" w:rsidRDefault="006E7D7A" w:rsidP="00B15B7D">
                                <w:pPr>
                                  <w:spacing w:before="0" w:after="0" w:line="240" w:lineRule="auto"/>
                                  <w:jc w:val="center"/>
                                  <w:rPr>
                                    <w:b/>
                                    <w:bCs/>
                                    <w:sz w:val="20"/>
                                    <w:szCs w:val="20"/>
                                  </w:rPr>
                                </w:pPr>
                                <w:r>
                                  <w:rPr>
                                    <w:b/>
                                    <w:bCs/>
                                    <w:sz w:val="20"/>
                                    <w:szCs w:val="20"/>
                                  </w:rPr>
                                  <w:t xml:space="preserve"> </w:t>
                                </w:r>
                                <w:r w:rsidRPr="005C1F30">
                                  <w:rPr>
                                    <w:b/>
                                    <w:bCs/>
                                    <w:sz w:val="20"/>
                                    <w:szCs w:val="20"/>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0" y="2524835"/>
                            <a:ext cx="6297295" cy="177165"/>
                          </a:xfrm>
                          <a:prstGeom prst="rect">
                            <a:avLst/>
                          </a:prstGeom>
                          <a:solidFill>
                            <a:prstClr val="white"/>
                          </a:solidFill>
                          <a:ln>
                            <a:noFill/>
                          </a:ln>
                          <a:effectLst/>
                        </wps:spPr>
                        <wps:txbx>
                          <w:txbxContent>
                            <w:p w14:paraId="338232BE" w14:textId="11E36708" w:rsidR="006E7D7A" w:rsidRPr="00B331A4" w:rsidRDefault="006E7D7A" w:rsidP="00B15B7D">
                              <w:pPr>
                                <w:pStyle w:val="Caption"/>
                                <w:spacing w:before="0" w:after="0"/>
                                <w:jc w:val="center"/>
                                <w:rPr>
                                  <w:b/>
                                  <w:bCs/>
                                  <w:i w:val="0"/>
                                  <w:iCs w:val="0"/>
                                  <w:color w:val="auto"/>
                                  <w:sz w:val="32"/>
                                  <w:szCs w:val="32"/>
                                </w:rPr>
                              </w:pPr>
                              <w:bookmarkStart w:id="35" w:name="_Ref423785293"/>
                              <w:bookmarkStart w:id="36" w:name="_Toc470952858"/>
                              <w:bookmarkStart w:id="37" w:name="_Toc488655579"/>
                              <w:r w:rsidRPr="00B331A4">
                                <w:rPr>
                                  <w:b/>
                                  <w:bCs/>
                                  <w:i w:val="0"/>
                                  <w:iCs w:val="0"/>
                                  <w:color w:val="auto"/>
                                  <w:sz w:val="22"/>
                                  <w:szCs w:val="22"/>
                                </w:rPr>
                                <w:t xml:space="preserve">Figure </w:t>
                              </w:r>
                              <w:r>
                                <w:rPr>
                                  <w:b/>
                                  <w:bCs/>
                                  <w:i w:val="0"/>
                                  <w:iCs w:val="0"/>
                                  <w:color w:val="auto"/>
                                  <w:sz w:val="22"/>
                                  <w:szCs w:val="22"/>
                                </w:rPr>
                                <w:fldChar w:fldCharType="begin"/>
                              </w:r>
                              <w:r>
                                <w:rPr>
                                  <w:b/>
                                  <w:bCs/>
                                  <w:i w:val="0"/>
                                  <w:iCs w:val="0"/>
                                  <w:color w:val="auto"/>
                                  <w:sz w:val="22"/>
                                  <w:szCs w:val="22"/>
                                </w:rPr>
                                <w:instrText xml:space="preserve"> STYLEREF 1 \s </w:instrText>
                              </w:r>
                              <w:r>
                                <w:rPr>
                                  <w:b/>
                                  <w:bCs/>
                                  <w:i w:val="0"/>
                                  <w:iCs w:val="0"/>
                                  <w:color w:val="auto"/>
                                  <w:sz w:val="22"/>
                                  <w:szCs w:val="22"/>
                                </w:rPr>
                                <w:fldChar w:fldCharType="separate"/>
                              </w:r>
                              <w:r>
                                <w:rPr>
                                  <w:b/>
                                  <w:bCs/>
                                  <w:i w:val="0"/>
                                  <w:iCs w:val="0"/>
                                  <w:noProof/>
                                  <w:color w:val="auto"/>
                                  <w:sz w:val="22"/>
                                  <w:szCs w:val="22"/>
                                </w:rPr>
                                <w:t>2</w:t>
                              </w:r>
                              <w:r>
                                <w:rPr>
                                  <w:b/>
                                  <w:bCs/>
                                  <w:i w:val="0"/>
                                  <w:iCs w:val="0"/>
                                  <w:color w:val="auto"/>
                                  <w:sz w:val="22"/>
                                  <w:szCs w:val="22"/>
                                </w:rPr>
                                <w:fldChar w:fldCharType="end"/>
                              </w:r>
                              <w:r>
                                <w:rPr>
                                  <w:b/>
                                  <w:bCs/>
                                  <w:i w:val="0"/>
                                  <w:iCs w:val="0"/>
                                  <w:color w:val="auto"/>
                                  <w:sz w:val="22"/>
                                  <w:szCs w:val="22"/>
                                </w:rPr>
                                <w:noBreakHyphen/>
                              </w:r>
                              <w:r>
                                <w:rPr>
                                  <w:b/>
                                  <w:bCs/>
                                  <w:i w:val="0"/>
                                  <w:iCs w:val="0"/>
                                  <w:color w:val="auto"/>
                                  <w:sz w:val="22"/>
                                  <w:szCs w:val="22"/>
                                </w:rPr>
                                <w:fldChar w:fldCharType="begin"/>
                              </w:r>
                              <w:r>
                                <w:rPr>
                                  <w:b/>
                                  <w:bCs/>
                                  <w:i w:val="0"/>
                                  <w:iCs w:val="0"/>
                                  <w:color w:val="auto"/>
                                  <w:sz w:val="22"/>
                                  <w:szCs w:val="22"/>
                                </w:rPr>
                                <w:instrText xml:space="preserve"> SEQ Figure \* ARABIC \s 1 </w:instrText>
                              </w:r>
                              <w:r>
                                <w:rPr>
                                  <w:b/>
                                  <w:bCs/>
                                  <w:i w:val="0"/>
                                  <w:iCs w:val="0"/>
                                  <w:color w:val="auto"/>
                                  <w:sz w:val="22"/>
                                  <w:szCs w:val="22"/>
                                </w:rPr>
                                <w:fldChar w:fldCharType="separate"/>
                              </w:r>
                              <w:r>
                                <w:rPr>
                                  <w:b/>
                                  <w:bCs/>
                                  <w:i w:val="0"/>
                                  <w:iCs w:val="0"/>
                                  <w:noProof/>
                                  <w:color w:val="auto"/>
                                  <w:sz w:val="22"/>
                                  <w:szCs w:val="22"/>
                                </w:rPr>
                                <w:t>1</w:t>
                              </w:r>
                              <w:r>
                                <w:rPr>
                                  <w:b/>
                                  <w:bCs/>
                                  <w:i w:val="0"/>
                                  <w:iCs w:val="0"/>
                                  <w:color w:val="auto"/>
                                  <w:sz w:val="22"/>
                                  <w:szCs w:val="22"/>
                                </w:rPr>
                                <w:fldChar w:fldCharType="end"/>
                              </w:r>
                              <w:bookmarkEnd w:id="35"/>
                              <w:r>
                                <w:rPr>
                                  <w:b/>
                                  <w:bCs/>
                                  <w:i w:val="0"/>
                                  <w:iCs w:val="0"/>
                                  <w:color w:val="auto"/>
                                  <w:sz w:val="22"/>
                                  <w:szCs w:val="22"/>
                                </w:rPr>
                                <w:t>.</w:t>
                              </w:r>
                              <w:r w:rsidRPr="00B331A4">
                                <w:rPr>
                                  <w:b/>
                                  <w:bCs/>
                                  <w:i w:val="0"/>
                                  <w:iCs w:val="0"/>
                                  <w:color w:val="auto"/>
                                  <w:sz w:val="22"/>
                                  <w:szCs w:val="22"/>
                                </w:rPr>
                                <w:t xml:space="preserve"> Locker's conceptual model of oral health</w:t>
                              </w:r>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384AB2" id="Group 2" o:spid="_x0000_s1026" style="position:absolute;left:0;text-align:left;margin-left:12.2pt;margin-top:162.45pt;width:410.55pt;height:174.1pt;z-index:251650560" coordsize="63981,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">
                <v:group id="Group 230" o:spid="_x0000_s1027" style="position:absolute;width:63981;height:25248" coordsize="63982,2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2" o:spid="_x0000_s1028" style="position:absolute;width:63982;height:20062" coordorigin="-710,4589" coordsize="66541,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2" o:spid="_x0000_s1029" type="#_x0000_t87" style="position:absolute;left:18899;top:5141;width:976;height:387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AisUA&#10;AADbAAAADwAAAGRycy9kb3ducmV2LnhtbESPW2vCQBSE3wX/w3KEvtVNbeMlZhURBJ96iUXo2yF7&#10;cqHZszG7xvTfdwsFH4eZ+YZJt4NpRE+dqy0reJpGIIhzq2suFXyeDo9LEM4ja2wsk4IfcrDdjEcp&#10;Jtre+IP6zJciQNglqKDyvk2kdHlFBt3UtsTBK2xn0AfZlVJ3eAtw08hZFM2lwZrDQoUt7SvKv7Or&#10;URAX2XmxPEXu9e3r/Xq+NPwS989KPUyG3RqEp8Hfw//to1awiu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kCKxQAAANsAAAAPAAAAAAAAAAAAAAAAAJgCAABkcnMv&#10;ZG93bnJldi54bWxQSwUGAAAAAAQABAD1AAAAigMAAAAA&#10;" adj="45" strokecolor="windowText"/>
                    <v:shape id="Left Brace 33" o:spid="_x0000_s1030" type="#_x0000_t87" style="position:absolute;left:45635;top:20114;width:976;height:88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z+8UA&#10;AADcAAAADwAAAGRycy9kb3ducmV2LnhtbESPQWuDQBSE74X+h+UVcinNGmlCsa4iQmgKgRDjpbeH&#10;+6pS962428T++24gkOMwM98waT6bQZxpcr1lBatlBIK4sbrnVkF92r68gXAeWeNgmRT8kYM8e3xI&#10;MdH2wkc6V74VAcIuQQWd92MipWs6MuiWdiQO3redDPogp1bqCS8BbgYZR9FGGuw5LHQ4UtlR81P9&#10;GgVcP89F3Ry/Dh92bauy3H9GvVNq8TQX7yA8zf4evrV3WkEcv8L1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HP7xQAAANwAAAAPAAAAAAAAAAAAAAAAAJgCAABkcnMv&#10;ZG93bnJldi54bWxQSwUGAAAAAAQABAD1AAAAigMAAAAA&#10;" adj="199" strokecolor="windowText"/>
                    <v:shape id="Left Brace 34" o:spid="_x0000_s1031" type="#_x0000_t87" style="position:absolute;left:58669;top:20042;width:1123;height:88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WMcQA&#10;AADcAAAADwAAAGRycy9kb3ducmV2LnhtbESPQWvCQBSE7wX/w/KE3uqukYpEVwnSSi9Vql68PbPP&#10;JJp9G7JbTf+9Kwg9DjPzDTNbdLYWV2p95VjDcKBAEOfOVFxo2O8+3yYgfEA2WDsmDX/kYTHvvcww&#10;Ne7GP3TdhkJECPsUNZQhNKmUPi/Joh+4hjh6J9daDFG2hTQt3iLc1jJRaiwtVhwXSmxoWVJ+2f5a&#10;DaqgLuPRAXP1/XHMqrVcTc4brV/7XTYFEagL/+Fn+8toSJJ3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FjHEAAAA3AAAAA8AAAAAAAAAAAAAAAAAmAIAAGRycy9k&#10;b3ducmV2LnhtbFBLBQYAAAAABAAEAPUAAACJAwAAAAA=&#10;" adj="229" strokecolor="windowText"/>
                    <v:group id="Group 36" o:spid="_x0000_s1032" style="position:absolute;left:-710;top:4589;width:66540;height:17926" coordorigin="-710,4592" coordsize="66541,1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Line 226" o:spid="_x0000_s1033" style="position:absolute;visibility:visible;mso-wrap-style:square" from="23201,16513" to="27589,1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lQMUAAADcAAAADwAAAGRycy9kb3ducmV2LnhtbESPT2vCQBTE74V+h+UVvBTdGMHa6CpV&#10;FHIR/Ae9PrLPJDT7NuyuJn57t1DocZiZ3zCLVW8acSfna8sKxqMEBHFhdc2lgst5N5yB8AFZY2OZ&#10;FDzIw2r5+rLATNuOj3Q/hVJECPsMFVQhtJmUvqjIoB/Zljh6V+sMhihdKbXDLsJNI9MkmUqDNceF&#10;ClvaVFT8nG5GwQHr/e2xm+TuWGw/x+vy8J2/d0oN3vqvOYhAffgP/7VzrSBNP+D3TD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0lQMUAAADcAAAADwAAAAAAAAAA&#10;AAAAAAChAgAAZHJzL2Rvd25yZXYueG1sUEsFBgAAAAAEAAQA+QAAAJMDAAAAAA==&#10;" filled="t" fillcolor="#8eb4e3" strokeweight="1pt">
                        <v:stroke endarrow="block"/>
                      </v:line>
                      <v:group id="Group 48" o:spid="_x0000_s1034" style="position:absolute;left:-710;top:4592;width:66540;height:17937" coordorigin="-710,4592" coordsize="66541,1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Line 226" o:spid="_x0000_s1035" style="position:absolute;visibility:visible;mso-wrap-style:square" from="25372,6162" to="46674,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line id="Straight Connector 78" o:spid="_x0000_s1036" style="position:absolute;flip:x;visibility:visible;mso-wrap-style:square" from="18559,6162" to="25372,1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C8MYAAADcAAAADwAAAGRycy9kb3ducmV2LnhtbESPzW7CMBCE75V4B2uReisOOVQ0xaAC&#10;rdQTf+WS2xIvcZp4HcUupH16jFSJ42hmvtFM571txJk6XzlWMB4lIIgLpysuFRy+Pp4mIHxA1tg4&#10;JgW/5GE+GzxMMdPuwjs670MpIoR9hgpMCG0mpS8MWfQj1xJH7+Q6iyHKrpS6w0uE20amSfIsLVYc&#10;Fwy2tDRU1Psfq2D1t63XeZ6ndbMxh/H7ov1eHXOlHof92yuIQH24h//bn1pBmr7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1wvDGAAAA3AAAAA8AAAAAAAAA&#10;AAAAAAAAoQIAAGRycy9kb3ducmV2LnhtbFBLBQYAAAAABAAEAPkAAACUAwAAAAA=&#10;" strokecolor="windowText"/>
                        <v:group id="Group 81" o:spid="_x0000_s1037" style="position:absolute;left:-710;top:4592;width:66540;height:17941" coordorigin="-710,4592" coordsize="66541,17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82" o:spid="_x0000_s1038" style="position:absolute;left:-710;top:4592;width:66540;height:17930" coordorigin="-710,4592" coordsize="66541,17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_x0000_s1039" style="position:absolute;left:-710;top:7971;width:66540;height:14551" coordorigin="452,5180" coordsize="1498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type id="_x0000_t202" coordsize="21600,21600" o:spt="202" path="m,l,21600r21600,l21600,xe">
                                <v:stroke joinstyle="miter"/>
                                <v:path gradientshapeok="t" o:connecttype="rect"/>
                              </v:shapetype>
                              <v:shape id="_x0000_s1040" type="#_x0000_t202" style="position:absolute;left:10003;top:6030;width:2255;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14:paraId="337EC593" w14:textId="77777777" w:rsidR="006E7D7A" w:rsidRPr="00966CB4" w:rsidRDefault="006E7D7A" w:rsidP="00B15B7D">
                                      <w:pPr>
                                        <w:spacing w:before="0"/>
                                        <w:jc w:val="center"/>
                                        <w:rPr>
                                          <w:b/>
                                          <w:sz w:val="20"/>
                                          <w:szCs w:val="20"/>
                                        </w:rPr>
                                      </w:pPr>
                                      <w:r w:rsidRPr="00966CB4">
                                        <w:rPr>
                                          <w:b/>
                                          <w:sz w:val="20"/>
                                          <w:szCs w:val="20"/>
                                        </w:rPr>
                                        <w:t>Disability</w:t>
                                      </w:r>
                                      <w:r w:rsidRPr="00966CB4">
                                        <w:rPr>
                                          <w:b/>
                                          <w:sz w:val="20"/>
                                          <w:szCs w:val="20"/>
                                        </w:rPr>
                                        <w:tab/>
                                      </w:r>
                                    </w:p>
                                  </w:txbxContent>
                                </v:textbox>
                              </v:shape>
                              <v:shape id="_x0000_s1041" type="#_x0000_t202" style="position:absolute;left:452;top:6055;width:216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216E571F" w14:textId="77777777" w:rsidR="006E7D7A" w:rsidRPr="00966CB4" w:rsidRDefault="006E7D7A" w:rsidP="00B15B7D">
                                      <w:pPr>
                                        <w:shd w:val="clear" w:color="auto" w:fill="8DB3E2"/>
                                        <w:spacing w:before="0"/>
                                        <w:jc w:val="center"/>
                                        <w:rPr>
                                          <w:b/>
                                          <w:sz w:val="20"/>
                                          <w:szCs w:val="20"/>
                                        </w:rPr>
                                      </w:pPr>
                                      <w:r w:rsidRPr="00966CB4">
                                        <w:rPr>
                                          <w:b/>
                                          <w:sz w:val="20"/>
                                          <w:szCs w:val="20"/>
                                        </w:rPr>
                                        <w:t>Disease</w:t>
                                      </w:r>
                                    </w:p>
                                  </w:txbxContent>
                                </v:textbox>
                              </v:shape>
                              <v:shape id="Text Box 221" o:spid="_x0000_s1042" type="#_x0000_t202" style="position:absolute;left:3198;top:6055;width:264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2110F503" w14:textId="77777777" w:rsidR="006E7D7A" w:rsidRPr="00966CB4" w:rsidRDefault="006E7D7A" w:rsidP="00B15B7D">
                                      <w:pPr>
                                        <w:spacing w:before="0"/>
                                        <w:jc w:val="center"/>
                                        <w:rPr>
                                          <w:b/>
                                          <w:sz w:val="20"/>
                                          <w:szCs w:val="20"/>
                                        </w:rPr>
                                      </w:pPr>
                                      <w:r w:rsidRPr="00966CB4">
                                        <w:rPr>
                                          <w:b/>
                                          <w:sz w:val="20"/>
                                          <w:szCs w:val="20"/>
                                        </w:rPr>
                                        <w:t>Impairment</w:t>
                                      </w:r>
                                    </w:p>
                                  </w:txbxContent>
                                </v:textbox>
                              </v:shape>
                              <v:shape id="Text Box 222" o:spid="_x0000_s1043" type="#_x0000_t202" style="position:absolute;left:6326;top:5914;width:301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22944923" w14:textId="77777777" w:rsidR="006E7D7A" w:rsidRPr="00966CB4" w:rsidRDefault="006E7D7A" w:rsidP="00B15B7D">
                                      <w:pPr>
                                        <w:spacing w:before="0" w:after="0" w:line="240" w:lineRule="auto"/>
                                        <w:jc w:val="center"/>
                                        <w:rPr>
                                          <w:sz w:val="20"/>
                                          <w:szCs w:val="20"/>
                                        </w:rPr>
                                      </w:pPr>
                                      <w:r w:rsidRPr="00966CB4">
                                        <w:rPr>
                                          <w:b/>
                                          <w:sz w:val="20"/>
                                          <w:szCs w:val="20"/>
                                        </w:rPr>
                                        <w:t>Functional</w:t>
                                      </w:r>
                                      <w:r>
                                        <w:rPr>
                                          <w:b/>
                                          <w:sz w:val="20"/>
                                          <w:szCs w:val="20"/>
                                        </w:rPr>
                                        <w:t xml:space="preserve"> </w:t>
                                      </w:r>
                                      <w:r w:rsidRPr="00966CB4">
                                        <w:rPr>
                                          <w:b/>
                                          <w:sz w:val="20"/>
                                          <w:szCs w:val="20"/>
                                        </w:rPr>
                                        <w:t>limitation</w:t>
                                      </w:r>
                                    </w:p>
                                  </w:txbxContent>
                                </v:textbox>
                              </v:shape>
                              <v:shape id="Text Box 224" o:spid="_x0000_s1044" type="#_x0000_t202" style="position:absolute;left:12957;top:6038;width:24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14:paraId="2DC67D69" w14:textId="77777777" w:rsidR="006E7D7A" w:rsidRPr="00966CB4" w:rsidRDefault="006E7D7A" w:rsidP="00B15B7D">
                                      <w:pPr>
                                        <w:spacing w:before="0"/>
                                        <w:jc w:val="center"/>
                                        <w:rPr>
                                          <w:b/>
                                          <w:sz w:val="20"/>
                                          <w:szCs w:val="20"/>
                                        </w:rPr>
                                      </w:pPr>
                                      <w:r w:rsidRPr="00966CB4">
                                        <w:rPr>
                                          <w:b/>
                                          <w:sz w:val="20"/>
                                          <w:szCs w:val="20"/>
                                        </w:rPr>
                                        <w:t>Handicap</w:t>
                                      </w:r>
                                    </w:p>
                                  </w:txbxContent>
                                </v:textbox>
                              </v:shape>
                              <v:line id="Line 226" o:spid="_x0000_s1045" style="position:absolute;flip:y;visibility:visible;mso-wrap-style:square" from="2612,6226" to="3198,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UcMIAAADcAAAADwAAAGRycy9kb3ducmV2LnhtbESPQYvCMBSE7wv+h/CEva2pBWWtTUUE&#10;QVncxSp4fTTPtti8lCZq/fdmQfA4zMw3TLroTSNu1LnasoLxKAJBXFhdc6ngeFh/fYNwHlljY5kU&#10;PMjBIht8pJhoe+c93XJfigBhl6CCyvs2kdIVFRl0I9sSB+9sO4M+yK6UusN7gJtGxlE0lQZrDgsV&#10;trSqqLjkV6NgSz8PzidHQ7vTMtc89n/TX63U57BfzkF46v07/GpvtIJ4FsP/mXAEZP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uUcMIAAADcAAAADwAAAAAAAAAAAAAA&#10;AAChAgAAZHJzL2Rvd25yZXYueG1sUEsFBgAAAAAEAAQA+QAAAJADAAAAAA==&#10;" filled="t" fillcolor="#8eb4e3" strokeweight="1pt">
                                <v:stroke endarrow="block"/>
                              </v:line>
                              <v:line id="Line 229" o:spid="_x0000_s1046" style="position:absolute;flip:x y;visibility:visible;mso-wrap-style:square" from="7833,5518" to="78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X28YAAADcAAAADwAAAGRycy9kb3ducmV2LnhtbESPQWvCQBSE74X+h+UJ3upGhVqjGylF&#10;oZceYnvo8ZF9JiHZt3F3u8b++m5B8DjMzDfMdjeaXkRyvrWsYD7LQBBXVrdcK/j6PDy9gPABWWNv&#10;mRRcycOueHzYYq7thUuKx1CLBGGfo4ImhCGX0lcNGfQzOxAn72SdwZCkq6V2eElw08tFlj1Lgy2n&#10;hQYHemuo6o4/RsFvu1p97z/K+YHPS5ddy3iOXVRqOhlfNyACjeEevrXftYLFegn/Z9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6l9vGAAAA3AAAAA8AAAAAAAAA&#10;AAAAAAAAoQIAAGRycy9kb3ducmV2LnhtbFBLBQYAAAAABAAEAPkAAACUAwAAAAA=&#10;" strokeweight="1pt">
                                <v:stroke startarrow="block"/>
                              </v:line>
                              <v:line id="Line 230" o:spid="_x0000_s1047" style="position:absolute;flip:y;visibility:visible;mso-wrap-style:square" from="10541,6397" to="10886,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ME2cYAAADcAAAADwAAAGRycy9kb3ducmV2LnhtbESPQWvCQBSE74L/YXkFb7qpLZKmriKC&#10;VCoIpi29vmSf2dTs25BdNf77bkHocZiZb5j5sreNuFDna8cKHicJCOLS6ZorBZ8fm3EKwgdkjY1j&#10;UnAjD8vFcDDHTLsrH+iSh0pECPsMFZgQ2kxKXxqy6CeuJY7e0XUWQ5RdJXWH1wi3jZwmyUxarDku&#10;GGxpbag85Wer4Kndvh/tweTf+7RI336+iqJc75QaPfSrVxCB+vAfvre3WsH05Rn+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zBNnGAAAA3AAAAA8AAAAAAAAA&#10;AAAAAAAAoQIAAGRycy9kb3ducmV2LnhtbFBLBQYAAAAABAAEAPkAAACUAwAAAAA=&#10;" strokeweight="1pt">
                                <v:stroke endarrow="block"/>
                              </v:line>
                              <v:line id="Line 232" o:spid="_x0000_s1048" style="position:absolute;visibility:visible;mso-wrap-style:square" from="9042,5342" to="14197,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e18QAAADcAAAADwAAAGRycy9kb3ducmV2LnhtbESPT4vCMBTE7wt+h/AEb5pacFerUWTB&#10;xfWw4D/E26N5tsXmpTSx1m9vBGGPw8z8hpktWlOKhmpXWFYwHEQgiFOrC84UHPar/hiE88gaS8uk&#10;4EEOFvPOxwwTbe+8pWbnMxEg7BJUkHtfJVK6NCeDbmAr4uBdbG3QB1lnUtd4D3BTyjiKPqXBgsNC&#10;jhV955RedzejIG1cY77i069c0f6nPf/Z4yazSvW67XIKwlPr/8Pv9loriCcj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x7XxAAAANwAAAAPAAAAAAAAAAAA&#10;AAAAAKECAABkcnMvZG93bnJldi54bWxQSwUGAAAAAAQABAD5AAAAkgMAAAAA&#10;" strokeweight="1pt">
                                <v:stroke endarrow="block"/>
                              </v:line>
                              <v:line id="Line 234" o:spid="_x0000_s1049" style="position:absolute;flip:y;visibility:visible;mso-wrap-style:square" from="12629,6467" to="14105,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ezcUAAADcAAAADwAAAGRycy9kb3ducmV2LnhtbESPQWvCQBCF74X+h2UKXoJuqiA1uhGt&#10;CkLpodaDxyE7TUKzsyE7xvTfd4VCj48373vzVuvBNaqnLtSeDTxPUlDEhbc1lwbOn4fxC6ggyBYb&#10;z2TghwKs88eHFWbW3/iD+pOUKkI4ZGigEmkzrUNRkcMw8S1x9L5851Ci7EptO7xFuGv0NE3n2mHN&#10;saHCll4rKr5PVxffOLzzbjZLtk4nyYL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RezcUAAADcAAAADwAAAAAAAAAA&#10;AAAAAAChAgAAZHJzL2Rvd25yZXYueG1sUEsFBgAAAAAEAAQA+QAAAJMDAAAAAA==&#10;">
                                <v:stroke endarrow="block"/>
                              </v:line>
                              <v:line id="Line 235" o:spid="_x0000_s1050" style="position:absolute;flip:y;visibility:visible;mso-wrap-style:square" from="4523,5342" to="6326,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GarsYAAADcAAAADwAAAGRycy9kb3ducmV2LnhtbESPQWvCQBSE74L/YXkFb7qphZqmriKC&#10;VCoIpi29vmSf2dTs25BdNf77bkHocZiZb5j5sreNuFDna8cKHicJCOLS6ZorBZ8fm3EKwgdkjY1j&#10;UnAjD8vFcDDHTLsrH+iSh0pECPsMFZgQ2kxKXxqy6CeuJY7e0XUWQ5RdJXWH1wi3jZwmybO0WHNc&#10;MNjS2lB5ys9WwVO7fT/ag8m/92mRvv18FUW53ik1euhXryAC9eE/fG9vtYLpyw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mq7GAAAA3AAAAA8AAAAAAAAA&#10;AAAAAAAAoQIAAGRycy9kb3ducmV2LnhtbFBLBQYAAAAABAAEAPkAAACUAwAAAAA=&#10;" strokeweight="1pt">
                                <v:stroke endarrow="block"/>
                              </v:line>
                              <v:line id="Line 236" o:spid="_x0000_s1051" style="position:absolute;visibility:visible;mso-wrap-style:square" from="9343,6217" to="10004,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xScEAAADcAAAADwAAAGRycy9kb3ducmV2LnhtbERPy4rCMBTdC/5DuMLsNLWLGa1GEaHi&#10;zELwhbi7NNe22NyUJradvzeLgVkeznu57k0lWmpcaVnBdBKBIM6sLjlXcDmn4xkI55E1VpZJwS85&#10;WK+GgyUm2nZ8pPbkcxFC2CWooPC+TqR0WUEG3cTWxIF72MagD7DJpW6wC+GmknEUfUqDJYeGAmva&#10;FpQ9Ty+jIGtda77i27dM6bzr7wd7/cmtUh+jfrMA4an3/+I/914riOdhbTgTjoB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rFJwQAAANwAAAAPAAAAAAAAAAAAAAAA&#10;AKECAABkcnMvZG93bnJldi54bWxQSwUGAAAAAAQABAD5AAAAjwMAAAAA&#10;" strokeweight="1pt">
                                <v:stroke endarrow="block"/>
                              </v:line>
                              <v:line id="Line 238" o:spid="_x0000_s1052" style="position:absolute;flip:y;visibility:visible;mso-wrap-style:square" from="12259,6217" to="1295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rR8UAAADcAAAADwAAAGRycy9kb3ducmV2LnhtbESPQWvCQBSE74L/YXlCb7rRgsToKkWQ&#10;SgsF04rXl+wzG5t9G7Jbjf++Wyh4HGbmG2a16W0jrtT52rGC6SQBQVw6XXOl4OtzN05B+ICssXFM&#10;Cu7kYbMeDlaYaXfjA13zUIkIYZ+hAhNCm0npS0MW/cS1xNE7u85iiLKrpO7wFuG2kbMkmUuLNccF&#10;gy1tDZXf+Y9V8Nzu3872YPLTR1qkr5djUZTbd6WeRv3LEkSgPjzC/+29VjBbLO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KrR8UAAADcAAAADwAAAAAAAAAA&#10;AAAAAAChAgAAZHJzL2Rvd25yZXYueG1sUEsFBgAAAAAEAAQA+QAAAJMDAAAAAA==&#10;" strokeweight="1pt">
                                <v:stroke endarrow="block"/>
                              </v:line>
                              <v:shape id="Text Box 239" o:spid="_x0000_s1053" type="#_x0000_t202" style="position:absolute;left:6326;top:5180;width:2716;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IIcEA&#10;AADcAAAADwAAAGRycy9kb3ducmV2LnhtbERPz2vCMBS+C/sfwht4m+kszFGNMjYFFT3MiudH82yr&#10;zUtNonb/vTkMPH58vyezzjTiRs7XlhW8DxIQxIXVNZcK9vni7ROED8gaG8uk4I88zKYvvQlm2t75&#10;l267UIoYwj5DBVUIbSalLyoy6Ae2JY7c0TqDIUJXSu3wHsNNI4dJ8iEN1hwbKmzpu6LivLsaBbT4&#10;mV9zGq3SdH3ZuMLm9WF7Uqr/2n2NQQTqwlP8715qBWkS58cz8Qj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iCHBAAAA3AAAAA8AAAAAAAAAAAAAAAAAmAIAAGRycy9kb3du&#10;cmV2LnhtbFBLBQYAAAAABAAEAPUAAACGAwAAAAA=&#10;" fillcolor="#8eb4e3" stroked="f" strokeweight=".5pt">
                                <v:textbox>
                                  <w:txbxContent>
                                    <w:p w14:paraId="32C5F9BD" w14:textId="77777777" w:rsidR="006E7D7A" w:rsidRPr="00966CB4" w:rsidRDefault="006E7D7A" w:rsidP="00B15B7D">
                                      <w:pPr>
                                        <w:spacing w:before="0"/>
                                        <w:jc w:val="center"/>
                                        <w:rPr>
                                          <w:b/>
                                          <w:sz w:val="20"/>
                                          <w:szCs w:val="20"/>
                                        </w:rPr>
                                      </w:pPr>
                                      <w:r w:rsidRPr="00966CB4">
                                        <w:rPr>
                                          <w:b/>
                                          <w:sz w:val="20"/>
                                          <w:szCs w:val="20"/>
                                        </w:rPr>
                                        <w:t>Pain</w:t>
                                      </w:r>
                                    </w:p>
                                  </w:txbxContent>
                                </v:textbox>
                              </v:shape>
                            </v:group>
                            <v:shape id="Text Box 239" o:spid="_x0000_s1054" type="#_x0000_t202" style="position:absolute;left:46674;top:4592;width:11510;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tusUA&#10;AADcAAAADwAAAGRycy9kb3ducmV2LnhtbESPQWvCQBSE74L/YXmCN91ooJbUVUqroEUPmtLzI/ua&#10;pM2+jburpv++Kwgeh5n5hpkvO9OICzlfW1YwGScgiAuray4VfObr0TMIH5A1NpZJwR95WC76vTlm&#10;2l75QJdjKEWEsM9QQRVCm0npi4oM+rFtiaP3bZ3BEKUrpXZ4jXDTyGmSPEmDNceFClt6q6j4PZ6N&#10;Alq/r845zbZp+nHaucLm9df+R6nhoHt9ARGoC4/wvb3RCtJkAr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i26xQAAANwAAAAPAAAAAAAAAAAAAAAAAJgCAABkcnMv&#10;ZG93bnJldi54bWxQSwUGAAAAAAQABAD1AAAAigMAAAAA&#10;" fillcolor="#8eb4e3" stroked="f" strokeweight=".5pt">
                              <v:textbox>
                                <w:txbxContent>
                                  <w:p w14:paraId="700AA445" w14:textId="77777777" w:rsidR="006E7D7A" w:rsidRPr="00966CB4" w:rsidRDefault="006E7D7A" w:rsidP="00B15B7D">
                                    <w:pPr>
                                      <w:spacing w:before="0" w:after="0"/>
                                      <w:jc w:val="center"/>
                                      <w:rPr>
                                        <w:b/>
                                        <w:sz w:val="20"/>
                                        <w:szCs w:val="20"/>
                                      </w:rPr>
                                    </w:pPr>
                                    <w:r w:rsidRPr="00966CB4">
                                      <w:rPr>
                                        <w:b/>
                                        <w:sz w:val="20"/>
                                        <w:szCs w:val="20"/>
                                      </w:rPr>
                                      <w:t>Death</w:t>
                                    </w:r>
                                  </w:p>
                                </w:txbxContent>
                              </v:textbox>
                            </v:shape>
                          </v:group>
                          <v:line id="Straight Connector 302" o:spid="_x0000_s1055" style="position:absolute;flip:x y;visibility:visible;mso-wrap-style:square" from="23201,22518" to="53358,2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KsMAAADcAAAADwAAAGRycy9kb3ducmV2LnhtbESPT4vCMBTE7wt+h/CEvSyaWkWkGkUE&#10;ZU+K//D6aJ5tsXkpTbTVT28WFjwOM/MbZrZoTSkeVLvCsoJBPwJBnFpdcKbgdFz3JiCcR9ZYWiYF&#10;T3KwmHe+Zpho2/CeHgefiQBhl6CC3PsqkdKlORl0fVsRB+9qa4M+yDqTusYmwE0p4ygaS4MFh4Uc&#10;K1rllN4Od6MAefsaTpoBjeSGLi7e7n6W56tS3912OQXhqfWf8H/7VysYRjH8nQ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37CrDAAAA3AAAAA8AAAAAAAAAAAAA&#10;AAAAoQIAAGRycy9kb3ducmV2LnhtbFBLBQYAAAAABAAEAPkAAACRAwAAAAA=&#10;"/>
                          <v:line id="Straight Connector 303" o:spid="_x0000_s1056" style="position:absolute;flip:x y;visibility:visible;mso-wrap-style:square" from="18424,17878" to="23201,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NHsYAAADcAAAADwAAAGRycy9kb3ducmV2LnhtbESPQWvCQBSE7wX/w/IKvdXdKoYSXSVI&#10;C15K0RS9PrLPJJp9G7Orxv56t1DwOMzMN8xs0dtGXKjztWMNb0MFgrhwpuZSw0/++foOwgdkg41j&#10;0nAjD4v54GmGqXFXXtNlE0oRIexT1FCF0KZS+qIii37oWuLo7V1nMUTZldJ0eI1w28iRUom0WHNc&#10;qLClZUXFcXO2Gk7LbJXsvieTr3M++khu6nd7yHKtX577bAoiUB8e4f/2ymgYqzH8nY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7zR7GAAAA3AAAAA8AAAAAAAAA&#10;AAAAAAAAoQIAAGRycy9kb3ducmV2LnhtbFBLBQYAAAAABAAEAPkAAACUAwAAAAA=&#10;" strokecolor="windowText"/>
                          <v:line id="Straight Connector 304" o:spid="_x0000_s1057" style="position:absolute;flip:x;visibility:visible;mso-wrap-style:square" from="26340,20062" to="44118,2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A+k8cAAADcAAAADwAAAGRycy9kb3ducmV2LnhtbESPzW7CMBCE75V4B2uReisOFKEqYBA/&#10;rdRTS4FLbku8xCHxOopdCH36GqlSj6OZ+UYzW3S2FhdqfelYwXCQgCDOnS65UHDYvz29gPABWWPt&#10;mBTcyMNi3nuYYardlb/osguFiBD2KSowITSplD43ZNEPXEMcvZNrLYYo20LqFq8Rbms5SpKJtFhy&#10;XDDY0NpQXu2+rYLNz7b6yLJsVNWf5jB8XTXnzTFT6rHfLacgAnXhP/zXftcKnpMx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D6TxwAAANwAAAAPAAAAAAAA&#10;AAAAAAAAAKECAABkcnMvZG93bnJldi54bWxQSwUGAAAAAAQABAD5AAAAlQMAAAAA&#10;" strokecolor="windowText"/>
                          <v:line id="Straight Connector 305" o:spid="_x0000_s1058" style="position:absolute;flip:x y;visibility:visible;mso-wrap-style:square" from="20744,17878" to="26305,2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w8cYAAADcAAAADwAAAGRycy9kb3ducmV2LnhtbESPQWvCQBSE70L/w/IKvelulYSSukqQ&#10;Cl6K1JT2+sg+k9js2zS7avTXdwWhx2FmvmHmy8G24kS9bxxreJ4oEMSlMw1XGj6L9fgFhA/IBlvH&#10;pOFCHpaLh9EcM+PO/EGnXahEhLDPUEMdQpdJ6cuaLPqJ64ijt3e9xRBlX0nT4znCbSunSqXSYsNx&#10;ocaOVjWVP7uj1fC7yjfp9zZJ3o/F9C29qOvXIS+0fnoc8lcQgYbwH763N0bDTCV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e8PHGAAAA3AAAAA8AAAAAAAAA&#10;AAAAAAAAoQIAAGRycy9kb3ducmV2LnhtbFBLBQYAAAAABAAEAPkAAACUAwAAAAA=&#10;" strokecolor="windowText"/>
                        </v:group>
                      </v:group>
                    </v:group>
                  </v:group>
                  <v:shape id="Text Box 306" o:spid="_x0000_s1059" type="#_x0000_t202" style="position:absolute;left:13579;top:20062;width:1083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198QA&#10;AADcAAAADwAAAGRycy9kb3ducmV2LnhtbESPQWvCQBSE74X+h+UVvDUbKwSJriJKwVMkNpfeXrPP&#10;JJh9G3ZXE/+9Wyj0OMzMN8x6O5le3Mn5zrKCeZKCIK6t7rhRUH19vi9B+ICssbdMCh7kYbt5fVlj&#10;ru3IJd3PoRERwj5HBW0IQy6lr1sy6BM7EEfvYp3BEKVrpHY4Rrjp5UeaZtJgx3GhxYH2LdXX880o&#10;qIuuKs3Pd7FfOnkasuvhOJUHpWZv024FItAU/sN/7aNWsEgz+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9ffEAAAA3AAAAA8AAAAAAAAAAAAAAAAAmAIAAGRycy9k&#10;b3ducmV2LnhtbFBLBQYAAAAABAAEAPUAAACJAwAAAAA=&#10;" fillcolor="window" stroked="f" strokeweight=".5pt">
                    <v:fill opacity="0"/>
                    <v:textbox>
                      <w:txbxContent>
                        <w:p w14:paraId="634CD863" w14:textId="77777777" w:rsidR="006E7D7A" w:rsidRPr="005C1F30" w:rsidRDefault="006E7D7A" w:rsidP="00B15B7D">
                          <w:pPr>
                            <w:spacing w:before="0" w:after="0"/>
                            <w:jc w:val="center"/>
                            <w:rPr>
                              <w:b/>
                              <w:bCs/>
                              <w:sz w:val="20"/>
                              <w:szCs w:val="20"/>
                            </w:rPr>
                          </w:pPr>
                          <w:r w:rsidRPr="005C1F30">
                            <w:rPr>
                              <w:b/>
                              <w:bCs/>
                              <w:sz w:val="20"/>
                              <w:szCs w:val="20"/>
                            </w:rPr>
                            <w:t>Organ</w:t>
                          </w:r>
                        </w:p>
                      </w:txbxContent>
                    </v:textbox>
                  </v:shape>
                  <v:shape id="Text Box 307" o:spid="_x0000_s1060" type="#_x0000_t202" style="position:absolute;left:39578;top:20062;width:10839;height:5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QbMMA&#10;AADcAAAADwAAAGRycy9kb3ducmV2LnhtbESPQYvCMBSE78L+h/AWvGnqLqhUUxFlwZNS9bK3t82z&#10;LW1eSpLV+u+NIHgcZuYbZrnqTSuu5HxtWcFknIAgLqyuuVRwPv2M5iB8QNbYWiYFd/Kwyj4GS0y1&#10;vXFO12MoRYSwT1FBFUKXSumLigz6se2Io3exzmCI0pVSO7xFuGnlV5JMpcGa40KFHW0qKprjv1FQ&#10;7Otzbv5+95u5k4du2mx3fb5VavjZrxcgAvXhHX61d1rBdzKD55l4BG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QbMMAAADcAAAADwAAAAAAAAAAAAAAAACYAgAAZHJzL2Rv&#10;d25yZXYueG1sUEsFBgAAAAAEAAQA9QAAAIgDAAAAAA==&#10;" fillcolor="window" stroked="f" strokeweight=".5pt">
                    <v:fill opacity="0"/>
                    <v:textbox>
                      <w:txbxContent>
                        <w:p w14:paraId="16162868" w14:textId="77777777" w:rsidR="006E7D7A" w:rsidRPr="005C1F30" w:rsidRDefault="006E7D7A" w:rsidP="00B15B7D">
                          <w:pPr>
                            <w:spacing w:before="0" w:after="0" w:line="240" w:lineRule="auto"/>
                            <w:jc w:val="center"/>
                            <w:rPr>
                              <w:b/>
                              <w:bCs/>
                            </w:rPr>
                          </w:pPr>
                          <w:r w:rsidRPr="005C1F30">
                            <w:rPr>
                              <w:b/>
                              <w:bCs/>
                              <w:sz w:val="20"/>
                              <w:szCs w:val="20"/>
                            </w:rPr>
                            <w:t>Individua</w:t>
                          </w:r>
                          <w:r w:rsidRPr="005C1F30">
                            <w:rPr>
                              <w:b/>
                              <w:bCs/>
                            </w:rPr>
                            <w:t>l</w:t>
                          </w:r>
                        </w:p>
                      </w:txbxContent>
                    </v:textbox>
                  </v:shape>
                  <v:shape id="Text Box 308" o:spid="_x0000_s1061" type="#_x0000_t202" style="position:absolute;left:52251;top:20062;width:10838;height: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EHr0A&#10;AADcAAAADwAAAGRycy9kb3ducmV2LnhtbERPvQrCMBDeBd8hnOCmqQoi1SiiCE5K1cXtbM622FxK&#10;ErW+vRkEx4/vf7FqTS1e5HxlWcFomIAgzq2uuFBwOe8GMxA+IGusLZOCD3lYLbudBabavjmj1ykU&#10;IoawT1FBGUKTSunzkgz6oW2II3e3zmCI0BVSO3zHcFPLcZJMpcGKY0OJDW1Kyh+np1GQH6pLZm7X&#10;w2bm5LGZPrb7Ntsq1e+16zmIQG34i3/uvVYwSeLa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WvEHr0AAADcAAAADwAAAAAAAAAAAAAAAACYAgAAZHJzL2Rvd25yZXYu&#10;eG1sUEsFBgAAAAAEAAQA9QAAAIIDAAAAAA==&#10;" fillcolor="window" stroked="f" strokeweight=".5pt">
                    <v:fill opacity="0"/>
                    <v:textbox>
                      <w:txbxContent>
                        <w:p w14:paraId="6B18DA79" w14:textId="77777777" w:rsidR="006E7D7A" w:rsidRPr="005C1F30" w:rsidRDefault="006E7D7A" w:rsidP="00B15B7D">
                          <w:pPr>
                            <w:spacing w:before="0" w:after="0" w:line="240" w:lineRule="auto"/>
                            <w:jc w:val="center"/>
                            <w:rPr>
                              <w:b/>
                              <w:bCs/>
                              <w:sz w:val="20"/>
                              <w:szCs w:val="20"/>
                            </w:rPr>
                          </w:pPr>
                          <w:r>
                            <w:rPr>
                              <w:b/>
                              <w:bCs/>
                              <w:sz w:val="20"/>
                              <w:szCs w:val="20"/>
                            </w:rPr>
                            <w:t xml:space="preserve"> </w:t>
                          </w:r>
                          <w:r w:rsidRPr="005C1F30">
                            <w:rPr>
                              <w:b/>
                              <w:bCs/>
                              <w:sz w:val="20"/>
                              <w:szCs w:val="20"/>
                            </w:rPr>
                            <w:t>Society</w:t>
                          </w:r>
                        </w:p>
                      </w:txbxContent>
                    </v:textbox>
                  </v:shape>
                </v:group>
                <v:shape id="Text Box 309" o:spid="_x0000_s1062" type="#_x0000_t202" style="position:absolute;top:25248;width:62972;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xd8YA&#10;AADcAAAADwAAAGRycy9kb3ducmV2LnhtbESPT2vCQBTE7wW/w/KEXopumoL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xd8YAAADcAAAADwAAAAAAAAAAAAAAAACYAgAAZHJz&#10;L2Rvd25yZXYueG1sUEsFBgAAAAAEAAQA9QAAAIsDAAAAAA==&#10;" stroked="f">
                  <v:textbox inset="0,0,0,0">
                    <w:txbxContent>
                      <w:p w14:paraId="338232BE" w14:textId="11E36708" w:rsidR="006E7D7A" w:rsidRPr="00B331A4" w:rsidRDefault="006E7D7A" w:rsidP="00B15B7D">
                        <w:pPr>
                          <w:pStyle w:val="Caption"/>
                          <w:spacing w:before="0" w:after="0"/>
                          <w:jc w:val="center"/>
                          <w:rPr>
                            <w:b/>
                            <w:bCs/>
                            <w:i w:val="0"/>
                            <w:iCs w:val="0"/>
                            <w:color w:val="auto"/>
                            <w:sz w:val="32"/>
                            <w:szCs w:val="32"/>
                          </w:rPr>
                        </w:pPr>
                        <w:bookmarkStart w:id="38" w:name="_Ref423785293"/>
                        <w:bookmarkStart w:id="39" w:name="_Toc470952858"/>
                        <w:bookmarkStart w:id="40" w:name="_Toc488655579"/>
                        <w:r w:rsidRPr="00B331A4">
                          <w:rPr>
                            <w:b/>
                            <w:bCs/>
                            <w:i w:val="0"/>
                            <w:iCs w:val="0"/>
                            <w:color w:val="auto"/>
                            <w:sz w:val="22"/>
                            <w:szCs w:val="22"/>
                          </w:rPr>
                          <w:t xml:space="preserve">Figure </w:t>
                        </w:r>
                        <w:r>
                          <w:rPr>
                            <w:b/>
                            <w:bCs/>
                            <w:i w:val="0"/>
                            <w:iCs w:val="0"/>
                            <w:color w:val="auto"/>
                            <w:sz w:val="22"/>
                            <w:szCs w:val="22"/>
                          </w:rPr>
                          <w:fldChar w:fldCharType="begin"/>
                        </w:r>
                        <w:r>
                          <w:rPr>
                            <w:b/>
                            <w:bCs/>
                            <w:i w:val="0"/>
                            <w:iCs w:val="0"/>
                            <w:color w:val="auto"/>
                            <w:sz w:val="22"/>
                            <w:szCs w:val="22"/>
                          </w:rPr>
                          <w:instrText xml:space="preserve"> STYLEREF 1 \s </w:instrText>
                        </w:r>
                        <w:r>
                          <w:rPr>
                            <w:b/>
                            <w:bCs/>
                            <w:i w:val="0"/>
                            <w:iCs w:val="0"/>
                            <w:color w:val="auto"/>
                            <w:sz w:val="22"/>
                            <w:szCs w:val="22"/>
                          </w:rPr>
                          <w:fldChar w:fldCharType="separate"/>
                        </w:r>
                        <w:r>
                          <w:rPr>
                            <w:b/>
                            <w:bCs/>
                            <w:i w:val="0"/>
                            <w:iCs w:val="0"/>
                            <w:noProof/>
                            <w:color w:val="auto"/>
                            <w:sz w:val="22"/>
                            <w:szCs w:val="22"/>
                          </w:rPr>
                          <w:t>2</w:t>
                        </w:r>
                        <w:r>
                          <w:rPr>
                            <w:b/>
                            <w:bCs/>
                            <w:i w:val="0"/>
                            <w:iCs w:val="0"/>
                            <w:color w:val="auto"/>
                            <w:sz w:val="22"/>
                            <w:szCs w:val="22"/>
                          </w:rPr>
                          <w:fldChar w:fldCharType="end"/>
                        </w:r>
                        <w:r>
                          <w:rPr>
                            <w:b/>
                            <w:bCs/>
                            <w:i w:val="0"/>
                            <w:iCs w:val="0"/>
                            <w:color w:val="auto"/>
                            <w:sz w:val="22"/>
                            <w:szCs w:val="22"/>
                          </w:rPr>
                          <w:noBreakHyphen/>
                        </w:r>
                        <w:r>
                          <w:rPr>
                            <w:b/>
                            <w:bCs/>
                            <w:i w:val="0"/>
                            <w:iCs w:val="0"/>
                            <w:color w:val="auto"/>
                            <w:sz w:val="22"/>
                            <w:szCs w:val="22"/>
                          </w:rPr>
                          <w:fldChar w:fldCharType="begin"/>
                        </w:r>
                        <w:r>
                          <w:rPr>
                            <w:b/>
                            <w:bCs/>
                            <w:i w:val="0"/>
                            <w:iCs w:val="0"/>
                            <w:color w:val="auto"/>
                            <w:sz w:val="22"/>
                            <w:szCs w:val="22"/>
                          </w:rPr>
                          <w:instrText xml:space="preserve"> SEQ Figure \* ARABIC \s 1 </w:instrText>
                        </w:r>
                        <w:r>
                          <w:rPr>
                            <w:b/>
                            <w:bCs/>
                            <w:i w:val="0"/>
                            <w:iCs w:val="0"/>
                            <w:color w:val="auto"/>
                            <w:sz w:val="22"/>
                            <w:szCs w:val="22"/>
                          </w:rPr>
                          <w:fldChar w:fldCharType="separate"/>
                        </w:r>
                        <w:r>
                          <w:rPr>
                            <w:b/>
                            <w:bCs/>
                            <w:i w:val="0"/>
                            <w:iCs w:val="0"/>
                            <w:noProof/>
                            <w:color w:val="auto"/>
                            <w:sz w:val="22"/>
                            <w:szCs w:val="22"/>
                          </w:rPr>
                          <w:t>1</w:t>
                        </w:r>
                        <w:r>
                          <w:rPr>
                            <w:b/>
                            <w:bCs/>
                            <w:i w:val="0"/>
                            <w:iCs w:val="0"/>
                            <w:color w:val="auto"/>
                            <w:sz w:val="22"/>
                            <w:szCs w:val="22"/>
                          </w:rPr>
                          <w:fldChar w:fldCharType="end"/>
                        </w:r>
                        <w:bookmarkEnd w:id="38"/>
                        <w:r>
                          <w:rPr>
                            <w:b/>
                            <w:bCs/>
                            <w:i w:val="0"/>
                            <w:iCs w:val="0"/>
                            <w:color w:val="auto"/>
                            <w:sz w:val="22"/>
                            <w:szCs w:val="22"/>
                          </w:rPr>
                          <w:t>.</w:t>
                        </w:r>
                        <w:r w:rsidRPr="00B331A4">
                          <w:rPr>
                            <w:b/>
                            <w:bCs/>
                            <w:i w:val="0"/>
                            <w:iCs w:val="0"/>
                            <w:color w:val="auto"/>
                            <w:sz w:val="22"/>
                            <w:szCs w:val="22"/>
                          </w:rPr>
                          <w:t xml:space="preserve"> Locker's conceptual model of oral health</w:t>
                        </w:r>
                        <w:bookmarkEnd w:id="39"/>
                        <w:bookmarkEnd w:id="40"/>
                      </w:p>
                    </w:txbxContent>
                  </v:textbox>
                </v:shape>
              </v:group>
            </w:pict>
          </mc:Fallback>
        </mc:AlternateContent>
      </w:r>
      <w:r w:rsidR="00220739" w:rsidRPr="00787196">
        <w:rPr>
          <w:rFonts w:cs="Arial"/>
          <w:szCs w:val="24"/>
        </w:rPr>
        <w:t>Th</w:t>
      </w:r>
      <w:r w:rsidR="00623D2B" w:rsidRPr="00787196">
        <w:rPr>
          <w:rFonts w:cs="Arial"/>
          <w:szCs w:val="24"/>
        </w:rPr>
        <w:t>e</w:t>
      </w:r>
      <w:r w:rsidR="00220739" w:rsidRPr="00787196">
        <w:rPr>
          <w:rFonts w:cs="Arial"/>
          <w:szCs w:val="24"/>
        </w:rPr>
        <w:t xml:space="preserve"> model introduced a </w:t>
      </w:r>
      <w:r w:rsidR="00623D2B" w:rsidRPr="00787196">
        <w:rPr>
          <w:rFonts w:cs="Arial"/>
          <w:szCs w:val="24"/>
        </w:rPr>
        <w:t xml:space="preserve">foundational shift and </w:t>
      </w:r>
      <w:r w:rsidR="00220739" w:rsidRPr="00787196">
        <w:rPr>
          <w:rFonts w:cs="Arial"/>
          <w:szCs w:val="24"/>
        </w:rPr>
        <w:t>change, by highlighting oral diseases</w:t>
      </w:r>
      <w:r w:rsidR="00391E75" w:rsidRPr="00787196">
        <w:rPr>
          <w:rFonts w:cs="Arial"/>
          <w:szCs w:val="24"/>
        </w:rPr>
        <w:t xml:space="preserve"> </w:t>
      </w:r>
      <w:r w:rsidR="00220739" w:rsidRPr="00787196">
        <w:rPr>
          <w:rFonts w:cs="Arial"/>
          <w:szCs w:val="24"/>
        </w:rPr>
        <w:t xml:space="preserve">from </w:t>
      </w:r>
      <w:r w:rsidR="000917A1" w:rsidRPr="00787196">
        <w:rPr>
          <w:rFonts w:cs="Arial"/>
          <w:szCs w:val="24"/>
        </w:rPr>
        <w:t xml:space="preserve">within </w:t>
      </w:r>
      <w:r w:rsidR="00220739" w:rsidRPr="00787196">
        <w:rPr>
          <w:rFonts w:cs="Arial"/>
          <w:szCs w:val="24"/>
        </w:rPr>
        <w:t xml:space="preserve">the bio-medical model </w:t>
      </w:r>
      <w:r w:rsidR="007C6F81" w:rsidRPr="00787196">
        <w:rPr>
          <w:rFonts w:cs="Arial"/>
          <w:szCs w:val="24"/>
        </w:rPr>
        <w:t>whilst linking</w:t>
      </w:r>
      <w:r w:rsidR="00220739" w:rsidRPr="00787196">
        <w:rPr>
          <w:rFonts w:cs="Arial"/>
          <w:szCs w:val="24"/>
        </w:rPr>
        <w:t xml:space="preserve"> them with patients’ perspectives. This eventually helped </w:t>
      </w:r>
      <w:r w:rsidR="00623D2B" w:rsidRPr="00787196">
        <w:rPr>
          <w:rFonts w:cs="Arial"/>
          <w:szCs w:val="24"/>
        </w:rPr>
        <w:t xml:space="preserve">with </w:t>
      </w:r>
      <w:r w:rsidR="00220739" w:rsidRPr="00787196">
        <w:rPr>
          <w:rFonts w:cs="Arial"/>
          <w:szCs w:val="24"/>
        </w:rPr>
        <w:t xml:space="preserve">the development of </w:t>
      </w:r>
      <w:r w:rsidR="00623D2B" w:rsidRPr="00787196">
        <w:rPr>
          <w:rFonts w:cs="Arial"/>
          <w:szCs w:val="24"/>
        </w:rPr>
        <w:t>various OHQoL</w:t>
      </w:r>
      <w:r w:rsidR="00220739" w:rsidRPr="00787196">
        <w:rPr>
          <w:rFonts w:cs="Arial"/>
          <w:szCs w:val="24"/>
        </w:rPr>
        <w:t xml:space="preserve"> measures (Daly et al., 2002). Th</w:t>
      </w:r>
      <w:r w:rsidR="00623D2B" w:rsidRPr="00787196">
        <w:rPr>
          <w:rFonts w:cs="Arial"/>
          <w:szCs w:val="24"/>
        </w:rPr>
        <w:t>is</w:t>
      </w:r>
      <w:r w:rsidR="00220739" w:rsidRPr="00787196">
        <w:rPr>
          <w:rFonts w:cs="Arial"/>
          <w:szCs w:val="24"/>
        </w:rPr>
        <w:t xml:space="preserve"> model has been tested and validated on </w:t>
      </w:r>
      <w:r w:rsidR="00DA31B7" w:rsidRPr="00787196">
        <w:rPr>
          <w:rFonts w:cs="Arial"/>
          <w:szCs w:val="24"/>
        </w:rPr>
        <w:t xml:space="preserve">different populations </w:t>
      </w:r>
      <w:r w:rsidR="00173541" w:rsidRPr="00787196">
        <w:rPr>
          <w:rFonts w:cs="Arial"/>
          <w:szCs w:val="24"/>
        </w:rPr>
        <w:fldChar w:fldCharType="begin"/>
      </w:r>
      <w:r w:rsidR="00173541" w:rsidRPr="00787196">
        <w:rPr>
          <w:rFonts w:cs="Arial"/>
          <w:szCs w:val="24"/>
        </w:rPr>
        <w:instrText xml:space="preserve"> ADDIN EN.CITE &lt;EndNote&gt;&lt;Cite&gt;&lt;Author&gt;Locker&lt;/Author&gt;&lt;Year&gt;1994&lt;/Year&gt;&lt;IDText&gt;Association between clinical and subjective indicators of oral health status in an older adult population&lt;/IDText&gt;&lt;DisplayText&gt;(Locker et al., 1994)&lt;/DisplayText&gt;&lt;record&gt;&lt;dates&gt;&lt;pub-dates&gt;&lt;date&gt;Dec&lt;/date&gt;&lt;/pub-dates&gt;&lt;year&gt;1994&lt;/year&gt;&lt;/dates&gt;&lt;work-type&gt;Comparative Study&lt;/work-type&gt;&lt;titles&gt;&lt;title&gt;Association between clinical and subjective indicators of oral health status in an older adult population&lt;/title&gt;&lt;secondary-title&gt;Gerodontology&lt;/secondary-title&gt;&lt;/titles&gt;&lt;pages&gt;108-14&lt;/pages&gt;&lt;number&gt;2&lt;/number&gt;&lt;contributors&gt;&lt;authors&gt;&lt;author&gt;Locker, D.&lt;/author&gt;&lt;author&gt;Slade, G.&lt;/author&gt;&lt;author&gt;Locker, D.&lt;/author&gt;&lt;author&gt;Slade, G.&lt;/author&gt;&lt;/authors&gt;&lt;/contributors&gt;&lt;added-date format="utc"&gt;1469778555&lt;/added-date&gt;&lt;ref-type name="Journal Article"&gt;17&lt;/ref-type&gt;&lt;auth-address&gt;Department of Community Dentistry and Community, Dental Health Services Research Unit, Faculty of Dentistry, University of Toronto, Canada.&lt;/auth-address&gt;&lt;rec-number&gt;2271&lt;/rec-number&gt;&lt;last-updated-date format="utc"&gt;1483635449&lt;/last-updated-date&gt;&lt;accession-num&gt;7750964&lt;/accession-num&gt;&lt;volume&gt;11&lt;/volume&gt;&lt;/record&gt;&lt;/Cite&gt;&lt;/EndNote&gt;</w:instrText>
      </w:r>
      <w:r w:rsidR="00173541" w:rsidRPr="00787196">
        <w:rPr>
          <w:rFonts w:cs="Arial"/>
          <w:szCs w:val="24"/>
        </w:rPr>
        <w:fldChar w:fldCharType="separate"/>
      </w:r>
      <w:r w:rsidR="00173541" w:rsidRPr="00787196">
        <w:rPr>
          <w:rFonts w:cs="Arial"/>
          <w:noProof/>
          <w:szCs w:val="24"/>
        </w:rPr>
        <w:t>(Locker et al., 1994)</w:t>
      </w:r>
      <w:r w:rsidR="00173541" w:rsidRPr="00787196">
        <w:rPr>
          <w:rFonts w:cs="Arial"/>
          <w:szCs w:val="24"/>
        </w:rPr>
        <w:fldChar w:fldCharType="end"/>
      </w:r>
      <w:r w:rsidR="00DA31B7" w:rsidRPr="00787196">
        <w:rPr>
          <w:rFonts w:cs="Arial"/>
          <w:szCs w:val="24"/>
        </w:rPr>
        <w:t xml:space="preserve"> .</w:t>
      </w:r>
      <w:r w:rsidR="00220739" w:rsidRPr="00787196">
        <w:rPr>
          <w:rFonts w:cs="Arial"/>
          <w:szCs w:val="24"/>
        </w:rPr>
        <w:t xml:space="preserve"> </w:t>
      </w:r>
      <w:r w:rsidR="00623D2B" w:rsidRPr="00787196">
        <w:rPr>
          <w:rFonts w:cs="Arial"/>
          <w:szCs w:val="24"/>
        </w:rPr>
        <w:t>However, individual</w:t>
      </w:r>
      <w:r w:rsidR="00220739" w:rsidRPr="00787196">
        <w:rPr>
          <w:rFonts w:cs="Arial"/>
          <w:szCs w:val="24"/>
        </w:rPr>
        <w:t xml:space="preserve"> characteristics and environmental factors </w:t>
      </w:r>
      <w:r w:rsidR="00623D2B" w:rsidRPr="00787196">
        <w:rPr>
          <w:rFonts w:cs="Arial"/>
          <w:szCs w:val="24"/>
        </w:rPr>
        <w:t>were not included in this model.</w:t>
      </w:r>
    </w:p>
    <w:p w14:paraId="6C167FAF" w14:textId="77777777" w:rsidR="002C4FCD" w:rsidRPr="00787196" w:rsidRDefault="002C4FCD" w:rsidP="00173541">
      <w:pPr>
        <w:rPr>
          <w:rFonts w:cs="Arial"/>
          <w:szCs w:val="24"/>
        </w:rPr>
      </w:pPr>
    </w:p>
    <w:p w14:paraId="362D421A" w14:textId="77777777" w:rsidR="002C4FCD" w:rsidRPr="00787196" w:rsidRDefault="002C4FCD" w:rsidP="00173541">
      <w:pPr>
        <w:rPr>
          <w:rFonts w:cs="Arial"/>
          <w:szCs w:val="24"/>
        </w:rPr>
      </w:pPr>
    </w:p>
    <w:p w14:paraId="014DBE15" w14:textId="77777777" w:rsidR="002C4FCD" w:rsidRPr="00787196" w:rsidRDefault="002C4FCD" w:rsidP="00173541">
      <w:pPr>
        <w:rPr>
          <w:rFonts w:cs="Arial"/>
          <w:szCs w:val="24"/>
        </w:rPr>
      </w:pPr>
    </w:p>
    <w:p w14:paraId="1E81EEEB" w14:textId="77777777" w:rsidR="002C4FCD" w:rsidRPr="00787196" w:rsidRDefault="002C4FCD" w:rsidP="00173541">
      <w:pPr>
        <w:rPr>
          <w:rFonts w:cs="Arial"/>
          <w:szCs w:val="24"/>
        </w:rPr>
      </w:pPr>
    </w:p>
    <w:p w14:paraId="79B76531" w14:textId="77777777" w:rsidR="002C4FCD" w:rsidRPr="00787196" w:rsidRDefault="002C4FCD" w:rsidP="00173541">
      <w:pPr>
        <w:rPr>
          <w:rFonts w:cs="Arial"/>
          <w:szCs w:val="24"/>
        </w:rPr>
      </w:pPr>
    </w:p>
    <w:p w14:paraId="0BB1FA82" w14:textId="77777777" w:rsidR="002C4FCD" w:rsidRPr="00787196" w:rsidRDefault="002C4FCD" w:rsidP="00173541">
      <w:pPr>
        <w:rPr>
          <w:rFonts w:cs="Arial"/>
          <w:szCs w:val="24"/>
        </w:rPr>
      </w:pPr>
    </w:p>
    <w:p w14:paraId="187E076E" w14:textId="13A9971A" w:rsidR="00B15B7D" w:rsidRPr="00787196" w:rsidRDefault="00E23428" w:rsidP="00173541">
      <w:pPr>
        <w:rPr>
          <w:rStyle w:val="Heading4Char"/>
        </w:rPr>
      </w:pPr>
      <w:r w:rsidRPr="00787196">
        <w:rPr>
          <w:rFonts w:cs="Arial"/>
          <w:szCs w:val="24"/>
        </w:rPr>
        <w:br w:type="page"/>
      </w:r>
    </w:p>
    <w:p w14:paraId="6A1BFC31" w14:textId="5EE69F05" w:rsidR="00B15B7D" w:rsidRPr="00787196" w:rsidRDefault="00991713" w:rsidP="00D9694A">
      <w:pPr>
        <w:pStyle w:val="Heading3"/>
      </w:pPr>
      <w:bookmarkStart w:id="41" w:name="_Toc488655619"/>
      <w:r w:rsidRPr="00787196">
        <w:lastRenderedPageBreak/>
        <w:t>Wilson and Cleary model (1995)</w:t>
      </w:r>
      <w:bookmarkEnd w:id="41"/>
    </w:p>
    <w:p w14:paraId="124D80BC" w14:textId="1F3F4C91" w:rsidR="00220739" w:rsidRPr="00787196" w:rsidRDefault="00220739" w:rsidP="00BD1A43">
      <w:pPr>
        <w:rPr>
          <w:rFonts w:cs="Arial"/>
          <w:szCs w:val="24"/>
        </w:rPr>
      </w:pPr>
      <w:r w:rsidRPr="00787196">
        <w:rPr>
          <w:rFonts w:cs="Arial"/>
          <w:szCs w:val="24"/>
        </w:rPr>
        <w:t xml:space="preserve">The Wilson and Cleary model (1995) is a multidimensional model </w:t>
      </w:r>
      <w:r w:rsidR="00FB49C9" w:rsidRPr="00787196">
        <w:rPr>
          <w:rFonts w:cs="Arial"/>
          <w:szCs w:val="24"/>
        </w:rPr>
        <w:t xml:space="preserve">that </w:t>
      </w:r>
      <w:r w:rsidR="003D4DA5" w:rsidRPr="00787196">
        <w:rPr>
          <w:rFonts w:cs="Arial"/>
          <w:szCs w:val="24"/>
        </w:rPr>
        <w:t xml:space="preserve">links </w:t>
      </w:r>
      <w:r w:rsidRPr="00787196">
        <w:rPr>
          <w:rFonts w:cs="Arial"/>
          <w:szCs w:val="24"/>
        </w:rPr>
        <w:t xml:space="preserve">clinical factors and </w:t>
      </w:r>
      <w:r w:rsidR="003D4DA5" w:rsidRPr="00787196">
        <w:rPr>
          <w:rFonts w:cs="Arial"/>
          <w:szCs w:val="24"/>
        </w:rPr>
        <w:t>QoL</w:t>
      </w:r>
      <w:r w:rsidRPr="00787196">
        <w:rPr>
          <w:rFonts w:cs="Arial"/>
          <w:szCs w:val="24"/>
        </w:rPr>
        <w:t xml:space="preserve">. </w:t>
      </w:r>
      <w:r w:rsidR="001340E1" w:rsidRPr="00787196">
        <w:rPr>
          <w:rFonts w:cs="Arial"/>
          <w:szCs w:val="24"/>
        </w:rPr>
        <w:t>This model incorporated</w:t>
      </w:r>
      <w:r w:rsidRPr="00787196">
        <w:rPr>
          <w:rFonts w:cs="Arial"/>
          <w:szCs w:val="24"/>
        </w:rPr>
        <w:t xml:space="preserve"> individual and environmental factors. The </w:t>
      </w:r>
      <w:r w:rsidR="001340E1" w:rsidRPr="00787196">
        <w:rPr>
          <w:rFonts w:cs="Arial"/>
          <w:szCs w:val="24"/>
        </w:rPr>
        <w:t>associations are theorised</w:t>
      </w:r>
      <w:r w:rsidRPr="00787196">
        <w:rPr>
          <w:rFonts w:cs="Arial"/>
          <w:szCs w:val="24"/>
        </w:rPr>
        <w:t xml:space="preserve"> between </w:t>
      </w:r>
      <w:r w:rsidR="004B384D" w:rsidRPr="00787196">
        <w:rPr>
          <w:rFonts w:cs="Arial"/>
          <w:szCs w:val="24"/>
        </w:rPr>
        <w:t xml:space="preserve">approximate </w:t>
      </w:r>
      <w:r w:rsidRPr="00787196">
        <w:rPr>
          <w:rFonts w:cs="Arial"/>
          <w:szCs w:val="24"/>
        </w:rPr>
        <w:t>levels</w:t>
      </w:r>
      <w:r w:rsidR="001340E1" w:rsidRPr="00787196">
        <w:rPr>
          <w:rFonts w:cs="Arial"/>
          <w:szCs w:val="24"/>
        </w:rPr>
        <w:t xml:space="preserve"> and</w:t>
      </w:r>
      <w:r w:rsidRPr="00787196">
        <w:rPr>
          <w:rFonts w:cs="Arial"/>
          <w:szCs w:val="24"/>
        </w:rPr>
        <w:t xml:space="preserve"> direct, and indirect (mediated) </w:t>
      </w:r>
      <w:r w:rsidR="00F35C75" w:rsidRPr="00787196">
        <w:rPr>
          <w:rFonts w:cs="Arial"/>
          <w:szCs w:val="24"/>
        </w:rPr>
        <w:t xml:space="preserve">associations </w:t>
      </w:r>
      <w:r w:rsidRPr="00787196">
        <w:rPr>
          <w:rFonts w:cs="Arial"/>
          <w:szCs w:val="24"/>
        </w:rPr>
        <w:t>between non-a</w:t>
      </w:r>
      <w:r w:rsidR="00F35C75" w:rsidRPr="00787196">
        <w:rPr>
          <w:rFonts w:cs="Arial"/>
          <w:szCs w:val="24"/>
        </w:rPr>
        <w:t>pproximate</w:t>
      </w:r>
      <w:r w:rsidRPr="00787196">
        <w:rPr>
          <w:rFonts w:cs="Arial"/>
          <w:szCs w:val="24"/>
        </w:rPr>
        <w:t xml:space="preserve"> levels. </w:t>
      </w:r>
    </w:p>
    <w:p w14:paraId="4250714E" w14:textId="152E54D2" w:rsidR="00220739" w:rsidRPr="00787196" w:rsidRDefault="00F35C75" w:rsidP="00BD1A43">
      <w:pPr>
        <w:rPr>
          <w:rFonts w:cs="Arial"/>
          <w:szCs w:val="24"/>
        </w:rPr>
      </w:pPr>
      <w:r w:rsidRPr="00787196">
        <w:rPr>
          <w:rFonts w:cs="Arial"/>
          <w:szCs w:val="24"/>
        </w:rPr>
        <w:t xml:space="preserve">This model has </w:t>
      </w:r>
      <w:r w:rsidR="00220739" w:rsidRPr="00787196">
        <w:rPr>
          <w:rFonts w:cs="Arial"/>
          <w:szCs w:val="24"/>
        </w:rPr>
        <w:t>five</w:t>
      </w:r>
      <w:r w:rsidR="00F46ADB" w:rsidRPr="00787196">
        <w:rPr>
          <w:rFonts w:cs="Arial"/>
          <w:szCs w:val="24"/>
        </w:rPr>
        <w:t xml:space="preserve"> </w:t>
      </w:r>
      <w:r w:rsidR="00220739" w:rsidRPr="00787196">
        <w:rPr>
          <w:rFonts w:cs="Arial"/>
          <w:szCs w:val="24"/>
        </w:rPr>
        <w:t>levels of variables</w:t>
      </w:r>
      <w:r w:rsidRPr="00787196">
        <w:rPr>
          <w:rFonts w:cs="Arial"/>
          <w:szCs w:val="24"/>
        </w:rPr>
        <w:t xml:space="preserve">. </w:t>
      </w:r>
      <w:r w:rsidR="00F46ADB" w:rsidRPr="00787196">
        <w:rPr>
          <w:rFonts w:cs="Arial"/>
          <w:szCs w:val="24"/>
        </w:rPr>
        <w:t>They are arranged</w:t>
      </w:r>
      <w:r w:rsidR="00220739" w:rsidRPr="00787196">
        <w:rPr>
          <w:rFonts w:cs="Arial"/>
          <w:szCs w:val="24"/>
        </w:rPr>
        <w:t xml:space="preserve"> in a left to right</w:t>
      </w:r>
      <w:r w:rsidR="00F46ADB" w:rsidRPr="00787196">
        <w:rPr>
          <w:rFonts w:cs="Arial"/>
          <w:szCs w:val="24"/>
        </w:rPr>
        <w:t xml:space="preserve"> continuum</w:t>
      </w:r>
      <w:r w:rsidR="00220739" w:rsidRPr="00787196">
        <w:rPr>
          <w:rFonts w:cs="Arial"/>
          <w:szCs w:val="24"/>
        </w:rPr>
        <w:t xml:space="preserve"> </w:t>
      </w:r>
      <w:r w:rsidR="00F46ADB" w:rsidRPr="00787196">
        <w:rPr>
          <w:rFonts w:cs="Arial"/>
          <w:szCs w:val="24"/>
        </w:rPr>
        <w:t xml:space="preserve">based on </w:t>
      </w:r>
      <w:r w:rsidR="00220739" w:rsidRPr="00787196">
        <w:rPr>
          <w:rFonts w:cs="Arial"/>
          <w:szCs w:val="24"/>
        </w:rPr>
        <w:t>biological, social and psychological complexity</w:t>
      </w:r>
      <w:r w:rsidR="00F46ADB" w:rsidRPr="00787196">
        <w:rPr>
          <w:rFonts w:cs="Arial"/>
          <w:szCs w:val="24"/>
        </w:rPr>
        <w:t xml:space="preserve"> pathway</w:t>
      </w:r>
      <w:r w:rsidR="00220739" w:rsidRPr="00787196">
        <w:rPr>
          <w:rFonts w:cs="Arial"/>
          <w:szCs w:val="24"/>
        </w:rPr>
        <w:t xml:space="preserve">. </w:t>
      </w:r>
      <w:r w:rsidR="00F46ADB" w:rsidRPr="00787196">
        <w:rPr>
          <w:rFonts w:cs="Arial"/>
          <w:szCs w:val="24"/>
        </w:rPr>
        <w:t>P</w:t>
      </w:r>
      <w:r w:rsidR="00220739" w:rsidRPr="00787196">
        <w:rPr>
          <w:rFonts w:cs="Arial"/>
          <w:szCs w:val="24"/>
        </w:rPr>
        <w:t xml:space="preserve">hysiological variables </w:t>
      </w:r>
      <w:r w:rsidR="00F46ADB" w:rsidRPr="00787196">
        <w:rPr>
          <w:rFonts w:cs="Arial"/>
          <w:szCs w:val="24"/>
        </w:rPr>
        <w:t xml:space="preserve">are linked </w:t>
      </w:r>
      <w:r w:rsidR="00220739" w:rsidRPr="00787196">
        <w:rPr>
          <w:rFonts w:cs="Arial"/>
          <w:szCs w:val="24"/>
        </w:rPr>
        <w:t xml:space="preserve">to </w:t>
      </w:r>
      <w:r w:rsidR="00DB4B28" w:rsidRPr="00787196">
        <w:rPr>
          <w:rFonts w:cs="Arial"/>
          <w:szCs w:val="24"/>
        </w:rPr>
        <w:t>symptoms onto</w:t>
      </w:r>
      <w:r w:rsidR="00220739" w:rsidRPr="00787196">
        <w:rPr>
          <w:rFonts w:cs="Arial"/>
          <w:szCs w:val="24"/>
        </w:rPr>
        <w:t xml:space="preserve"> functional </w:t>
      </w:r>
      <w:r w:rsidR="00F46ADB" w:rsidRPr="00787196">
        <w:rPr>
          <w:rFonts w:cs="Arial"/>
          <w:szCs w:val="24"/>
        </w:rPr>
        <w:t>status</w:t>
      </w:r>
      <w:r w:rsidR="00220739" w:rsidRPr="00787196">
        <w:rPr>
          <w:rFonts w:cs="Arial"/>
          <w:szCs w:val="24"/>
        </w:rPr>
        <w:t>, general health perceptions, and overall quality of life</w:t>
      </w:r>
      <w:r w:rsidR="00F46ADB" w:rsidRPr="00787196">
        <w:rPr>
          <w:rFonts w:cs="Arial"/>
          <w:szCs w:val="24"/>
        </w:rPr>
        <w:t xml:space="preserve"> by this model. </w:t>
      </w:r>
      <w:r w:rsidR="00DB4B28" w:rsidRPr="00787196">
        <w:rPr>
          <w:rFonts w:cs="Arial"/>
          <w:szCs w:val="24"/>
        </w:rPr>
        <w:t>Whilst distinguishing</w:t>
      </w:r>
      <w:r w:rsidR="00D35134" w:rsidRPr="00787196">
        <w:rPr>
          <w:rFonts w:cs="Arial"/>
          <w:szCs w:val="24"/>
        </w:rPr>
        <w:t xml:space="preserve"> </w:t>
      </w:r>
      <w:r w:rsidR="00220739" w:rsidRPr="00787196">
        <w:rPr>
          <w:rFonts w:cs="Arial"/>
          <w:szCs w:val="24"/>
        </w:rPr>
        <w:t>between the</w:t>
      </w:r>
      <w:r w:rsidR="00F46ADB" w:rsidRPr="00787196">
        <w:rPr>
          <w:rFonts w:cs="Arial"/>
          <w:szCs w:val="24"/>
        </w:rPr>
        <w:t>se factors</w:t>
      </w:r>
      <w:r w:rsidR="00220739" w:rsidRPr="00787196">
        <w:rPr>
          <w:rFonts w:cs="Arial"/>
          <w:szCs w:val="24"/>
        </w:rPr>
        <w:t xml:space="preserve"> </w:t>
      </w:r>
      <w:r w:rsidR="00D35134" w:rsidRPr="00787196">
        <w:rPr>
          <w:rFonts w:cs="Arial"/>
          <w:szCs w:val="24"/>
        </w:rPr>
        <w:t>this model also</w:t>
      </w:r>
      <w:r w:rsidR="00F46ADB" w:rsidRPr="00787196">
        <w:rPr>
          <w:rFonts w:cs="Arial"/>
          <w:szCs w:val="24"/>
        </w:rPr>
        <w:t xml:space="preserve"> recognises </w:t>
      </w:r>
      <w:r w:rsidR="00220739" w:rsidRPr="00787196">
        <w:rPr>
          <w:rFonts w:cs="Arial"/>
          <w:szCs w:val="24"/>
        </w:rPr>
        <w:t>the complex inter-relationship</w:t>
      </w:r>
      <w:r w:rsidR="00D35134" w:rsidRPr="00787196">
        <w:rPr>
          <w:rFonts w:cs="Arial"/>
          <w:szCs w:val="24"/>
        </w:rPr>
        <w:t>s</w:t>
      </w:r>
      <w:r w:rsidR="00F46ADB" w:rsidRPr="00787196">
        <w:rPr>
          <w:rFonts w:cs="Arial"/>
          <w:szCs w:val="24"/>
        </w:rPr>
        <w:t xml:space="preserve"> between them</w:t>
      </w:r>
      <w:r w:rsidR="00220739" w:rsidRPr="00787196">
        <w:rPr>
          <w:rFonts w:cs="Arial"/>
          <w:szCs w:val="24"/>
        </w:rPr>
        <w:t xml:space="preserve">. </w:t>
      </w:r>
    </w:p>
    <w:p w14:paraId="2317A257" w14:textId="0D42D570" w:rsidR="009A6867" w:rsidRPr="00787196" w:rsidRDefault="00220739" w:rsidP="00226A04">
      <w:pPr>
        <w:pStyle w:val="Heading4"/>
        <w:rPr>
          <w:rFonts w:cs="Arial"/>
          <w:i/>
          <w:szCs w:val="24"/>
        </w:rPr>
      </w:pPr>
      <w:r w:rsidRPr="00787196">
        <w:rPr>
          <w:rStyle w:val="Heading6Char"/>
          <w:i w:val="0"/>
          <w:iCs/>
        </w:rPr>
        <w:t xml:space="preserve">Levels in the Wilson and Cleary </w:t>
      </w:r>
      <w:r w:rsidR="007712FF">
        <w:rPr>
          <w:rStyle w:val="Heading6Char"/>
          <w:i w:val="0"/>
          <w:iCs/>
        </w:rPr>
        <w:t>m2</w:t>
      </w:r>
      <w:r w:rsidRPr="00787196">
        <w:rPr>
          <w:rStyle w:val="Heading6Char"/>
          <w:i w:val="0"/>
          <w:iCs/>
        </w:rPr>
        <w:t>odel</w:t>
      </w:r>
      <w:r w:rsidRPr="00787196">
        <w:rPr>
          <w:rFonts w:cs="Arial"/>
          <w:i/>
          <w:szCs w:val="24"/>
        </w:rPr>
        <w:t xml:space="preserve"> </w:t>
      </w:r>
    </w:p>
    <w:p w14:paraId="5CBBB7C0" w14:textId="44F88F56" w:rsidR="00220739" w:rsidRPr="00787196" w:rsidRDefault="009A6867" w:rsidP="00E92F0E">
      <w:pPr>
        <w:rPr>
          <w:rFonts w:cs="Arial"/>
          <w:szCs w:val="24"/>
        </w:rPr>
      </w:pPr>
      <w:r w:rsidRPr="00787196">
        <w:rPr>
          <w:rFonts w:cs="Arial"/>
          <w:szCs w:val="24"/>
        </w:rPr>
        <w:t>The various levels of Wilson and Cleary models are the following</w:t>
      </w:r>
    </w:p>
    <w:p w14:paraId="288519EB" w14:textId="399286A7" w:rsidR="00220739" w:rsidRPr="00787196" w:rsidRDefault="00220739" w:rsidP="00C119A5">
      <w:pPr>
        <w:pStyle w:val="ListParagraph"/>
        <w:numPr>
          <w:ilvl w:val="0"/>
          <w:numId w:val="23"/>
        </w:numPr>
        <w:ind w:left="426" w:hanging="426"/>
        <w:rPr>
          <w:rFonts w:cs="Arial"/>
          <w:szCs w:val="24"/>
        </w:rPr>
      </w:pPr>
      <w:r w:rsidRPr="00787196">
        <w:rPr>
          <w:rFonts w:cs="Arial"/>
          <w:szCs w:val="24"/>
        </w:rPr>
        <w:t xml:space="preserve">Biological and Physiological Variables: </w:t>
      </w:r>
      <w:r w:rsidR="007C6F81" w:rsidRPr="00787196">
        <w:rPr>
          <w:rFonts w:cs="Arial"/>
          <w:szCs w:val="24"/>
        </w:rPr>
        <w:t>cell,</w:t>
      </w:r>
      <w:r w:rsidR="00087A1C" w:rsidRPr="00787196">
        <w:rPr>
          <w:rFonts w:cs="Arial"/>
          <w:szCs w:val="24"/>
        </w:rPr>
        <w:t xml:space="preserve"> </w:t>
      </w:r>
      <w:r w:rsidRPr="00787196">
        <w:rPr>
          <w:rFonts w:cs="Arial"/>
          <w:szCs w:val="24"/>
        </w:rPr>
        <w:t>organ and organ system</w:t>
      </w:r>
      <w:r w:rsidR="00087A1C" w:rsidRPr="00787196">
        <w:rPr>
          <w:rFonts w:cs="Arial"/>
          <w:szCs w:val="24"/>
        </w:rPr>
        <w:t xml:space="preserve"> functions</w:t>
      </w:r>
      <w:r w:rsidRPr="00787196">
        <w:rPr>
          <w:rFonts w:cs="Arial"/>
          <w:szCs w:val="24"/>
        </w:rPr>
        <w:t xml:space="preserve"> </w:t>
      </w:r>
      <w:r w:rsidR="00087A1C" w:rsidRPr="00787196">
        <w:rPr>
          <w:rFonts w:cs="Arial"/>
          <w:szCs w:val="24"/>
        </w:rPr>
        <w:t xml:space="preserve">of </w:t>
      </w:r>
      <w:r w:rsidRPr="00787196">
        <w:rPr>
          <w:rFonts w:cs="Arial"/>
          <w:szCs w:val="24"/>
        </w:rPr>
        <w:t xml:space="preserve">the body. </w:t>
      </w:r>
      <w:r w:rsidR="00087A1C" w:rsidRPr="00787196">
        <w:rPr>
          <w:rFonts w:cs="Arial"/>
          <w:szCs w:val="24"/>
        </w:rPr>
        <w:t>Changes</w:t>
      </w:r>
      <w:r w:rsidRPr="00787196">
        <w:rPr>
          <w:rFonts w:cs="Arial"/>
          <w:szCs w:val="24"/>
        </w:rPr>
        <w:t xml:space="preserve"> in biological </w:t>
      </w:r>
      <w:r w:rsidR="00087A1C" w:rsidRPr="00787196">
        <w:rPr>
          <w:rFonts w:cs="Arial"/>
          <w:szCs w:val="24"/>
        </w:rPr>
        <w:t>processes</w:t>
      </w:r>
      <w:r w:rsidRPr="00787196">
        <w:rPr>
          <w:rFonts w:cs="Arial"/>
          <w:szCs w:val="24"/>
        </w:rPr>
        <w:t xml:space="preserve"> cause changes </w:t>
      </w:r>
      <w:r w:rsidR="00087A1C" w:rsidRPr="00787196">
        <w:rPr>
          <w:rFonts w:cs="Arial"/>
          <w:szCs w:val="24"/>
        </w:rPr>
        <w:t>in</w:t>
      </w:r>
      <w:r w:rsidRPr="00787196">
        <w:rPr>
          <w:rFonts w:cs="Arial"/>
          <w:szCs w:val="24"/>
        </w:rPr>
        <w:t xml:space="preserve"> symptoms, functional status, </w:t>
      </w:r>
      <w:r w:rsidR="00087A1C" w:rsidRPr="00787196">
        <w:rPr>
          <w:rFonts w:cs="Arial"/>
          <w:szCs w:val="24"/>
        </w:rPr>
        <w:t xml:space="preserve">health </w:t>
      </w:r>
      <w:r w:rsidRPr="00787196">
        <w:rPr>
          <w:rFonts w:cs="Arial"/>
          <w:szCs w:val="24"/>
        </w:rPr>
        <w:t xml:space="preserve">perceptions, and overall quality of life. For example, </w:t>
      </w:r>
      <w:r w:rsidR="00087A1C" w:rsidRPr="00787196">
        <w:rPr>
          <w:rFonts w:cs="Arial"/>
          <w:szCs w:val="24"/>
        </w:rPr>
        <w:t xml:space="preserve">tooth </w:t>
      </w:r>
      <w:r w:rsidR="007C6F81" w:rsidRPr="00787196">
        <w:rPr>
          <w:rFonts w:cs="Arial"/>
          <w:szCs w:val="24"/>
        </w:rPr>
        <w:t>loss and</w:t>
      </w:r>
      <w:r w:rsidR="00087A1C" w:rsidRPr="00787196">
        <w:rPr>
          <w:rFonts w:cs="Arial"/>
          <w:szCs w:val="24"/>
        </w:rPr>
        <w:t xml:space="preserve"> missing teeth causes</w:t>
      </w:r>
      <w:r w:rsidRPr="00787196">
        <w:rPr>
          <w:rFonts w:cs="Arial"/>
          <w:szCs w:val="24"/>
        </w:rPr>
        <w:t xml:space="preserve"> </w:t>
      </w:r>
      <w:r w:rsidR="00087A1C" w:rsidRPr="00787196">
        <w:rPr>
          <w:rFonts w:cs="Arial"/>
          <w:szCs w:val="24"/>
        </w:rPr>
        <w:t xml:space="preserve">change </w:t>
      </w:r>
      <w:r w:rsidRPr="00787196">
        <w:rPr>
          <w:rFonts w:cs="Arial"/>
          <w:szCs w:val="24"/>
        </w:rPr>
        <w:t xml:space="preserve">biological </w:t>
      </w:r>
      <w:r w:rsidR="00087A1C" w:rsidRPr="00787196">
        <w:rPr>
          <w:rFonts w:cs="Arial"/>
          <w:szCs w:val="24"/>
        </w:rPr>
        <w:t xml:space="preserve">processes and </w:t>
      </w:r>
      <w:r w:rsidRPr="00787196">
        <w:rPr>
          <w:rFonts w:cs="Arial"/>
          <w:szCs w:val="24"/>
        </w:rPr>
        <w:t xml:space="preserve">functioning. </w:t>
      </w:r>
    </w:p>
    <w:p w14:paraId="154005B2" w14:textId="3EFAEBAC" w:rsidR="00220739" w:rsidRPr="00787196" w:rsidRDefault="00E92F0E" w:rsidP="00C119A5">
      <w:pPr>
        <w:pStyle w:val="ListParagraph"/>
        <w:numPr>
          <w:ilvl w:val="0"/>
          <w:numId w:val="23"/>
        </w:numPr>
        <w:ind w:left="426" w:hanging="426"/>
        <w:rPr>
          <w:rFonts w:cs="Arial"/>
          <w:szCs w:val="24"/>
        </w:rPr>
      </w:pPr>
      <w:r w:rsidRPr="00787196">
        <w:rPr>
          <w:rFonts w:cs="Arial"/>
          <w:szCs w:val="24"/>
        </w:rPr>
        <w:t xml:space="preserve">Symptom status: </w:t>
      </w:r>
      <w:r w:rsidR="009A6867" w:rsidRPr="00787196">
        <w:rPr>
          <w:rFonts w:cs="Arial"/>
          <w:szCs w:val="24"/>
        </w:rPr>
        <w:t>Symptoms shifts</w:t>
      </w:r>
      <w:r w:rsidR="00220739" w:rsidRPr="00787196">
        <w:rPr>
          <w:rFonts w:cs="Arial"/>
          <w:szCs w:val="24"/>
        </w:rPr>
        <w:t xml:space="preserve"> </w:t>
      </w:r>
      <w:r w:rsidR="007C6F81" w:rsidRPr="00787196">
        <w:rPr>
          <w:rFonts w:cs="Arial"/>
          <w:szCs w:val="24"/>
        </w:rPr>
        <w:t>focus towards</w:t>
      </w:r>
      <w:r w:rsidR="00220739" w:rsidRPr="00787196">
        <w:rPr>
          <w:rFonts w:cs="Arial"/>
          <w:szCs w:val="24"/>
        </w:rPr>
        <w:t xml:space="preserve"> the </w:t>
      </w:r>
      <w:r w:rsidR="00645316" w:rsidRPr="00787196">
        <w:rPr>
          <w:rFonts w:cs="Arial"/>
          <w:szCs w:val="24"/>
        </w:rPr>
        <w:t>individual from a biological cellular level</w:t>
      </w:r>
      <w:r w:rsidR="00220739" w:rsidRPr="00787196">
        <w:rPr>
          <w:rFonts w:cs="Arial"/>
          <w:szCs w:val="24"/>
        </w:rPr>
        <w:t xml:space="preserve">. Symptoms are “a patient’s perception of an abnormal physical, emotional, or cognitive state,” </w:t>
      </w:r>
      <w:r w:rsidR="00645316" w:rsidRPr="00787196">
        <w:rPr>
          <w:rFonts w:cs="Arial"/>
          <w:szCs w:val="24"/>
        </w:rPr>
        <w:t xml:space="preserve">They </w:t>
      </w:r>
      <w:r w:rsidR="00220739" w:rsidRPr="00787196">
        <w:rPr>
          <w:rFonts w:cs="Arial"/>
          <w:szCs w:val="24"/>
        </w:rPr>
        <w:t>can be categori</w:t>
      </w:r>
      <w:r w:rsidR="00645316" w:rsidRPr="00787196">
        <w:rPr>
          <w:rFonts w:cs="Arial"/>
          <w:szCs w:val="24"/>
        </w:rPr>
        <w:t>s</w:t>
      </w:r>
      <w:r w:rsidR="00220739" w:rsidRPr="00787196">
        <w:rPr>
          <w:rFonts w:cs="Arial"/>
          <w:szCs w:val="24"/>
        </w:rPr>
        <w:t xml:space="preserve">ed </w:t>
      </w:r>
      <w:r w:rsidR="00645316" w:rsidRPr="00787196">
        <w:rPr>
          <w:rFonts w:cs="Arial"/>
          <w:szCs w:val="24"/>
        </w:rPr>
        <w:t>under</w:t>
      </w:r>
      <w:r w:rsidR="00220739" w:rsidRPr="00787196">
        <w:rPr>
          <w:rFonts w:cs="Arial"/>
          <w:szCs w:val="24"/>
        </w:rPr>
        <w:t xml:space="preserve"> physical, psychological, or psychophysical</w:t>
      </w:r>
      <w:r w:rsidR="00645316" w:rsidRPr="00787196">
        <w:rPr>
          <w:rFonts w:cs="Arial"/>
          <w:szCs w:val="24"/>
        </w:rPr>
        <w:t xml:space="preserve"> symptoms</w:t>
      </w:r>
      <w:r w:rsidR="00220739" w:rsidRPr="00787196">
        <w:rPr>
          <w:rFonts w:cs="Arial"/>
          <w:szCs w:val="24"/>
        </w:rPr>
        <w:t>.</w:t>
      </w:r>
    </w:p>
    <w:p w14:paraId="54272F6A" w14:textId="31BAFE2C" w:rsidR="00220739" w:rsidRPr="00787196" w:rsidRDefault="00220739" w:rsidP="00E92F0E">
      <w:pPr>
        <w:pStyle w:val="ListParagraph"/>
        <w:numPr>
          <w:ilvl w:val="0"/>
          <w:numId w:val="23"/>
        </w:numPr>
        <w:ind w:left="426" w:hanging="426"/>
        <w:rPr>
          <w:rFonts w:cs="Arial"/>
          <w:szCs w:val="24"/>
        </w:rPr>
      </w:pPr>
      <w:r w:rsidRPr="00787196">
        <w:rPr>
          <w:rFonts w:cs="Arial"/>
          <w:szCs w:val="24"/>
        </w:rPr>
        <w:t xml:space="preserve">Functional status: </w:t>
      </w:r>
      <w:r w:rsidR="0013225C" w:rsidRPr="00787196">
        <w:rPr>
          <w:rFonts w:cs="Arial"/>
          <w:szCs w:val="24"/>
        </w:rPr>
        <w:t xml:space="preserve">of an </w:t>
      </w:r>
      <w:r w:rsidR="007C6F81" w:rsidRPr="00787196">
        <w:rPr>
          <w:rFonts w:cs="Arial"/>
          <w:szCs w:val="24"/>
        </w:rPr>
        <w:t>individual</w:t>
      </w:r>
      <w:r w:rsidR="0013225C" w:rsidRPr="00787196">
        <w:rPr>
          <w:rFonts w:cs="Arial"/>
          <w:szCs w:val="24"/>
        </w:rPr>
        <w:t xml:space="preserve"> </w:t>
      </w:r>
      <w:r w:rsidR="00645316" w:rsidRPr="00787196">
        <w:rPr>
          <w:rFonts w:cs="Arial"/>
          <w:szCs w:val="24"/>
        </w:rPr>
        <w:t>i</w:t>
      </w:r>
      <w:r w:rsidRPr="00787196">
        <w:rPr>
          <w:rFonts w:cs="Arial"/>
          <w:szCs w:val="24"/>
        </w:rPr>
        <w:t>s the ability to perform tasks</w:t>
      </w:r>
      <w:r w:rsidR="00645316" w:rsidRPr="00787196">
        <w:rPr>
          <w:rFonts w:cs="Arial"/>
          <w:szCs w:val="24"/>
        </w:rPr>
        <w:t xml:space="preserve">. </w:t>
      </w:r>
      <w:r w:rsidR="0013225C" w:rsidRPr="00787196">
        <w:rPr>
          <w:rFonts w:cs="Arial"/>
          <w:szCs w:val="24"/>
        </w:rPr>
        <w:t>It</w:t>
      </w:r>
      <w:r w:rsidR="00645316" w:rsidRPr="00787196">
        <w:rPr>
          <w:rFonts w:cs="Arial"/>
          <w:szCs w:val="24"/>
        </w:rPr>
        <w:t xml:space="preserve"> can be categorised under </w:t>
      </w:r>
      <w:r w:rsidR="0013225C" w:rsidRPr="00787196">
        <w:rPr>
          <w:rFonts w:cs="Arial"/>
          <w:szCs w:val="24"/>
        </w:rPr>
        <w:t>various realms-</w:t>
      </w:r>
      <w:r w:rsidRPr="00787196">
        <w:rPr>
          <w:rFonts w:cs="Arial"/>
          <w:szCs w:val="24"/>
        </w:rPr>
        <w:t xml:space="preserve"> </w:t>
      </w:r>
      <w:r w:rsidR="007C6F81" w:rsidRPr="00787196">
        <w:rPr>
          <w:rFonts w:cs="Arial"/>
          <w:szCs w:val="24"/>
        </w:rPr>
        <w:t>physical,</w:t>
      </w:r>
      <w:r w:rsidRPr="00787196">
        <w:rPr>
          <w:rFonts w:cs="Arial"/>
          <w:szCs w:val="24"/>
        </w:rPr>
        <w:t xml:space="preserve"> social</w:t>
      </w:r>
      <w:r w:rsidR="0013225C" w:rsidRPr="00787196">
        <w:rPr>
          <w:rFonts w:cs="Arial"/>
          <w:szCs w:val="24"/>
        </w:rPr>
        <w:t xml:space="preserve"> </w:t>
      </w:r>
      <w:r w:rsidR="007C6F81" w:rsidRPr="00787196">
        <w:rPr>
          <w:rFonts w:cs="Arial"/>
          <w:szCs w:val="24"/>
        </w:rPr>
        <w:t>role and</w:t>
      </w:r>
      <w:r w:rsidRPr="00787196">
        <w:rPr>
          <w:rFonts w:cs="Arial"/>
          <w:szCs w:val="24"/>
        </w:rPr>
        <w:t xml:space="preserve"> psychological.</w:t>
      </w:r>
    </w:p>
    <w:p w14:paraId="7E52E6B9" w14:textId="7ADB74CB" w:rsidR="007C6F81" w:rsidRPr="00787196" w:rsidRDefault="00220739" w:rsidP="00E92F0E">
      <w:pPr>
        <w:pStyle w:val="ListParagraph"/>
        <w:numPr>
          <w:ilvl w:val="0"/>
          <w:numId w:val="23"/>
        </w:numPr>
        <w:ind w:left="426" w:hanging="426"/>
        <w:rPr>
          <w:rFonts w:cs="Arial"/>
          <w:szCs w:val="24"/>
        </w:rPr>
      </w:pPr>
      <w:r w:rsidRPr="00787196">
        <w:rPr>
          <w:rFonts w:cs="Arial"/>
          <w:szCs w:val="24"/>
        </w:rPr>
        <w:t xml:space="preserve">General Health Perceptions: </w:t>
      </w:r>
      <w:r w:rsidR="00A10942" w:rsidRPr="00787196">
        <w:rPr>
          <w:rFonts w:cs="Arial"/>
          <w:szCs w:val="24"/>
        </w:rPr>
        <w:t xml:space="preserve">This level incorporates </w:t>
      </w:r>
      <w:r w:rsidRPr="00787196">
        <w:rPr>
          <w:rFonts w:cs="Arial"/>
          <w:szCs w:val="24"/>
        </w:rPr>
        <w:t xml:space="preserve">all </w:t>
      </w:r>
      <w:r w:rsidR="00A10942" w:rsidRPr="00787196">
        <w:rPr>
          <w:rFonts w:cs="Arial"/>
          <w:szCs w:val="24"/>
        </w:rPr>
        <w:t xml:space="preserve">previous levels </w:t>
      </w:r>
      <w:r w:rsidRPr="00787196">
        <w:rPr>
          <w:rFonts w:cs="Arial"/>
          <w:szCs w:val="24"/>
        </w:rPr>
        <w:t xml:space="preserve">in the model, and </w:t>
      </w:r>
      <w:r w:rsidR="00A10942" w:rsidRPr="00787196">
        <w:rPr>
          <w:rFonts w:cs="Arial"/>
          <w:szCs w:val="24"/>
        </w:rPr>
        <w:t xml:space="preserve">is </w:t>
      </w:r>
      <w:r w:rsidRPr="00787196">
        <w:rPr>
          <w:rFonts w:cs="Arial"/>
          <w:szCs w:val="24"/>
        </w:rPr>
        <w:t xml:space="preserve">subjective. This </w:t>
      </w:r>
      <w:r w:rsidR="00A10942" w:rsidRPr="00787196">
        <w:rPr>
          <w:rFonts w:cs="Arial"/>
          <w:szCs w:val="24"/>
        </w:rPr>
        <w:t xml:space="preserve">level synthesises various dimensions </w:t>
      </w:r>
      <w:r w:rsidRPr="00787196">
        <w:rPr>
          <w:rFonts w:cs="Arial"/>
          <w:szCs w:val="24"/>
        </w:rPr>
        <w:t>of health</w:t>
      </w:r>
      <w:r w:rsidR="0001642C" w:rsidRPr="00787196">
        <w:rPr>
          <w:rFonts w:cs="Arial"/>
          <w:szCs w:val="24"/>
        </w:rPr>
        <w:t xml:space="preserve"> in the evaluation process</w:t>
      </w:r>
      <w:r w:rsidRPr="00787196">
        <w:rPr>
          <w:rFonts w:cs="Arial"/>
          <w:szCs w:val="24"/>
        </w:rPr>
        <w:t>.</w:t>
      </w:r>
    </w:p>
    <w:p w14:paraId="501C9A4A" w14:textId="77777777" w:rsidR="007C6F81" w:rsidRPr="00787196" w:rsidRDefault="007C6F81">
      <w:pPr>
        <w:spacing w:before="0" w:after="0" w:line="240" w:lineRule="auto"/>
        <w:jc w:val="left"/>
        <w:rPr>
          <w:rFonts w:cs="Arial"/>
          <w:szCs w:val="24"/>
        </w:rPr>
      </w:pPr>
      <w:r w:rsidRPr="00787196">
        <w:rPr>
          <w:rFonts w:cs="Arial"/>
          <w:szCs w:val="24"/>
        </w:rPr>
        <w:br w:type="page"/>
      </w:r>
    </w:p>
    <w:p w14:paraId="7722531D" w14:textId="77777777" w:rsidR="00220739" w:rsidRPr="00787196" w:rsidRDefault="00220739" w:rsidP="007C6F81">
      <w:pPr>
        <w:pStyle w:val="ListParagraph"/>
        <w:ind w:left="426"/>
        <w:rPr>
          <w:rFonts w:cs="Arial"/>
          <w:szCs w:val="24"/>
        </w:rPr>
      </w:pPr>
    </w:p>
    <w:p w14:paraId="4D6A32A7" w14:textId="4E2C3401" w:rsidR="00220739" w:rsidRPr="00787196" w:rsidRDefault="00220739" w:rsidP="00C119A5">
      <w:pPr>
        <w:pStyle w:val="ListParagraph"/>
        <w:numPr>
          <w:ilvl w:val="0"/>
          <w:numId w:val="23"/>
        </w:numPr>
        <w:ind w:left="426" w:hanging="425"/>
        <w:rPr>
          <w:rFonts w:cs="Arial"/>
          <w:szCs w:val="24"/>
        </w:rPr>
      </w:pPr>
      <w:r w:rsidRPr="00787196">
        <w:rPr>
          <w:rFonts w:cs="Arial"/>
          <w:szCs w:val="24"/>
        </w:rPr>
        <w:t>Overall quality of life</w:t>
      </w:r>
      <w:r w:rsidR="003D4DA5" w:rsidRPr="00787196">
        <w:rPr>
          <w:rFonts w:cs="Arial"/>
          <w:szCs w:val="24"/>
        </w:rPr>
        <w:t xml:space="preserve">: </w:t>
      </w:r>
      <w:r w:rsidRPr="00787196">
        <w:rPr>
          <w:rFonts w:cs="Arial"/>
          <w:szCs w:val="24"/>
        </w:rPr>
        <w:t xml:space="preserve"> </w:t>
      </w:r>
      <w:r w:rsidR="0001642C" w:rsidRPr="00787196">
        <w:rPr>
          <w:rFonts w:cs="Arial"/>
          <w:szCs w:val="24"/>
        </w:rPr>
        <w:t>The final</w:t>
      </w:r>
      <w:r w:rsidRPr="00787196">
        <w:rPr>
          <w:rFonts w:cs="Arial"/>
          <w:szCs w:val="24"/>
        </w:rPr>
        <w:t xml:space="preserve"> </w:t>
      </w:r>
      <w:r w:rsidR="0001642C" w:rsidRPr="00787196">
        <w:rPr>
          <w:rFonts w:cs="Arial"/>
          <w:szCs w:val="24"/>
        </w:rPr>
        <w:t xml:space="preserve">level of </w:t>
      </w:r>
      <w:r w:rsidRPr="00787196">
        <w:rPr>
          <w:rFonts w:cs="Arial"/>
          <w:szCs w:val="24"/>
        </w:rPr>
        <w:t xml:space="preserve">the model </w:t>
      </w:r>
      <w:r w:rsidR="0001642C" w:rsidRPr="00787196">
        <w:rPr>
          <w:rFonts w:cs="Arial"/>
          <w:szCs w:val="24"/>
        </w:rPr>
        <w:t>showing</w:t>
      </w:r>
      <w:r w:rsidRPr="00787196">
        <w:rPr>
          <w:rFonts w:cs="Arial"/>
          <w:szCs w:val="24"/>
        </w:rPr>
        <w:t xml:space="preserve"> </w:t>
      </w:r>
      <w:r w:rsidR="0001642C" w:rsidRPr="00787196">
        <w:rPr>
          <w:rFonts w:cs="Arial"/>
          <w:szCs w:val="24"/>
        </w:rPr>
        <w:t xml:space="preserve">the level of </w:t>
      </w:r>
      <w:r w:rsidRPr="00787196">
        <w:rPr>
          <w:rFonts w:cs="Arial"/>
          <w:szCs w:val="24"/>
        </w:rPr>
        <w:t>satisf</w:t>
      </w:r>
      <w:r w:rsidR="0001642C" w:rsidRPr="00787196">
        <w:rPr>
          <w:rFonts w:cs="Arial"/>
          <w:szCs w:val="24"/>
        </w:rPr>
        <w:t xml:space="preserve">action an individual in terms of their overall </w:t>
      </w:r>
      <w:r w:rsidR="007C6F81" w:rsidRPr="00787196">
        <w:rPr>
          <w:rFonts w:cs="Arial"/>
          <w:szCs w:val="24"/>
        </w:rPr>
        <w:t>life.</w:t>
      </w:r>
      <w:r w:rsidRPr="00787196">
        <w:rPr>
          <w:rFonts w:cs="Arial"/>
          <w:szCs w:val="24"/>
        </w:rPr>
        <w:t xml:space="preserve"> </w:t>
      </w:r>
      <w:r w:rsidR="0001642C" w:rsidRPr="00787196">
        <w:rPr>
          <w:rFonts w:cs="Arial"/>
          <w:szCs w:val="24"/>
        </w:rPr>
        <w:t xml:space="preserve">This component </w:t>
      </w:r>
      <w:r w:rsidRPr="00787196">
        <w:rPr>
          <w:rFonts w:cs="Arial"/>
          <w:szCs w:val="24"/>
        </w:rPr>
        <w:t xml:space="preserve">depends on </w:t>
      </w:r>
      <w:r w:rsidR="0001642C" w:rsidRPr="00787196">
        <w:rPr>
          <w:rFonts w:cs="Arial"/>
          <w:szCs w:val="24"/>
        </w:rPr>
        <w:t>an individual’s</w:t>
      </w:r>
      <w:r w:rsidRPr="00787196">
        <w:rPr>
          <w:rFonts w:cs="Arial"/>
          <w:szCs w:val="24"/>
        </w:rPr>
        <w:t xml:space="preserve"> value</w:t>
      </w:r>
      <w:r w:rsidR="0001642C" w:rsidRPr="00787196">
        <w:rPr>
          <w:rFonts w:cs="Arial"/>
          <w:szCs w:val="24"/>
        </w:rPr>
        <w:t xml:space="preserve"> </w:t>
      </w:r>
      <w:r w:rsidRPr="00787196">
        <w:rPr>
          <w:rFonts w:cs="Arial"/>
          <w:szCs w:val="24"/>
        </w:rPr>
        <w:t>s</w:t>
      </w:r>
      <w:r w:rsidR="0001642C" w:rsidRPr="00787196">
        <w:rPr>
          <w:rFonts w:cs="Arial"/>
          <w:szCs w:val="24"/>
        </w:rPr>
        <w:t>ystem</w:t>
      </w:r>
      <w:r w:rsidRPr="00787196">
        <w:rPr>
          <w:rFonts w:cs="Arial"/>
          <w:szCs w:val="24"/>
        </w:rPr>
        <w:t xml:space="preserve"> and preferences</w:t>
      </w:r>
      <w:r w:rsidR="0001642C" w:rsidRPr="00787196">
        <w:rPr>
          <w:rFonts w:cs="Arial"/>
          <w:szCs w:val="24"/>
        </w:rPr>
        <w:t xml:space="preserve"> </w:t>
      </w:r>
      <w:r w:rsidR="00D750DD" w:rsidRPr="00787196">
        <w:rPr>
          <w:rFonts w:cs="Arial"/>
          <w:szCs w:val="24"/>
        </w:rPr>
        <w:t>which changes in tandem with their</w:t>
      </w:r>
      <w:r w:rsidRPr="00787196">
        <w:rPr>
          <w:rFonts w:cs="Arial"/>
          <w:szCs w:val="24"/>
        </w:rPr>
        <w:t xml:space="preserve">, </w:t>
      </w:r>
      <w:r w:rsidR="0001642C" w:rsidRPr="00787196">
        <w:rPr>
          <w:rFonts w:cs="Arial"/>
          <w:szCs w:val="24"/>
        </w:rPr>
        <w:t>circumstantial</w:t>
      </w:r>
      <w:r w:rsidRPr="00787196">
        <w:rPr>
          <w:rFonts w:cs="Arial"/>
          <w:szCs w:val="24"/>
        </w:rPr>
        <w:t xml:space="preserve"> and environment</w:t>
      </w:r>
      <w:r w:rsidR="00D750DD" w:rsidRPr="00787196">
        <w:rPr>
          <w:rFonts w:cs="Arial"/>
          <w:szCs w:val="24"/>
        </w:rPr>
        <w:t>al</w:t>
      </w:r>
      <w:r w:rsidRPr="00787196">
        <w:rPr>
          <w:rFonts w:cs="Arial"/>
          <w:szCs w:val="24"/>
        </w:rPr>
        <w:t xml:space="preserve"> change</w:t>
      </w:r>
      <w:r w:rsidR="0001642C" w:rsidRPr="00787196">
        <w:rPr>
          <w:rFonts w:cs="Arial"/>
          <w:szCs w:val="24"/>
        </w:rPr>
        <w:t>s</w:t>
      </w:r>
      <w:r w:rsidRPr="00787196">
        <w:rPr>
          <w:rFonts w:cs="Arial"/>
          <w:szCs w:val="24"/>
        </w:rPr>
        <w:t xml:space="preserve">. </w:t>
      </w:r>
    </w:p>
    <w:p w14:paraId="7E261CC9" w14:textId="35D6D242" w:rsidR="00220739" w:rsidRPr="00787196" w:rsidRDefault="008435B1" w:rsidP="00BD1A43">
      <w:pPr>
        <w:rPr>
          <w:rFonts w:cs="Arial"/>
          <w:szCs w:val="24"/>
        </w:rPr>
      </w:pPr>
      <w:r w:rsidRPr="00787196">
        <w:rPr>
          <w:rFonts w:cs="Arial"/>
          <w:szCs w:val="24"/>
        </w:rPr>
        <w:t>This model further highlighted on how subjective measures</w:t>
      </w:r>
      <w:r w:rsidR="00220739" w:rsidRPr="00787196">
        <w:rPr>
          <w:rFonts w:cs="Arial"/>
          <w:szCs w:val="24"/>
        </w:rPr>
        <w:t xml:space="preserve"> may not </w:t>
      </w:r>
      <w:r w:rsidRPr="00787196">
        <w:rPr>
          <w:rFonts w:cs="Arial"/>
          <w:szCs w:val="24"/>
        </w:rPr>
        <w:t xml:space="preserve">necessarily </w:t>
      </w:r>
      <w:r w:rsidR="00220739" w:rsidRPr="00787196">
        <w:rPr>
          <w:rFonts w:cs="Arial"/>
          <w:szCs w:val="24"/>
        </w:rPr>
        <w:t xml:space="preserve">be </w:t>
      </w:r>
      <w:r w:rsidRPr="00787196">
        <w:rPr>
          <w:rFonts w:cs="Arial"/>
          <w:szCs w:val="24"/>
        </w:rPr>
        <w:t>associated with</w:t>
      </w:r>
      <w:r w:rsidR="00220739" w:rsidRPr="00787196">
        <w:rPr>
          <w:rFonts w:cs="Arial"/>
          <w:szCs w:val="24"/>
        </w:rPr>
        <w:t xml:space="preserve"> objective </w:t>
      </w:r>
      <w:r w:rsidR="004B39D1" w:rsidRPr="00787196">
        <w:rPr>
          <w:rFonts w:cs="Arial"/>
          <w:szCs w:val="24"/>
        </w:rPr>
        <w:t>measures</w:t>
      </w:r>
      <w:r w:rsidR="00220739" w:rsidRPr="00787196">
        <w:rPr>
          <w:rFonts w:cs="Arial"/>
          <w:szCs w:val="24"/>
        </w:rPr>
        <w:t xml:space="preserve">. </w:t>
      </w:r>
      <w:r w:rsidRPr="00787196">
        <w:rPr>
          <w:rFonts w:cs="Arial"/>
          <w:szCs w:val="24"/>
        </w:rPr>
        <w:t>For example, an individual with a few missing teeth may not necessarily</w:t>
      </w:r>
      <w:r w:rsidR="00220739" w:rsidRPr="00787196">
        <w:rPr>
          <w:rFonts w:cs="Arial"/>
          <w:szCs w:val="24"/>
        </w:rPr>
        <w:t xml:space="preserve"> </w:t>
      </w:r>
      <w:r w:rsidR="004B39D1" w:rsidRPr="00787196">
        <w:rPr>
          <w:rFonts w:cs="Arial"/>
          <w:szCs w:val="24"/>
        </w:rPr>
        <w:t xml:space="preserve">be dissatisfied with their </w:t>
      </w:r>
      <w:r w:rsidR="00220739" w:rsidRPr="00787196">
        <w:rPr>
          <w:rFonts w:cs="Arial"/>
          <w:szCs w:val="24"/>
        </w:rPr>
        <w:t>overall quality of li</w:t>
      </w:r>
      <w:r w:rsidR="004B39D1" w:rsidRPr="00787196">
        <w:rPr>
          <w:rFonts w:cs="Arial"/>
          <w:szCs w:val="24"/>
        </w:rPr>
        <w:t>ving</w:t>
      </w:r>
      <w:r w:rsidR="00220739" w:rsidRPr="00787196">
        <w:rPr>
          <w:rFonts w:cs="Arial"/>
          <w:szCs w:val="24"/>
        </w:rPr>
        <w:t xml:space="preserve"> wh</w:t>
      </w:r>
      <w:r w:rsidR="004B39D1" w:rsidRPr="00787196">
        <w:rPr>
          <w:rFonts w:cs="Arial"/>
          <w:szCs w:val="24"/>
        </w:rPr>
        <w:t xml:space="preserve">ilst </w:t>
      </w:r>
      <w:r w:rsidR="00220739" w:rsidRPr="00787196">
        <w:rPr>
          <w:rFonts w:cs="Arial"/>
          <w:szCs w:val="24"/>
        </w:rPr>
        <w:t xml:space="preserve">another </w:t>
      </w:r>
      <w:r w:rsidR="004B39D1" w:rsidRPr="00787196">
        <w:rPr>
          <w:rFonts w:cs="Arial"/>
          <w:szCs w:val="24"/>
        </w:rPr>
        <w:t xml:space="preserve">individual </w:t>
      </w:r>
      <w:r w:rsidR="00220739" w:rsidRPr="00787196">
        <w:rPr>
          <w:rFonts w:cs="Arial"/>
          <w:szCs w:val="24"/>
        </w:rPr>
        <w:t xml:space="preserve">with similar </w:t>
      </w:r>
      <w:r w:rsidR="00130870" w:rsidRPr="00787196">
        <w:rPr>
          <w:rFonts w:cs="Arial"/>
          <w:szCs w:val="24"/>
        </w:rPr>
        <w:t xml:space="preserve">number </w:t>
      </w:r>
      <w:r w:rsidR="004B39D1" w:rsidRPr="00787196">
        <w:rPr>
          <w:rFonts w:cs="Arial"/>
          <w:szCs w:val="24"/>
        </w:rPr>
        <w:t>missing teeth</w:t>
      </w:r>
      <w:r w:rsidR="00220739" w:rsidRPr="00787196">
        <w:rPr>
          <w:rFonts w:cs="Arial"/>
          <w:szCs w:val="24"/>
        </w:rPr>
        <w:t xml:space="preserve"> m</w:t>
      </w:r>
      <w:r w:rsidR="004B39D1" w:rsidRPr="00787196">
        <w:rPr>
          <w:rFonts w:cs="Arial"/>
          <w:szCs w:val="24"/>
        </w:rPr>
        <w:t xml:space="preserve">ay </w:t>
      </w:r>
      <w:r w:rsidR="00220739" w:rsidRPr="00787196">
        <w:rPr>
          <w:rFonts w:cs="Arial"/>
          <w:szCs w:val="24"/>
        </w:rPr>
        <w:t xml:space="preserve">experience </w:t>
      </w:r>
      <w:r w:rsidR="00130870" w:rsidRPr="00787196">
        <w:rPr>
          <w:rFonts w:cs="Arial"/>
          <w:szCs w:val="24"/>
        </w:rPr>
        <w:t>vast</w:t>
      </w:r>
      <w:r w:rsidR="00220739" w:rsidRPr="00787196">
        <w:rPr>
          <w:rFonts w:cs="Arial"/>
          <w:szCs w:val="24"/>
        </w:rPr>
        <w:t xml:space="preserve"> </w:t>
      </w:r>
      <w:r w:rsidR="00130870" w:rsidRPr="00787196">
        <w:rPr>
          <w:rFonts w:cs="Arial"/>
          <w:szCs w:val="24"/>
        </w:rPr>
        <w:t xml:space="preserve">change </w:t>
      </w:r>
      <w:r w:rsidR="00220739" w:rsidRPr="00787196">
        <w:rPr>
          <w:rFonts w:cs="Arial"/>
          <w:szCs w:val="24"/>
        </w:rPr>
        <w:t xml:space="preserve">in </w:t>
      </w:r>
      <w:r w:rsidR="00130870" w:rsidRPr="00787196">
        <w:rPr>
          <w:rFonts w:cs="Arial"/>
          <w:szCs w:val="24"/>
        </w:rPr>
        <w:t xml:space="preserve">terms of their </w:t>
      </w:r>
      <w:r w:rsidR="00220739" w:rsidRPr="00787196">
        <w:rPr>
          <w:rFonts w:cs="Arial"/>
          <w:szCs w:val="24"/>
        </w:rPr>
        <w:t xml:space="preserve">overall QoL. </w:t>
      </w:r>
      <w:r w:rsidR="00130870" w:rsidRPr="00787196">
        <w:rPr>
          <w:rFonts w:cs="Arial"/>
          <w:szCs w:val="24"/>
        </w:rPr>
        <w:t xml:space="preserve">Objectively, in both the instances patients are usually advised to replace the missing teeth. </w:t>
      </w:r>
      <w:r w:rsidR="00220739" w:rsidRPr="00787196">
        <w:rPr>
          <w:rFonts w:cs="Arial"/>
          <w:szCs w:val="24"/>
        </w:rPr>
        <w:t>Th</w:t>
      </w:r>
      <w:r w:rsidR="00130870" w:rsidRPr="00787196">
        <w:rPr>
          <w:rFonts w:cs="Arial"/>
          <w:szCs w:val="24"/>
        </w:rPr>
        <w:t>ese</w:t>
      </w:r>
      <w:r w:rsidR="00220739" w:rsidRPr="00787196">
        <w:rPr>
          <w:rFonts w:cs="Arial"/>
          <w:szCs w:val="24"/>
        </w:rPr>
        <w:t xml:space="preserve"> variation</w:t>
      </w:r>
      <w:r w:rsidR="00130870" w:rsidRPr="00787196">
        <w:rPr>
          <w:rFonts w:cs="Arial"/>
          <w:szCs w:val="24"/>
        </w:rPr>
        <w:t>s</w:t>
      </w:r>
      <w:r w:rsidR="00220739" w:rsidRPr="00787196">
        <w:rPr>
          <w:rFonts w:cs="Arial"/>
          <w:szCs w:val="24"/>
        </w:rPr>
        <w:t xml:space="preserve"> i</w:t>
      </w:r>
      <w:r w:rsidR="00130870" w:rsidRPr="00787196">
        <w:rPr>
          <w:rFonts w:cs="Arial"/>
          <w:szCs w:val="24"/>
        </w:rPr>
        <w:t xml:space="preserve">n QoL may be explained by </w:t>
      </w:r>
      <w:r w:rsidR="007C6F81" w:rsidRPr="00787196">
        <w:rPr>
          <w:rFonts w:cs="Arial"/>
          <w:szCs w:val="24"/>
        </w:rPr>
        <w:t>the individual</w:t>
      </w:r>
      <w:r w:rsidR="00220739" w:rsidRPr="00787196">
        <w:rPr>
          <w:rFonts w:cs="Arial"/>
          <w:szCs w:val="24"/>
        </w:rPr>
        <w:t xml:space="preserve"> and environmental factors</w:t>
      </w:r>
      <w:r w:rsidR="00130870" w:rsidRPr="00787196">
        <w:rPr>
          <w:rFonts w:cs="Arial"/>
          <w:szCs w:val="24"/>
        </w:rPr>
        <w:t xml:space="preserve"> that </w:t>
      </w:r>
      <w:r w:rsidR="005B572D" w:rsidRPr="00787196">
        <w:rPr>
          <w:rFonts w:cs="Arial"/>
          <w:szCs w:val="24"/>
        </w:rPr>
        <w:t>play the mediating role with subjective outcomes.</w:t>
      </w:r>
    </w:p>
    <w:p w14:paraId="172B4F59" w14:textId="77777777" w:rsidR="00220739" w:rsidRPr="00787196" w:rsidRDefault="00220739" w:rsidP="00226A04">
      <w:pPr>
        <w:pStyle w:val="Heading4"/>
      </w:pPr>
      <w:r w:rsidRPr="00787196">
        <w:t>Individual and the Environmental Characteristics</w:t>
      </w:r>
    </w:p>
    <w:p w14:paraId="738FB46A" w14:textId="1EEEA70E" w:rsidR="00220739" w:rsidRPr="00787196" w:rsidRDefault="009F65EA" w:rsidP="00BD1A43">
      <w:pPr>
        <w:rPr>
          <w:rFonts w:cs="Arial"/>
          <w:szCs w:val="24"/>
        </w:rPr>
      </w:pPr>
      <w:r w:rsidRPr="00787196">
        <w:rPr>
          <w:rFonts w:cs="Arial"/>
          <w:szCs w:val="24"/>
        </w:rPr>
        <w:t xml:space="preserve"> Studies have found associations between clinical status (e.g. missing teeth</w:t>
      </w:r>
      <w:r w:rsidR="007712FF" w:rsidRPr="00787196">
        <w:rPr>
          <w:rFonts w:cs="Arial"/>
          <w:szCs w:val="24"/>
        </w:rPr>
        <w:t>,</w:t>
      </w:r>
      <w:r w:rsidRPr="00787196">
        <w:rPr>
          <w:rFonts w:cs="Arial"/>
          <w:szCs w:val="24"/>
        </w:rPr>
        <w:t xml:space="preserve"> caries and periodontal attachment loss) and subjective assessments of oral disease including OHQoL </w:t>
      </w:r>
      <w:r w:rsidRPr="00787196">
        <w:rPr>
          <w:rFonts w:cs="Arial"/>
          <w:szCs w:val="24"/>
        </w:rPr>
        <w:fldChar w:fldCharType="begin">
          <w:fldData xml:space="preserve">PEVuZE5vdGU+PENpdGU+PEF1dGhvcj5Mb2NrZXI8L0F1dGhvcj48WWVhcj4xOTkyPC9ZZWFyPjxS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PEVuZE5vdGU+PENpdGU+PEF1dGhvcj5Mb2NrZXI8L0F1dGhvcj48WWVhcj4xOTkyPC9ZZWFyPjxS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noProof/>
          <w:szCs w:val="24"/>
        </w:rPr>
        <w:t>(Locker, 1992, Locker and Slade, 1994, Baker et al., 2010, Daly et al., 2010)</w:t>
      </w:r>
      <w:r w:rsidRPr="00787196">
        <w:rPr>
          <w:rFonts w:cs="Arial"/>
          <w:szCs w:val="24"/>
        </w:rPr>
        <w:fldChar w:fldCharType="end"/>
      </w:r>
      <w:r w:rsidRPr="00787196">
        <w:rPr>
          <w:rFonts w:cs="Arial"/>
          <w:szCs w:val="24"/>
        </w:rPr>
        <w:t xml:space="preserve">. </w:t>
      </w:r>
      <w:r w:rsidR="000D6134" w:rsidRPr="00787196">
        <w:rPr>
          <w:rFonts w:cs="Arial"/>
          <w:szCs w:val="24"/>
        </w:rPr>
        <w:t xml:space="preserve">One of the main concepts of this model </w:t>
      </w:r>
      <w:r w:rsidR="00CE6E84" w:rsidRPr="00787196">
        <w:rPr>
          <w:rFonts w:cs="Arial"/>
          <w:szCs w:val="24"/>
        </w:rPr>
        <w:t>is</w:t>
      </w:r>
      <w:r w:rsidR="005A0741" w:rsidRPr="00787196">
        <w:rPr>
          <w:rFonts w:cs="Arial"/>
          <w:szCs w:val="24"/>
        </w:rPr>
        <w:t xml:space="preserve"> that</w:t>
      </w:r>
      <w:r w:rsidR="00CE6E84" w:rsidRPr="00787196">
        <w:rPr>
          <w:rFonts w:cs="Arial"/>
          <w:szCs w:val="24"/>
        </w:rPr>
        <w:t xml:space="preserve"> individual</w:t>
      </w:r>
      <w:r w:rsidR="005A0741" w:rsidRPr="00787196">
        <w:rPr>
          <w:rFonts w:cs="Arial"/>
          <w:szCs w:val="24"/>
        </w:rPr>
        <w:t xml:space="preserve"> and environmental factors influence an individual</w:t>
      </w:r>
      <w:r w:rsidR="00CE6E84" w:rsidRPr="00787196">
        <w:rPr>
          <w:rFonts w:cs="Arial"/>
          <w:szCs w:val="24"/>
        </w:rPr>
        <w:t>’s</w:t>
      </w:r>
      <w:r w:rsidR="00686BDC" w:rsidRPr="00787196">
        <w:rPr>
          <w:rFonts w:cs="Arial"/>
          <w:szCs w:val="24"/>
        </w:rPr>
        <w:t xml:space="preserve"> </w:t>
      </w:r>
      <w:r w:rsidR="005A0741" w:rsidRPr="00787196">
        <w:rPr>
          <w:rFonts w:cs="Arial"/>
          <w:szCs w:val="24"/>
        </w:rPr>
        <w:t xml:space="preserve">reaction </w:t>
      </w:r>
      <w:r w:rsidR="00220739" w:rsidRPr="00787196">
        <w:rPr>
          <w:rFonts w:cs="Arial"/>
          <w:szCs w:val="24"/>
        </w:rPr>
        <w:t xml:space="preserve">to physiological and biological changes and </w:t>
      </w:r>
      <w:r w:rsidR="00686BDC" w:rsidRPr="00787196">
        <w:rPr>
          <w:rFonts w:cs="Arial"/>
          <w:szCs w:val="24"/>
        </w:rPr>
        <w:t xml:space="preserve">the </w:t>
      </w:r>
      <w:r w:rsidR="005A0741" w:rsidRPr="00787196">
        <w:rPr>
          <w:rFonts w:cs="Arial"/>
          <w:szCs w:val="24"/>
        </w:rPr>
        <w:t>outcome (</w:t>
      </w:r>
      <w:r w:rsidR="00220739" w:rsidRPr="00787196">
        <w:rPr>
          <w:rFonts w:cs="Arial"/>
          <w:szCs w:val="24"/>
        </w:rPr>
        <w:t>QoL</w:t>
      </w:r>
      <w:r w:rsidR="005A0741" w:rsidRPr="00787196">
        <w:rPr>
          <w:rFonts w:cs="Arial"/>
          <w:szCs w:val="24"/>
        </w:rPr>
        <w:t>).</w:t>
      </w:r>
      <w:r w:rsidR="00220739" w:rsidRPr="00787196">
        <w:rPr>
          <w:rFonts w:cs="Arial"/>
          <w:szCs w:val="24"/>
        </w:rPr>
        <w:t xml:space="preserve"> </w:t>
      </w:r>
    </w:p>
    <w:p w14:paraId="5AB74ACC" w14:textId="76FC7B32" w:rsidR="00220739" w:rsidRPr="00787196" w:rsidRDefault="00220739" w:rsidP="00BD1A43">
      <w:pPr>
        <w:rPr>
          <w:rFonts w:cs="Arial"/>
          <w:szCs w:val="24"/>
        </w:rPr>
      </w:pPr>
      <w:r w:rsidRPr="00787196">
        <w:rPr>
          <w:rFonts w:cs="Arial"/>
          <w:szCs w:val="24"/>
        </w:rPr>
        <w:t xml:space="preserve">Individual </w:t>
      </w:r>
      <w:r w:rsidR="005A0741" w:rsidRPr="00787196">
        <w:rPr>
          <w:rFonts w:cs="Arial"/>
          <w:szCs w:val="24"/>
        </w:rPr>
        <w:t xml:space="preserve">factors </w:t>
      </w:r>
      <w:r w:rsidRPr="00787196">
        <w:rPr>
          <w:rFonts w:cs="Arial"/>
          <w:szCs w:val="24"/>
        </w:rPr>
        <w:t xml:space="preserve">are </w:t>
      </w:r>
      <w:r w:rsidR="005A0741" w:rsidRPr="00787196">
        <w:rPr>
          <w:rFonts w:cs="Arial"/>
          <w:szCs w:val="24"/>
        </w:rPr>
        <w:t>inherent qualities and traits within an individual</w:t>
      </w:r>
      <w:r w:rsidRPr="00787196">
        <w:rPr>
          <w:rFonts w:cs="Arial"/>
          <w:szCs w:val="24"/>
        </w:rPr>
        <w:t xml:space="preserve"> (e.g. age, sex)</w:t>
      </w:r>
      <w:r w:rsidR="007B51EE" w:rsidRPr="00787196">
        <w:rPr>
          <w:rFonts w:cs="Arial"/>
          <w:szCs w:val="24"/>
        </w:rPr>
        <w:t>.</w:t>
      </w:r>
      <w:r w:rsidRPr="00787196">
        <w:rPr>
          <w:rFonts w:cs="Arial"/>
          <w:szCs w:val="24"/>
        </w:rPr>
        <w:t xml:space="preserve"> </w:t>
      </w:r>
      <w:r w:rsidR="007B51EE" w:rsidRPr="00787196">
        <w:rPr>
          <w:rFonts w:cs="Arial"/>
          <w:szCs w:val="24"/>
        </w:rPr>
        <w:t xml:space="preserve">Whilst, </w:t>
      </w:r>
      <w:r w:rsidRPr="00787196">
        <w:rPr>
          <w:rFonts w:cs="Arial"/>
          <w:szCs w:val="24"/>
        </w:rPr>
        <w:t xml:space="preserve">environmental </w:t>
      </w:r>
      <w:r w:rsidR="007B51EE" w:rsidRPr="00787196">
        <w:rPr>
          <w:rFonts w:cs="Arial"/>
          <w:szCs w:val="24"/>
        </w:rPr>
        <w:t>factors are an amalgamation of</w:t>
      </w:r>
      <w:r w:rsidRPr="00787196">
        <w:rPr>
          <w:rFonts w:cs="Arial"/>
          <w:szCs w:val="24"/>
        </w:rPr>
        <w:t xml:space="preserve"> </w:t>
      </w:r>
      <w:r w:rsidR="007B51EE" w:rsidRPr="00787196">
        <w:rPr>
          <w:rFonts w:cs="Arial"/>
          <w:szCs w:val="24"/>
        </w:rPr>
        <w:t xml:space="preserve">various </w:t>
      </w:r>
      <w:r w:rsidRPr="00787196">
        <w:rPr>
          <w:rFonts w:cs="Arial"/>
          <w:szCs w:val="24"/>
        </w:rPr>
        <w:t xml:space="preserve">external </w:t>
      </w:r>
      <w:r w:rsidR="007B51EE" w:rsidRPr="00787196">
        <w:rPr>
          <w:rFonts w:cs="Arial"/>
          <w:szCs w:val="24"/>
        </w:rPr>
        <w:t>factors</w:t>
      </w:r>
      <w:r w:rsidRPr="00787196">
        <w:rPr>
          <w:rFonts w:cs="Arial"/>
          <w:szCs w:val="24"/>
        </w:rPr>
        <w:t xml:space="preserve"> that </w:t>
      </w:r>
      <w:r w:rsidR="007B51EE" w:rsidRPr="00787196">
        <w:rPr>
          <w:rFonts w:cs="Arial"/>
          <w:szCs w:val="24"/>
        </w:rPr>
        <w:t>affect everyday lives of individual</w:t>
      </w:r>
      <w:r w:rsidRPr="00787196">
        <w:rPr>
          <w:rFonts w:cs="Arial"/>
          <w:szCs w:val="24"/>
        </w:rPr>
        <w:t xml:space="preserve"> human beings (e.g.</w:t>
      </w:r>
      <w:r w:rsidR="006860F4" w:rsidRPr="00787196">
        <w:rPr>
          <w:rFonts w:cs="Arial"/>
          <w:szCs w:val="24"/>
        </w:rPr>
        <w:t xml:space="preserve"> </w:t>
      </w:r>
      <w:r w:rsidR="007B51EE" w:rsidRPr="00787196">
        <w:rPr>
          <w:rFonts w:cs="Arial"/>
          <w:szCs w:val="24"/>
        </w:rPr>
        <w:t>occupation, income</w:t>
      </w:r>
      <w:r w:rsidR="006860F4" w:rsidRPr="00787196">
        <w:rPr>
          <w:rFonts w:cs="Arial"/>
          <w:szCs w:val="24"/>
        </w:rPr>
        <w:t>)</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&lt;EndNote&gt;&lt;Cite&gt;&lt;Author&gt;Sousa&lt;/Author&gt;&lt;Year&gt;1999&lt;/Year&gt;&lt;RecNum&gt;64&lt;/RecNum&gt;&lt;DisplayText&gt;(Sousa et al., 1999)&lt;/DisplayText&gt;&lt;record&gt;&lt;rec-number&gt;64&lt;/rec-number&gt;&lt;foreign-keys&gt;&lt;key app="EN" db-id="pprx5af0eezz5resrauvszthwfd2xp5txea9"&gt;64&lt;/key&gt;&lt;/foreign-keys&gt;&lt;ref-type name="Journal Article"&gt;17&lt;/ref-type&gt;&lt;contributors&gt;&lt;authors&gt;&lt;author&gt;Sousa, Karen H.&lt;/author&gt;&lt;author&gt;Holzemer, William L.&lt;/author&gt;&lt;author&gt;Bakken Henry, Suzanne&lt;/author&gt;&lt;author&gt;Slaughter, Robert&lt;/author&gt;&lt;/authors&gt;&lt;/contributors&gt;&lt;titles&gt;&lt;title&gt;Dimensions of health-related quality of life in persons living with HIV disease&lt;/title&gt;&lt;secondary-title&gt;Journal of Advanced Nursing&lt;/secondary-title&gt;&lt;/titles&gt;&lt;periodical&gt;&lt;full-title&gt;Journal of Advanced Nursing&lt;/full-title&gt;&lt;/periodical&gt;&lt;pages&gt;178-187&lt;/pages&gt;&lt;volume&gt;29&lt;/volume&gt;&lt;number&gt;1&lt;/number&gt;&lt;keywords&gt;&lt;keyword&gt;health-related quality of life&lt;/keyword&gt;&lt;keyword&gt;symptoms&lt;/keyword&gt;&lt;keyword&gt;functional status&lt;/keyword&gt;&lt;keyword&gt;general health perceptions&lt;/keyword&gt;&lt;keyword&gt;path analysis&lt;/keyword&gt;&lt;keyword&gt;multiple linear regression analysis&lt;/keyword&gt;&lt;keyword&gt;quality of life&lt;/keyword&gt;&lt;keyword&gt;biological variables&lt;/keyword&gt;&lt;keyword&gt;physiological variables&lt;/keyword&gt;&lt;keyword&gt;patient outcomes&lt;/keyword&gt;&lt;/keywords&gt;&lt;dates&gt;&lt;year&gt;1999&lt;/year&gt;&lt;/dates&gt;&lt;publisher&gt;Blackwell Science Ltd&lt;/publisher&gt;&lt;urls&gt;&lt;related-urls&gt;&lt;url&gt;http://dx.doi.org/10.1046/j.1365-2648.1999.00877.x &lt;/url&gt;&lt;/related-urls&gt;&lt;/urls&gt;&lt;/record&gt;&lt;/Cite&gt;&lt;/EndNote&gt;</w:instrText>
      </w:r>
      <w:r w:rsidRPr="00787196">
        <w:rPr>
          <w:rFonts w:cs="Arial"/>
          <w:szCs w:val="24"/>
        </w:rPr>
        <w:fldChar w:fldCharType="separate"/>
      </w:r>
      <w:r w:rsidRPr="00787196">
        <w:rPr>
          <w:rFonts w:cs="Arial"/>
          <w:szCs w:val="24"/>
        </w:rPr>
        <w:t>(Sousa et al., 1999)</w:t>
      </w:r>
      <w:r w:rsidRPr="00787196">
        <w:rPr>
          <w:rFonts w:cs="Arial"/>
          <w:szCs w:val="24"/>
        </w:rPr>
        <w:fldChar w:fldCharType="end"/>
      </w:r>
      <w:r w:rsidRPr="00787196">
        <w:rPr>
          <w:rFonts w:cs="Arial"/>
          <w:szCs w:val="24"/>
        </w:rPr>
        <w:t>.</w:t>
      </w:r>
      <w:r w:rsidR="00D915E5" w:rsidRPr="00787196">
        <w:rPr>
          <w:rFonts w:cs="Arial"/>
          <w:szCs w:val="24"/>
        </w:rPr>
        <w:t xml:space="preserve"> Whilst broadly compatible, the Wilson and Cleary model </w:t>
      </w:r>
      <w:r w:rsidR="008B7258" w:rsidRPr="00787196">
        <w:rPr>
          <w:rFonts w:cs="Arial"/>
          <w:szCs w:val="24"/>
        </w:rPr>
        <w:t>is more comprehensive than the L</w:t>
      </w:r>
      <w:r w:rsidR="00D915E5" w:rsidRPr="00787196">
        <w:rPr>
          <w:rFonts w:cs="Arial"/>
          <w:szCs w:val="24"/>
        </w:rPr>
        <w:t>ocker model in incorporating these characteristics.</w:t>
      </w:r>
    </w:p>
    <w:p w14:paraId="2D363705" w14:textId="77777777" w:rsidR="00220739" w:rsidRPr="00787196" w:rsidRDefault="00220739" w:rsidP="00220739">
      <w:pPr>
        <w:rPr>
          <w:rFonts w:cs="Arial"/>
          <w:szCs w:val="20"/>
        </w:rPr>
        <w:sectPr w:rsidR="00220739" w:rsidRPr="00787196" w:rsidSect="00BA200A">
          <w:footerReference w:type="first" r:id="rId14"/>
          <w:type w:val="nextColumn"/>
          <w:pgSz w:w="12240" w:h="15840"/>
          <w:pgMar w:top="1134" w:right="1467" w:bottom="993" w:left="2268" w:header="709" w:footer="0" w:gutter="0"/>
          <w:pgNumType w:start="1"/>
          <w:cols w:space="708"/>
          <w:titlePg/>
          <w:docGrid w:linePitch="360"/>
        </w:sectPr>
      </w:pPr>
    </w:p>
    <w:p w14:paraId="13E9896B" w14:textId="488D745E" w:rsidR="00220739" w:rsidRPr="00787196" w:rsidRDefault="00407764" w:rsidP="00220739">
      <w:pPr>
        <w:rPr>
          <w:rFonts w:cs="Arial"/>
          <w:bCs/>
          <w:szCs w:val="20"/>
        </w:rPr>
      </w:pPr>
      <w:r w:rsidRPr="00787196">
        <w:rPr>
          <w:noProof/>
        </w:rPr>
        <w:lastRenderedPageBreak/>
        <mc:AlternateContent>
          <mc:Choice Requires="wps">
            <w:drawing>
              <wp:anchor distT="0" distB="0" distL="114300" distR="114300" simplePos="0" relativeHeight="251595264" behindDoc="0" locked="0" layoutInCell="1" allowOverlap="1" wp14:anchorId="623687F2" wp14:editId="54F253D0">
                <wp:simplePos x="0" y="0"/>
                <wp:positionH relativeFrom="column">
                  <wp:posOffset>368300</wp:posOffset>
                </wp:positionH>
                <wp:positionV relativeFrom="paragraph">
                  <wp:posOffset>109220</wp:posOffset>
                </wp:positionV>
                <wp:extent cx="7765415" cy="409575"/>
                <wp:effectExtent l="0" t="0" r="6985"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5415" cy="409575"/>
                        </a:xfrm>
                        <a:prstGeom prst="rect">
                          <a:avLst/>
                        </a:prstGeom>
                        <a:solidFill>
                          <a:prstClr val="white"/>
                        </a:solidFill>
                        <a:ln>
                          <a:noFill/>
                        </a:ln>
                        <a:effectLst/>
                      </wps:spPr>
                      <wps:txbx>
                        <w:txbxContent>
                          <w:p w14:paraId="6893EECE" w14:textId="5DA7C3B1" w:rsidR="006E7D7A" w:rsidRPr="00DA071C" w:rsidRDefault="006E7D7A" w:rsidP="00DA071C">
                            <w:pPr>
                              <w:pStyle w:val="Caption"/>
                              <w:jc w:val="center"/>
                              <w:rPr>
                                <w:b/>
                                <w:bCs/>
                                <w:i w:val="0"/>
                                <w:iCs w:val="0"/>
                                <w:color w:val="auto"/>
                                <w:sz w:val="24"/>
                                <w:szCs w:val="28"/>
                              </w:rPr>
                            </w:pPr>
                            <w:bookmarkStart w:id="42" w:name="_Ref429957110"/>
                            <w:bookmarkStart w:id="43" w:name="_Toc470952859"/>
                            <w:bookmarkStart w:id="44" w:name="_Toc488655580"/>
                            <w:r w:rsidRPr="00DA071C">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Pr>
                                <w:b/>
                                <w:bCs/>
                                <w:i w:val="0"/>
                                <w:iCs w:val="0"/>
                                <w:color w:val="auto"/>
                                <w:sz w:val="24"/>
                                <w:szCs w:val="24"/>
                              </w:rPr>
                              <w:noBreakHyphen/>
                            </w:r>
                            <w:r>
                              <w:rPr>
                                <w:b/>
                                <w:bCs/>
                                <w:i w:val="0"/>
                                <w:iCs w:val="0"/>
                                <w:color w:val="auto"/>
                                <w:sz w:val="24"/>
                                <w:szCs w:val="24"/>
                              </w:rPr>
                              <w:fldChar w:fldCharType="begin"/>
                            </w:r>
                            <w:r>
                              <w:rPr>
                                <w:b/>
                                <w:bCs/>
                                <w:i w:val="0"/>
                                <w:iCs w:val="0"/>
                                <w:color w:val="auto"/>
                                <w:sz w:val="24"/>
                                <w:szCs w:val="24"/>
                              </w:rPr>
                              <w:instrText xml:space="preserve"> SEQ Figure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bookmarkEnd w:id="42"/>
                            <w:r w:rsidRPr="00DA071C">
                              <w:rPr>
                                <w:b/>
                                <w:bCs/>
                                <w:i w:val="0"/>
                                <w:iCs w:val="0"/>
                                <w:color w:val="auto"/>
                                <w:sz w:val="24"/>
                                <w:szCs w:val="24"/>
                              </w:rPr>
                              <w:t>. Wilson and Cleary model (1995)</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3687F2" id="Text Box 146" o:spid="_x0000_s1063" type="#_x0000_t202" style="position:absolute;left:0;text-align:left;margin-left:29pt;margin-top:8.6pt;width:611.45pt;height:3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" stroked="f">
                <v:path arrowok="t"/>
                <v:textbox inset="0,0,0,0">
                  <w:txbxContent>
                    <w:p w14:paraId="6893EECE" w14:textId="5DA7C3B1" w:rsidR="006E7D7A" w:rsidRPr="00DA071C" w:rsidRDefault="006E7D7A" w:rsidP="00DA071C">
                      <w:pPr>
                        <w:pStyle w:val="Caption"/>
                        <w:jc w:val="center"/>
                        <w:rPr>
                          <w:b/>
                          <w:bCs/>
                          <w:i w:val="0"/>
                          <w:iCs w:val="0"/>
                          <w:color w:val="auto"/>
                          <w:sz w:val="24"/>
                          <w:szCs w:val="28"/>
                        </w:rPr>
                      </w:pPr>
                      <w:bookmarkStart w:id="45" w:name="_Ref429957110"/>
                      <w:bookmarkStart w:id="46" w:name="_Toc470952859"/>
                      <w:bookmarkStart w:id="47" w:name="_Toc488655580"/>
                      <w:r w:rsidRPr="00DA071C">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Pr>
                          <w:b/>
                          <w:bCs/>
                          <w:i w:val="0"/>
                          <w:iCs w:val="0"/>
                          <w:color w:val="auto"/>
                          <w:sz w:val="24"/>
                          <w:szCs w:val="24"/>
                        </w:rPr>
                        <w:noBreakHyphen/>
                      </w:r>
                      <w:r>
                        <w:rPr>
                          <w:b/>
                          <w:bCs/>
                          <w:i w:val="0"/>
                          <w:iCs w:val="0"/>
                          <w:color w:val="auto"/>
                          <w:sz w:val="24"/>
                          <w:szCs w:val="24"/>
                        </w:rPr>
                        <w:fldChar w:fldCharType="begin"/>
                      </w:r>
                      <w:r>
                        <w:rPr>
                          <w:b/>
                          <w:bCs/>
                          <w:i w:val="0"/>
                          <w:iCs w:val="0"/>
                          <w:color w:val="auto"/>
                          <w:sz w:val="24"/>
                          <w:szCs w:val="24"/>
                        </w:rPr>
                        <w:instrText xml:space="preserve"> SEQ Figure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bookmarkEnd w:id="45"/>
                      <w:r w:rsidRPr="00DA071C">
                        <w:rPr>
                          <w:b/>
                          <w:bCs/>
                          <w:i w:val="0"/>
                          <w:iCs w:val="0"/>
                          <w:color w:val="auto"/>
                          <w:sz w:val="24"/>
                          <w:szCs w:val="24"/>
                        </w:rPr>
                        <w:t>. Wilson and Cleary model (1995)</w:t>
                      </w:r>
                      <w:bookmarkEnd w:id="46"/>
                      <w:bookmarkEnd w:id="47"/>
                    </w:p>
                  </w:txbxContent>
                </v:textbox>
              </v:shape>
            </w:pict>
          </mc:Fallback>
        </mc:AlternateContent>
      </w:r>
    </w:p>
    <w:p w14:paraId="0149961B" w14:textId="75B61422" w:rsidR="00220739" w:rsidRPr="00787196" w:rsidRDefault="000705AF" w:rsidP="00220739">
      <w:pPr>
        <w:rPr>
          <w:rFonts w:cs="Arial"/>
          <w:bCs/>
          <w:szCs w:val="20"/>
        </w:rPr>
      </w:pPr>
      <w:r w:rsidRPr="00787196">
        <w:rPr>
          <w:noProof/>
        </w:rPr>
        <mc:AlternateContent>
          <mc:Choice Requires="wpg">
            <w:drawing>
              <wp:anchor distT="0" distB="0" distL="114300" distR="114300" simplePos="0" relativeHeight="251593216" behindDoc="0" locked="0" layoutInCell="1" allowOverlap="1" wp14:anchorId="610A48AC" wp14:editId="6F863996">
                <wp:simplePos x="0" y="0"/>
                <wp:positionH relativeFrom="column">
                  <wp:posOffset>918210</wp:posOffset>
                </wp:positionH>
                <wp:positionV relativeFrom="paragraph">
                  <wp:posOffset>236855</wp:posOffset>
                </wp:positionV>
                <wp:extent cx="6810742" cy="3753134"/>
                <wp:effectExtent l="114300" t="114300" r="123825" b="114300"/>
                <wp:wrapNone/>
                <wp:docPr id="31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742" cy="3753134"/>
                          <a:chOff x="473" y="4264"/>
                          <a:chExt cx="15017" cy="4647"/>
                        </a:xfrm>
                        <a:solidFill>
                          <a:srgbClr val="1F497D">
                            <a:lumMod val="40000"/>
                            <a:lumOff val="60000"/>
                          </a:srgbClr>
                        </a:solidFill>
                        <a:effectLst>
                          <a:glow rad="101600">
                            <a:srgbClr val="4F81BD">
                              <a:lumMod val="60000"/>
                              <a:lumOff val="40000"/>
                              <a:alpha val="40000"/>
                            </a:srgbClr>
                          </a:glow>
                        </a:effectLst>
                      </wpg:grpSpPr>
                      <wps:wsp>
                        <wps:cNvPr id="312" name="Text Box 219"/>
                        <wps:cNvSpPr txBox="1">
                          <a:spLocks noChangeArrowheads="1"/>
                        </wps:cNvSpPr>
                        <wps:spPr bwMode="auto">
                          <a:xfrm>
                            <a:off x="10341" y="5806"/>
                            <a:ext cx="2024" cy="789"/>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50852F" w14:textId="77777777" w:rsidR="006E7D7A" w:rsidRPr="00367BC7" w:rsidRDefault="006E7D7A" w:rsidP="00D95CFA">
                              <w:pPr>
                                <w:spacing w:before="0" w:after="0" w:line="240" w:lineRule="auto"/>
                                <w:jc w:val="center"/>
                                <w:rPr>
                                  <w:bCs/>
                                  <w:sz w:val="20"/>
                                  <w:szCs w:val="20"/>
                                </w:rPr>
                              </w:pPr>
                              <w:r w:rsidRPr="00367BC7">
                                <w:rPr>
                                  <w:bCs/>
                                  <w:sz w:val="20"/>
                                  <w:szCs w:val="20"/>
                                </w:rPr>
                                <w:t xml:space="preserve">General </w:t>
                              </w:r>
                            </w:p>
                            <w:p w14:paraId="0C124FB1" w14:textId="77777777" w:rsidR="006E7D7A" w:rsidRPr="00367BC7" w:rsidRDefault="006E7D7A" w:rsidP="00D95CFA">
                              <w:pPr>
                                <w:spacing w:before="0" w:after="0" w:line="240" w:lineRule="auto"/>
                                <w:jc w:val="center"/>
                                <w:rPr>
                                  <w:bCs/>
                                  <w:sz w:val="20"/>
                                  <w:szCs w:val="20"/>
                                </w:rPr>
                              </w:pPr>
                              <w:r w:rsidRPr="00367BC7">
                                <w:rPr>
                                  <w:bCs/>
                                  <w:sz w:val="20"/>
                                  <w:szCs w:val="20"/>
                                </w:rPr>
                                <w:t>Health Perceptions</w:t>
                              </w:r>
                            </w:p>
                          </w:txbxContent>
                        </wps:txbx>
                        <wps:bodyPr rot="0" vert="horz" wrap="square" lIns="91440" tIns="45720" rIns="91440" bIns="45720" anchor="t" anchorCtr="0" upright="1">
                          <a:noAutofit/>
                        </wps:bodyPr>
                      </wps:wsp>
                      <wps:wsp>
                        <wps:cNvPr id="120" name="Text Box 220"/>
                        <wps:cNvSpPr txBox="1">
                          <a:spLocks noChangeArrowheads="1"/>
                        </wps:cNvSpPr>
                        <wps:spPr bwMode="auto">
                          <a:xfrm>
                            <a:off x="473" y="5795"/>
                            <a:ext cx="2331" cy="800"/>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22EDFD" w14:textId="77777777" w:rsidR="006E7D7A" w:rsidRPr="00367BC7" w:rsidRDefault="006E7D7A" w:rsidP="00D95CFA">
                              <w:pPr>
                                <w:shd w:val="clear" w:color="auto" w:fill="8DB3E2"/>
                                <w:spacing w:before="0" w:after="0" w:line="240" w:lineRule="auto"/>
                                <w:jc w:val="center"/>
                                <w:rPr>
                                  <w:bCs/>
                                  <w:sz w:val="20"/>
                                  <w:szCs w:val="20"/>
                                </w:rPr>
                              </w:pPr>
                              <w:r w:rsidRPr="00367BC7">
                                <w:rPr>
                                  <w:bCs/>
                                  <w:sz w:val="20"/>
                                  <w:szCs w:val="20"/>
                                </w:rPr>
                                <w:t>Biological and</w:t>
                              </w:r>
                            </w:p>
                            <w:p w14:paraId="2310DEED" w14:textId="77777777" w:rsidR="006E7D7A" w:rsidRPr="00367BC7" w:rsidRDefault="006E7D7A" w:rsidP="00D95CFA">
                              <w:pPr>
                                <w:shd w:val="clear" w:color="auto" w:fill="8DB3E2"/>
                                <w:spacing w:before="0" w:after="0" w:line="240" w:lineRule="auto"/>
                                <w:jc w:val="center"/>
                                <w:rPr>
                                  <w:bCs/>
                                  <w:sz w:val="20"/>
                                  <w:szCs w:val="20"/>
                                </w:rPr>
                              </w:pPr>
                              <w:r w:rsidRPr="00367BC7">
                                <w:rPr>
                                  <w:bCs/>
                                  <w:sz w:val="20"/>
                                  <w:szCs w:val="20"/>
                                </w:rPr>
                                <w:t>Physiological variables</w:t>
                              </w:r>
                            </w:p>
                          </w:txbxContent>
                        </wps:txbx>
                        <wps:bodyPr rot="0" vert="horz" wrap="square" lIns="91440" tIns="45720" rIns="91440" bIns="45720" anchor="t" anchorCtr="0" upright="1">
                          <a:noAutofit/>
                        </wps:bodyPr>
                      </wps:wsp>
                      <wps:wsp>
                        <wps:cNvPr id="122" name="Text Box 221"/>
                        <wps:cNvSpPr txBox="1">
                          <a:spLocks noChangeArrowheads="1"/>
                        </wps:cNvSpPr>
                        <wps:spPr bwMode="auto">
                          <a:xfrm>
                            <a:off x="3687" y="5908"/>
                            <a:ext cx="2157" cy="575"/>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459E74" w14:textId="77777777" w:rsidR="006E7D7A" w:rsidRPr="00367BC7" w:rsidRDefault="006E7D7A" w:rsidP="00D95CFA">
                              <w:pPr>
                                <w:spacing w:before="0" w:after="0" w:line="240" w:lineRule="auto"/>
                                <w:jc w:val="center"/>
                                <w:rPr>
                                  <w:bCs/>
                                  <w:sz w:val="20"/>
                                  <w:szCs w:val="20"/>
                                </w:rPr>
                              </w:pPr>
                              <w:r w:rsidRPr="00367BC7">
                                <w:rPr>
                                  <w:bCs/>
                                  <w:sz w:val="20"/>
                                  <w:szCs w:val="20"/>
                                </w:rPr>
                                <w:t>Symptom</w:t>
                              </w:r>
                            </w:p>
                            <w:p w14:paraId="03DCA13C" w14:textId="77777777" w:rsidR="006E7D7A" w:rsidRPr="00367BC7" w:rsidRDefault="006E7D7A" w:rsidP="00367BC7">
                              <w:pPr>
                                <w:spacing w:before="0" w:after="0"/>
                                <w:jc w:val="center"/>
                                <w:rPr>
                                  <w:bCs/>
                                  <w:sz w:val="20"/>
                                  <w:szCs w:val="20"/>
                                </w:rPr>
                              </w:pPr>
                              <w:r w:rsidRPr="00367BC7">
                                <w:rPr>
                                  <w:bCs/>
                                  <w:sz w:val="20"/>
                                  <w:szCs w:val="20"/>
                                </w:rPr>
                                <w:t>Status</w:t>
                              </w:r>
                            </w:p>
                          </w:txbxContent>
                        </wps:txbx>
                        <wps:bodyPr rot="0" vert="horz" wrap="square" lIns="91440" tIns="45720" rIns="91440" bIns="45720" anchor="t" anchorCtr="0" upright="1">
                          <a:noAutofit/>
                        </wps:bodyPr>
                      </wps:wsp>
                      <wps:wsp>
                        <wps:cNvPr id="124" name="Text Box 222"/>
                        <wps:cNvSpPr txBox="1">
                          <a:spLocks noChangeArrowheads="1"/>
                        </wps:cNvSpPr>
                        <wps:spPr bwMode="auto">
                          <a:xfrm>
                            <a:off x="6819" y="5908"/>
                            <a:ext cx="2160" cy="553"/>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2AE70B" w14:textId="77777777" w:rsidR="006E7D7A" w:rsidRPr="00367BC7" w:rsidRDefault="006E7D7A" w:rsidP="00D95CFA">
                              <w:pPr>
                                <w:spacing w:before="0" w:after="0" w:line="240" w:lineRule="auto"/>
                                <w:jc w:val="center"/>
                                <w:rPr>
                                  <w:bCs/>
                                  <w:sz w:val="20"/>
                                  <w:szCs w:val="20"/>
                                </w:rPr>
                              </w:pPr>
                              <w:r w:rsidRPr="00367BC7">
                                <w:rPr>
                                  <w:bCs/>
                                  <w:sz w:val="20"/>
                                  <w:szCs w:val="20"/>
                                </w:rPr>
                                <w:t>Functional</w:t>
                              </w:r>
                            </w:p>
                            <w:p w14:paraId="6CEE5B79" w14:textId="77777777" w:rsidR="006E7D7A" w:rsidRPr="00367BC7" w:rsidRDefault="006E7D7A" w:rsidP="00D95CFA">
                              <w:pPr>
                                <w:spacing w:before="0" w:after="0" w:line="240" w:lineRule="auto"/>
                                <w:jc w:val="center"/>
                                <w:rPr>
                                  <w:bCs/>
                                  <w:sz w:val="20"/>
                                  <w:szCs w:val="20"/>
                                </w:rPr>
                              </w:pPr>
                              <w:r w:rsidRPr="00367BC7">
                                <w:rPr>
                                  <w:bCs/>
                                  <w:sz w:val="20"/>
                                  <w:szCs w:val="20"/>
                                </w:rPr>
                                <w:t>Status</w:t>
                              </w:r>
                            </w:p>
                          </w:txbxContent>
                        </wps:txbx>
                        <wps:bodyPr rot="0" vert="horz" wrap="square" lIns="91440" tIns="45720" rIns="91440" bIns="45720" anchor="t" anchorCtr="0" upright="1">
                          <a:noAutofit/>
                        </wps:bodyPr>
                      </wps:wsp>
                      <wps:wsp>
                        <wps:cNvPr id="128" name="Text Box 223"/>
                        <wps:cNvSpPr txBox="1">
                          <a:spLocks noChangeArrowheads="1"/>
                        </wps:cNvSpPr>
                        <wps:spPr bwMode="auto">
                          <a:xfrm>
                            <a:off x="13378" y="8286"/>
                            <a:ext cx="1938" cy="625"/>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2DA162" w14:textId="77777777" w:rsidR="006E7D7A" w:rsidRPr="00367BC7" w:rsidRDefault="006E7D7A" w:rsidP="009A6867">
                              <w:pPr>
                                <w:spacing w:before="0" w:after="0"/>
                                <w:jc w:val="center"/>
                                <w:rPr>
                                  <w:bCs/>
                                  <w:sz w:val="20"/>
                                  <w:szCs w:val="20"/>
                                </w:rPr>
                              </w:pPr>
                              <w:r w:rsidRPr="00367BC7">
                                <w:rPr>
                                  <w:bCs/>
                                  <w:sz w:val="20"/>
                                  <w:szCs w:val="20"/>
                                </w:rPr>
                                <w:t>Non-medical</w:t>
                              </w:r>
                            </w:p>
                            <w:p w14:paraId="2C952816" w14:textId="77777777" w:rsidR="006E7D7A" w:rsidRPr="00367BC7" w:rsidRDefault="006E7D7A" w:rsidP="009A6867">
                              <w:pPr>
                                <w:spacing w:before="0" w:after="0"/>
                                <w:jc w:val="center"/>
                                <w:rPr>
                                  <w:b/>
                                  <w:sz w:val="20"/>
                                  <w:szCs w:val="20"/>
                                </w:rPr>
                              </w:pPr>
                              <w:r w:rsidRPr="00367BC7">
                                <w:rPr>
                                  <w:b/>
                                  <w:sz w:val="20"/>
                                  <w:szCs w:val="20"/>
                                </w:rPr>
                                <w:t>Factors</w:t>
                              </w:r>
                            </w:p>
                          </w:txbxContent>
                        </wps:txbx>
                        <wps:bodyPr rot="0" vert="horz" wrap="square" lIns="91440" tIns="45720" rIns="91440" bIns="45720" anchor="t" anchorCtr="0" upright="1">
                          <a:noAutofit/>
                        </wps:bodyPr>
                      </wps:wsp>
                      <wps:wsp>
                        <wps:cNvPr id="129" name="Text Box 224"/>
                        <wps:cNvSpPr txBox="1">
                          <a:spLocks noChangeArrowheads="1"/>
                        </wps:cNvSpPr>
                        <wps:spPr bwMode="auto">
                          <a:xfrm>
                            <a:off x="13189" y="5825"/>
                            <a:ext cx="2301" cy="789"/>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66C181" w14:textId="77777777" w:rsidR="006E7D7A" w:rsidRPr="00367BC7" w:rsidRDefault="006E7D7A" w:rsidP="00D95CFA">
                              <w:pPr>
                                <w:spacing w:before="0" w:after="0"/>
                                <w:jc w:val="center"/>
                                <w:rPr>
                                  <w:bCs/>
                                  <w:sz w:val="20"/>
                                  <w:szCs w:val="20"/>
                                </w:rPr>
                              </w:pPr>
                              <w:r w:rsidRPr="00367BC7">
                                <w:rPr>
                                  <w:bCs/>
                                  <w:sz w:val="20"/>
                                  <w:szCs w:val="20"/>
                                </w:rPr>
                                <w:t xml:space="preserve">Overall </w:t>
                              </w:r>
                            </w:p>
                            <w:p w14:paraId="061A4F01" w14:textId="77777777" w:rsidR="006E7D7A" w:rsidRPr="00367BC7" w:rsidRDefault="006E7D7A" w:rsidP="00D95CFA">
                              <w:pPr>
                                <w:spacing w:before="0" w:after="0"/>
                                <w:jc w:val="center"/>
                                <w:rPr>
                                  <w:bCs/>
                                  <w:sz w:val="20"/>
                                  <w:szCs w:val="20"/>
                                </w:rPr>
                              </w:pPr>
                              <w:r w:rsidRPr="00367BC7">
                                <w:rPr>
                                  <w:bCs/>
                                  <w:sz w:val="20"/>
                                  <w:szCs w:val="20"/>
                                </w:rPr>
                                <w:t>Quality of Life</w:t>
                              </w:r>
                            </w:p>
                          </w:txbxContent>
                        </wps:txbx>
                        <wps:bodyPr rot="0" vert="horz" wrap="square" lIns="91440" tIns="45720" rIns="91440" bIns="45720" anchor="t" anchorCtr="0" upright="1">
                          <a:noAutofit/>
                        </wps:bodyPr>
                      </wps:wsp>
                      <wps:wsp>
                        <wps:cNvPr id="130" name="Text Box 225"/>
                        <wps:cNvSpPr txBox="1">
                          <a:spLocks noChangeArrowheads="1"/>
                        </wps:cNvSpPr>
                        <wps:spPr bwMode="auto">
                          <a:xfrm>
                            <a:off x="6752" y="7889"/>
                            <a:ext cx="2406" cy="634"/>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C41463" w14:textId="77777777" w:rsidR="006E7D7A" w:rsidRPr="00367BC7" w:rsidRDefault="006E7D7A" w:rsidP="009A6867">
                              <w:pPr>
                                <w:spacing w:before="0" w:after="0"/>
                                <w:jc w:val="center"/>
                                <w:rPr>
                                  <w:bCs/>
                                  <w:sz w:val="20"/>
                                  <w:szCs w:val="20"/>
                                </w:rPr>
                              </w:pPr>
                              <w:r w:rsidRPr="00367BC7">
                                <w:rPr>
                                  <w:bCs/>
                                  <w:sz w:val="20"/>
                                  <w:szCs w:val="20"/>
                                </w:rPr>
                                <w:t>Environmental factors</w:t>
                              </w:r>
                            </w:p>
                          </w:txbxContent>
                        </wps:txbx>
                        <wps:bodyPr rot="0" vert="horz" wrap="square" lIns="91440" tIns="45720" rIns="91440" bIns="45720" anchor="t" anchorCtr="0" upright="1">
                          <a:noAutofit/>
                        </wps:bodyPr>
                      </wps:wsp>
                      <wps:wsp>
                        <wps:cNvPr id="131" name="Line 226"/>
                        <wps:cNvCnPr>
                          <a:stCxn id="120" idx="3"/>
                          <a:endCxn id="122" idx="1"/>
                        </wps:cNvCnPr>
                        <wps:spPr bwMode="auto">
                          <a:xfrm>
                            <a:off x="2804" y="6195"/>
                            <a:ext cx="883" cy="1"/>
                          </a:xfrm>
                          <a:prstGeom prst="line">
                            <a:avLst/>
                          </a:prstGeom>
                          <a:solidFill>
                            <a:srgbClr val="1F497D">
                              <a:lumMod val="40000"/>
                              <a:lumOff val="60000"/>
                            </a:srgbClr>
                          </a:solidFill>
                          <a:ln w="12700">
                            <a:solidFill>
                              <a:srgbClr val="000000"/>
                            </a:solidFill>
                            <a:round/>
                            <a:headEnd/>
                            <a:tailEnd type="triangle" w="med" len="med"/>
                          </a:ln>
                          <a:extLst/>
                        </wps:spPr>
                        <wps:bodyPr/>
                      </wps:wsp>
                      <wps:wsp>
                        <wps:cNvPr id="132" name="Line 228"/>
                        <wps:cNvCnPr>
                          <a:stCxn id="130" idx="0"/>
                          <a:endCxn id="124" idx="2"/>
                        </wps:cNvCnPr>
                        <wps:spPr bwMode="auto">
                          <a:xfrm flipH="1" flipV="1">
                            <a:off x="7899" y="6461"/>
                            <a:ext cx="57" cy="1428"/>
                          </a:xfrm>
                          <a:prstGeom prst="line">
                            <a:avLst/>
                          </a:prstGeom>
                          <a:grpFill/>
                          <a:ln w="12700">
                            <a:solidFill>
                              <a:srgbClr val="000000"/>
                            </a:solidFill>
                            <a:round/>
                            <a:headEnd/>
                            <a:tailEnd type="triangle" w="med" len="med"/>
                          </a:ln>
                          <a:extLst/>
                        </wps:spPr>
                        <wps:bodyPr/>
                      </wps:wsp>
                      <wps:wsp>
                        <wps:cNvPr id="133" name="Line 229"/>
                        <wps:cNvCnPr>
                          <a:stCxn id="124" idx="0"/>
                        </wps:cNvCnPr>
                        <wps:spPr bwMode="auto">
                          <a:xfrm flipH="1" flipV="1">
                            <a:off x="7848" y="4623"/>
                            <a:ext cx="52" cy="1285"/>
                          </a:xfrm>
                          <a:prstGeom prst="line">
                            <a:avLst/>
                          </a:prstGeom>
                          <a:solidFill>
                            <a:srgbClr val="1F497D">
                              <a:lumMod val="40000"/>
                              <a:lumOff val="60000"/>
                            </a:srgbClr>
                          </a:solidFill>
                          <a:ln w="12700">
                            <a:solidFill>
                              <a:srgbClr val="000000"/>
                            </a:solidFill>
                            <a:round/>
                            <a:headEnd type="triangle" w="med" len="med"/>
                            <a:tailEnd/>
                          </a:ln>
                          <a:extLst/>
                        </wps:spPr>
                        <wps:bodyPr/>
                      </wps:wsp>
                      <wps:wsp>
                        <wps:cNvPr id="135" name="Line 230"/>
                        <wps:cNvCnPr>
                          <a:stCxn id="144" idx="2"/>
                          <a:endCxn id="312" idx="0"/>
                        </wps:cNvCnPr>
                        <wps:spPr bwMode="auto">
                          <a:xfrm>
                            <a:off x="7848" y="4623"/>
                            <a:ext cx="3506" cy="1183"/>
                          </a:xfrm>
                          <a:prstGeom prst="line">
                            <a:avLst/>
                          </a:prstGeom>
                          <a:grpFill/>
                          <a:ln w="12700">
                            <a:solidFill>
                              <a:srgbClr val="000000"/>
                            </a:solidFill>
                            <a:round/>
                            <a:headEnd/>
                            <a:tailEnd type="triangle" w="med" len="med"/>
                          </a:ln>
                          <a:extLst/>
                        </wps:spPr>
                        <wps:bodyPr/>
                      </wps:wsp>
                      <wps:wsp>
                        <wps:cNvPr id="136" name="Line 231"/>
                        <wps:cNvCnPr>
                          <a:stCxn id="128" idx="0"/>
                          <a:endCxn id="129" idx="2"/>
                        </wps:cNvCnPr>
                        <wps:spPr bwMode="auto">
                          <a:xfrm flipH="1" flipV="1">
                            <a:off x="14340" y="6614"/>
                            <a:ext cx="7" cy="1672"/>
                          </a:xfrm>
                          <a:prstGeom prst="line">
                            <a:avLst/>
                          </a:prstGeom>
                          <a:grpFill/>
                          <a:ln w="12700">
                            <a:solidFill>
                              <a:srgbClr val="000000"/>
                            </a:solidFill>
                            <a:round/>
                            <a:headEnd/>
                            <a:tailEnd type="triangle" w="med" len="med"/>
                          </a:ln>
                          <a:extLst/>
                        </wps:spPr>
                        <wps:bodyPr/>
                      </wps:wsp>
                      <wps:wsp>
                        <wps:cNvPr id="137" name="Line 232"/>
                        <wps:cNvCnPr>
                          <a:stCxn id="144" idx="3"/>
                          <a:endCxn id="129" idx="0"/>
                        </wps:cNvCnPr>
                        <wps:spPr bwMode="auto">
                          <a:xfrm>
                            <a:off x="9159" y="4444"/>
                            <a:ext cx="5180" cy="1381"/>
                          </a:xfrm>
                          <a:prstGeom prst="line">
                            <a:avLst/>
                          </a:prstGeom>
                          <a:grpFill/>
                          <a:ln w="12700">
                            <a:solidFill>
                              <a:srgbClr val="000000"/>
                            </a:solidFill>
                            <a:round/>
                            <a:headEnd/>
                            <a:tailEnd type="triangle" w="med" len="med"/>
                          </a:ln>
                          <a:extLst/>
                        </wps:spPr>
                        <wps:bodyPr/>
                      </wps:wsp>
                      <wps:wsp>
                        <wps:cNvPr id="138" name="Line 233"/>
                        <wps:cNvCnPr>
                          <a:stCxn id="130" idx="3"/>
                          <a:endCxn id="129" idx="2"/>
                        </wps:cNvCnPr>
                        <wps:spPr bwMode="auto">
                          <a:xfrm flipV="1">
                            <a:off x="9158" y="6614"/>
                            <a:ext cx="5181" cy="1592"/>
                          </a:xfrm>
                          <a:prstGeom prst="line">
                            <a:avLst/>
                          </a:prstGeom>
                          <a:grpFill/>
                          <a:ln w="12700">
                            <a:solidFill>
                              <a:srgbClr val="000000"/>
                            </a:solidFill>
                            <a:round/>
                            <a:headEnd/>
                            <a:tailEnd type="triangle" w="med" len="med"/>
                          </a:ln>
                          <a:extLst/>
                        </wps:spPr>
                        <wps:bodyPr/>
                      </wps:wsp>
                      <wps:wsp>
                        <wps:cNvPr id="139" name="Line 234"/>
                        <wps:cNvCnPr>
                          <a:stCxn id="130" idx="1"/>
                          <a:endCxn id="122" idx="2"/>
                        </wps:cNvCnPr>
                        <wps:spPr bwMode="auto">
                          <a:xfrm flipH="1" flipV="1">
                            <a:off x="4765" y="6483"/>
                            <a:ext cx="1987" cy="1723"/>
                          </a:xfrm>
                          <a:prstGeom prst="line">
                            <a:avLst/>
                          </a:prstGeom>
                          <a:grpFill/>
                          <a:ln w="12700">
                            <a:solidFill>
                              <a:srgbClr val="000000"/>
                            </a:solidFill>
                            <a:round/>
                            <a:headEnd/>
                            <a:tailEnd type="triangle" w="med" len="med"/>
                          </a:ln>
                          <a:extLst/>
                        </wps:spPr>
                        <wps:bodyPr/>
                      </wps:wsp>
                      <wps:wsp>
                        <wps:cNvPr id="140" name="Line 235"/>
                        <wps:cNvCnPr>
                          <a:stCxn id="144" idx="1"/>
                          <a:endCxn id="122" idx="0"/>
                        </wps:cNvCnPr>
                        <wps:spPr bwMode="auto">
                          <a:xfrm flipH="1">
                            <a:off x="4766" y="4443"/>
                            <a:ext cx="1770" cy="1465"/>
                          </a:xfrm>
                          <a:prstGeom prst="line">
                            <a:avLst/>
                          </a:prstGeom>
                          <a:grpFill/>
                          <a:ln w="12700">
                            <a:solidFill>
                              <a:srgbClr val="000000"/>
                            </a:solidFill>
                            <a:round/>
                            <a:headEnd/>
                            <a:tailEnd type="triangle" w="med" len="med"/>
                          </a:ln>
                          <a:extLst/>
                        </wps:spPr>
                        <wps:bodyPr/>
                      </wps:wsp>
                      <wps:wsp>
                        <wps:cNvPr id="141" name="Line 236"/>
                        <wps:cNvCnPr>
                          <a:stCxn id="124" idx="3"/>
                          <a:endCxn id="312" idx="1"/>
                        </wps:cNvCnPr>
                        <wps:spPr bwMode="auto">
                          <a:xfrm>
                            <a:off x="8979" y="6185"/>
                            <a:ext cx="1362" cy="16"/>
                          </a:xfrm>
                          <a:prstGeom prst="line">
                            <a:avLst/>
                          </a:prstGeom>
                          <a:grpFill/>
                          <a:ln w="12700">
                            <a:solidFill>
                              <a:srgbClr val="000000"/>
                            </a:solidFill>
                            <a:round/>
                            <a:headEnd/>
                            <a:tailEnd type="triangle" w="med" len="med"/>
                          </a:ln>
                          <a:extLst/>
                        </wps:spPr>
                        <wps:bodyPr/>
                      </wps:wsp>
                      <wps:wsp>
                        <wps:cNvPr id="142" name="Line 237"/>
                        <wps:cNvCnPr>
                          <a:stCxn id="312" idx="2"/>
                          <a:endCxn id="130" idx="0"/>
                        </wps:cNvCnPr>
                        <wps:spPr bwMode="auto">
                          <a:xfrm flipH="1">
                            <a:off x="7956" y="6595"/>
                            <a:ext cx="3397" cy="1294"/>
                          </a:xfrm>
                          <a:prstGeom prst="line">
                            <a:avLst/>
                          </a:prstGeom>
                          <a:grpFill/>
                          <a:ln w="12700">
                            <a:solidFill>
                              <a:srgbClr val="000000"/>
                            </a:solidFill>
                            <a:round/>
                            <a:headEnd type="triangle" w="med" len="med"/>
                            <a:tailEnd/>
                          </a:ln>
                          <a:extLst/>
                        </wps:spPr>
                        <wps:bodyPr/>
                      </wps:wsp>
                      <wps:wsp>
                        <wps:cNvPr id="143" name="Line 238"/>
                        <wps:cNvCnPr>
                          <a:stCxn id="312" idx="3"/>
                          <a:endCxn id="129" idx="1"/>
                        </wps:cNvCnPr>
                        <wps:spPr bwMode="auto">
                          <a:xfrm>
                            <a:off x="12365" y="6201"/>
                            <a:ext cx="824" cy="19"/>
                          </a:xfrm>
                          <a:prstGeom prst="line">
                            <a:avLst/>
                          </a:prstGeom>
                          <a:grpFill/>
                          <a:ln w="12700">
                            <a:solidFill>
                              <a:srgbClr val="000000"/>
                            </a:solidFill>
                            <a:round/>
                            <a:headEnd/>
                            <a:tailEnd type="triangle" w="med" len="med"/>
                          </a:ln>
                          <a:extLst/>
                        </wps:spPr>
                        <wps:bodyPr/>
                      </wps:wsp>
                      <wps:wsp>
                        <wps:cNvPr id="144" name="Text Box 239"/>
                        <wps:cNvSpPr txBox="1">
                          <a:spLocks noChangeArrowheads="1"/>
                        </wps:cNvSpPr>
                        <wps:spPr bwMode="auto">
                          <a:xfrm>
                            <a:off x="6536" y="4264"/>
                            <a:ext cx="2623" cy="359"/>
                          </a:xfrm>
                          <a:prstGeom prst="rect">
                            <a:avLst/>
                          </a:prstGeom>
                          <a:gr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668CE4" w14:textId="77D1F7C6" w:rsidR="006E7D7A" w:rsidRPr="00367BC7" w:rsidRDefault="006E7D7A" w:rsidP="009A6867">
                              <w:pPr>
                                <w:spacing w:before="0" w:after="0"/>
                                <w:jc w:val="center"/>
                                <w:rPr>
                                  <w:bCs/>
                                  <w:sz w:val="20"/>
                                  <w:szCs w:val="20"/>
                                </w:rPr>
                              </w:pPr>
                              <w:r w:rsidRPr="00367BC7">
                                <w:rPr>
                                  <w:bCs/>
                                  <w:sz w:val="20"/>
                                  <w:szCs w:val="20"/>
                                </w:rPr>
                                <w:t>Individual factors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A48AC" id="Group 581" o:spid="_x0000_s1064" style="position:absolute;left:0;text-align:left;margin-left:72.3pt;margin-top:18.65pt;width:536.3pt;height:295.5pt;z-index:251593216" coordorigin="473,4264" coordsize="15017,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">
                <v:shape id="_x0000_s1065" type="#_x0000_t202" style="position:absolute;left:10341;top:5806;width:2024;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14:paraId="6050852F" w14:textId="77777777" w:rsidR="006E7D7A" w:rsidRPr="00367BC7" w:rsidRDefault="006E7D7A" w:rsidP="00D95CFA">
                        <w:pPr>
                          <w:spacing w:before="0" w:after="0" w:line="240" w:lineRule="auto"/>
                          <w:jc w:val="center"/>
                          <w:rPr>
                            <w:bCs/>
                            <w:sz w:val="20"/>
                            <w:szCs w:val="20"/>
                          </w:rPr>
                        </w:pPr>
                        <w:r w:rsidRPr="00367BC7">
                          <w:rPr>
                            <w:bCs/>
                            <w:sz w:val="20"/>
                            <w:szCs w:val="20"/>
                          </w:rPr>
                          <w:t xml:space="preserve">General </w:t>
                        </w:r>
                      </w:p>
                      <w:p w14:paraId="0C124FB1" w14:textId="77777777" w:rsidR="006E7D7A" w:rsidRPr="00367BC7" w:rsidRDefault="006E7D7A" w:rsidP="00D95CFA">
                        <w:pPr>
                          <w:spacing w:before="0" w:after="0" w:line="240" w:lineRule="auto"/>
                          <w:jc w:val="center"/>
                          <w:rPr>
                            <w:bCs/>
                            <w:sz w:val="20"/>
                            <w:szCs w:val="20"/>
                          </w:rPr>
                        </w:pPr>
                        <w:r w:rsidRPr="00367BC7">
                          <w:rPr>
                            <w:bCs/>
                            <w:sz w:val="20"/>
                            <w:szCs w:val="20"/>
                          </w:rPr>
                          <w:t>Health Perceptions</w:t>
                        </w:r>
                      </w:p>
                    </w:txbxContent>
                  </v:textbox>
                </v:shape>
                <v:shape id="_x0000_s1066" type="#_x0000_t202" style="position:absolute;left:473;top:5795;width:233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14:paraId="3C22EDFD" w14:textId="77777777" w:rsidR="006E7D7A" w:rsidRPr="00367BC7" w:rsidRDefault="006E7D7A" w:rsidP="00D95CFA">
                        <w:pPr>
                          <w:shd w:val="clear" w:color="auto" w:fill="8DB3E2"/>
                          <w:spacing w:before="0" w:after="0" w:line="240" w:lineRule="auto"/>
                          <w:jc w:val="center"/>
                          <w:rPr>
                            <w:bCs/>
                            <w:sz w:val="20"/>
                            <w:szCs w:val="20"/>
                          </w:rPr>
                        </w:pPr>
                        <w:r w:rsidRPr="00367BC7">
                          <w:rPr>
                            <w:bCs/>
                            <w:sz w:val="20"/>
                            <w:szCs w:val="20"/>
                          </w:rPr>
                          <w:t>Biological and</w:t>
                        </w:r>
                      </w:p>
                      <w:p w14:paraId="2310DEED" w14:textId="77777777" w:rsidR="006E7D7A" w:rsidRPr="00367BC7" w:rsidRDefault="006E7D7A" w:rsidP="00D95CFA">
                        <w:pPr>
                          <w:shd w:val="clear" w:color="auto" w:fill="8DB3E2"/>
                          <w:spacing w:before="0" w:after="0" w:line="240" w:lineRule="auto"/>
                          <w:jc w:val="center"/>
                          <w:rPr>
                            <w:bCs/>
                            <w:sz w:val="20"/>
                            <w:szCs w:val="20"/>
                          </w:rPr>
                        </w:pPr>
                        <w:r w:rsidRPr="00367BC7">
                          <w:rPr>
                            <w:bCs/>
                            <w:sz w:val="20"/>
                            <w:szCs w:val="20"/>
                          </w:rPr>
                          <w:t>Physiological variables</w:t>
                        </w:r>
                      </w:p>
                    </w:txbxContent>
                  </v:textbox>
                </v:shape>
                <v:shape id="Text Box 221" o:spid="_x0000_s1067" type="#_x0000_t202" style="position:absolute;left:3687;top:5908;width:215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14:paraId="42459E74" w14:textId="77777777" w:rsidR="006E7D7A" w:rsidRPr="00367BC7" w:rsidRDefault="006E7D7A" w:rsidP="00D95CFA">
                        <w:pPr>
                          <w:spacing w:before="0" w:after="0" w:line="240" w:lineRule="auto"/>
                          <w:jc w:val="center"/>
                          <w:rPr>
                            <w:bCs/>
                            <w:sz w:val="20"/>
                            <w:szCs w:val="20"/>
                          </w:rPr>
                        </w:pPr>
                        <w:r w:rsidRPr="00367BC7">
                          <w:rPr>
                            <w:bCs/>
                            <w:sz w:val="20"/>
                            <w:szCs w:val="20"/>
                          </w:rPr>
                          <w:t>Symptom</w:t>
                        </w:r>
                      </w:p>
                      <w:p w14:paraId="03DCA13C" w14:textId="77777777" w:rsidR="006E7D7A" w:rsidRPr="00367BC7" w:rsidRDefault="006E7D7A" w:rsidP="00367BC7">
                        <w:pPr>
                          <w:spacing w:before="0" w:after="0"/>
                          <w:jc w:val="center"/>
                          <w:rPr>
                            <w:bCs/>
                            <w:sz w:val="20"/>
                            <w:szCs w:val="20"/>
                          </w:rPr>
                        </w:pPr>
                        <w:r w:rsidRPr="00367BC7">
                          <w:rPr>
                            <w:bCs/>
                            <w:sz w:val="20"/>
                            <w:szCs w:val="20"/>
                          </w:rPr>
                          <w:t>Status</w:t>
                        </w:r>
                      </w:p>
                    </w:txbxContent>
                  </v:textbox>
                </v:shape>
                <v:shape id="Text Box 222" o:spid="_x0000_s1068" type="#_x0000_t202" style="position:absolute;left:6819;top:5908;width:216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14:paraId="342AE70B" w14:textId="77777777" w:rsidR="006E7D7A" w:rsidRPr="00367BC7" w:rsidRDefault="006E7D7A" w:rsidP="00D95CFA">
                        <w:pPr>
                          <w:spacing w:before="0" w:after="0" w:line="240" w:lineRule="auto"/>
                          <w:jc w:val="center"/>
                          <w:rPr>
                            <w:bCs/>
                            <w:sz w:val="20"/>
                            <w:szCs w:val="20"/>
                          </w:rPr>
                        </w:pPr>
                        <w:r w:rsidRPr="00367BC7">
                          <w:rPr>
                            <w:bCs/>
                            <w:sz w:val="20"/>
                            <w:szCs w:val="20"/>
                          </w:rPr>
                          <w:t>Functional</w:t>
                        </w:r>
                      </w:p>
                      <w:p w14:paraId="6CEE5B79" w14:textId="77777777" w:rsidR="006E7D7A" w:rsidRPr="00367BC7" w:rsidRDefault="006E7D7A" w:rsidP="00D95CFA">
                        <w:pPr>
                          <w:spacing w:before="0" w:after="0" w:line="240" w:lineRule="auto"/>
                          <w:jc w:val="center"/>
                          <w:rPr>
                            <w:bCs/>
                            <w:sz w:val="20"/>
                            <w:szCs w:val="20"/>
                          </w:rPr>
                        </w:pPr>
                        <w:r w:rsidRPr="00367BC7">
                          <w:rPr>
                            <w:bCs/>
                            <w:sz w:val="20"/>
                            <w:szCs w:val="20"/>
                          </w:rPr>
                          <w:t>Status</w:t>
                        </w:r>
                      </w:p>
                    </w:txbxContent>
                  </v:textbox>
                </v:shape>
                <v:shape id="Text Box 223" o:spid="_x0000_s1069" type="#_x0000_t202" style="position:absolute;left:13378;top:8286;width:193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14:paraId="772DA162" w14:textId="77777777" w:rsidR="006E7D7A" w:rsidRPr="00367BC7" w:rsidRDefault="006E7D7A" w:rsidP="009A6867">
                        <w:pPr>
                          <w:spacing w:before="0" w:after="0"/>
                          <w:jc w:val="center"/>
                          <w:rPr>
                            <w:bCs/>
                            <w:sz w:val="20"/>
                            <w:szCs w:val="20"/>
                          </w:rPr>
                        </w:pPr>
                        <w:r w:rsidRPr="00367BC7">
                          <w:rPr>
                            <w:bCs/>
                            <w:sz w:val="20"/>
                            <w:szCs w:val="20"/>
                          </w:rPr>
                          <w:t>Non-medical</w:t>
                        </w:r>
                      </w:p>
                      <w:p w14:paraId="2C952816" w14:textId="77777777" w:rsidR="006E7D7A" w:rsidRPr="00367BC7" w:rsidRDefault="006E7D7A" w:rsidP="009A6867">
                        <w:pPr>
                          <w:spacing w:before="0" w:after="0"/>
                          <w:jc w:val="center"/>
                          <w:rPr>
                            <w:b/>
                            <w:sz w:val="20"/>
                            <w:szCs w:val="20"/>
                          </w:rPr>
                        </w:pPr>
                        <w:r w:rsidRPr="00367BC7">
                          <w:rPr>
                            <w:b/>
                            <w:sz w:val="20"/>
                            <w:szCs w:val="20"/>
                          </w:rPr>
                          <w:t>Factors</w:t>
                        </w:r>
                      </w:p>
                    </w:txbxContent>
                  </v:textbox>
                </v:shape>
                <v:shape id="Text Box 224" o:spid="_x0000_s1070" type="#_x0000_t202" style="position:absolute;left:13189;top:5825;width:2301;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14:paraId="4966C181" w14:textId="77777777" w:rsidR="006E7D7A" w:rsidRPr="00367BC7" w:rsidRDefault="006E7D7A" w:rsidP="00D95CFA">
                        <w:pPr>
                          <w:spacing w:before="0" w:after="0"/>
                          <w:jc w:val="center"/>
                          <w:rPr>
                            <w:bCs/>
                            <w:sz w:val="20"/>
                            <w:szCs w:val="20"/>
                          </w:rPr>
                        </w:pPr>
                        <w:r w:rsidRPr="00367BC7">
                          <w:rPr>
                            <w:bCs/>
                            <w:sz w:val="20"/>
                            <w:szCs w:val="20"/>
                          </w:rPr>
                          <w:t xml:space="preserve">Overall </w:t>
                        </w:r>
                      </w:p>
                      <w:p w14:paraId="061A4F01" w14:textId="77777777" w:rsidR="006E7D7A" w:rsidRPr="00367BC7" w:rsidRDefault="006E7D7A" w:rsidP="00D95CFA">
                        <w:pPr>
                          <w:spacing w:before="0" w:after="0"/>
                          <w:jc w:val="center"/>
                          <w:rPr>
                            <w:bCs/>
                            <w:sz w:val="20"/>
                            <w:szCs w:val="20"/>
                          </w:rPr>
                        </w:pPr>
                        <w:r w:rsidRPr="00367BC7">
                          <w:rPr>
                            <w:bCs/>
                            <w:sz w:val="20"/>
                            <w:szCs w:val="20"/>
                          </w:rPr>
                          <w:t>Quality of Life</w:t>
                        </w:r>
                      </w:p>
                    </w:txbxContent>
                  </v:textbox>
                </v:shape>
                <v:shape id="Text Box 225" o:spid="_x0000_s1071" type="#_x0000_t202" style="position:absolute;left:6752;top:7889;width:2406;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7DC41463" w14:textId="77777777" w:rsidR="006E7D7A" w:rsidRPr="00367BC7" w:rsidRDefault="006E7D7A" w:rsidP="009A6867">
                        <w:pPr>
                          <w:spacing w:before="0" w:after="0"/>
                          <w:jc w:val="center"/>
                          <w:rPr>
                            <w:bCs/>
                            <w:sz w:val="20"/>
                            <w:szCs w:val="20"/>
                          </w:rPr>
                        </w:pPr>
                        <w:r w:rsidRPr="00367BC7">
                          <w:rPr>
                            <w:bCs/>
                            <w:sz w:val="20"/>
                            <w:szCs w:val="20"/>
                          </w:rPr>
                          <w:t>Environmental factors</w:t>
                        </w:r>
                      </w:p>
                    </w:txbxContent>
                  </v:textbox>
                </v:shape>
                <v:line id="Line 226" o:spid="_x0000_s1072" style="position:absolute;visibility:visible;mso-wrap-style:square" from="2804,6195" to="3687,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vDsIAAADcAAAADwAAAGRycy9kb3ducmV2LnhtbERPS4vCMBC+C/sfwix4EU2rIFqNsrus&#10;0MuCL/A6NGNbbCYlibb++83Cgrf5+J6z3vamEQ9yvrasIJ0kIIgLq2suFZxPu/EChA/IGhvLpOBJ&#10;Hrabt8EaM207PtDjGEoRQ9hnqKAKoc2k9EVFBv3EtsSRu1pnMEToSqkddjHcNHKaJHNpsObYUGFL&#10;XxUVt+PdKNhj/XN/7ma5OxTfy/Sz3F/yUafU8L3/WIEI1IeX+N+d6zh/lsLfM/EC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vDsIAAADcAAAADwAAAAAAAAAAAAAA&#10;AAChAgAAZHJzL2Rvd25yZXYueG1sUEsFBgAAAAAEAAQA+QAAAJADAAAAAA==&#10;" filled="t" fillcolor="#8eb4e3" strokeweight="1pt">
                  <v:stroke endarrow="block"/>
                </v:line>
                <v:line id="Line 228" o:spid="_x0000_s1073" style="position:absolute;flip:x y;visibility:visible;mso-wrap-style:square" from="7899,6461" to="7956,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ASsEAAADcAAAADwAAAGRycy9kb3ducmV2LnhtbERPTWsCMRC9F/ofwgheRLOuRWU1Si0K&#10;HnpxWzwPmzG7uJksm1TTf98IQm/zeJ+z3kbbihv1vnGsYDrJQBBXTjdsFHx/HcZLED4ga2wdk4Jf&#10;8rDdvL6ssdDuzie6lcGIFMK+QAV1CF0hpa9qsugnriNO3MX1FkOCvZG6x3sKt63Ms2wuLTacGmrs&#10;6KOm6lr+WAUHtzP7s1m8dfEcPvUo2qsZ5UoNB/F9BSJQDP/ip/uo0/xZDo9n0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XIBKwQAAANwAAAAPAAAAAAAAAAAAAAAA&#10;AKECAABkcnMvZG93bnJldi54bWxQSwUGAAAAAAQABAD5AAAAjwMAAAAA&#10;" strokeweight="1pt">
                  <v:stroke endarrow="block"/>
                </v:line>
                <v:line id="Line 229" o:spid="_x0000_s1074" style="position:absolute;flip:x y;visibility:visible;mso-wrap-style:square" from="7848,4623" to="7900,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XfMEAAADcAAAADwAAAGRycy9kb3ducmV2LnhtbERPTWvCQBC9C/6HZQRvurGC2tQ1SEux&#10;1xp76G3ITrOh2dmwuzHx37uFgrd5vM/ZF6NtxZV8aBwrWC0zEMSV0w3XCi7l+2IHIkRkja1jUnCj&#10;AMVhOtljrt3An3Q9x1qkEA45KjAxdrmUoTJkMSxdR5y4H+ctxgR9LbXHIYXbVj5l2UZabDg1GOzo&#10;1VD1e+6tAr9785f+pDdfW9N+10Msx+a5VGo+G48vICKN8SH+d3/oNH+9hr9n0gXy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Jd8wQAAANwAAAAPAAAAAAAAAAAAAAAA&#10;AKECAABkcnMvZG93bnJldi54bWxQSwUGAAAAAAQABAD5AAAAjwMAAAAA&#10;" filled="t" fillcolor="#8eb4e3" strokeweight="1pt">
                  <v:stroke startarrow="block"/>
                </v:line>
                <v:line id="Line 230" o:spid="_x0000_s1075" style="position:absolute;visibility:visible;mso-wrap-style:square" from="7848,4623" to="11354,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kcEAAADcAAAADwAAAGRycy9kb3ducmV2LnhtbERPTYvCMBC9C/6HMAveNF1FXbpGEUFR&#10;D4J1RfY2NLNt2WZSmljrvzeC4G0e73Nmi9aUoqHaFZYVfA4iEMSp1QVnCn5O6/4XCOeRNZaWScGd&#10;HCzm3c4MY21vfKQm8ZkIIexiVJB7X8VSujQng25gK+LA/dnaoA+wzqSu8RbCTSmHUTSRBgsODTlW&#10;tMop/U+uRkHauMZMh5edXNNp0/4e7HmfWaV6H+3yG4Sn1r/FL/dWh/mjM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RCCRwQAAANwAAAAPAAAAAAAAAAAAAAAA&#10;AKECAABkcnMvZG93bnJldi54bWxQSwUGAAAAAAQABAD5AAAAjwMAAAAA&#10;" strokeweight="1pt">
                  <v:stroke endarrow="block"/>
                </v:line>
                <v:line id="Line 231" o:spid="_x0000_s1076" style="position:absolute;flip:x y;visibility:visible;mso-wrap-style:square" from="14340,6614" to="1434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GScEAAADcAAAADwAAAGRycy9kb3ducmV2LnhtbERPS4vCMBC+C/sfwgh7EU19oFKNsi4r&#10;ePCiu3gemjEtNpPSZDX+eyMI3ubje85yHW0trtT6yrGC4SADQVw4XbFR8Pe77c9B+ICssXZMCu7k&#10;Yb366Cwx1+7GB7oegxEphH2OCsoQmlxKX5Rk0Q9cQ5y4s2sthgRbI3WLtxRuaznKsqm0WHFqKLGh&#10;75KKy/HfKti6jfk5mdmkiaew171oL6Y3UuqzG78WIALF8Ba/3Dud5o+n8HwmX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4ZJwQAAANwAAAAPAAAAAAAAAAAAAAAA&#10;AKECAABkcnMvZG93bnJldi54bWxQSwUGAAAAAAQABAD5AAAAjwMAAAAA&#10;" strokeweight="1pt">
                  <v:stroke endarrow="block"/>
                </v:line>
                <v:line id="Line 232" o:spid="_x0000_s1077" style="position:absolute;visibility:visible;mso-wrap-style:square" from="9159,4444" to="14339,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bfcIAAADcAAAADwAAAGRycy9kb3ducmV2LnhtbERPS4vCMBC+L/gfwgje1tQKulRjEcFF&#10;PQjrA/E2NGNbbCalydb6742wsLf5+J4zTztTiZYaV1pWMBpGIIgzq0vOFZyO688vEM4ja6wsk4In&#10;OUgXvY85Jto++Ifag89FCGGXoILC+zqR0mUFGXRDWxMH7mYbgz7AJpe6wUcIN5WMo2giDZYcGgqs&#10;aVVQdj/8GgVZ61ozjS9buabjd3fd2/Mut0oN+t1yBsJT5//Ff+6NDvPHU3g/Ey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obfcIAAADcAAAADwAAAAAAAAAAAAAA&#10;AAChAgAAZHJzL2Rvd25yZXYueG1sUEsFBgAAAAAEAAQA+QAAAJADAAAAAA==&#10;" strokeweight="1pt">
                  <v:stroke endarrow="block"/>
                </v:line>
                <v:line id="Line 233" o:spid="_x0000_s1078" style="position:absolute;flip:y;visibility:visible;mso-wrap-style:square" from="9158,6614" to="14339,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0wmsYAAADcAAAADwAAAGRycy9kb3ducmV2LnhtbESPQWvCQBCF74X+h2UK3uqmFUpIXaUI&#10;paJQMFp6nWTHbNrsbMiumv77zkHwNsN789438+XoO3WmIbaBDTxNM1DEdbAtNwYO+/fHHFRMyBa7&#10;wGTgjyIsF/d3cyxsuPCOzmVqlIRwLNCAS6kvtI61I49xGnpi0Y5h8JhkHRptB7xIuO/0c5a9aI8t&#10;S4PDnlaO6t/y5A3M+vXm6Heu/P7Mq/zj56uq6tXWmMnD+PYKKtGYbubr9doK/kxo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9MJrGAAAA3AAAAA8AAAAAAAAA&#10;AAAAAAAAoQIAAGRycy9kb3ducmV2LnhtbFBLBQYAAAAABAAEAPkAAACUAwAAAAA=&#10;" strokeweight="1pt">
                  <v:stroke endarrow="block"/>
                </v:line>
                <v:line id="Line 234" o:spid="_x0000_s1079" style="position:absolute;flip:x y;visibility:visible;mso-wrap-style:square" from="4765,6483" to="675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SO8EAAADcAAAADwAAAGRycy9kb3ducmV2LnhtbERPS2sCMRC+F/wPYQQvotna4mM1ShWF&#10;Hrz4wPOwGbOLm8myiRr/fVMo9DYf33MWq2hr8aDWV44VvA8zEMSF0xUbBefTbjAF4QOyxtoxKXiR&#10;h9Wy87bAXLsnH+hxDEakEPY5KihDaHIpfVGSRT90DXHirq61GBJsjdQtPlO4reUoy8bSYsWpocSG&#10;NiUVt+PdKti5tdlezOSziZew1/1ob6Y/UqrXjV9zEIFi+Bf/ub91mv8xg99n0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I7wQAAANwAAAAPAAAAAAAAAAAAAAAA&#10;AKECAABkcnMvZG93bnJldi54bWxQSwUGAAAAAAQABAD5AAAAjwMAAAAA&#10;" strokeweight="1pt">
                  <v:stroke endarrow="block"/>
                </v:line>
                <v:line id="Line 235" o:spid="_x0000_s1080" style="position:absolute;flip:x;visibility:visible;mso-wrap-style:square" from="4766,4443" to="6536,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4cYAAADcAAAADwAAAGRycy9kb3ducmV2LnhtbESPQUvDQBCF74L/YRnBm91YRULabZFC&#10;sSgIjS29TrLTbNrsbMiubfz3zkHwNsN789438+XoO3WhIbaBDTxOMlDEdbAtNwZ2X+uHHFRMyBa7&#10;wGTghyIsF7c3cyxsuPKWLmVqlIRwLNCAS6kvtI61I49xEnpi0Y5h8JhkHRptB7xKuO/0NMtetMeW&#10;pcFhTytH9bn89gae+s370W9defjMq/zttK+qevVhzP3d+DoDlWhM/+a/640V/Gf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NT+HGAAAA3AAAAA8AAAAAAAAA&#10;AAAAAAAAoQIAAGRycy9kb3ducmV2LnhtbFBLBQYAAAAABAAEAPkAAACUAwAAAAA=&#10;" strokeweight="1pt">
                  <v:stroke endarrow="block"/>
                </v:line>
                <v:line id="Line 236" o:spid="_x0000_s1081" style="position:absolute;visibility:visible;mso-wrap-style:square" from="8979,6185" to="1034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lV78AAAADcAAAADwAAAGRycy9kb3ducmV2LnhtbERPy6rCMBDdX/AfwgjurqkiXqlGEUFR&#10;F8L1gbgbmrEtNpPSxFr/3giCuzmc50xmjSlETZXLLSvodSMQxInVOacKjofl7wiE88gaC8uk4EkO&#10;ZtPWzwRjbR/8T/XepyKEsItRQeZ9GUvpkowMuq4tiQN3tZVBH2CVSl3hI4SbQvajaCgN5hwaMixp&#10;kVFy29+NgqR2tfnrnzdySYdVc9nZ0za1SnXazXwMwlPjv+KPe63D/EEP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5Ve/AAAAA3AAAAA8AAAAAAAAAAAAAAAAA&#10;oQIAAGRycy9kb3ducmV2LnhtbFBLBQYAAAAABAAEAPkAAACOAwAAAAA=&#10;" strokeweight="1pt">
                  <v:stroke endarrow="block"/>
                </v:line>
                <v:line id="Line 237" o:spid="_x0000_s1082" style="position:absolute;flip:x;visibility:visible;mso-wrap-style:square" from="7956,6595" to="11353,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okcEAAADcAAAADwAAAGRycy9kb3ducmV2LnhtbERPTYvCMBC9L/gfwgje1tSiq1SjiKDo&#10;3lbF89iMbbWZ1Cba+u83Cwve5vE+Z7ZoTSmeVLvCsoJBPwJBnFpdcKbgeFh/TkA4j6yxtEwKXuRg&#10;Me98zDDRtuEfeu59JkIIuwQV5N5XiZQuzcmg69uKOHAXWxv0AdaZ1DU2IdyUMo6iL2mw4NCQY0Wr&#10;nNLb/mEUxM31dKu+y+2DR6/l+HzY7NJ7rFSv2y6nIDy1/i3+d291mD+M4e+ZcIG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yiRwQAAANwAAAAPAAAAAAAAAAAAAAAA&#10;AKECAABkcnMvZG93bnJldi54bWxQSwUGAAAAAAQABAD5AAAAjwMAAAAA&#10;" strokeweight="1pt">
                  <v:stroke startarrow="block"/>
                </v:line>
                <v:line id="Line 238" o:spid="_x0000_s1083" style="position:absolute;visibility:visible;mso-wrap-style:square" from="12365,6201" to="13189,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uA8EAAADcAAAADwAAAGRycy9kb3ducmV2LnhtbERPTYvCMBC9C/6HMAveNF0VXbpGEUFR&#10;D4J1RfY2NLNt2WZSmljrvzeC4G0e73Nmi9aUoqHaFZYVfA4iEMSp1QVnCn5O6/4XCOeRNZaWScGd&#10;HCzm3c4MY21vfKQm8ZkIIexiVJB7X8VSujQng25gK+LA/dnaoA+wzqSu8RbCTSmHUTSRBgsODTlW&#10;tMop/U+uRkHauMZMh5edXNNp0/4e7HmfWaV6H+3yG4Sn1r/FL/dWh/njE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524DwQAAANwAAAAPAAAAAAAAAAAAAAAA&#10;AKECAABkcnMvZG93bnJldi54bWxQSwUGAAAAAAQABAD5AAAAjwMAAAAA&#10;" strokeweight="1pt">
                  <v:stroke endarrow="block"/>
                </v:line>
                <v:shape id="Text Box 239" o:spid="_x0000_s1084" type="#_x0000_t202" style="position:absolute;left:6536;top:4264;width:262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04668CE4" w14:textId="77D1F7C6" w:rsidR="006E7D7A" w:rsidRPr="00367BC7" w:rsidRDefault="006E7D7A" w:rsidP="009A6867">
                        <w:pPr>
                          <w:spacing w:before="0" w:after="0"/>
                          <w:jc w:val="center"/>
                          <w:rPr>
                            <w:bCs/>
                            <w:sz w:val="20"/>
                            <w:szCs w:val="20"/>
                          </w:rPr>
                        </w:pPr>
                        <w:r w:rsidRPr="00367BC7">
                          <w:rPr>
                            <w:bCs/>
                            <w:sz w:val="20"/>
                            <w:szCs w:val="20"/>
                          </w:rPr>
                          <w:t>Individual factors</w:t>
                        </w:r>
                      </w:p>
                    </w:txbxContent>
                  </v:textbox>
                </v:shape>
              </v:group>
            </w:pict>
          </mc:Fallback>
        </mc:AlternateContent>
      </w:r>
    </w:p>
    <w:p w14:paraId="7F10412D" w14:textId="0374A7CE" w:rsidR="00220739" w:rsidRPr="00787196" w:rsidRDefault="00220739" w:rsidP="00220739">
      <w:pPr>
        <w:rPr>
          <w:rFonts w:cs="Arial"/>
          <w:b/>
          <w:szCs w:val="20"/>
        </w:rPr>
      </w:pPr>
    </w:p>
    <w:p w14:paraId="2DA16478" w14:textId="77777777" w:rsidR="00220739" w:rsidRPr="00787196" w:rsidRDefault="00220739" w:rsidP="00220739">
      <w:pPr>
        <w:rPr>
          <w:rFonts w:cs="Arial"/>
          <w:b/>
          <w:szCs w:val="20"/>
        </w:rPr>
      </w:pPr>
    </w:p>
    <w:p w14:paraId="23981E0C" w14:textId="5ACFCD74" w:rsidR="00220739" w:rsidRPr="00787196" w:rsidRDefault="000705AF" w:rsidP="00D95CFA">
      <w:pPr>
        <w:jc w:val="left"/>
        <w:rPr>
          <w:rFonts w:cs="Arial"/>
          <w:szCs w:val="20"/>
        </w:rPr>
      </w:pPr>
      <w:r w:rsidRPr="00787196">
        <w:rPr>
          <w:noProof/>
        </w:rPr>
        <mc:AlternateContent>
          <mc:Choice Requires="wps">
            <w:drawing>
              <wp:anchor distT="0" distB="0" distL="114300" distR="114300" simplePos="0" relativeHeight="251594240" behindDoc="0" locked="0" layoutInCell="1" allowOverlap="1" wp14:anchorId="6292CEB1" wp14:editId="0B5C2655">
                <wp:simplePos x="0" y="0"/>
                <wp:positionH relativeFrom="column">
                  <wp:posOffset>3346943</wp:posOffset>
                </wp:positionH>
                <wp:positionV relativeFrom="paragraph">
                  <wp:posOffset>395282</wp:posOffset>
                </wp:positionV>
                <wp:extent cx="448748" cy="7170"/>
                <wp:effectExtent l="95250" t="133350" r="46990" b="164465"/>
                <wp:wrapNone/>
                <wp:docPr id="14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8748" cy="7170"/>
                        </a:xfrm>
                        <a:prstGeom prst="line">
                          <a:avLst/>
                        </a:prstGeom>
                        <a:noFill/>
                        <a:ln w="12700">
                          <a:solidFill>
                            <a:srgbClr val="000000"/>
                          </a:solidFill>
                          <a:round/>
                          <a:headEnd/>
                          <a:tailEnd type="triangle" w="med" len="med"/>
                        </a:ln>
                        <a:effectLst>
                          <a:glow rad="101600">
                            <a:schemeClr val="accent5">
                              <a:satMod val="175000"/>
                              <a:alpha val="40000"/>
                            </a:schemeClr>
                          </a:glo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AAAB86" id="Line 234"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5pt,31.1pt" to="298.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" strokeweight="1pt">
                <v:stroke endarrow="block"/>
                <o:lock v:ext="edit" shapetype="f"/>
              </v:line>
            </w:pict>
          </mc:Fallback>
        </mc:AlternateContent>
      </w:r>
    </w:p>
    <w:p w14:paraId="1DC56CA8" w14:textId="75DDD8B7" w:rsidR="00220739" w:rsidRPr="00787196" w:rsidRDefault="00220739" w:rsidP="00220739">
      <w:pPr>
        <w:rPr>
          <w:rFonts w:cs="Arial"/>
          <w:szCs w:val="20"/>
        </w:rPr>
      </w:pPr>
    </w:p>
    <w:p w14:paraId="39E628A5" w14:textId="67318C05" w:rsidR="00220739" w:rsidRPr="00787196" w:rsidRDefault="00220739" w:rsidP="00220739">
      <w:pPr>
        <w:rPr>
          <w:rFonts w:cs="Arial"/>
          <w:szCs w:val="20"/>
        </w:rPr>
      </w:pPr>
    </w:p>
    <w:p w14:paraId="4DB223F2" w14:textId="77777777" w:rsidR="00220739" w:rsidRPr="00787196" w:rsidRDefault="00220739" w:rsidP="00220739">
      <w:pPr>
        <w:rPr>
          <w:rFonts w:cs="Arial"/>
          <w:szCs w:val="20"/>
        </w:rPr>
      </w:pPr>
    </w:p>
    <w:p w14:paraId="4619EB3B" w14:textId="77777777" w:rsidR="00220739" w:rsidRPr="00787196" w:rsidRDefault="00220739" w:rsidP="00220739">
      <w:pPr>
        <w:rPr>
          <w:rFonts w:cs="Arial"/>
          <w:szCs w:val="20"/>
        </w:rPr>
      </w:pPr>
    </w:p>
    <w:p w14:paraId="6B621AFC" w14:textId="77777777" w:rsidR="00220739" w:rsidRPr="00787196" w:rsidRDefault="00220739" w:rsidP="00220739">
      <w:pPr>
        <w:rPr>
          <w:rFonts w:cs="Arial"/>
          <w:szCs w:val="20"/>
        </w:rPr>
      </w:pPr>
    </w:p>
    <w:p w14:paraId="2DB22C9C" w14:textId="77777777" w:rsidR="00220739" w:rsidRPr="00787196" w:rsidRDefault="00220739" w:rsidP="00220739">
      <w:pPr>
        <w:rPr>
          <w:rFonts w:cs="Arial"/>
          <w:szCs w:val="20"/>
        </w:rPr>
      </w:pPr>
    </w:p>
    <w:p w14:paraId="27662847" w14:textId="77777777" w:rsidR="00220739" w:rsidRPr="00787196" w:rsidRDefault="00220739" w:rsidP="00220739">
      <w:pPr>
        <w:rPr>
          <w:rFonts w:cs="Arial"/>
          <w:b/>
          <w:szCs w:val="20"/>
        </w:rPr>
      </w:pPr>
    </w:p>
    <w:p w14:paraId="1523E9D6" w14:textId="77777777" w:rsidR="00220739" w:rsidRPr="00787196" w:rsidRDefault="00220739" w:rsidP="00220739">
      <w:pPr>
        <w:rPr>
          <w:rFonts w:cs="Arial"/>
          <w:szCs w:val="20"/>
        </w:rPr>
        <w:sectPr w:rsidR="00220739" w:rsidRPr="00787196" w:rsidSect="000705AF">
          <w:pgSz w:w="15840" w:h="12240" w:orient="landscape"/>
          <w:pgMar w:top="2268" w:right="1134" w:bottom="1134" w:left="1134" w:header="709" w:footer="709" w:gutter="0"/>
          <w:cols w:space="708"/>
          <w:docGrid w:linePitch="360"/>
        </w:sectPr>
      </w:pPr>
    </w:p>
    <w:p w14:paraId="1DCE7981" w14:textId="6569C391" w:rsidR="00220739" w:rsidRPr="00787196" w:rsidRDefault="00220739" w:rsidP="00226A04">
      <w:pPr>
        <w:pStyle w:val="Heading4"/>
      </w:pPr>
      <w:r w:rsidRPr="00787196">
        <w:lastRenderedPageBreak/>
        <w:t xml:space="preserve">Relevance of </w:t>
      </w:r>
      <w:r w:rsidR="001D5BF0" w:rsidRPr="00787196">
        <w:t xml:space="preserve">OHQoL </w:t>
      </w:r>
      <w:r w:rsidR="00275774" w:rsidRPr="00787196">
        <w:t>and Wilson</w:t>
      </w:r>
      <w:r w:rsidR="001D5BF0" w:rsidRPr="00787196">
        <w:t xml:space="preserve"> and Cleary </w:t>
      </w:r>
      <w:r w:rsidRPr="00787196">
        <w:t xml:space="preserve">model to </w:t>
      </w:r>
      <w:r w:rsidR="009A6867" w:rsidRPr="00787196">
        <w:t>denture success</w:t>
      </w:r>
    </w:p>
    <w:p w14:paraId="15181DA3" w14:textId="67C14F68" w:rsidR="00220739" w:rsidRPr="00787196" w:rsidRDefault="00220739" w:rsidP="006034CA">
      <w:pPr>
        <w:spacing w:after="240"/>
        <w:rPr>
          <w:rFonts w:cs="Arial"/>
          <w:szCs w:val="24"/>
        </w:rPr>
      </w:pPr>
      <w:r w:rsidRPr="00787196">
        <w:rPr>
          <w:rFonts w:cs="Arial"/>
          <w:szCs w:val="24"/>
        </w:rPr>
        <w:t>The Wilson and Cleary model links biological</w:t>
      </w:r>
      <w:r w:rsidR="005C608A" w:rsidRPr="00787196">
        <w:rPr>
          <w:rFonts w:cs="Arial"/>
          <w:szCs w:val="24"/>
        </w:rPr>
        <w:t xml:space="preserve"> and clinical </w:t>
      </w:r>
      <w:r w:rsidRPr="00787196">
        <w:rPr>
          <w:rFonts w:cs="Arial"/>
          <w:szCs w:val="24"/>
        </w:rPr>
        <w:t xml:space="preserve">factors </w:t>
      </w:r>
      <w:r w:rsidR="00BA6646" w:rsidRPr="00787196">
        <w:rPr>
          <w:rFonts w:cs="Arial"/>
          <w:szCs w:val="24"/>
        </w:rPr>
        <w:t>with</w:t>
      </w:r>
      <w:r w:rsidRPr="00787196">
        <w:rPr>
          <w:rFonts w:cs="Arial"/>
          <w:szCs w:val="24"/>
        </w:rPr>
        <w:t xml:space="preserve"> functional</w:t>
      </w:r>
      <w:r w:rsidR="00BA6646" w:rsidRPr="00787196">
        <w:rPr>
          <w:rFonts w:cs="Arial"/>
          <w:szCs w:val="24"/>
        </w:rPr>
        <w:t xml:space="preserve"> status, </w:t>
      </w:r>
      <w:r w:rsidRPr="00787196">
        <w:rPr>
          <w:rFonts w:cs="Arial"/>
          <w:szCs w:val="24"/>
        </w:rPr>
        <w:t xml:space="preserve">outcomes </w:t>
      </w:r>
      <w:r w:rsidR="00BA6646" w:rsidRPr="00787196">
        <w:rPr>
          <w:rFonts w:cs="Arial"/>
          <w:szCs w:val="24"/>
        </w:rPr>
        <w:t xml:space="preserve">and </w:t>
      </w:r>
      <w:r w:rsidRPr="00787196">
        <w:rPr>
          <w:rFonts w:cs="Arial"/>
          <w:szCs w:val="24"/>
        </w:rPr>
        <w:t xml:space="preserve">overall quality of life </w:t>
      </w:r>
      <w:r w:rsidR="00BA6646" w:rsidRPr="00787196">
        <w:rPr>
          <w:rFonts w:cs="Arial"/>
          <w:szCs w:val="24"/>
        </w:rPr>
        <w:t>alongside various</w:t>
      </w:r>
      <w:r w:rsidRPr="00787196">
        <w:rPr>
          <w:rFonts w:cs="Arial"/>
          <w:szCs w:val="24"/>
        </w:rPr>
        <w:t xml:space="preserve"> individual and environmental factors. This model helps identify the possible processes or pathways through which any health outcome is brought into being. </w:t>
      </w:r>
    </w:p>
    <w:p w14:paraId="5935AC89" w14:textId="3C40C632" w:rsidR="00220739" w:rsidRPr="00787196" w:rsidRDefault="00220739" w:rsidP="00E92F0E">
      <w:pPr>
        <w:spacing w:after="240"/>
        <w:rPr>
          <w:rFonts w:cs="Arial"/>
          <w:szCs w:val="24"/>
        </w:rPr>
      </w:pPr>
      <w:r w:rsidRPr="00787196">
        <w:rPr>
          <w:rFonts w:cs="Arial"/>
          <w:szCs w:val="24"/>
        </w:rPr>
        <w:t xml:space="preserve">This model has been tested in </w:t>
      </w:r>
      <w:r w:rsidR="00BA6646" w:rsidRPr="00787196">
        <w:rPr>
          <w:rFonts w:cs="Arial"/>
          <w:szCs w:val="24"/>
        </w:rPr>
        <w:t>various populations affected by various conditions (</w:t>
      </w:r>
      <w:r w:rsidR="007712FF" w:rsidRPr="00787196">
        <w:rPr>
          <w:rFonts w:cs="Arial"/>
          <w:szCs w:val="24"/>
        </w:rPr>
        <w:t>e.g.</w:t>
      </w:r>
      <w:r w:rsidR="00BA6646" w:rsidRPr="00787196">
        <w:rPr>
          <w:rFonts w:cs="Arial"/>
          <w:szCs w:val="24"/>
        </w:rPr>
        <w:t>)</w:t>
      </w:r>
      <w:r w:rsidRPr="00787196">
        <w:rPr>
          <w:rFonts w:cs="Arial"/>
          <w:szCs w:val="24"/>
        </w:rPr>
        <w:t xml:space="preserve"> cardiovascular </w:t>
      </w:r>
      <w:r w:rsidR="00D915E5" w:rsidRPr="00787196">
        <w:rPr>
          <w:rFonts w:cs="Arial"/>
          <w:szCs w:val="24"/>
        </w:rPr>
        <w:t>disease</w:t>
      </w:r>
      <w:r w:rsidR="0019771E" w:rsidRPr="00787196">
        <w:rPr>
          <w:rFonts w:cs="Arial"/>
          <w:szCs w:val="24"/>
        </w:rPr>
        <w:t>s</w:t>
      </w:r>
      <w:r w:rsidR="00D915E5"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&lt;EndNote&gt;&lt;Cite&gt;&lt;Author&gt;Janz&lt;/Author&gt;&lt;Year&gt;2001&lt;/Year&gt;&lt;RecNum&gt;123&lt;/RecNum&gt;&lt;DisplayText&gt;(Janz et al., 2001)&lt;/DisplayText&gt;&lt;record&gt;&lt;rec-number&gt;123&lt;/rec-number&gt;&lt;foreign-keys&gt;&lt;key app="EN" db-id="pprx5af0eezz5resrauvszthwfd2xp5txea9"&gt;123&lt;/key&gt;&lt;/foreign-keys&gt;&lt;ref-type name="Journal Article"&gt;17&lt;/ref-type&gt;&lt;contributors&gt;&lt;authors&gt;&lt;author&gt;Janz, Nancy K.&lt;/author&gt;&lt;author&gt;Janevic, Mary R.&lt;/author&gt;&lt;author&gt;Dodge, Julia A.&lt;/author&gt;&lt;author&gt;Fingerlin, Tasha E.&lt;/author&gt;&lt;author&gt;Schork, M. Anthony&lt;/author&gt;&lt;author&gt;Mosca, Lori J.&lt;/author&gt;&lt;author&gt;Clark, Noreen M.&lt;/author&gt;&lt;/authors&gt;&lt;/contributors&gt;&lt;titles&gt;&lt;title&gt;Factors Influencing Quality of Life in Older Women with Heart Disease&lt;/title&gt;&lt;secondary-title&gt;Medical Care&lt;/secondary-title&gt;&lt;/titles&gt;&lt;periodical&gt;&lt;full-title&gt;Medical Care&lt;/full-title&gt;&lt;/periodical&gt;&lt;pages&gt;588-598&lt;/pages&gt;&lt;volume&gt;39&lt;/volume&gt;&lt;number&gt;6&lt;/number&gt;&lt;dates&gt;&lt;year&gt;2001&lt;/year&gt;&lt;pub-dates&gt;&lt;date&gt;06/01&lt;/date&gt;&lt;/pub-dates&gt;&lt;/dates&gt;&lt;publisher&gt;Lippincott Williams &amp;amp; Wilkins&lt;/publisher&gt;&lt;urls&gt;&lt;related-urls&gt;&lt;url&gt;http://www.jstor.org/stable/3767634 &lt;/url&gt;&lt;/related-urls&gt;&lt;/urls&gt;&lt;/record&gt;&lt;/Cite&gt;&lt;/EndNote&gt;</w:instrText>
      </w:r>
      <w:r w:rsidRPr="00787196">
        <w:rPr>
          <w:rFonts w:cs="Arial"/>
          <w:szCs w:val="24"/>
        </w:rPr>
        <w:fldChar w:fldCharType="separate"/>
      </w:r>
      <w:r w:rsidRPr="00787196">
        <w:rPr>
          <w:rFonts w:cs="Arial"/>
          <w:szCs w:val="24"/>
        </w:rPr>
        <w:t>(Janz et al., 2001)</w:t>
      </w:r>
      <w:r w:rsidRPr="00787196">
        <w:rPr>
          <w:rFonts w:cs="Arial"/>
          <w:szCs w:val="24"/>
        </w:rPr>
        <w:fldChar w:fldCharType="end"/>
      </w:r>
      <w:r w:rsidRPr="00787196">
        <w:rPr>
          <w:rFonts w:cs="Arial"/>
          <w:szCs w:val="24"/>
        </w:rPr>
        <w:t xml:space="preserve">, HIV </w:t>
      </w:r>
      <w:r w:rsidRPr="00787196">
        <w:rPr>
          <w:rFonts w:cs="Arial"/>
          <w:szCs w:val="24"/>
        </w:rPr>
        <w:fldChar w:fldCharType="begin"/>
      </w:r>
      <w:r w:rsidRPr="00787196">
        <w:rPr>
          <w:rFonts w:cs="Arial"/>
          <w:szCs w:val="24"/>
        </w:rPr>
        <w:instrText xml:space="preserve"> ADDIN EN.CITE &lt;EndNote&gt;&lt;Cite&gt;&lt;Author&gt;Sousa&lt;/Author&gt;&lt;Year&gt;2006&lt;/Year&gt;&lt;RecNum&gt;122&lt;/RecNum&gt;&lt;DisplayText&gt;(Sousa and Kwok, 2006)&lt;/DisplayText&gt;&lt;record&gt;&lt;rec-number&gt;122&lt;/rec-number&gt;&lt;foreign-keys&gt;&lt;key app="EN" db-id="pprx5af0eezz5resrauvszthwfd2xp5txea9"&gt;122&lt;/key&gt;&lt;/foreign-keys&gt;&lt;ref-type name="Journal Article"&gt;17&lt;/ref-type&gt;&lt;contributors&gt;&lt;authors&gt;&lt;author&gt;Sousa, Karen&lt;/author&gt;&lt;author&gt;Kwok, Oi-Man&lt;/author&gt;&lt;/authors&gt;&lt;/contributors&gt;&lt;titles&gt;&lt;title&gt;Putting Wilson and Cleary to the Test: Analysis of a HRQOL Conceptual Model using Structural Equation Modeling&lt;/title&gt;&lt;secondary-title&gt;Quality of Life Research&lt;/secondary-title&gt;&lt;/titles&gt;&lt;periodical&gt;&lt;full-title&gt;Quality of Life Research&lt;/full-title&gt;&lt;/periodical&gt;&lt;pages&gt;725-737&lt;/pages&gt;&lt;volume&gt;15&lt;/volume&gt;&lt;number&gt;4&lt;/number&gt;&lt;keywords&gt;&lt;keyword&gt;Medicine&lt;/keyword&gt;&lt;/keywords&gt;&lt;dates&gt;&lt;year&gt;2006&lt;/year&gt;&lt;/dates&gt;&lt;publisher&gt;Springer Netherlands&lt;/publisher&gt;&lt;urls&gt;&lt;related-urls&gt;&lt;url&gt;http://dx.doi.org/10.1007/s11136-005-3975-4 &lt;/url&gt;&lt;/related-urls&gt;&lt;/urls&gt;&lt;/record&gt;&lt;/Cite&gt;&lt;/EndNote&gt;</w:instrText>
      </w:r>
      <w:r w:rsidRPr="00787196">
        <w:rPr>
          <w:rFonts w:cs="Arial"/>
          <w:szCs w:val="24"/>
        </w:rPr>
        <w:fldChar w:fldCharType="separate"/>
      </w:r>
      <w:r w:rsidRPr="00787196">
        <w:rPr>
          <w:rFonts w:cs="Arial"/>
          <w:szCs w:val="24"/>
        </w:rPr>
        <w:t>(Sousa and Kwok, 2006)</w:t>
      </w:r>
      <w:r w:rsidRPr="00787196">
        <w:rPr>
          <w:rFonts w:cs="Arial"/>
          <w:szCs w:val="24"/>
        </w:rPr>
        <w:fldChar w:fldCharType="end"/>
      </w:r>
      <w:r w:rsidRPr="00787196">
        <w:rPr>
          <w:rFonts w:cs="Arial"/>
          <w:szCs w:val="24"/>
        </w:rPr>
        <w:t xml:space="preserve"> and renal disease</w:t>
      </w:r>
      <w:r w:rsidR="0019771E" w:rsidRPr="00787196">
        <w:rPr>
          <w:rFonts w:cs="Arial"/>
          <w:szCs w:val="24"/>
        </w:rPr>
        <w:t>s</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&lt;EndNote&gt;&lt;Cite&gt;&lt;Author&gt;Frank&lt;/Author&gt;&lt;Year&gt;2004&lt;/Year&gt;&lt;RecNum&gt;124&lt;/RecNum&gt;&lt;DisplayText&gt;(Frank et al., 2004)&lt;/DisplayText&gt;&lt;record&gt;&lt;rec-number&gt;124&lt;/rec-number&gt;&lt;foreign-keys&gt;&lt;key app="EN" db-id="pprx5af0eezz5resrauvszthwfd2xp5txea9"&gt;124&lt;/key&gt;&lt;/foreign-keys&gt;&lt;ref-type name="Journal Article"&gt;17&lt;/ref-type&gt;&lt;contributors&gt;&lt;authors&gt;&lt;author&gt;Frank, Attalya&lt;/author&gt;&lt;author&gt;Auslander, Gail K.&lt;/author&gt;&lt;author&gt;Weissgarten, Joshua&lt;/author&gt;&lt;/authors&gt;&lt;/contributors&gt;&lt;titles&gt;&lt;title&gt;Quality of Life of Patients with End-Stage Renal Disease at Various Stages of the Illness&lt;/title&gt;&lt;secondary-title&gt;Social Work in Health Care&lt;/secondary-title&gt;&lt;/titles&gt;&lt;periodical&gt;&lt;full-title&gt;Social Work in Health Care&lt;/full-title&gt;&lt;/periodical&gt;&lt;pages&gt;1-27&lt;/pages&gt;&lt;volume&gt;38&lt;/volume&gt;&lt;number&gt;2&lt;/number&gt;&lt;dates&gt;&lt;year&gt;2004&lt;/year&gt;&lt;pub-dates&gt;&lt;date&gt;02/24&amp;#xD;2012/01/12&lt;/date&gt;&lt;/pub-dates&gt;&lt;/dates&gt;&lt;publisher&gt;Routledge&lt;/publisher&gt;&lt;urls&gt;&lt;related-urls&gt;&lt;url&gt;http://dx.doi.org/10.1300/J010v38n02_01 &lt;/url&gt;&lt;/related-urls&gt;&lt;/urls&gt;&lt;/record&gt;&lt;/Cite&gt;&lt;/EndNote&gt;</w:instrText>
      </w:r>
      <w:r w:rsidRPr="00787196">
        <w:rPr>
          <w:rFonts w:cs="Arial"/>
          <w:szCs w:val="24"/>
        </w:rPr>
        <w:fldChar w:fldCharType="separate"/>
      </w:r>
      <w:r w:rsidRPr="00787196">
        <w:rPr>
          <w:rFonts w:cs="Arial"/>
          <w:szCs w:val="24"/>
        </w:rPr>
        <w:t>(Frank et al., 2004)</w:t>
      </w:r>
      <w:r w:rsidRPr="00787196">
        <w:rPr>
          <w:rFonts w:cs="Arial"/>
          <w:szCs w:val="24"/>
        </w:rPr>
        <w:fldChar w:fldCharType="end"/>
      </w:r>
      <w:r w:rsidR="00E92F0E" w:rsidRPr="00787196">
        <w:rPr>
          <w:rFonts w:cs="Arial"/>
          <w:szCs w:val="24"/>
        </w:rPr>
        <w:t>.</w:t>
      </w:r>
      <w:r w:rsidR="0019771E" w:rsidRPr="00787196">
        <w:rPr>
          <w:rFonts w:cs="Arial"/>
          <w:szCs w:val="24"/>
        </w:rPr>
        <w:t xml:space="preserve"> Very r</w:t>
      </w:r>
      <w:r w:rsidRPr="00787196">
        <w:rPr>
          <w:rFonts w:cs="Arial"/>
          <w:szCs w:val="24"/>
        </w:rPr>
        <w:t xml:space="preserve">ecently, </w:t>
      </w:r>
      <w:r w:rsidR="00D915E5" w:rsidRPr="00787196">
        <w:rPr>
          <w:rFonts w:cs="Arial"/>
          <w:szCs w:val="24"/>
        </w:rPr>
        <w:t>it has</w:t>
      </w:r>
      <w:r w:rsidRPr="00787196">
        <w:rPr>
          <w:rFonts w:cs="Arial"/>
          <w:szCs w:val="24"/>
        </w:rPr>
        <w:t xml:space="preserve"> been tested in individuals experiencing </w:t>
      </w:r>
      <w:r w:rsidR="0019771E" w:rsidRPr="00787196">
        <w:rPr>
          <w:rFonts w:cs="Arial"/>
          <w:szCs w:val="24"/>
        </w:rPr>
        <w:t xml:space="preserve">oral health conditions such as </w:t>
      </w:r>
      <w:r w:rsidR="005C608A" w:rsidRPr="00787196">
        <w:rPr>
          <w:rFonts w:cs="Arial"/>
          <w:szCs w:val="24"/>
        </w:rPr>
        <w:t xml:space="preserve">xerostomia, </w:t>
      </w:r>
      <w:r w:rsidRPr="00787196">
        <w:rPr>
          <w:rFonts w:cs="Arial"/>
          <w:szCs w:val="24"/>
        </w:rPr>
        <w:t xml:space="preserve">edentulous </w:t>
      </w:r>
      <w:r w:rsidR="0019771E" w:rsidRPr="00787196">
        <w:rPr>
          <w:rFonts w:cs="Arial"/>
          <w:szCs w:val="24"/>
        </w:rPr>
        <w:t xml:space="preserve">old </w:t>
      </w:r>
      <w:r w:rsidRPr="00787196">
        <w:rPr>
          <w:rFonts w:cs="Arial"/>
          <w:szCs w:val="24"/>
        </w:rPr>
        <w:t>people</w:t>
      </w:r>
      <w:r w:rsidR="005C608A" w:rsidRPr="00787196">
        <w:rPr>
          <w:rFonts w:cs="Arial"/>
          <w:szCs w:val="24"/>
        </w:rPr>
        <w:t xml:space="preserve"> and children </w:t>
      </w:r>
      <w:r w:rsidRPr="00787196">
        <w:rPr>
          <w:rFonts w:cs="Arial"/>
          <w:szCs w:val="24"/>
        </w:rPr>
        <w:fldChar w:fldCharType="begin">
          <w:fldData xml:space="preserve">PEVuZE5vdGU+PENpdGU+PEF1dGhvcj5CYWtlcjwvQXV0aG9yPjxZZWFyPjIwMDc8L1llYXI+PFJl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</w:fldData>
        </w:fldChar>
      </w:r>
      <w:r w:rsidR="00652766" w:rsidRPr="00787196">
        <w:rPr>
          <w:rFonts w:cs="Arial"/>
          <w:szCs w:val="24"/>
        </w:rPr>
        <w:instrText xml:space="preserve"> ADDIN EN.CITE </w:instrText>
      </w:r>
      <w:r w:rsidR="00652766" w:rsidRPr="00787196">
        <w:rPr>
          <w:rFonts w:cs="Arial"/>
          <w:szCs w:val="24"/>
        </w:rPr>
        <w:fldChar w:fldCharType="begin">
          <w:fldData xml:space="preserve">PEVuZE5vdGU+PENpdGU+PEF1dGhvcj5CYWtlcjwvQXV0aG9yPjxZZWFyPjIwMDc8L1llYXI+PFJl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</w:fldData>
        </w:fldChar>
      </w:r>
      <w:r w:rsidR="00652766" w:rsidRPr="00787196">
        <w:rPr>
          <w:rFonts w:cs="Arial"/>
          <w:szCs w:val="24"/>
        </w:rPr>
        <w:instrText xml:space="preserve"> ADDIN EN.CITE.DATA </w:instrText>
      </w:r>
      <w:r w:rsidR="00652766" w:rsidRPr="00787196">
        <w:rPr>
          <w:rFonts w:cs="Arial"/>
          <w:szCs w:val="24"/>
        </w:rPr>
      </w:r>
      <w:r w:rsidR="00652766" w:rsidRPr="00787196">
        <w:rPr>
          <w:rFonts w:cs="Arial"/>
          <w:szCs w:val="24"/>
        </w:rPr>
        <w:fldChar w:fldCharType="end"/>
      </w:r>
      <w:r w:rsidRPr="00787196">
        <w:rPr>
          <w:rFonts w:cs="Arial"/>
          <w:szCs w:val="24"/>
        </w:rPr>
      </w:r>
      <w:r w:rsidRPr="00787196">
        <w:rPr>
          <w:rFonts w:cs="Arial"/>
          <w:szCs w:val="24"/>
        </w:rPr>
        <w:fldChar w:fldCharType="separate"/>
      </w:r>
      <w:r w:rsidR="00652766" w:rsidRPr="00787196">
        <w:rPr>
          <w:rFonts w:cs="Arial"/>
          <w:szCs w:val="24"/>
        </w:rPr>
        <w:t>(Baker, 2007, Baker et al., 2008, Nammontri et al., 2013, Gururatana et al., 2013)</w:t>
      </w:r>
      <w:r w:rsidRPr="00787196">
        <w:rPr>
          <w:rFonts w:cs="Arial"/>
          <w:szCs w:val="24"/>
        </w:rPr>
        <w:fldChar w:fldCharType="end"/>
      </w:r>
      <w:r w:rsidRPr="00787196">
        <w:rPr>
          <w:rFonts w:cs="Arial"/>
          <w:szCs w:val="24"/>
        </w:rPr>
        <w:t xml:space="preserve">. These studies recommended the inclusion of specific individual and environmental factors to capture the variations in outcomes. </w:t>
      </w:r>
    </w:p>
    <w:p w14:paraId="7B28F80E" w14:textId="1735861B" w:rsidR="00220739" w:rsidRPr="00787196" w:rsidRDefault="00220739" w:rsidP="003914A7">
      <w:pPr>
        <w:rPr>
          <w:rFonts w:cs="Arial"/>
          <w:szCs w:val="24"/>
        </w:rPr>
      </w:pPr>
      <w:r w:rsidRPr="00787196">
        <w:rPr>
          <w:rFonts w:cs="Arial"/>
          <w:szCs w:val="24"/>
        </w:rPr>
        <w:t xml:space="preserve">Baker and colleagues </w:t>
      </w:r>
      <w:r w:rsidRPr="00787196">
        <w:rPr>
          <w:rFonts w:cs="Arial"/>
          <w:szCs w:val="24"/>
        </w:rPr>
        <w:fldChar w:fldCharType="begin"/>
      </w:r>
      <w:r w:rsidR="00223957" w:rsidRPr="00787196">
        <w:rPr>
          <w:rFonts w:cs="Arial"/>
          <w:szCs w:val="24"/>
        </w:rPr>
        <w:instrText xml:space="preserve"> ADDIN EN.CITE &lt;EndNote&gt;&lt;Cite ExcludeAuth="1"&gt;&lt;Author&gt;Baker&lt;/Author&gt;&lt;Year&gt;2008&lt;/Year&gt;&lt;RecNum&gt;0&lt;/RecNum&gt;&lt;IDText&gt;Testing the applicability of a conceptual model of oral health in housebound edentulous older people&lt;/IDText&gt;&lt;DisplayText&gt;(2008)&lt;/DisplayText&gt;&lt;record&gt;&lt;foreign-keys&gt;&lt;key app="EN" db-id="pwzfwxrxk0afwbexa5ex59su9rafdwweesrv"&gt;25&lt;/key&gt;&lt;/foreign-keys&gt;&lt;urls&gt;&lt;related-urls&gt;&lt;url&gt;http://dx.doi.org/10.1111/j.1600-0528.2007.00394.x&lt;/url&gt;&lt;/related-urls&gt;&lt;/urls&gt;&lt;isbn&gt;1600-0528&lt;/isbn&gt;&lt;titles&gt;&lt;title&gt;Testing the applicability of a conceptual model of oral health in housebound edentulous older people&lt;/title&gt;&lt;secondary-title&gt;Community Dentistry and Oral Epidemiology&lt;/secondary-title&gt;&lt;/titles&gt;&lt;pages&gt;237-248&lt;/pages&gt;&lt;number&gt;3&lt;/number&gt;&lt;contributors&gt;&lt;authors&gt;&lt;author&gt;Baker, Sarah R.&lt;/author&gt;&lt;author&gt;Pearson, Nicola K.&lt;/author&gt;&lt;author&gt;Robinson, Peter G.&lt;/author&gt;&lt;/authors&gt;&lt;/contributors&gt;&lt;added-date format="utc"&gt;1352721534&lt;/added-date&gt;&lt;ref-type name="Journal Article"&gt;17&lt;/ref-type&gt;&lt;dates&gt;&lt;year&gt;2008&lt;/year&gt;&lt;/dates&gt;&lt;rec-number&gt;74&lt;/rec-number&gt;&lt;publisher&gt;Blackwell Publishing Ltd&lt;/publisher&gt;&lt;last-updated-date format="utc"&gt;1352739534&lt;/last-updated-date&gt;&lt;electronic-resource-num&gt;10.1111/j.1600-0528.2007.00394.x&lt;/electronic-resource-num&gt;&lt;volume&gt;36&lt;/volume&gt;&lt;/record&gt;&lt;/Cite&gt;&lt;/EndNote&gt;</w:instrText>
      </w:r>
      <w:r w:rsidRPr="00787196">
        <w:rPr>
          <w:rFonts w:cs="Arial"/>
          <w:szCs w:val="24"/>
        </w:rPr>
        <w:fldChar w:fldCharType="separate"/>
      </w:r>
      <w:r w:rsidRPr="00787196">
        <w:rPr>
          <w:rFonts w:cs="Arial"/>
          <w:szCs w:val="24"/>
        </w:rPr>
        <w:t>(2008)</w:t>
      </w:r>
      <w:r w:rsidRPr="00787196">
        <w:rPr>
          <w:rFonts w:cs="Arial"/>
          <w:szCs w:val="24"/>
        </w:rPr>
        <w:fldChar w:fldCharType="end"/>
      </w:r>
      <w:r w:rsidRPr="00787196">
        <w:rPr>
          <w:rFonts w:cs="Arial"/>
          <w:szCs w:val="24"/>
        </w:rPr>
        <w:t xml:space="preserve"> tested the applicability of the model</w:t>
      </w:r>
      <w:r w:rsidR="00367BC7" w:rsidRPr="00787196">
        <w:rPr>
          <w:rFonts w:cs="Arial"/>
          <w:szCs w:val="24"/>
        </w:rPr>
        <w:t xml:space="preserve"> </w:t>
      </w:r>
      <w:r w:rsidRPr="00787196">
        <w:rPr>
          <w:rFonts w:cs="Arial"/>
          <w:szCs w:val="24"/>
        </w:rPr>
        <w:t>in</w:t>
      </w:r>
      <w:r w:rsidR="00367BC7" w:rsidRPr="00787196">
        <w:rPr>
          <w:rFonts w:cs="Arial"/>
          <w:szCs w:val="24"/>
        </w:rPr>
        <w:t xml:space="preserve"> a</w:t>
      </w:r>
      <w:r w:rsidR="003914A7" w:rsidRPr="00787196">
        <w:rPr>
          <w:rFonts w:cs="Arial"/>
          <w:szCs w:val="24"/>
        </w:rPr>
        <w:t xml:space="preserve"> </w:t>
      </w:r>
      <w:r w:rsidR="00367BC7" w:rsidRPr="00787196">
        <w:rPr>
          <w:rFonts w:cs="Arial"/>
          <w:szCs w:val="24"/>
        </w:rPr>
        <w:t>secondary analysis</w:t>
      </w:r>
      <w:r w:rsidR="003914A7" w:rsidRPr="00787196">
        <w:rPr>
          <w:rFonts w:cs="Arial"/>
          <w:szCs w:val="24"/>
        </w:rPr>
        <w:t xml:space="preserve"> of a trail with </w:t>
      </w:r>
      <w:r w:rsidRPr="00787196">
        <w:rPr>
          <w:rFonts w:cs="Arial"/>
          <w:szCs w:val="24"/>
        </w:rPr>
        <w:t>housebound edentulous older people. The dominant direct and indirect pathways demonstrated its applicability in edentulous patients. The study showed that patient reported issues of edentulousness, such as reduced chewing ability and eating predicted a lower functional status, which in turn predicted lower global oral health perception mediated by patient reported functioning. Furthermore, the study showed that dentures (domiciliary denture service) significantly improved functional status and their global or</w:t>
      </w:r>
      <w:r w:rsidR="006034CA" w:rsidRPr="00787196">
        <w:rPr>
          <w:rFonts w:cs="Arial"/>
          <w:szCs w:val="24"/>
        </w:rPr>
        <w:t xml:space="preserve">al health perceptions. The Wilson and Cleary model has not been previously tested </w:t>
      </w:r>
      <w:r w:rsidR="006034CA" w:rsidRPr="00787196">
        <w:rPr>
          <w:rFonts w:cs="Arial"/>
          <w:i/>
          <w:iCs/>
          <w:szCs w:val="24"/>
        </w:rPr>
        <w:t>a priori</w:t>
      </w:r>
      <w:r w:rsidR="006034CA" w:rsidRPr="00787196">
        <w:rPr>
          <w:rFonts w:cs="Arial"/>
          <w:szCs w:val="24"/>
        </w:rPr>
        <w:t xml:space="preserve"> with regards to successful denture treatment.</w:t>
      </w:r>
    </w:p>
    <w:p w14:paraId="67146EE9" w14:textId="1151271A" w:rsidR="00C0095C" w:rsidRPr="00787196" w:rsidRDefault="00220739" w:rsidP="006C2B50">
      <w:pPr>
        <w:spacing w:after="240"/>
        <w:rPr>
          <w:rFonts w:cs="Arial"/>
          <w:szCs w:val="24"/>
        </w:rPr>
      </w:pPr>
      <w:r w:rsidRPr="00787196">
        <w:rPr>
          <w:rFonts w:cs="Arial"/>
          <w:szCs w:val="24"/>
        </w:rPr>
        <w:t>This model outlines the variables clearly and specifically</w:t>
      </w:r>
      <w:r w:rsidR="00D915E5" w:rsidRPr="00787196">
        <w:rPr>
          <w:rFonts w:cs="Arial"/>
          <w:szCs w:val="24"/>
        </w:rPr>
        <w:t>,</w:t>
      </w:r>
      <w:r w:rsidRPr="00787196">
        <w:rPr>
          <w:rFonts w:cs="Arial"/>
          <w:szCs w:val="24"/>
        </w:rPr>
        <w:t xml:space="preserve"> which helps choosing specific measuring tools to capture specific factors that influence the causal pathways of successful health outcomes.</w:t>
      </w:r>
      <w:r w:rsidR="00C0095C" w:rsidRPr="00787196">
        <w:rPr>
          <w:rFonts w:cs="Arial"/>
          <w:szCs w:val="24"/>
        </w:rPr>
        <w:br w:type="page"/>
      </w:r>
    </w:p>
    <w:p w14:paraId="2702BBD7" w14:textId="5F1A3633" w:rsidR="006B59CE" w:rsidRPr="00787196" w:rsidRDefault="006B59CE" w:rsidP="00D9694A">
      <w:pPr>
        <w:pStyle w:val="Heading3"/>
      </w:pPr>
      <w:bookmarkStart w:id="48" w:name="_Toc456211127"/>
      <w:bookmarkStart w:id="49" w:name="_Toc488655620"/>
      <w:r w:rsidRPr="00787196">
        <w:lastRenderedPageBreak/>
        <w:t>Summary</w:t>
      </w:r>
      <w:bookmarkEnd w:id="48"/>
      <w:bookmarkEnd w:id="49"/>
    </w:p>
    <w:p w14:paraId="2EECE72C" w14:textId="17D41513" w:rsidR="00F07641" w:rsidRPr="00787196" w:rsidRDefault="00C0095C" w:rsidP="007B1B89">
      <w:pPr>
        <w:rPr>
          <w:rFonts w:cs="Arial"/>
          <w:szCs w:val="24"/>
        </w:rPr>
      </w:pPr>
      <w:r w:rsidRPr="00787196">
        <w:rPr>
          <w:rFonts w:cs="Arial"/>
          <w:szCs w:val="24"/>
        </w:rPr>
        <w:t>Thus far the review suggests that little</w:t>
      </w:r>
      <w:r w:rsidR="00F07641" w:rsidRPr="00787196">
        <w:rPr>
          <w:rFonts w:cs="Arial"/>
          <w:szCs w:val="24"/>
        </w:rPr>
        <w:t xml:space="preserve"> clarity exists in </w:t>
      </w:r>
      <w:r w:rsidR="007B1B89" w:rsidRPr="00787196">
        <w:rPr>
          <w:rFonts w:cs="Arial"/>
          <w:szCs w:val="24"/>
        </w:rPr>
        <w:t xml:space="preserve">nature of </w:t>
      </w:r>
      <w:r w:rsidR="00F07641" w:rsidRPr="00787196">
        <w:rPr>
          <w:rFonts w:cs="Arial"/>
          <w:szCs w:val="24"/>
        </w:rPr>
        <w:t>d</w:t>
      </w:r>
      <w:r w:rsidR="00FE3760" w:rsidRPr="00787196">
        <w:rPr>
          <w:rFonts w:cs="Arial"/>
          <w:szCs w:val="24"/>
        </w:rPr>
        <w:t>enture success</w:t>
      </w:r>
      <w:r w:rsidR="00F07641" w:rsidRPr="00787196">
        <w:rPr>
          <w:rFonts w:cs="Arial"/>
          <w:szCs w:val="24"/>
        </w:rPr>
        <w:t>. Studies have explored denture success using clinical outcomes. But such outcomes do not take into account of patient’s perspectives. Hence</w:t>
      </w:r>
      <w:r w:rsidR="00956F59" w:rsidRPr="00787196">
        <w:rPr>
          <w:rFonts w:cs="Arial"/>
          <w:szCs w:val="24"/>
        </w:rPr>
        <w:t>,</w:t>
      </w:r>
      <w:r w:rsidR="00F07641" w:rsidRPr="00787196">
        <w:rPr>
          <w:rFonts w:cs="Arial"/>
          <w:szCs w:val="24"/>
        </w:rPr>
        <w:t xml:space="preserve"> patient reported outcomes were compared against clinical outcomes in later studies.</w:t>
      </w:r>
    </w:p>
    <w:p w14:paraId="1A758A94" w14:textId="1DB13EC5" w:rsidR="00402F2E" w:rsidRPr="00787196" w:rsidRDefault="00F07641" w:rsidP="00E92F0E">
      <w:pPr>
        <w:rPr>
          <w:rFonts w:cs="Arial"/>
          <w:color w:val="365F91"/>
          <w:sz w:val="32"/>
          <w:szCs w:val="32"/>
        </w:rPr>
      </w:pPr>
      <w:r w:rsidRPr="00787196">
        <w:rPr>
          <w:rFonts w:cs="Arial"/>
          <w:szCs w:val="24"/>
        </w:rPr>
        <w:t xml:space="preserve">Patient satisfaction is </w:t>
      </w:r>
      <w:r w:rsidR="00C0095C" w:rsidRPr="00787196">
        <w:rPr>
          <w:rFonts w:cs="Arial"/>
          <w:szCs w:val="24"/>
        </w:rPr>
        <w:t>a</w:t>
      </w:r>
      <w:r w:rsidRPr="00787196">
        <w:rPr>
          <w:rFonts w:cs="Arial"/>
          <w:szCs w:val="24"/>
        </w:rPr>
        <w:t xml:space="preserve"> major patient reported outcome used to assess denture success. But even this outcome</w:t>
      </w:r>
      <w:r w:rsidR="00C0095C" w:rsidRPr="00787196">
        <w:rPr>
          <w:rFonts w:cs="Arial"/>
          <w:szCs w:val="24"/>
        </w:rPr>
        <w:t xml:space="preserve"> is poorly defined and</w:t>
      </w:r>
      <w:r w:rsidRPr="00787196">
        <w:rPr>
          <w:rFonts w:cs="Arial"/>
          <w:szCs w:val="24"/>
        </w:rPr>
        <w:t xml:space="preserve"> ha</w:t>
      </w:r>
      <w:r w:rsidR="00C0095C" w:rsidRPr="00787196">
        <w:rPr>
          <w:rFonts w:cs="Arial"/>
          <w:szCs w:val="24"/>
        </w:rPr>
        <w:t>s</w:t>
      </w:r>
      <w:r w:rsidRPr="00787196">
        <w:rPr>
          <w:rFonts w:cs="Arial"/>
          <w:szCs w:val="24"/>
        </w:rPr>
        <w:t xml:space="preserve"> discrepancy with clinical outcomes. For example, c</w:t>
      </w:r>
      <w:r w:rsidR="00F7760B" w:rsidRPr="00787196">
        <w:rPr>
          <w:rFonts w:cs="Arial"/>
          <w:szCs w:val="24"/>
        </w:rPr>
        <w:t xml:space="preserve">linically </w:t>
      </w:r>
      <w:r w:rsidRPr="00787196">
        <w:rPr>
          <w:rFonts w:cs="Arial"/>
          <w:szCs w:val="24"/>
        </w:rPr>
        <w:t xml:space="preserve">sound dentures </w:t>
      </w:r>
      <w:r w:rsidR="00F7760B" w:rsidRPr="00787196">
        <w:rPr>
          <w:rFonts w:cs="Arial"/>
          <w:szCs w:val="24"/>
        </w:rPr>
        <w:t xml:space="preserve">had dissatisfied </w:t>
      </w:r>
      <w:r w:rsidRPr="00787196">
        <w:rPr>
          <w:rFonts w:cs="Arial"/>
          <w:szCs w:val="24"/>
        </w:rPr>
        <w:t xml:space="preserve">patients and individuals were </w:t>
      </w:r>
      <w:r w:rsidR="00F7760B" w:rsidRPr="00787196">
        <w:rPr>
          <w:rFonts w:cs="Arial"/>
          <w:szCs w:val="24"/>
        </w:rPr>
        <w:t xml:space="preserve">satisfied with dentures that did not necessarily </w:t>
      </w:r>
      <w:r w:rsidRPr="00787196">
        <w:rPr>
          <w:rFonts w:cs="Arial"/>
          <w:szCs w:val="24"/>
        </w:rPr>
        <w:t xml:space="preserve">have the best clinical quality. Patient satisfaction was a </w:t>
      </w:r>
      <w:r w:rsidR="004B5157" w:rsidRPr="00787196">
        <w:rPr>
          <w:rFonts w:cs="Arial"/>
          <w:szCs w:val="24"/>
        </w:rPr>
        <w:t xml:space="preserve">complex </w:t>
      </w:r>
      <w:r w:rsidR="00C0095C" w:rsidRPr="00787196">
        <w:rPr>
          <w:rFonts w:cs="Arial"/>
          <w:szCs w:val="24"/>
        </w:rPr>
        <w:t xml:space="preserve">and </w:t>
      </w:r>
      <w:r w:rsidR="004B5157" w:rsidRPr="00787196">
        <w:rPr>
          <w:rFonts w:cs="Arial"/>
          <w:szCs w:val="24"/>
        </w:rPr>
        <w:t>vague</w:t>
      </w:r>
      <w:r w:rsidRPr="00787196">
        <w:rPr>
          <w:rFonts w:cs="Arial"/>
          <w:szCs w:val="24"/>
        </w:rPr>
        <w:t xml:space="preserve"> phenomenon that </w:t>
      </w:r>
      <w:r w:rsidR="004B5157" w:rsidRPr="00787196">
        <w:rPr>
          <w:rFonts w:cs="Arial"/>
          <w:szCs w:val="24"/>
        </w:rPr>
        <w:t>could not be linked with clinical outcomes.</w:t>
      </w:r>
      <w:r w:rsidR="0022507D" w:rsidRPr="00787196">
        <w:rPr>
          <w:rFonts w:cs="Arial"/>
          <w:szCs w:val="24"/>
        </w:rPr>
        <w:t xml:space="preserve"> OHQoL </w:t>
      </w:r>
      <w:r w:rsidR="004B5157" w:rsidRPr="00787196">
        <w:rPr>
          <w:rFonts w:cs="Arial"/>
          <w:szCs w:val="24"/>
        </w:rPr>
        <w:t xml:space="preserve">has </w:t>
      </w:r>
      <w:r w:rsidR="00C0095C" w:rsidRPr="00787196">
        <w:rPr>
          <w:rFonts w:cs="Arial"/>
          <w:szCs w:val="24"/>
        </w:rPr>
        <w:t>direct reference</w:t>
      </w:r>
      <w:r w:rsidR="004B5157" w:rsidRPr="00787196">
        <w:rPr>
          <w:rFonts w:cs="Arial"/>
          <w:szCs w:val="24"/>
        </w:rPr>
        <w:t xml:space="preserve"> in terms of linking clinical perspectives to patient outcomes and </w:t>
      </w:r>
      <w:r w:rsidR="00C0095C" w:rsidRPr="00787196">
        <w:rPr>
          <w:rFonts w:cs="Arial"/>
          <w:szCs w:val="24"/>
        </w:rPr>
        <w:t xml:space="preserve">is </w:t>
      </w:r>
      <w:r w:rsidR="004B5157" w:rsidRPr="00787196">
        <w:rPr>
          <w:rFonts w:cs="Arial"/>
          <w:szCs w:val="24"/>
        </w:rPr>
        <w:t>theoretically well conceptualised. This study will</w:t>
      </w:r>
      <w:r w:rsidR="005B7A33" w:rsidRPr="00787196">
        <w:rPr>
          <w:rFonts w:cs="Arial"/>
          <w:szCs w:val="24"/>
        </w:rPr>
        <w:t xml:space="preserve"> hence</w:t>
      </w:r>
      <w:r w:rsidR="004B5157" w:rsidRPr="00787196">
        <w:rPr>
          <w:rFonts w:cs="Arial"/>
          <w:szCs w:val="24"/>
        </w:rPr>
        <w:t xml:space="preserve"> use OHQoL as an outcome measure to assess denture </w:t>
      </w:r>
      <w:r w:rsidR="00473EEC" w:rsidRPr="00787196">
        <w:rPr>
          <w:rFonts w:cs="Arial"/>
          <w:szCs w:val="24"/>
        </w:rPr>
        <w:t xml:space="preserve">success. </w:t>
      </w:r>
      <w:r w:rsidR="00402F2E" w:rsidRPr="00787196">
        <w:rPr>
          <w:rFonts w:cs="Arial"/>
        </w:rPr>
        <w:br w:type="page"/>
      </w:r>
    </w:p>
    <w:p w14:paraId="2A520B56" w14:textId="77777777" w:rsidR="00BB5FE3" w:rsidRPr="00787196" w:rsidRDefault="00BB5FE3" w:rsidP="004F119E">
      <w:pPr>
        <w:pStyle w:val="Heading2"/>
        <w:sectPr w:rsidR="00BB5FE3" w:rsidRPr="00787196" w:rsidSect="000705AF">
          <w:pgSz w:w="12240" w:h="15840"/>
          <w:pgMar w:top="1134" w:right="1134" w:bottom="1134" w:left="2268" w:header="709" w:footer="1004" w:gutter="0"/>
          <w:cols w:space="708"/>
          <w:titlePg/>
          <w:docGrid w:linePitch="360"/>
        </w:sectPr>
      </w:pPr>
      <w:bookmarkStart w:id="50" w:name="_Toc366260702"/>
      <w:bookmarkStart w:id="51" w:name="_Toc366260710"/>
      <w:bookmarkStart w:id="52" w:name="_Ref344285363"/>
    </w:p>
    <w:p w14:paraId="2889A53B" w14:textId="6AE47769" w:rsidR="009F4A29" w:rsidRPr="00787196" w:rsidRDefault="00625DC3" w:rsidP="004F119E">
      <w:pPr>
        <w:pStyle w:val="Heading2"/>
      </w:pPr>
      <w:bookmarkStart w:id="53" w:name="_Ref378873292"/>
      <w:bookmarkStart w:id="54" w:name="_Toc456211128"/>
      <w:bookmarkStart w:id="55" w:name="_Toc488655621"/>
      <w:r w:rsidRPr="00787196">
        <w:lastRenderedPageBreak/>
        <w:t>FACTORS INFLUENCING</w:t>
      </w:r>
      <w:r w:rsidR="0001543E" w:rsidRPr="00787196">
        <w:t xml:space="preserve"> </w:t>
      </w:r>
      <w:r w:rsidR="00E56623" w:rsidRPr="00787196">
        <w:t>ORAL HEALTH</w:t>
      </w:r>
      <w:r w:rsidR="007D417F" w:rsidRPr="00787196">
        <w:t xml:space="preserve"> </w:t>
      </w:r>
      <w:r w:rsidR="00E56623" w:rsidRPr="00787196">
        <w:t>RELATED</w:t>
      </w:r>
      <w:r w:rsidR="007D417F" w:rsidRPr="00787196">
        <w:t xml:space="preserve"> </w:t>
      </w:r>
      <w:r w:rsidR="00E56623" w:rsidRPr="00787196">
        <w:t>QUALITY OF LIFE</w:t>
      </w:r>
      <w:r w:rsidR="007B05BC" w:rsidRPr="00787196">
        <w:t xml:space="preserve"> IN </w:t>
      </w:r>
      <w:r w:rsidR="00E56623" w:rsidRPr="00787196">
        <w:t>DENTURE</w:t>
      </w:r>
      <w:r w:rsidR="007B05BC" w:rsidRPr="00787196">
        <w:t xml:space="preserve"> </w:t>
      </w:r>
      <w:bookmarkEnd w:id="50"/>
      <w:r w:rsidR="007D417F" w:rsidRPr="00787196">
        <w:t>WEARERS</w:t>
      </w:r>
      <w:bookmarkEnd w:id="53"/>
      <w:r w:rsidR="008C6350" w:rsidRPr="00787196">
        <w:t>: A REVIEW</w:t>
      </w:r>
      <w:bookmarkEnd w:id="54"/>
      <w:bookmarkEnd w:id="55"/>
    </w:p>
    <w:p w14:paraId="43948ABF" w14:textId="77777777" w:rsidR="007D417F" w:rsidRPr="00787196" w:rsidRDefault="007D417F" w:rsidP="00532A44">
      <w:pPr>
        <w:spacing w:before="0" w:after="0"/>
        <w:rPr>
          <w:rFonts w:cs="Arial"/>
          <w:szCs w:val="24"/>
        </w:rPr>
      </w:pPr>
    </w:p>
    <w:p w14:paraId="4F31C22A" w14:textId="7CEA2C1A" w:rsidR="009F4A29" w:rsidRPr="00787196" w:rsidRDefault="00C0095C" w:rsidP="007F4311">
      <w:pPr>
        <w:rPr>
          <w:rFonts w:cs="Arial"/>
          <w:szCs w:val="24"/>
        </w:rPr>
      </w:pPr>
      <w:r w:rsidRPr="00787196">
        <w:rPr>
          <w:rFonts w:cs="Arial"/>
          <w:szCs w:val="24"/>
        </w:rPr>
        <w:t>Studies increasingly</w:t>
      </w:r>
      <w:r w:rsidR="00650F7E" w:rsidRPr="00787196">
        <w:rPr>
          <w:rFonts w:cs="Arial"/>
          <w:szCs w:val="24"/>
        </w:rPr>
        <w:t xml:space="preserve"> </w:t>
      </w:r>
      <w:r w:rsidRPr="00787196">
        <w:rPr>
          <w:rFonts w:cs="Arial"/>
          <w:szCs w:val="24"/>
        </w:rPr>
        <w:t>use OHQoL</w:t>
      </w:r>
      <w:r w:rsidR="00E56623" w:rsidRPr="00787196">
        <w:rPr>
          <w:rFonts w:cs="Arial"/>
          <w:szCs w:val="24"/>
        </w:rPr>
        <w:t xml:space="preserve"> </w:t>
      </w:r>
      <w:r w:rsidR="00650F7E" w:rsidRPr="00787196">
        <w:rPr>
          <w:rFonts w:cs="Arial"/>
          <w:szCs w:val="24"/>
        </w:rPr>
        <w:t xml:space="preserve">measures </w:t>
      </w:r>
      <w:r w:rsidR="00FD0AE8" w:rsidRPr="00787196">
        <w:rPr>
          <w:rFonts w:cs="Arial"/>
          <w:szCs w:val="24"/>
        </w:rPr>
        <w:t>to evaluate</w:t>
      </w:r>
      <w:r w:rsidR="00650F7E" w:rsidRPr="00787196">
        <w:rPr>
          <w:rFonts w:cs="Arial"/>
          <w:szCs w:val="24"/>
        </w:rPr>
        <w:t xml:space="preserve"> </w:t>
      </w:r>
      <w:r w:rsidRPr="00787196">
        <w:rPr>
          <w:rFonts w:cs="Arial"/>
          <w:szCs w:val="24"/>
        </w:rPr>
        <w:t xml:space="preserve">healthcare including </w:t>
      </w:r>
      <w:r w:rsidR="00650F7E" w:rsidRPr="00787196">
        <w:rPr>
          <w:rFonts w:cs="Arial"/>
          <w:szCs w:val="24"/>
        </w:rPr>
        <w:t xml:space="preserve">dentures </w:t>
      </w:r>
      <w:r w:rsidR="007D6B7F" w:rsidRPr="00787196">
        <w:rPr>
          <w:rFonts w:cs="Arial"/>
          <w:szCs w:val="24"/>
        </w:rPr>
        <w:fldChar w:fldCharType="begin">
          <w:fldData xml:space="preserve">PEVuZE5vdGU+PENpdGU+PEF1dGhvcj5EYXZpcyA8L0F1dGhvcj48WWVhcj4yMDAwPC9ZZWFyPjxS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</w:fldData>
        </w:fldChar>
      </w:r>
      <w:r w:rsidR="007F4311" w:rsidRPr="00787196">
        <w:rPr>
          <w:rFonts w:cs="Arial"/>
          <w:szCs w:val="24"/>
        </w:rPr>
        <w:instrText xml:space="preserve"> ADDIN EN.CITE </w:instrText>
      </w:r>
      <w:r w:rsidR="007F4311" w:rsidRPr="00787196">
        <w:rPr>
          <w:rFonts w:cs="Arial"/>
          <w:szCs w:val="24"/>
        </w:rPr>
        <w:fldChar w:fldCharType="begin">
          <w:fldData xml:space="preserve">PEVuZE5vdGU+PENpdGU+PEF1dGhvcj5EYXZpcyA8L0F1dGhvcj48WWVhcj4yMDAwPC9ZZWFyPjxS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</w:fldData>
        </w:fldChar>
      </w:r>
      <w:r w:rsidR="007F4311" w:rsidRPr="00787196">
        <w:rPr>
          <w:rFonts w:cs="Arial"/>
          <w:szCs w:val="24"/>
        </w:rPr>
        <w:instrText xml:space="preserve"> ADDIN EN.CITE.DATA </w:instrText>
      </w:r>
      <w:r w:rsidR="007F4311" w:rsidRPr="00787196">
        <w:rPr>
          <w:rFonts w:cs="Arial"/>
          <w:szCs w:val="24"/>
        </w:rPr>
      </w:r>
      <w:r w:rsidR="007F4311" w:rsidRPr="00787196">
        <w:rPr>
          <w:rFonts w:cs="Arial"/>
          <w:szCs w:val="24"/>
        </w:rPr>
        <w:fldChar w:fldCharType="end"/>
      </w:r>
      <w:r w:rsidR="007D6B7F" w:rsidRPr="00787196">
        <w:rPr>
          <w:rFonts w:cs="Arial"/>
          <w:szCs w:val="24"/>
        </w:rPr>
      </w:r>
      <w:r w:rsidR="007D6B7F" w:rsidRPr="00787196">
        <w:rPr>
          <w:rFonts w:cs="Arial"/>
          <w:szCs w:val="24"/>
        </w:rPr>
        <w:fldChar w:fldCharType="separate"/>
      </w:r>
      <w:r w:rsidR="007F4311" w:rsidRPr="00787196">
        <w:rPr>
          <w:rFonts w:cs="Arial"/>
          <w:noProof/>
          <w:szCs w:val="24"/>
        </w:rPr>
        <w:t>(Davis  et al., 2000a, Heydecke et al., 2004)</w:t>
      </w:r>
      <w:r w:rsidR="007D6B7F" w:rsidRPr="00787196">
        <w:rPr>
          <w:rFonts w:cs="Arial"/>
          <w:szCs w:val="24"/>
        </w:rPr>
        <w:fldChar w:fldCharType="end"/>
      </w:r>
      <w:r w:rsidR="00E56623" w:rsidRPr="00787196">
        <w:rPr>
          <w:rFonts w:cs="Arial"/>
          <w:szCs w:val="24"/>
        </w:rPr>
        <w:t xml:space="preserve">. </w:t>
      </w:r>
      <w:r w:rsidR="00155B75" w:rsidRPr="00787196">
        <w:rPr>
          <w:rFonts w:cs="Arial"/>
          <w:szCs w:val="24"/>
        </w:rPr>
        <w:t xml:space="preserve">To </w:t>
      </w:r>
      <w:r w:rsidR="00DB723A" w:rsidRPr="00787196">
        <w:rPr>
          <w:rFonts w:cs="Arial"/>
          <w:szCs w:val="24"/>
        </w:rPr>
        <w:t>identify the</w:t>
      </w:r>
      <w:r w:rsidR="00155B75" w:rsidRPr="00787196">
        <w:rPr>
          <w:rFonts w:cs="Arial"/>
          <w:szCs w:val="24"/>
        </w:rPr>
        <w:t xml:space="preserve"> individual and environmental </w:t>
      </w:r>
      <w:r w:rsidR="0019771E" w:rsidRPr="00787196">
        <w:rPr>
          <w:rFonts w:cs="Arial"/>
          <w:szCs w:val="24"/>
        </w:rPr>
        <w:t>variables</w:t>
      </w:r>
      <w:r w:rsidR="00155B75" w:rsidRPr="00787196">
        <w:rPr>
          <w:rFonts w:cs="Arial"/>
          <w:szCs w:val="24"/>
        </w:rPr>
        <w:t xml:space="preserve"> </w:t>
      </w:r>
      <w:r w:rsidR="0019771E" w:rsidRPr="00787196">
        <w:rPr>
          <w:rFonts w:cs="Arial"/>
          <w:szCs w:val="24"/>
        </w:rPr>
        <w:t xml:space="preserve">related to </w:t>
      </w:r>
      <w:r w:rsidR="00165D90" w:rsidRPr="00787196">
        <w:rPr>
          <w:rFonts w:cs="Arial"/>
          <w:szCs w:val="24"/>
        </w:rPr>
        <w:t>OHQoL, t</w:t>
      </w:r>
      <w:r w:rsidR="00E56623" w:rsidRPr="00787196">
        <w:rPr>
          <w:rFonts w:cs="Arial"/>
          <w:szCs w:val="24"/>
        </w:rPr>
        <w:t>h</w:t>
      </w:r>
      <w:r w:rsidR="005E4006" w:rsidRPr="00787196">
        <w:rPr>
          <w:rFonts w:cs="Arial"/>
          <w:szCs w:val="24"/>
        </w:rPr>
        <w:t>is</w:t>
      </w:r>
      <w:r w:rsidR="001D2A41" w:rsidRPr="00787196">
        <w:rPr>
          <w:rFonts w:cs="Arial"/>
          <w:szCs w:val="24"/>
        </w:rPr>
        <w:t xml:space="preserve"> section </w:t>
      </w:r>
      <w:r w:rsidR="005E4006" w:rsidRPr="00787196">
        <w:rPr>
          <w:rFonts w:cs="Arial"/>
          <w:szCs w:val="24"/>
        </w:rPr>
        <w:t>systematic</w:t>
      </w:r>
      <w:r w:rsidRPr="00787196">
        <w:rPr>
          <w:rFonts w:cs="Arial"/>
          <w:szCs w:val="24"/>
        </w:rPr>
        <w:t>ally</w:t>
      </w:r>
      <w:r w:rsidR="005E4006" w:rsidRPr="00787196">
        <w:rPr>
          <w:rFonts w:cs="Arial"/>
          <w:szCs w:val="24"/>
        </w:rPr>
        <w:t xml:space="preserve"> review</w:t>
      </w:r>
      <w:r w:rsidR="00165D90" w:rsidRPr="00787196">
        <w:rPr>
          <w:rFonts w:cs="Arial"/>
          <w:szCs w:val="24"/>
        </w:rPr>
        <w:t>ed</w:t>
      </w:r>
      <w:r w:rsidRPr="00787196">
        <w:rPr>
          <w:rFonts w:cs="Arial"/>
          <w:szCs w:val="24"/>
        </w:rPr>
        <w:t xml:space="preserve"> the literature </w:t>
      </w:r>
      <w:r w:rsidR="001D2A41" w:rsidRPr="00787196">
        <w:rPr>
          <w:rFonts w:cs="Arial"/>
          <w:szCs w:val="24"/>
        </w:rPr>
        <w:t>to</w:t>
      </w:r>
      <w:r w:rsidR="005919E5" w:rsidRPr="00787196">
        <w:rPr>
          <w:rFonts w:cs="Arial"/>
          <w:szCs w:val="24"/>
        </w:rPr>
        <w:t xml:space="preserve"> </w:t>
      </w:r>
      <w:r w:rsidR="00923DDB" w:rsidRPr="00787196">
        <w:rPr>
          <w:rFonts w:cs="Arial"/>
          <w:szCs w:val="24"/>
        </w:rPr>
        <w:t xml:space="preserve">explore </w:t>
      </w:r>
      <w:r w:rsidR="005E4006" w:rsidRPr="00787196">
        <w:rPr>
          <w:rFonts w:cs="Arial"/>
          <w:szCs w:val="24"/>
        </w:rPr>
        <w:t xml:space="preserve">the </w:t>
      </w:r>
      <w:r w:rsidR="001D2A41" w:rsidRPr="00787196">
        <w:rPr>
          <w:rFonts w:cs="Arial"/>
          <w:szCs w:val="24"/>
        </w:rPr>
        <w:t xml:space="preserve">existing </w:t>
      </w:r>
      <w:r w:rsidR="005E4006" w:rsidRPr="00787196">
        <w:rPr>
          <w:rFonts w:cs="Arial"/>
          <w:szCs w:val="24"/>
        </w:rPr>
        <w:t>evidence</w:t>
      </w:r>
      <w:r w:rsidR="00923DDB" w:rsidRPr="00787196">
        <w:rPr>
          <w:rFonts w:cs="Arial"/>
          <w:szCs w:val="24"/>
        </w:rPr>
        <w:t xml:space="preserve"> available to identify and highlight the factors that influence Oral Health related Quality of Life in conventional denture wearers. </w:t>
      </w:r>
      <w:r w:rsidR="001D2A41" w:rsidRPr="00787196">
        <w:rPr>
          <w:rFonts w:cs="Arial"/>
          <w:szCs w:val="24"/>
        </w:rPr>
        <w:t>Assuming</w:t>
      </w:r>
      <w:r w:rsidR="00923DDB" w:rsidRPr="00787196">
        <w:rPr>
          <w:rFonts w:cs="Arial"/>
          <w:szCs w:val="24"/>
        </w:rPr>
        <w:t xml:space="preserve"> dentures improve </w:t>
      </w:r>
      <w:r w:rsidR="004A69E8" w:rsidRPr="00787196">
        <w:rPr>
          <w:rFonts w:cs="Arial"/>
          <w:szCs w:val="24"/>
        </w:rPr>
        <w:t>OHQoL</w:t>
      </w:r>
      <w:r w:rsidR="00E70A7C" w:rsidRPr="00787196">
        <w:rPr>
          <w:rFonts w:cs="Arial"/>
          <w:szCs w:val="24"/>
        </w:rPr>
        <w:t xml:space="preserve"> (Bagewitz, 2007, Nikolovska and Petrovski, 2012),</w:t>
      </w:r>
      <w:r w:rsidR="00923DDB" w:rsidRPr="00787196">
        <w:rPr>
          <w:rFonts w:cs="Arial"/>
          <w:szCs w:val="24"/>
        </w:rPr>
        <w:t xml:space="preserve"> the focussed question of this</w:t>
      </w:r>
      <w:r w:rsidRPr="00787196">
        <w:rPr>
          <w:rFonts w:cs="Arial"/>
          <w:szCs w:val="24"/>
        </w:rPr>
        <w:t xml:space="preserve"> review</w:t>
      </w:r>
      <w:r w:rsidR="00923DDB" w:rsidRPr="00787196">
        <w:rPr>
          <w:rFonts w:cs="Arial"/>
          <w:szCs w:val="24"/>
        </w:rPr>
        <w:t xml:space="preserve"> </w:t>
      </w:r>
      <w:r w:rsidRPr="00787196">
        <w:rPr>
          <w:rFonts w:cs="Arial"/>
          <w:szCs w:val="24"/>
        </w:rPr>
        <w:t>was:</w:t>
      </w:r>
      <w:r w:rsidR="00923DDB" w:rsidRPr="00787196">
        <w:rPr>
          <w:rFonts w:cs="Arial"/>
          <w:szCs w:val="24"/>
        </w:rPr>
        <w:t xml:space="preserve"> what are the factors that influence </w:t>
      </w:r>
      <w:r w:rsidR="004A69E8" w:rsidRPr="00787196">
        <w:rPr>
          <w:rFonts w:cs="Arial"/>
          <w:szCs w:val="24"/>
        </w:rPr>
        <w:t>OHQoL</w:t>
      </w:r>
      <w:r w:rsidR="00923DDB" w:rsidRPr="00787196">
        <w:rPr>
          <w:rFonts w:cs="Arial"/>
          <w:szCs w:val="24"/>
        </w:rPr>
        <w:t xml:space="preserve"> in conventional denture wearers?</w:t>
      </w:r>
      <w:bookmarkStart w:id="56" w:name="_Toc366260705"/>
    </w:p>
    <w:p w14:paraId="422E8129" w14:textId="4825A84F" w:rsidR="00165D90" w:rsidRPr="00787196" w:rsidRDefault="0096383D" w:rsidP="00532A44">
      <w:pPr>
        <w:rPr>
          <w:rFonts w:cs="Arial"/>
          <w:szCs w:val="24"/>
        </w:rPr>
      </w:pPr>
      <w:r w:rsidRPr="00787196">
        <w:rPr>
          <w:rFonts w:cs="Arial"/>
          <w:szCs w:val="24"/>
        </w:rPr>
        <w:t>Many studies</w:t>
      </w:r>
      <w:r w:rsidR="007F3F68" w:rsidRPr="00787196">
        <w:rPr>
          <w:rFonts w:cs="Arial"/>
          <w:szCs w:val="24"/>
        </w:rPr>
        <w:t xml:space="preserve"> </w:t>
      </w:r>
      <w:r w:rsidR="00A00E4C" w:rsidRPr="00787196">
        <w:rPr>
          <w:rFonts w:cs="Arial"/>
          <w:szCs w:val="24"/>
        </w:rPr>
        <w:t xml:space="preserve">have evaluated </w:t>
      </w:r>
      <w:r w:rsidR="004A69E8" w:rsidRPr="00787196">
        <w:rPr>
          <w:rFonts w:cs="Arial"/>
          <w:szCs w:val="24"/>
        </w:rPr>
        <w:t>OHQoL</w:t>
      </w:r>
      <w:r w:rsidR="007F3F68" w:rsidRPr="00787196">
        <w:rPr>
          <w:rFonts w:cs="Arial"/>
          <w:szCs w:val="24"/>
        </w:rPr>
        <w:t xml:space="preserve"> improveme</w:t>
      </w:r>
      <w:r w:rsidR="00A00E4C" w:rsidRPr="00787196">
        <w:rPr>
          <w:rFonts w:cs="Arial"/>
          <w:szCs w:val="24"/>
        </w:rPr>
        <w:t xml:space="preserve">nt on dentures </w:t>
      </w:r>
      <w:r w:rsidR="007D6B7F" w:rsidRPr="00787196">
        <w:rPr>
          <w:rFonts w:cs="Arial"/>
          <w:szCs w:val="24"/>
        </w:rPr>
        <w:fldChar w:fldCharType="begin">
          <w:fldData xml:space="preserve">PEVuZE5vdGU+PENpdGU+PEF1dGhvcj5LYXB1cjwvQXV0aG9yPjxZZWFyPjE5OTk8L1llYXI+PFJl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PEVuZE5vdGU+PENpdGU+PEF1dGhvcj5LYXB1cjwvQXV0aG9yPjxZZWFyPjE5OTk8L1llYXI+PFJl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007D6B7F" w:rsidRPr="00787196">
        <w:rPr>
          <w:rFonts w:cs="Arial"/>
          <w:szCs w:val="24"/>
        </w:rPr>
      </w:r>
      <w:r w:rsidR="007D6B7F" w:rsidRPr="00787196">
        <w:rPr>
          <w:rFonts w:cs="Arial"/>
          <w:szCs w:val="24"/>
        </w:rPr>
        <w:fldChar w:fldCharType="separate"/>
      </w:r>
      <w:r w:rsidR="00A00E4C" w:rsidRPr="00787196">
        <w:rPr>
          <w:rFonts w:cs="Arial"/>
          <w:szCs w:val="24"/>
        </w:rPr>
        <w:t>(Kapur et al., 1999, Awad et al., 2000)</w:t>
      </w:r>
      <w:r w:rsidR="007D6B7F" w:rsidRPr="00787196">
        <w:rPr>
          <w:rFonts w:cs="Arial"/>
          <w:szCs w:val="24"/>
        </w:rPr>
        <w:fldChar w:fldCharType="end"/>
      </w:r>
      <w:r w:rsidR="005919E5" w:rsidRPr="00787196">
        <w:rPr>
          <w:rFonts w:cs="Arial"/>
          <w:szCs w:val="24"/>
        </w:rPr>
        <w:t xml:space="preserve">. </w:t>
      </w:r>
      <w:r w:rsidR="00C630AD" w:rsidRPr="00787196">
        <w:rPr>
          <w:rFonts w:cs="Arial"/>
          <w:szCs w:val="24"/>
        </w:rPr>
        <w:t xml:space="preserve">But </w:t>
      </w:r>
      <w:r w:rsidR="005919E5" w:rsidRPr="00787196">
        <w:rPr>
          <w:rFonts w:cs="Arial"/>
          <w:szCs w:val="24"/>
        </w:rPr>
        <w:t xml:space="preserve">only </w:t>
      </w:r>
      <w:r w:rsidR="002A7F54" w:rsidRPr="00787196">
        <w:rPr>
          <w:rFonts w:cs="Arial"/>
          <w:szCs w:val="24"/>
        </w:rPr>
        <w:t xml:space="preserve">few </w:t>
      </w:r>
      <w:r w:rsidR="00C630AD" w:rsidRPr="00787196">
        <w:rPr>
          <w:rFonts w:cs="Arial"/>
          <w:szCs w:val="24"/>
        </w:rPr>
        <w:t xml:space="preserve">have </w:t>
      </w:r>
      <w:r w:rsidR="00EC621C" w:rsidRPr="00787196">
        <w:rPr>
          <w:rFonts w:cs="Arial"/>
          <w:szCs w:val="24"/>
        </w:rPr>
        <w:t>considered factors</w:t>
      </w:r>
      <w:r w:rsidR="00C630AD" w:rsidRPr="00787196">
        <w:rPr>
          <w:rFonts w:cs="Arial"/>
          <w:szCs w:val="24"/>
        </w:rPr>
        <w:t xml:space="preserve"> that</w:t>
      </w:r>
      <w:r w:rsidR="007F4A85" w:rsidRPr="00787196">
        <w:rPr>
          <w:rFonts w:cs="Arial"/>
          <w:szCs w:val="24"/>
        </w:rPr>
        <w:t xml:space="preserve"> influence</w:t>
      </w:r>
      <w:r w:rsidR="00C630AD" w:rsidRPr="00787196">
        <w:rPr>
          <w:rFonts w:cs="Arial"/>
          <w:szCs w:val="24"/>
        </w:rPr>
        <w:t xml:space="preserve"> the</w:t>
      </w:r>
      <w:r w:rsidR="00EC621C" w:rsidRPr="00787196">
        <w:rPr>
          <w:rFonts w:cs="Arial"/>
          <w:szCs w:val="24"/>
        </w:rPr>
        <w:t xml:space="preserve"> </w:t>
      </w:r>
      <w:r w:rsidR="004A69E8" w:rsidRPr="00787196">
        <w:rPr>
          <w:rFonts w:cs="Arial"/>
          <w:szCs w:val="24"/>
        </w:rPr>
        <w:t>OHQoL</w:t>
      </w:r>
      <w:r w:rsidR="00C240B5" w:rsidRPr="00787196">
        <w:rPr>
          <w:rFonts w:cs="Arial"/>
          <w:szCs w:val="24"/>
        </w:rPr>
        <w:t xml:space="preserve"> </w:t>
      </w:r>
      <w:r w:rsidR="00C630AD" w:rsidRPr="00787196">
        <w:rPr>
          <w:rFonts w:cs="Arial"/>
          <w:szCs w:val="24"/>
        </w:rPr>
        <w:t>in denture wearers</w:t>
      </w:r>
      <w:r w:rsidR="005919E5" w:rsidRPr="00787196">
        <w:rPr>
          <w:rFonts w:cs="Arial"/>
          <w:szCs w:val="24"/>
        </w:rPr>
        <w:t xml:space="preserve"> </w:t>
      </w:r>
      <w:r w:rsidR="005919E5" w:rsidRPr="00787196">
        <w:rPr>
          <w:rFonts w:cs="Arial"/>
          <w:szCs w:val="24"/>
        </w:rPr>
        <w:fldChar w:fldCharType="begin">
          <w:fldData xml:space="preserve">PEVuZE5vdGU+PENpdGU+PEF1dGhvcj5CYWtlcjwvQXV0aG9yPjxZZWFyPjIwMTA8L1llYXI+PElE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==
</w:fldData>
        </w:fldChar>
      </w:r>
      <w:r w:rsidR="003F4C9F" w:rsidRPr="00787196">
        <w:rPr>
          <w:rFonts w:cs="Arial"/>
          <w:szCs w:val="24"/>
        </w:rPr>
        <w:instrText xml:space="preserve"> ADDIN EN.CITE </w:instrText>
      </w:r>
      <w:r w:rsidR="003F4C9F" w:rsidRPr="00787196">
        <w:rPr>
          <w:rFonts w:cs="Arial"/>
          <w:szCs w:val="24"/>
        </w:rPr>
        <w:fldChar w:fldCharType="begin">
          <w:fldData xml:space="preserve">PEVuZE5vdGU+PENpdGU+PEF1dGhvcj5CYWtlcjwvQXV0aG9yPjxZZWFyPjIwMTA8L1llYXI+PElE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==
</w:fldData>
        </w:fldChar>
      </w:r>
      <w:r w:rsidR="003F4C9F" w:rsidRPr="00787196">
        <w:rPr>
          <w:rFonts w:cs="Arial"/>
          <w:szCs w:val="24"/>
        </w:rPr>
        <w:instrText xml:space="preserve"> ADDIN EN.CITE.DATA </w:instrText>
      </w:r>
      <w:r w:rsidR="003F4C9F" w:rsidRPr="00787196">
        <w:rPr>
          <w:rFonts w:cs="Arial"/>
          <w:szCs w:val="24"/>
        </w:rPr>
      </w:r>
      <w:r w:rsidR="003F4C9F" w:rsidRPr="00787196">
        <w:rPr>
          <w:rFonts w:cs="Arial"/>
          <w:szCs w:val="24"/>
        </w:rPr>
        <w:fldChar w:fldCharType="end"/>
      </w:r>
      <w:r w:rsidR="005919E5" w:rsidRPr="00787196">
        <w:rPr>
          <w:rFonts w:cs="Arial"/>
          <w:szCs w:val="24"/>
        </w:rPr>
      </w:r>
      <w:r w:rsidR="005919E5" w:rsidRPr="00787196">
        <w:rPr>
          <w:rFonts w:cs="Arial"/>
          <w:szCs w:val="24"/>
        </w:rPr>
        <w:fldChar w:fldCharType="separate"/>
      </w:r>
      <w:r w:rsidR="003F4C9F" w:rsidRPr="00787196">
        <w:rPr>
          <w:rFonts w:cs="Arial"/>
          <w:noProof/>
          <w:szCs w:val="24"/>
        </w:rPr>
        <w:t>(Baker et al., 2010)</w:t>
      </w:r>
      <w:r w:rsidR="005919E5" w:rsidRPr="00787196">
        <w:rPr>
          <w:rFonts w:cs="Arial"/>
          <w:szCs w:val="24"/>
        </w:rPr>
        <w:fldChar w:fldCharType="end"/>
      </w:r>
      <w:r w:rsidR="005919E5" w:rsidRPr="00787196">
        <w:rPr>
          <w:rFonts w:cs="Arial"/>
          <w:szCs w:val="24"/>
        </w:rPr>
        <w:t>.</w:t>
      </w:r>
      <w:r w:rsidR="00165D90" w:rsidRPr="00787196">
        <w:rPr>
          <w:rFonts w:cs="Arial"/>
          <w:szCs w:val="24"/>
        </w:rPr>
        <w:t xml:space="preserve"> </w:t>
      </w:r>
      <w:r w:rsidR="0086548E" w:rsidRPr="00787196">
        <w:rPr>
          <w:rFonts w:cs="Arial"/>
          <w:szCs w:val="24"/>
        </w:rPr>
        <w:t>U</w:t>
      </w:r>
      <w:r w:rsidR="007F4A85" w:rsidRPr="00787196">
        <w:rPr>
          <w:rFonts w:cs="Arial"/>
          <w:szCs w:val="24"/>
        </w:rPr>
        <w:t xml:space="preserve">nderstanding these factors might help us identify </w:t>
      </w:r>
      <w:r w:rsidR="005919E5" w:rsidRPr="00787196">
        <w:rPr>
          <w:rFonts w:cs="Arial"/>
          <w:szCs w:val="24"/>
        </w:rPr>
        <w:t>th</w:t>
      </w:r>
      <w:r w:rsidR="00165D90" w:rsidRPr="00787196">
        <w:rPr>
          <w:rFonts w:cs="Arial"/>
          <w:szCs w:val="24"/>
        </w:rPr>
        <w:t xml:space="preserve">e factors </w:t>
      </w:r>
      <w:r w:rsidR="00C0095C" w:rsidRPr="00787196">
        <w:rPr>
          <w:rFonts w:cs="Arial"/>
          <w:szCs w:val="24"/>
        </w:rPr>
        <w:t>that</w:t>
      </w:r>
      <w:r w:rsidR="005919E5" w:rsidRPr="00787196">
        <w:rPr>
          <w:rFonts w:cs="Arial"/>
          <w:szCs w:val="24"/>
        </w:rPr>
        <w:t xml:space="preserve"> predict denture success</w:t>
      </w:r>
      <w:r w:rsidR="00664F24" w:rsidRPr="00787196">
        <w:rPr>
          <w:rFonts w:cs="Arial"/>
          <w:szCs w:val="24"/>
        </w:rPr>
        <w:t xml:space="preserve"> in</w:t>
      </w:r>
      <w:r w:rsidR="007F4A85" w:rsidRPr="00787196">
        <w:rPr>
          <w:rFonts w:cs="Arial"/>
          <w:szCs w:val="24"/>
        </w:rPr>
        <w:t xml:space="preserve"> denture </w:t>
      </w:r>
      <w:r w:rsidR="00664F24" w:rsidRPr="00787196">
        <w:rPr>
          <w:rFonts w:cs="Arial"/>
          <w:szCs w:val="24"/>
        </w:rPr>
        <w:t>wearers.</w:t>
      </w:r>
      <w:r w:rsidR="007F4A85" w:rsidRPr="00787196">
        <w:rPr>
          <w:rFonts w:cs="Arial"/>
          <w:szCs w:val="24"/>
        </w:rPr>
        <w:t xml:space="preserve"> </w:t>
      </w:r>
      <w:bookmarkEnd w:id="56"/>
    </w:p>
    <w:p w14:paraId="284771B0" w14:textId="1514CB87" w:rsidR="00A41B8A" w:rsidRPr="00787196" w:rsidRDefault="00E56623" w:rsidP="00E92F0E">
      <w:pPr>
        <w:rPr>
          <w:rFonts w:cs="Arial"/>
          <w:szCs w:val="24"/>
        </w:rPr>
      </w:pPr>
      <w:r w:rsidRPr="00787196">
        <w:rPr>
          <w:rFonts w:cs="Arial"/>
          <w:szCs w:val="24"/>
        </w:rPr>
        <w:t>An electronic search of English language articles published from 1995 to</w:t>
      </w:r>
      <w:r w:rsidR="00D27C48" w:rsidRPr="00787196">
        <w:rPr>
          <w:rFonts w:cs="Arial"/>
          <w:szCs w:val="24"/>
        </w:rPr>
        <w:t xml:space="preserve"> the time of searching (</w:t>
      </w:r>
      <w:r w:rsidR="00EE7437" w:rsidRPr="00787196">
        <w:rPr>
          <w:rFonts w:cs="Arial"/>
          <w:szCs w:val="24"/>
        </w:rPr>
        <w:t>September 2016)</w:t>
      </w:r>
      <w:r w:rsidRPr="00787196">
        <w:rPr>
          <w:rFonts w:cs="Arial"/>
          <w:szCs w:val="24"/>
        </w:rPr>
        <w:t xml:space="preserve"> was c</w:t>
      </w:r>
      <w:r w:rsidR="0059228F" w:rsidRPr="00787196">
        <w:rPr>
          <w:rFonts w:cs="Arial"/>
          <w:szCs w:val="24"/>
        </w:rPr>
        <w:t xml:space="preserve">onducted using the MEDLINE data-base. </w:t>
      </w:r>
      <w:r w:rsidR="00745C79" w:rsidRPr="00787196">
        <w:rPr>
          <w:rFonts w:cs="Arial"/>
          <w:szCs w:val="24"/>
        </w:rPr>
        <w:t>S</w:t>
      </w:r>
      <w:r w:rsidR="0059228F" w:rsidRPr="00787196">
        <w:rPr>
          <w:rFonts w:cs="Arial"/>
          <w:szCs w:val="24"/>
        </w:rPr>
        <w:t>pecific search terms</w:t>
      </w:r>
      <w:r w:rsidR="00745C79" w:rsidRPr="00787196">
        <w:rPr>
          <w:rFonts w:cs="Arial"/>
          <w:szCs w:val="24"/>
        </w:rPr>
        <w:t xml:space="preserve"> </w:t>
      </w:r>
      <w:r w:rsidRPr="00787196">
        <w:rPr>
          <w:rFonts w:cs="Arial"/>
          <w:szCs w:val="24"/>
        </w:rPr>
        <w:t>“conventional dentures” AND (“oral health quality of life” OR “</w:t>
      </w:r>
      <w:r w:rsidR="004A69E8" w:rsidRPr="00787196">
        <w:rPr>
          <w:rFonts w:cs="Arial"/>
          <w:szCs w:val="24"/>
        </w:rPr>
        <w:t>OHQoL</w:t>
      </w:r>
      <w:r w:rsidRPr="00787196">
        <w:rPr>
          <w:rFonts w:cs="Arial"/>
          <w:szCs w:val="24"/>
        </w:rPr>
        <w:t>”)</w:t>
      </w:r>
      <w:r w:rsidR="00745C79" w:rsidRPr="00787196">
        <w:rPr>
          <w:rFonts w:cs="Arial"/>
          <w:szCs w:val="24"/>
        </w:rPr>
        <w:t xml:space="preserve"> were used.</w:t>
      </w:r>
    </w:p>
    <w:p w14:paraId="35F45394" w14:textId="69C3435E" w:rsidR="00CD165A" w:rsidRPr="00787196" w:rsidRDefault="00E56623" w:rsidP="00E92F0E">
      <w:pPr>
        <w:rPr>
          <w:rFonts w:cs="Arial"/>
          <w:bCs/>
          <w:iCs/>
          <w:color w:val="4F81BD"/>
        </w:rPr>
      </w:pPr>
      <w:r w:rsidRPr="00787196">
        <w:rPr>
          <w:rFonts w:cs="Arial"/>
          <w:szCs w:val="24"/>
        </w:rPr>
        <w:t xml:space="preserve">The search was restricted to articles written in </w:t>
      </w:r>
      <w:r w:rsidR="00A41B8A" w:rsidRPr="00787196">
        <w:rPr>
          <w:rFonts w:cs="Arial"/>
          <w:szCs w:val="24"/>
        </w:rPr>
        <w:t>English language alone</w:t>
      </w:r>
      <w:r w:rsidRPr="00787196">
        <w:rPr>
          <w:rFonts w:cs="Arial"/>
          <w:szCs w:val="24"/>
        </w:rPr>
        <w:t xml:space="preserve"> </w:t>
      </w:r>
      <w:r w:rsidR="00A41B8A" w:rsidRPr="00787196">
        <w:rPr>
          <w:rFonts w:cs="Arial"/>
          <w:szCs w:val="24"/>
        </w:rPr>
        <w:t>with</w:t>
      </w:r>
      <w:r w:rsidR="00120525" w:rsidRPr="00787196">
        <w:rPr>
          <w:rFonts w:cs="Arial"/>
          <w:szCs w:val="24"/>
        </w:rPr>
        <w:t xml:space="preserve"> the following search </w:t>
      </w:r>
      <w:r w:rsidR="00745C79" w:rsidRPr="00787196">
        <w:rPr>
          <w:rFonts w:cs="Arial"/>
          <w:szCs w:val="24"/>
        </w:rPr>
        <w:t>f</w:t>
      </w:r>
      <w:r w:rsidR="00A41B8A" w:rsidRPr="00787196">
        <w:rPr>
          <w:rFonts w:cs="Arial"/>
          <w:szCs w:val="24"/>
        </w:rPr>
        <w:t>ilters applied b</w:t>
      </w:r>
      <w:r w:rsidR="00745C79" w:rsidRPr="00787196">
        <w:rPr>
          <w:rFonts w:cs="Arial"/>
          <w:szCs w:val="24"/>
        </w:rPr>
        <w:t xml:space="preserve">ased on </w:t>
      </w:r>
      <w:r w:rsidR="00120525" w:rsidRPr="00787196">
        <w:rPr>
          <w:rFonts w:cs="Arial"/>
          <w:szCs w:val="24"/>
        </w:rPr>
        <w:t>study type</w:t>
      </w:r>
      <w:r w:rsidR="00745C79" w:rsidRPr="00787196">
        <w:rPr>
          <w:rFonts w:cs="Arial"/>
          <w:szCs w:val="24"/>
        </w:rPr>
        <w:t xml:space="preserve"> (e.g. </w:t>
      </w:r>
      <w:r w:rsidR="000D6BDD" w:rsidRPr="00787196">
        <w:rPr>
          <w:rFonts w:cs="Arial"/>
          <w:szCs w:val="24"/>
        </w:rPr>
        <w:t>Randomized</w:t>
      </w:r>
      <w:r w:rsidRPr="00787196">
        <w:rPr>
          <w:rFonts w:cs="Arial"/>
          <w:szCs w:val="24"/>
        </w:rPr>
        <w:t xml:space="preserve"> Controlled Trials</w:t>
      </w:r>
      <w:r w:rsidR="000D6BDD" w:rsidRPr="00787196">
        <w:rPr>
          <w:rFonts w:cs="Arial"/>
          <w:szCs w:val="24"/>
        </w:rPr>
        <w:t>, Clinical Trials (Phase I, II, III and IV</w:t>
      </w:r>
      <w:r w:rsidRPr="00787196">
        <w:rPr>
          <w:rFonts w:cs="Arial"/>
          <w:szCs w:val="24"/>
        </w:rPr>
        <w:t xml:space="preserve">), Randomized Controlled Trial, Multicentre Study, Controlled Clinical Trial, Evaluation Studies, Comparative Study, </w:t>
      </w:r>
      <w:r w:rsidR="000D6BDD" w:rsidRPr="00787196">
        <w:rPr>
          <w:rFonts w:cs="Arial"/>
          <w:szCs w:val="24"/>
        </w:rPr>
        <w:t>Review and</w:t>
      </w:r>
      <w:r w:rsidRPr="00787196">
        <w:rPr>
          <w:rFonts w:cs="Arial"/>
          <w:szCs w:val="24"/>
        </w:rPr>
        <w:t xml:space="preserve"> Journal Articles</w:t>
      </w:r>
      <w:r w:rsidR="00745C79" w:rsidRPr="00787196">
        <w:rPr>
          <w:rFonts w:cs="Arial"/>
          <w:szCs w:val="24"/>
        </w:rPr>
        <w:t>.</w:t>
      </w:r>
    </w:p>
    <w:p w14:paraId="5AB226E8" w14:textId="77777777" w:rsidR="00A41B8A" w:rsidRPr="00787196" w:rsidRDefault="00A41B8A">
      <w:pPr>
        <w:spacing w:before="0" w:after="0" w:line="240" w:lineRule="auto"/>
        <w:rPr>
          <w:rFonts w:cs="Arial"/>
          <w:szCs w:val="24"/>
        </w:rPr>
      </w:pPr>
      <w:r w:rsidRPr="00787196">
        <w:rPr>
          <w:rFonts w:cs="Arial"/>
          <w:szCs w:val="24"/>
        </w:rPr>
        <w:br w:type="page"/>
      </w:r>
    </w:p>
    <w:p w14:paraId="21E64A3A" w14:textId="4C5762AD" w:rsidR="00E56623" w:rsidRPr="00787196" w:rsidRDefault="00A41B8A" w:rsidP="00A41B8A">
      <w:pPr>
        <w:rPr>
          <w:rFonts w:cs="Arial"/>
          <w:szCs w:val="24"/>
        </w:rPr>
      </w:pPr>
      <w:r w:rsidRPr="00787196">
        <w:rPr>
          <w:rFonts w:cs="Arial"/>
          <w:szCs w:val="24"/>
        </w:rPr>
        <w:lastRenderedPageBreak/>
        <w:t>Studies that were published</w:t>
      </w:r>
      <w:r w:rsidR="00E56623" w:rsidRPr="00787196">
        <w:rPr>
          <w:rFonts w:cs="Arial"/>
          <w:szCs w:val="24"/>
        </w:rPr>
        <w:t xml:space="preserve"> in peer reviewed journals from 1995 to </w:t>
      </w:r>
      <w:r w:rsidR="00EE7437" w:rsidRPr="00787196">
        <w:rPr>
          <w:rFonts w:cs="Arial"/>
          <w:szCs w:val="24"/>
        </w:rPr>
        <w:t>September 2016</w:t>
      </w:r>
      <w:r w:rsidRPr="00787196">
        <w:rPr>
          <w:rFonts w:cs="Arial"/>
          <w:szCs w:val="24"/>
        </w:rPr>
        <w:t xml:space="preserve">, studies </w:t>
      </w:r>
      <w:r w:rsidR="00EE7437" w:rsidRPr="00787196">
        <w:rPr>
          <w:rFonts w:cs="Arial"/>
          <w:szCs w:val="24"/>
        </w:rPr>
        <w:t>that</w:t>
      </w:r>
      <w:r w:rsidR="00E56623" w:rsidRPr="00787196">
        <w:rPr>
          <w:rFonts w:cs="Arial"/>
          <w:szCs w:val="24"/>
        </w:rPr>
        <w:t xml:space="preserve"> evaluated conventional dentures (both partial and complete)</w:t>
      </w:r>
      <w:r w:rsidRPr="00787196">
        <w:rPr>
          <w:rFonts w:cs="Arial"/>
          <w:szCs w:val="24"/>
        </w:rPr>
        <w:t>, studies testing associations with</w:t>
      </w:r>
      <w:r w:rsidR="000B0A42" w:rsidRPr="00787196">
        <w:rPr>
          <w:rFonts w:cs="Arial"/>
          <w:szCs w:val="24"/>
        </w:rPr>
        <w:t xml:space="preserve"> </w:t>
      </w:r>
      <w:r w:rsidR="004A69E8" w:rsidRPr="00787196">
        <w:rPr>
          <w:rFonts w:cs="Arial"/>
          <w:szCs w:val="24"/>
        </w:rPr>
        <w:t>OHQoL</w:t>
      </w:r>
      <w:r w:rsidR="00E56623" w:rsidRPr="00787196">
        <w:rPr>
          <w:rFonts w:cs="Arial"/>
          <w:szCs w:val="24"/>
        </w:rPr>
        <w:t xml:space="preserve"> </w:t>
      </w:r>
      <w:r w:rsidRPr="00787196">
        <w:rPr>
          <w:rFonts w:cs="Arial"/>
          <w:szCs w:val="24"/>
        </w:rPr>
        <w:t>and studies comparing the</w:t>
      </w:r>
      <w:r w:rsidR="00E56623" w:rsidRPr="00787196">
        <w:rPr>
          <w:rFonts w:cs="Arial"/>
          <w:szCs w:val="24"/>
        </w:rPr>
        <w:t xml:space="preserve"> </w:t>
      </w:r>
      <w:r w:rsidR="004A69E8" w:rsidRPr="00787196">
        <w:rPr>
          <w:rFonts w:cs="Arial"/>
          <w:szCs w:val="24"/>
        </w:rPr>
        <w:t>OHQoL</w:t>
      </w:r>
      <w:r w:rsidR="00E56623" w:rsidRPr="00787196">
        <w:rPr>
          <w:rFonts w:cs="Arial"/>
          <w:szCs w:val="24"/>
        </w:rPr>
        <w:t xml:space="preserve"> of conventional denture</w:t>
      </w:r>
      <w:r w:rsidRPr="00787196">
        <w:rPr>
          <w:rFonts w:cs="Arial"/>
          <w:szCs w:val="24"/>
        </w:rPr>
        <w:t xml:space="preserve"> wearers with those wearing other </w:t>
      </w:r>
      <w:r w:rsidR="00E56623" w:rsidRPr="00787196">
        <w:rPr>
          <w:rFonts w:cs="Arial"/>
          <w:szCs w:val="24"/>
        </w:rPr>
        <w:t>types of prostheses</w:t>
      </w:r>
      <w:r w:rsidRPr="00787196">
        <w:rPr>
          <w:rFonts w:cs="Arial"/>
          <w:szCs w:val="24"/>
        </w:rPr>
        <w:t xml:space="preserve"> were shortlisted as per the inclusion criteria.</w:t>
      </w:r>
    </w:p>
    <w:p w14:paraId="32B0705D" w14:textId="4FF13F31" w:rsidR="00E56623" w:rsidRPr="00787196" w:rsidRDefault="00A41B8A" w:rsidP="00A41B8A">
      <w:pPr>
        <w:rPr>
          <w:rFonts w:cs="Arial"/>
          <w:szCs w:val="24"/>
        </w:rPr>
      </w:pPr>
      <w:r w:rsidRPr="00787196">
        <w:rPr>
          <w:rFonts w:cs="Arial"/>
          <w:szCs w:val="24"/>
        </w:rPr>
        <w:t>S</w:t>
      </w:r>
      <w:r w:rsidR="00E56623" w:rsidRPr="00787196">
        <w:rPr>
          <w:rFonts w:cs="Arial"/>
          <w:szCs w:val="24"/>
        </w:rPr>
        <w:t>ystematic review</w:t>
      </w:r>
      <w:r w:rsidR="00EE7437" w:rsidRPr="00787196">
        <w:rPr>
          <w:rFonts w:cs="Arial"/>
          <w:szCs w:val="24"/>
        </w:rPr>
        <w:t xml:space="preserve"> papers</w:t>
      </w:r>
      <w:r w:rsidRPr="00787196">
        <w:rPr>
          <w:rFonts w:cs="Arial"/>
          <w:szCs w:val="24"/>
        </w:rPr>
        <w:t>, s</w:t>
      </w:r>
      <w:r w:rsidR="00E56623" w:rsidRPr="00787196">
        <w:rPr>
          <w:rFonts w:cs="Arial"/>
          <w:szCs w:val="24"/>
        </w:rPr>
        <w:t xml:space="preserve">tudies </w:t>
      </w:r>
      <w:r w:rsidRPr="00787196">
        <w:rPr>
          <w:rFonts w:cs="Arial"/>
          <w:szCs w:val="24"/>
        </w:rPr>
        <w:t xml:space="preserve">that evaluated using </w:t>
      </w:r>
      <w:r w:rsidR="00E56623" w:rsidRPr="00787196">
        <w:rPr>
          <w:rFonts w:cs="Arial"/>
          <w:szCs w:val="24"/>
        </w:rPr>
        <w:t xml:space="preserve">denture satisfaction </w:t>
      </w:r>
      <w:r w:rsidRPr="00787196">
        <w:rPr>
          <w:rFonts w:cs="Arial"/>
          <w:szCs w:val="24"/>
        </w:rPr>
        <w:t xml:space="preserve">but </w:t>
      </w:r>
      <w:r w:rsidR="004E62C2" w:rsidRPr="00787196">
        <w:rPr>
          <w:rFonts w:cs="Arial"/>
          <w:szCs w:val="24"/>
        </w:rPr>
        <w:t>not OHQoL</w:t>
      </w:r>
      <w:r w:rsidRPr="00787196">
        <w:rPr>
          <w:rFonts w:cs="Arial"/>
          <w:szCs w:val="24"/>
        </w:rPr>
        <w:t>, s</w:t>
      </w:r>
      <w:r w:rsidR="00E56623" w:rsidRPr="00787196">
        <w:rPr>
          <w:rFonts w:cs="Arial"/>
          <w:szCs w:val="24"/>
        </w:rPr>
        <w:t>tudies about fixed partial dentures</w:t>
      </w:r>
      <w:r w:rsidR="00A87DF9" w:rsidRPr="00787196">
        <w:rPr>
          <w:rFonts w:cs="Arial"/>
          <w:szCs w:val="24"/>
        </w:rPr>
        <w:t xml:space="preserve"> or</w:t>
      </w:r>
      <w:r w:rsidR="00E56623" w:rsidRPr="00787196">
        <w:rPr>
          <w:rFonts w:cs="Arial"/>
          <w:szCs w:val="24"/>
        </w:rPr>
        <w:t xml:space="preserve"> implants alone</w:t>
      </w:r>
      <w:r w:rsidRPr="00787196">
        <w:rPr>
          <w:rFonts w:cs="Arial"/>
          <w:szCs w:val="24"/>
        </w:rPr>
        <w:t xml:space="preserve"> and a</w:t>
      </w:r>
      <w:r w:rsidR="00E56623" w:rsidRPr="00787196">
        <w:rPr>
          <w:rFonts w:cs="Arial"/>
          <w:szCs w:val="24"/>
        </w:rPr>
        <w:t xml:space="preserve">rticles in languages other than </w:t>
      </w:r>
      <w:r w:rsidRPr="00787196">
        <w:rPr>
          <w:rFonts w:cs="Arial"/>
          <w:szCs w:val="24"/>
        </w:rPr>
        <w:t>E</w:t>
      </w:r>
      <w:r w:rsidR="00E56623" w:rsidRPr="00787196">
        <w:rPr>
          <w:rFonts w:cs="Arial"/>
          <w:szCs w:val="24"/>
        </w:rPr>
        <w:t>nglish</w:t>
      </w:r>
      <w:r w:rsidRPr="00787196">
        <w:rPr>
          <w:rFonts w:cs="Arial"/>
          <w:szCs w:val="24"/>
        </w:rPr>
        <w:t xml:space="preserve"> were excluded.</w:t>
      </w:r>
    </w:p>
    <w:p w14:paraId="10306108" w14:textId="4B398337" w:rsidR="00E56623" w:rsidRPr="00787196" w:rsidRDefault="00E56623" w:rsidP="00956F59">
      <w:pPr>
        <w:spacing w:after="240"/>
        <w:rPr>
          <w:rFonts w:cs="Arial"/>
          <w:szCs w:val="24"/>
        </w:rPr>
      </w:pPr>
      <w:r w:rsidRPr="00787196">
        <w:rPr>
          <w:rFonts w:cs="Arial"/>
          <w:szCs w:val="24"/>
        </w:rPr>
        <w:t xml:space="preserve">The initial search </w:t>
      </w:r>
      <w:r w:rsidR="00DF16D8" w:rsidRPr="00787196">
        <w:rPr>
          <w:rFonts w:cs="Arial"/>
          <w:szCs w:val="24"/>
        </w:rPr>
        <w:t>identified</w:t>
      </w:r>
      <w:r w:rsidRPr="00787196">
        <w:rPr>
          <w:rFonts w:cs="Arial"/>
          <w:szCs w:val="24"/>
        </w:rPr>
        <w:t xml:space="preserve"> </w:t>
      </w:r>
      <w:r w:rsidR="00774EBF" w:rsidRPr="00787196">
        <w:rPr>
          <w:rFonts w:cs="Arial"/>
          <w:szCs w:val="24"/>
        </w:rPr>
        <w:t>432</w:t>
      </w:r>
      <w:r w:rsidRPr="00787196">
        <w:rPr>
          <w:rFonts w:cs="Arial"/>
          <w:szCs w:val="24"/>
        </w:rPr>
        <w:t xml:space="preserve"> </w:t>
      </w:r>
      <w:r w:rsidR="00DF16D8" w:rsidRPr="00787196">
        <w:rPr>
          <w:rFonts w:cs="Arial"/>
          <w:szCs w:val="24"/>
        </w:rPr>
        <w:t>sources</w:t>
      </w:r>
      <w:r w:rsidRPr="00787196">
        <w:rPr>
          <w:rFonts w:cs="Arial"/>
          <w:szCs w:val="24"/>
        </w:rPr>
        <w:t xml:space="preserve">. </w:t>
      </w:r>
      <w:r w:rsidR="00DF16D8" w:rsidRPr="00787196">
        <w:rPr>
          <w:rFonts w:cs="Arial"/>
          <w:szCs w:val="24"/>
        </w:rPr>
        <w:t>The t</w:t>
      </w:r>
      <w:r w:rsidRPr="00787196">
        <w:rPr>
          <w:rFonts w:cs="Arial"/>
          <w:szCs w:val="24"/>
        </w:rPr>
        <w:t>itles w</w:t>
      </w:r>
      <w:r w:rsidR="00745C79" w:rsidRPr="00787196">
        <w:rPr>
          <w:rFonts w:cs="Arial"/>
          <w:szCs w:val="24"/>
        </w:rPr>
        <w:t>ere screened and those w</w:t>
      </w:r>
      <w:r w:rsidRPr="00787196">
        <w:rPr>
          <w:rFonts w:cs="Arial"/>
          <w:szCs w:val="24"/>
        </w:rPr>
        <w:t xml:space="preserve">hich directly </w:t>
      </w:r>
      <w:r w:rsidR="00745C79" w:rsidRPr="00787196">
        <w:rPr>
          <w:rFonts w:cs="Arial"/>
          <w:szCs w:val="24"/>
        </w:rPr>
        <w:t xml:space="preserve">related </w:t>
      </w:r>
      <w:r w:rsidRPr="00787196">
        <w:rPr>
          <w:rFonts w:cs="Arial"/>
          <w:szCs w:val="24"/>
        </w:rPr>
        <w:t>with removable</w:t>
      </w:r>
      <w:r w:rsidR="00745C79" w:rsidRPr="00787196">
        <w:rPr>
          <w:rFonts w:cs="Arial"/>
          <w:szCs w:val="24"/>
        </w:rPr>
        <w:t xml:space="preserve"> conventional dentures alone were</w:t>
      </w:r>
      <w:r w:rsidRPr="00787196">
        <w:rPr>
          <w:rFonts w:cs="Arial"/>
          <w:szCs w:val="24"/>
        </w:rPr>
        <w:t xml:space="preserve"> chosen</w:t>
      </w:r>
      <w:r w:rsidR="00B75CB2" w:rsidRPr="00787196">
        <w:rPr>
          <w:rFonts w:cs="Arial"/>
          <w:szCs w:val="24"/>
        </w:rPr>
        <w:t xml:space="preserve"> leaving </w:t>
      </w:r>
      <w:r w:rsidR="00774EBF" w:rsidRPr="00787196">
        <w:rPr>
          <w:rFonts w:cs="Arial"/>
          <w:szCs w:val="24"/>
        </w:rPr>
        <w:t>2</w:t>
      </w:r>
      <w:r w:rsidR="00956F59" w:rsidRPr="00787196">
        <w:rPr>
          <w:rFonts w:cs="Arial"/>
          <w:szCs w:val="24"/>
        </w:rPr>
        <w:t>88</w:t>
      </w:r>
      <w:r w:rsidR="00B75CB2" w:rsidRPr="00787196">
        <w:rPr>
          <w:rFonts w:cs="Arial"/>
          <w:szCs w:val="24"/>
        </w:rPr>
        <w:t xml:space="preserve"> sources (Figure 2-3</w:t>
      </w:r>
      <w:r w:rsidR="00A41B8A" w:rsidRPr="00787196">
        <w:rPr>
          <w:rFonts w:cs="Arial"/>
          <w:szCs w:val="24"/>
        </w:rPr>
        <w:t xml:space="preserve">). </w:t>
      </w:r>
      <w:r w:rsidRPr="00787196">
        <w:rPr>
          <w:rFonts w:cs="Arial"/>
          <w:szCs w:val="24"/>
        </w:rPr>
        <w:t>The abstract</w:t>
      </w:r>
      <w:r w:rsidR="00745C79" w:rsidRPr="00787196">
        <w:rPr>
          <w:rFonts w:cs="Arial"/>
          <w:szCs w:val="24"/>
        </w:rPr>
        <w:t xml:space="preserve">s of </w:t>
      </w:r>
      <w:r w:rsidR="00B75CB2" w:rsidRPr="00787196">
        <w:rPr>
          <w:rFonts w:cs="Arial"/>
          <w:szCs w:val="24"/>
        </w:rPr>
        <w:t>the</w:t>
      </w:r>
      <w:r w:rsidR="00A41B8A" w:rsidRPr="00787196">
        <w:rPr>
          <w:rFonts w:cs="Arial"/>
          <w:szCs w:val="24"/>
        </w:rPr>
        <w:t>se</w:t>
      </w:r>
      <w:r w:rsidR="00B75CB2" w:rsidRPr="00787196">
        <w:rPr>
          <w:rFonts w:cs="Arial"/>
          <w:szCs w:val="24"/>
        </w:rPr>
        <w:t xml:space="preserve"> </w:t>
      </w:r>
      <w:r w:rsidR="00745C79" w:rsidRPr="00787196">
        <w:rPr>
          <w:rFonts w:cs="Arial"/>
          <w:szCs w:val="24"/>
        </w:rPr>
        <w:t>2</w:t>
      </w:r>
      <w:r w:rsidR="00956F59" w:rsidRPr="00787196">
        <w:rPr>
          <w:rFonts w:cs="Arial"/>
          <w:szCs w:val="24"/>
        </w:rPr>
        <w:t>88</w:t>
      </w:r>
      <w:r w:rsidR="00774EBF" w:rsidRPr="00787196">
        <w:rPr>
          <w:rFonts w:cs="Arial"/>
          <w:szCs w:val="24"/>
        </w:rPr>
        <w:t xml:space="preserve"> </w:t>
      </w:r>
      <w:r w:rsidR="00745C79" w:rsidRPr="00787196">
        <w:rPr>
          <w:rFonts w:cs="Arial"/>
          <w:szCs w:val="24"/>
        </w:rPr>
        <w:t>titles</w:t>
      </w:r>
      <w:r w:rsidRPr="00787196">
        <w:rPr>
          <w:rFonts w:cs="Arial"/>
          <w:szCs w:val="24"/>
        </w:rPr>
        <w:t xml:space="preserve"> were screened </w:t>
      </w:r>
      <w:r w:rsidR="00745C79" w:rsidRPr="00787196">
        <w:rPr>
          <w:rFonts w:cs="Arial"/>
          <w:szCs w:val="24"/>
        </w:rPr>
        <w:t xml:space="preserve">and checked </w:t>
      </w:r>
      <w:r w:rsidRPr="00787196">
        <w:rPr>
          <w:rFonts w:cs="Arial"/>
          <w:szCs w:val="24"/>
        </w:rPr>
        <w:t>with the inclusion criteria.</w:t>
      </w:r>
      <w:r w:rsidR="00E92F0E" w:rsidRPr="00787196">
        <w:rPr>
          <w:rFonts w:cs="Arial"/>
          <w:szCs w:val="24"/>
        </w:rPr>
        <w:t xml:space="preserve"> </w:t>
      </w:r>
      <w:r w:rsidR="00956F59" w:rsidRPr="00787196">
        <w:rPr>
          <w:rFonts w:cs="Arial"/>
          <w:szCs w:val="24"/>
        </w:rPr>
        <w:t xml:space="preserve">Studies </w:t>
      </w:r>
      <w:r w:rsidRPr="00787196">
        <w:rPr>
          <w:rFonts w:cs="Arial"/>
          <w:szCs w:val="24"/>
        </w:rPr>
        <w:t xml:space="preserve">that </w:t>
      </w:r>
      <w:r w:rsidR="00956F59" w:rsidRPr="00787196">
        <w:rPr>
          <w:rFonts w:cs="Arial"/>
          <w:szCs w:val="24"/>
        </w:rPr>
        <w:t xml:space="preserve">did not meet the criteria </w:t>
      </w:r>
      <w:r w:rsidRPr="00787196">
        <w:rPr>
          <w:rFonts w:cs="Arial"/>
          <w:szCs w:val="24"/>
        </w:rPr>
        <w:t xml:space="preserve">were excluded. </w:t>
      </w:r>
      <w:r w:rsidR="00AF5751" w:rsidRPr="00787196">
        <w:rPr>
          <w:rFonts w:cs="Arial"/>
          <w:szCs w:val="24"/>
        </w:rPr>
        <w:t>The remaining articles</w:t>
      </w:r>
      <w:r w:rsidRPr="00787196">
        <w:rPr>
          <w:rFonts w:cs="Arial"/>
          <w:szCs w:val="24"/>
        </w:rPr>
        <w:t xml:space="preserve"> were</w:t>
      </w:r>
      <w:r w:rsidR="00AF5751" w:rsidRPr="00787196">
        <w:rPr>
          <w:rFonts w:cs="Arial"/>
          <w:szCs w:val="24"/>
        </w:rPr>
        <w:t xml:space="preserve"> then completely</w:t>
      </w:r>
      <w:r w:rsidR="00E43B8D" w:rsidRPr="00787196">
        <w:rPr>
          <w:rFonts w:cs="Arial"/>
          <w:szCs w:val="24"/>
        </w:rPr>
        <w:t xml:space="preserve"> read</w:t>
      </w:r>
      <w:r w:rsidRPr="00787196">
        <w:rPr>
          <w:rFonts w:cs="Arial"/>
          <w:szCs w:val="24"/>
        </w:rPr>
        <w:t xml:space="preserve">. </w:t>
      </w:r>
      <w:r w:rsidR="00956F59" w:rsidRPr="00787196">
        <w:rPr>
          <w:rFonts w:cs="Arial"/>
          <w:szCs w:val="24"/>
        </w:rPr>
        <w:t xml:space="preserve">Studied </w:t>
      </w:r>
      <w:r w:rsidRPr="00787196">
        <w:rPr>
          <w:rFonts w:cs="Arial"/>
          <w:szCs w:val="24"/>
        </w:rPr>
        <w:t xml:space="preserve">that </w:t>
      </w:r>
      <w:r w:rsidR="00956F59" w:rsidRPr="00787196">
        <w:rPr>
          <w:rFonts w:cs="Arial"/>
          <w:szCs w:val="24"/>
        </w:rPr>
        <w:t>did not meet the</w:t>
      </w:r>
      <w:r w:rsidRPr="00787196">
        <w:rPr>
          <w:rFonts w:cs="Arial"/>
          <w:szCs w:val="24"/>
        </w:rPr>
        <w:t xml:space="preserve"> inclusion criteria</w:t>
      </w:r>
      <w:r w:rsidR="00F82B4D" w:rsidRPr="00787196">
        <w:rPr>
          <w:rFonts w:cs="Arial"/>
          <w:szCs w:val="24"/>
        </w:rPr>
        <w:t xml:space="preserve"> </w:t>
      </w:r>
      <w:r w:rsidR="00956F59" w:rsidRPr="00787196">
        <w:rPr>
          <w:rFonts w:cs="Arial"/>
          <w:szCs w:val="24"/>
        </w:rPr>
        <w:t xml:space="preserve">at this stage </w:t>
      </w:r>
      <w:r w:rsidR="00AF5751" w:rsidRPr="00787196">
        <w:rPr>
          <w:rFonts w:cs="Arial"/>
          <w:szCs w:val="24"/>
        </w:rPr>
        <w:t>were excluded</w:t>
      </w:r>
      <w:r w:rsidR="00F82B4D" w:rsidRPr="00787196">
        <w:rPr>
          <w:rFonts w:cs="Arial"/>
          <w:szCs w:val="24"/>
        </w:rPr>
        <w:t xml:space="preserve">. </w:t>
      </w:r>
      <w:r w:rsidR="00E43B8D" w:rsidRPr="00787196">
        <w:rPr>
          <w:rFonts w:cs="Arial"/>
          <w:szCs w:val="24"/>
        </w:rPr>
        <w:t xml:space="preserve">Only </w:t>
      </w:r>
      <w:r w:rsidR="003D5D6F" w:rsidRPr="00787196">
        <w:rPr>
          <w:rFonts w:cs="Arial"/>
          <w:szCs w:val="24"/>
        </w:rPr>
        <w:t xml:space="preserve">49 </w:t>
      </w:r>
      <w:r w:rsidR="00701F6D" w:rsidRPr="00787196">
        <w:rPr>
          <w:rFonts w:cs="Arial"/>
          <w:szCs w:val="24"/>
        </w:rPr>
        <w:t>studies</w:t>
      </w:r>
      <w:r w:rsidR="00172B21" w:rsidRPr="00787196">
        <w:rPr>
          <w:rFonts w:cs="Arial"/>
          <w:szCs w:val="24"/>
        </w:rPr>
        <w:t xml:space="preserve"> </w:t>
      </w:r>
      <w:r w:rsidR="00E43B8D" w:rsidRPr="00787196">
        <w:rPr>
          <w:rFonts w:cs="Arial"/>
          <w:szCs w:val="24"/>
        </w:rPr>
        <w:t xml:space="preserve">completely </w:t>
      </w:r>
      <w:r w:rsidRPr="00787196">
        <w:rPr>
          <w:rFonts w:cs="Arial"/>
          <w:szCs w:val="24"/>
        </w:rPr>
        <w:t xml:space="preserve">met the </w:t>
      </w:r>
      <w:r w:rsidR="0019771E" w:rsidRPr="00787196">
        <w:rPr>
          <w:rFonts w:cs="Arial"/>
          <w:szCs w:val="24"/>
        </w:rPr>
        <w:t xml:space="preserve">criteria for </w:t>
      </w:r>
      <w:r w:rsidRPr="00787196">
        <w:rPr>
          <w:rFonts w:cs="Arial"/>
          <w:szCs w:val="24"/>
        </w:rPr>
        <w:t>inclusion and</w:t>
      </w:r>
      <w:r w:rsidR="00B75CB2" w:rsidRPr="00787196">
        <w:rPr>
          <w:rFonts w:cs="Arial"/>
          <w:szCs w:val="24"/>
        </w:rPr>
        <w:t xml:space="preserve"> </w:t>
      </w:r>
      <w:r w:rsidR="0019771E" w:rsidRPr="00787196">
        <w:rPr>
          <w:rFonts w:cs="Arial"/>
          <w:szCs w:val="24"/>
        </w:rPr>
        <w:t>we</w:t>
      </w:r>
      <w:r w:rsidR="00B75CB2" w:rsidRPr="00787196">
        <w:rPr>
          <w:rFonts w:cs="Arial"/>
          <w:szCs w:val="24"/>
        </w:rPr>
        <w:t>re</w:t>
      </w:r>
      <w:r w:rsidRPr="00787196">
        <w:rPr>
          <w:rFonts w:cs="Arial"/>
          <w:szCs w:val="24"/>
        </w:rPr>
        <w:t xml:space="preserve"> </w:t>
      </w:r>
      <w:r w:rsidR="00E43B8D" w:rsidRPr="00787196">
        <w:rPr>
          <w:rFonts w:cs="Arial"/>
          <w:szCs w:val="24"/>
        </w:rPr>
        <w:t>included</w:t>
      </w:r>
      <w:r w:rsidRPr="00787196">
        <w:rPr>
          <w:rFonts w:cs="Arial"/>
          <w:szCs w:val="24"/>
        </w:rPr>
        <w:t xml:space="preserve"> in the review</w:t>
      </w:r>
      <w:r w:rsidR="00E43B8D" w:rsidRPr="00787196">
        <w:rPr>
          <w:rFonts w:cs="Arial"/>
          <w:szCs w:val="24"/>
        </w:rPr>
        <w:t xml:space="preserve"> (</w:t>
      </w:r>
      <w:r w:rsidR="00E43B8D" w:rsidRPr="00787196">
        <w:rPr>
          <w:rFonts w:cs="Arial"/>
        </w:rPr>
        <w:fldChar w:fldCharType="begin"/>
      </w:r>
      <w:r w:rsidR="00E43B8D" w:rsidRPr="00787196">
        <w:rPr>
          <w:rFonts w:cs="Arial"/>
        </w:rPr>
        <w:instrText xml:space="preserve"> REF _Ref365617852 \h  \* MERGEFORMAT </w:instrText>
      </w:r>
      <w:r w:rsidR="00E43B8D" w:rsidRPr="00787196">
        <w:rPr>
          <w:rFonts w:cs="Arial"/>
        </w:rPr>
      </w:r>
      <w:r w:rsidR="00E43B8D" w:rsidRPr="00787196">
        <w:rPr>
          <w:rFonts w:cs="Arial"/>
        </w:rPr>
        <w:fldChar w:fldCharType="separate"/>
      </w:r>
      <w:r w:rsidR="00C069BC" w:rsidRPr="00787196">
        <w:rPr>
          <w:rFonts w:cs="Arial"/>
          <w:szCs w:val="24"/>
        </w:rPr>
        <w:t>Table 2</w:t>
      </w:r>
      <w:r w:rsidR="00C069BC" w:rsidRPr="00787196">
        <w:rPr>
          <w:rFonts w:cs="Arial"/>
          <w:szCs w:val="24"/>
        </w:rPr>
        <w:noBreakHyphen/>
        <w:t>2</w:t>
      </w:r>
      <w:r w:rsidR="00E43B8D" w:rsidRPr="00787196">
        <w:rPr>
          <w:rFonts w:cs="Arial"/>
        </w:rPr>
        <w:fldChar w:fldCharType="end"/>
      </w:r>
      <w:r w:rsidR="00E43B8D" w:rsidRPr="00787196">
        <w:rPr>
          <w:rFonts w:cs="Arial"/>
        </w:rPr>
        <w:t>)</w:t>
      </w:r>
      <w:r w:rsidR="00E92F0E" w:rsidRPr="00787196">
        <w:rPr>
          <w:rFonts w:cs="Arial"/>
          <w:szCs w:val="24"/>
        </w:rPr>
        <w:t>.</w:t>
      </w:r>
    </w:p>
    <w:p w14:paraId="4F1E3328" w14:textId="725A94E0" w:rsidR="000727CD" w:rsidRPr="00787196" w:rsidRDefault="00701F6D" w:rsidP="00532A44">
      <w:pPr>
        <w:rPr>
          <w:rFonts w:cs="Arial"/>
          <w:szCs w:val="24"/>
        </w:rPr>
      </w:pPr>
      <w:r w:rsidRPr="00787196">
        <w:rPr>
          <w:rFonts w:cs="Arial"/>
          <w:szCs w:val="24"/>
        </w:rPr>
        <w:t>S</w:t>
      </w:r>
      <w:r w:rsidR="00E56623" w:rsidRPr="00787196">
        <w:rPr>
          <w:rFonts w:cs="Arial"/>
          <w:szCs w:val="24"/>
        </w:rPr>
        <w:t>ample size, age of the sample, study design, timeline (</w:t>
      </w:r>
      <w:r w:rsidRPr="00787196">
        <w:rPr>
          <w:rFonts w:cs="Arial"/>
          <w:szCs w:val="24"/>
        </w:rPr>
        <w:t xml:space="preserve">i.e. follow-up assessment), </w:t>
      </w:r>
      <w:r w:rsidR="004A69E8" w:rsidRPr="00787196">
        <w:rPr>
          <w:rFonts w:cs="Arial"/>
          <w:szCs w:val="24"/>
        </w:rPr>
        <w:t>OHQoL</w:t>
      </w:r>
      <w:r w:rsidR="00E56623" w:rsidRPr="00787196">
        <w:rPr>
          <w:rFonts w:cs="Arial"/>
          <w:szCs w:val="24"/>
        </w:rPr>
        <w:t xml:space="preserve"> (instrument used) and</w:t>
      </w:r>
      <w:r w:rsidRPr="00787196">
        <w:rPr>
          <w:rFonts w:cs="Arial"/>
          <w:szCs w:val="24"/>
        </w:rPr>
        <w:t xml:space="preserve"> other patient</w:t>
      </w:r>
      <w:r w:rsidR="00E56623" w:rsidRPr="00787196">
        <w:rPr>
          <w:rFonts w:cs="Arial"/>
          <w:szCs w:val="24"/>
        </w:rPr>
        <w:t xml:space="preserve"> </w:t>
      </w:r>
      <w:r w:rsidRPr="00787196">
        <w:rPr>
          <w:rFonts w:cs="Arial"/>
          <w:szCs w:val="24"/>
        </w:rPr>
        <w:t xml:space="preserve">report outcomes </w:t>
      </w:r>
      <w:r w:rsidR="00B75CB2" w:rsidRPr="00787196">
        <w:rPr>
          <w:rFonts w:cs="Arial"/>
          <w:szCs w:val="24"/>
        </w:rPr>
        <w:t xml:space="preserve">that </w:t>
      </w:r>
      <w:r w:rsidRPr="00787196">
        <w:rPr>
          <w:rFonts w:cs="Arial"/>
          <w:szCs w:val="24"/>
        </w:rPr>
        <w:t>were measured</w:t>
      </w:r>
      <w:r w:rsidR="00B75CB2" w:rsidRPr="00787196">
        <w:rPr>
          <w:rFonts w:cs="Arial"/>
          <w:szCs w:val="24"/>
        </w:rPr>
        <w:t xml:space="preserve"> </w:t>
      </w:r>
      <w:r w:rsidR="00AF5751" w:rsidRPr="00787196">
        <w:rPr>
          <w:rFonts w:cs="Arial"/>
          <w:szCs w:val="24"/>
        </w:rPr>
        <w:t>were extracted from the results</w:t>
      </w:r>
      <w:r w:rsidR="00B75CB2" w:rsidRPr="00787196">
        <w:rPr>
          <w:rFonts w:cs="Arial"/>
          <w:szCs w:val="24"/>
        </w:rPr>
        <w:t>.</w:t>
      </w:r>
      <w:r w:rsidRPr="00787196">
        <w:rPr>
          <w:rFonts w:cs="Arial"/>
          <w:szCs w:val="24"/>
        </w:rPr>
        <w:t xml:space="preserve"> </w:t>
      </w:r>
      <w:r w:rsidR="00AF5751" w:rsidRPr="00787196">
        <w:rPr>
          <w:rFonts w:cs="Arial"/>
          <w:szCs w:val="24"/>
        </w:rPr>
        <w:t>The results are tabulated in Table 2-1</w:t>
      </w:r>
      <w:r w:rsidR="00F82B4D" w:rsidRPr="00787196">
        <w:rPr>
          <w:rFonts w:cs="Arial"/>
          <w:szCs w:val="24"/>
        </w:rPr>
        <w:t>.</w:t>
      </w:r>
    </w:p>
    <w:p w14:paraId="354966B6" w14:textId="4AD3307B" w:rsidR="00E56623" w:rsidRPr="00787196" w:rsidRDefault="00FB5DD8" w:rsidP="00532A44">
      <w:pPr>
        <w:rPr>
          <w:rFonts w:cs="Arial"/>
          <w:szCs w:val="24"/>
        </w:rPr>
      </w:pPr>
      <w:r w:rsidRPr="00787196">
        <w:rPr>
          <w:rFonts w:cs="Arial"/>
          <w:szCs w:val="24"/>
        </w:rPr>
        <w:t xml:space="preserve">. </w:t>
      </w:r>
    </w:p>
    <w:p w14:paraId="5BF6129B" w14:textId="77777777" w:rsidR="00E56623" w:rsidRPr="00787196" w:rsidRDefault="00E56623" w:rsidP="00532A44">
      <w:pPr>
        <w:rPr>
          <w:rFonts w:cs="Arial"/>
        </w:rPr>
        <w:sectPr w:rsidR="00E56623" w:rsidRPr="00787196" w:rsidSect="004D7A26">
          <w:headerReference w:type="default" r:id="rId15"/>
          <w:footerReference w:type="default" r:id="rId16"/>
          <w:type w:val="nextColumn"/>
          <w:pgSz w:w="11906" w:h="16838"/>
          <w:pgMar w:top="1134" w:right="1134" w:bottom="1134" w:left="2268" w:header="426" w:footer="1154" w:gutter="0"/>
          <w:cols w:space="708"/>
          <w:titlePg/>
          <w:docGrid w:linePitch="360"/>
        </w:sectPr>
      </w:pPr>
    </w:p>
    <w:p w14:paraId="0A34B0E2" w14:textId="16AA50B9" w:rsidR="001D5BF0" w:rsidRPr="00787196" w:rsidRDefault="00407764" w:rsidP="00532A44">
      <w:pPr>
        <w:rPr>
          <w:rFonts w:cs="Arial"/>
          <w:szCs w:val="20"/>
        </w:rPr>
      </w:pPr>
      <w:r w:rsidRPr="00787196">
        <w:rPr>
          <w:noProof/>
        </w:rPr>
        <w:lastRenderedPageBreak/>
        <mc:AlternateContent>
          <mc:Choice Requires="wps">
            <w:drawing>
              <wp:anchor distT="0" distB="0" distL="114300" distR="114300" simplePos="0" relativeHeight="251616768" behindDoc="0" locked="0" layoutInCell="1" allowOverlap="1" wp14:anchorId="35103ED5" wp14:editId="693741A6">
                <wp:simplePos x="0" y="0"/>
                <wp:positionH relativeFrom="column">
                  <wp:posOffset>-546100</wp:posOffset>
                </wp:positionH>
                <wp:positionV relativeFrom="paragraph">
                  <wp:posOffset>-13335</wp:posOffset>
                </wp:positionV>
                <wp:extent cx="6181725" cy="408940"/>
                <wp:effectExtent l="0" t="0" r="9525" b="0"/>
                <wp:wrapNone/>
                <wp:docPr id="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408940"/>
                        </a:xfrm>
                        <a:prstGeom prst="rect">
                          <a:avLst/>
                        </a:prstGeom>
                        <a:solidFill>
                          <a:prstClr val="white"/>
                        </a:solidFill>
                        <a:ln>
                          <a:noFill/>
                        </a:ln>
                        <a:effectLst/>
                      </wps:spPr>
                      <wps:txbx>
                        <w:txbxContent>
                          <w:p w14:paraId="0DFBB3A0" w14:textId="6D33042F" w:rsidR="006E7D7A" w:rsidRPr="00E92F0E" w:rsidRDefault="006E7D7A" w:rsidP="00E92F0E">
                            <w:pPr>
                              <w:pStyle w:val="Caption"/>
                              <w:jc w:val="center"/>
                              <w:rPr>
                                <w:b/>
                                <w:i w:val="0"/>
                                <w:color w:val="auto"/>
                                <w:sz w:val="36"/>
                                <w:szCs w:val="20"/>
                              </w:rPr>
                            </w:pPr>
                            <w:bookmarkStart w:id="57" w:name="_Toc366260679"/>
                            <w:bookmarkStart w:id="58" w:name="_Toc470952860"/>
                            <w:bookmarkStart w:id="59" w:name="_Toc488655581"/>
                            <w:r w:rsidRPr="00E92F0E">
                              <w:rPr>
                                <w:b/>
                                <w:i w:val="0"/>
                                <w:color w:val="auto"/>
                                <w:sz w:val="24"/>
                                <w:szCs w:val="20"/>
                              </w:rPr>
                              <w:t xml:space="preserve">Figure </w:t>
                            </w:r>
                            <w:r>
                              <w:rPr>
                                <w:b/>
                                <w:i w:val="0"/>
                                <w:color w:val="auto"/>
                                <w:sz w:val="24"/>
                                <w:szCs w:val="20"/>
                              </w:rPr>
                              <w:fldChar w:fldCharType="begin"/>
                            </w:r>
                            <w:r>
                              <w:rPr>
                                <w:b/>
                                <w:i w:val="0"/>
                                <w:color w:val="auto"/>
                                <w:sz w:val="24"/>
                                <w:szCs w:val="20"/>
                              </w:rPr>
                              <w:instrText xml:space="preserve"> STYLEREF 1 \s </w:instrText>
                            </w:r>
                            <w:r>
                              <w:rPr>
                                <w:b/>
                                <w:i w:val="0"/>
                                <w:color w:val="auto"/>
                                <w:sz w:val="24"/>
                                <w:szCs w:val="20"/>
                              </w:rPr>
                              <w:fldChar w:fldCharType="separate"/>
                            </w:r>
                            <w:r>
                              <w:rPr>
                                <w:b/>
                                <w:i w:val="0"/>
                                <w:noProof/>
                                <w:color w:val="auto"/>
                                <w:sz w:val="24"/>
                                <w:szCs w:val="20"/>
                              </w:rPr>
                              <w:t>2</w:t>
                            </w:r>
                            <w:r>
                              <w:rPr>
                                <w:b/>
                                <w:i w:val="0"/>
                                <w:color w:val="auto"/>
                                <w:sz w:val="24"/>
                                <w:szCs w:val="20"/>
                              </w:rPr>
                              <w:fldChar w:fldCharType="end"/>
                            </w:r>
                            <w:r>
                              <w:rPr>
                                <w:b/>
                                <w:i w:val="0"/>
                                <w:color w:val="auto"/>
                                <w:sz w:val="24"/>
                                <w:szCs w:val="20"/>
                              </w:rPr>
                              <w:noBreakHyphen/>
                            </w:r>
                            <w:r>
                              <w:rPr>
                                <w:b/>
                                <w:i w:val="0"/>
                                <w:color w:val="auto"/>
                                <w:sz w:val="24"/>
                                <w:szCs w:val="20"/>
                              </w:rPr>
                              <w:fldChar w:fldCharType="begin"/>
                            </w:r>
                            <w:r>
                              <w:rPr>
                                <w:b/>
                                <w:i w:val="0"/>
                                <w:color w:val="auto"/>
                                <w:sz w:val="24"/>
                                <w:szCs w:val="20"/>
                              </w:rPr>
                              <w:instrText xml:space="preserve"> SEQ Figure \* ARABIC \s 1 </w:instrText>
                            </w:r>
                            <w:r>
                              <w:rPr>
                                <w:b/>
                                <w:i w:val="0"/>
                                <w:color w:val="auto"/>
                                <w:sz w:val="24"/>
                                <w:szCs w:val="20"/>
                              </w:rPr>
                              <w:fldChar w:fldCharType="separate"/>
                            </w:r>
                            <w:r>
                              <w:rPr>
                                <w:b/>
                                <w:i w:val="0"/>
                                <w:noProof/>
                                <w:color w:val="auto"/>
                                <w:sz w:val="24"/>
                                <w:szCs w:val="20"/>
                              </w:rPr>
                              <w:t>3</w:t>
                            </w:r>
                            <w:r>
                              <w:rPr>
                                <w:b/>
                                <w:i w:val="0"/>
                                <w:color w:val="auto"/>
                                <w:sz w:val="24"/>
                                <w:szCs w:val="20"/>
                              </w:rPr>
                              <w:fldChar w:fldCharType="end"/>
                            </w:r>
                            <w:r w:rsidRPr="00E92F0E">
                              <w:rPr>
                                <w:b/>
                                <w:i w:val="0"/>
                                <w:color w:val="auto"/>
                                <w:sz w:val="24"/>
                                <w:szCs w:val="20"/>
                              </w:rPr>
                              <w:t xml:space="preserve">. Flow chart of the search strategy – Conventional dentures and </w:t>
                            </w:r>
                            <w:bookmarkEnd w:id="57"/>
                            <w:r w:rsidRPr="00E92F0E">
                              <w:rPr>
                                <w:b/>
                                <w:i w:val="0"/>
                                <w:color w:val="auto"/>
                                <w:sz w:val="24"/>
                                <w:szCs w:val="20"/>
                              </w:rPr>
                              <w:t>OHQoL</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03ED5" id="Text Box 79" o:spid="_x0000_s1085" type="#_x0000_t202" style="position:absolute;left:0;text-align:left;margin-left:-43pt;margin-top:-1.05pt;width:486.75pt;height:32.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" stroked="f">
                <v:path arrowok="t"/>
                <v:textbox inset="0,0,0,0">
                  <w:txbxContent>
                    <w:p w14:paraId="0DFBB3A0" w14:textId="6D33042F" w:rsidR="006E7D7A" w:rsidRPr="00E92F0E" w:rsidRDefault="006E7D7A" w:rsidP="00E92F0E">
                      <w:pPr>
                        <w:pStyle w:val="Caption"/>
                        <w:jc w:val="center"/>
                        <w:rPr>
                          <w:b/>
                          <w:i w:val="0"/>
                          <w:color w:val="auto"/>
                          <w:sz w:val="36"/>
                          <w:szCs w:val="20"/>
                        </w:rPr>
                      </w:pPr>
                      <w:bookmarkStart w:id="60" w:name="_Toc366260679"/>
                      <w:bookmarkStart w:id="61" w:name="_Toc470952860"/>
                      <w:bookmarkStart w:id="62" w:name="_Toc488655581"/>
                      <w:r w:rsidRPr="00E92F0E">
                        <w:rPr>
                          <w:b/>
                          <w:i w:val="0"/>
                          <w:color w:val="auto"/>
                          <w:sz w:val="24"/>
                          <w:szCs w:val="20"/>
                        </w:rPr>
                        <w:t xml:space="preserve">Figure </w:t>
                      </w:r>
                      <w:r>
                        <w:rPr>
                          <w:b/>
                          <w:i w:val="0"/>
                          <w:color w:val="auto"/>
                          <w:sz w:val="24"/>
                          <w:szCs w:val="20"/>
                        </w:rPr>
                        <w:fldChar w:fldCharType="begin"/>
                      </w:r>
                      <w:r>
                        <w:rPr>
                          <w:b/>
                          <w:i w:val="0"/>
                          <w:color w:val="auto"/>
                          <w:sz w:val="24"/>
                          <w:szCs w:val="20"/>
                        </w:rPr>
                        <w:instrText xml:space="preserve"> STYLEREF 1 \s </w:instrText>
                      </w:r>
                      <w:r>
                        <w:rPr>
                          <w:b/>
                          <w:i w:val="0"/>
                          <w:color w:val="auto"/>
                          <w:sz w:val="24"/>
                          <w:szCs w:val="20"/>
                        </w:rPr>
                        <w:fldChar w:fldCharType="separate"/>
                      </w:r>
                      <w:r>
                        <w:rPr>
                          <w:b/>
                          <w:i w:val="0"/>
                          <w:noProof/>
                          <w:color w:val="auto"/>
                          <w:sz w:val="24"/>
                          <w:szCs w:val="20"/>
                        </w:rPr>
                        <w:t>2</w:t>
                      </w:r>
                      <w:r>
                        <w:rPr>
                          <w:b/>
                          <w:i w:val="0"/>
                          <w:color w:val="auto"/>
                          <w:sz w:val="24"/>
                          <w:szCs w:val="20"/>
                        </w:rPr>
                        <w:fldChar w:fldCharType="end"/>
                      </w:r>
                      <w:r>
                        <w:rPr>
                          <w:b/>
                          <w:i w:val="0"/>
                          <w:color w:val="auto"/>
                          <w:sz w:val="24"/>
                          <w:szCs w:val="20"/>
                        </w:rPr>
                        <w:noBreakHyphen/>
                      </w:r>
                      <w:r>
                        <w:rPr>
                          <w:b/>
                          <w:i w:val="0"/>
                          <w:color w:val="auto"/>
                          <w:sz w:val="24"/>
                          <w:szCs w:val="20"/>
                        </w:rPr>
                        <w:fldChar w:fldCharType="begin"/>
                      </w:r>
                      <w:r>
                        <w:rPr>
                          <w:b/>
                          <w:i w:val="0"/>
                          <w:color w:val="auto"/>
                          <w:sz w:val="24"/>
                          <w:szCs w:val="20"/>
                        </w:rPr>
                        <w:instrText xml:space="preserve"> SEQ Figure \* ARABIC \s 1 </w:instrText>
                      </w:r>
                      <w:r>
                        <w:rPr>
                          <w:b/>
                          <w:i w:val="0"/>
                          <w:color w:val="auto"/>
                          <w:sz w:val="24"/>
                          <w:szCs w:val="20"/>
                        </w:rPr>
                        <w:fldChar w:fldCharType="separate"/>
                      </w:r>
                      <w:r>
                        <w:rPr>
                          <w:b/>
                          <w:i w:val="0"/>
                          <w:noProof/>
                          <w:color w:val="auto"/>
                          <w:sz w:val="24"/>
                          <w:szCs w:val="20"/>
                        </w:rPr>
                        <w:t>3</w:t>
                      </w:r>
                      <w:r>
                        <w:rPr>
                          <w:b/>
                          <w:i w:val="0"/>
                          <w:color w:val="auto"/>
                          <w:sz w:val="24"/>
                          <w:szCs w:val="20"/>
                        </w:rPr>
                        <w:fldChar w:fldCharType="end"/>
                      </w:r>
                      <w:r w:rsidRPr="00E92F0E">
                        <w:rPr>
                          <w:b/>
                          <w:i w:val="0"/>
                          <w:color w:val="auto"/>
                          <w:sz w:val="24"/>
                          <w:szCs w:val="20"/>
                        </w:rPr>
                        <w:t xml:space="preserve">. Flow chart of the search strategy – Conventional dentures and </w:t>
                      </w:r>
                      <w:bookmarkEnd w:id="60"/>
                      <w:r w:rsidRPr="00E92F0E">
                        <w:rPr>
                          <w:b/>
                          <w:i w:val="0"/>
                          <w:color w:val="auto"/>
                          <w:sz w:val="24"/>
                          <w:szCs w:val="20"/>
                        </w:rPr>
                        <w:t>OHQoL</w:t>
                      </w:r>
                      <w:bookmarkEnd w:id="61"/>
                      <w:bookmarkEnd w:id="62"/>
                    </w:p>
                  </w:txbxContent>
                </v:textbox>
              </v:shape>
            </w:pict>
          </mc:Fallback>
        </mc:AlternateContent>
      </w:r>
    </w:p>
    <w:p w14:paraId="22728926" w14:textId="72D5285C" w:rsidR="00E56623" w:rsidRPr="00787196" w:rsidRDefault="00407764" w:rsidP="00532A44">
      <w:pPr>
        <w:rPr>
          <w:rFonts w:cs="Arial"/>
          <w:szCs w:val="20"/>
        </w:rPr>
      </w:pPr>
      <w:r w:rsidRPr="00787196">
        <w:rPr>
          <w:noProof/>
        </w:rPr>
        <mc:AlternateContent>
          <mc:Choice Requires="wpg">
            <w:drawing>
              <wp:anchor distT="0" distB="0" distL="114300" distR="114300" simplePos="0" relativeHeight="251607552" behindDoc="0" locked="0" layoutInCell="1" allowOverlap="1" wp14:anchorId="4B4745BF" wp14:editId="07DE750B">
                <wp:simplePos x="0" y="0"/>
                <wp:positionH relativeFrom="column">
                  <wp:posOffset>357089</wp:posOffset>
                </wp:positionH>
                <wp:positionV relativeFrom="paragraph">
                  <wp:posOffset>311544</wp:posOffset>
                </wp:positionV>
                <wp:extent cx="4002405" cy="6637020"/>
                <wp:effectExtent l="57150" t="0" r="74295" b="125730"/>
                <wp:wrapNone/>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6637020"/>
                          <a:chOff x="2168" y="1485"/>
                          <a:chExt cx="7096" cy="10807"/>
                        </a:xfrm>
                        <a:solidFill>
                          <a:srgbClr val="9BBB59">
                            <a:lumMod val="60000"/>
                            <a:lumOff val="40000"/>
                          </a:srgbClr>
                        </a:solidFill>
                        <a:effectLst>
                          <a:outerShdw blurRad="50800" dist="50800" dir="5400000" algn="ctr" rotWithShape="0">
                            <a:sysClr val="window" lastClr="FFFFFF"/>
                          </a:outerShdw>
                        </a:effectLst>
                      </wpg:grpSpPr>
                      <wps:wsp>
                        <wps:cNvPr id="80" name="AutoShape 3"/>
                        <wps:cNvSpPr>
                          <a:spLocks noChangeArrowheads="1"/>
                        </wps:cNvSpPr>
                        <wps:spPr bwMode="auto">
                          <a:xfrm>
                            <a:off x="2168" y="1485"/>
                            <a:ext cx="4394" cy="1178"/>
                          </a:xfrm>
                          <a:prstGeom prst="roundRect">
                            <a:avLst>
                              <a:gd name="adj" fmla="val 16667"/>
                            </a:avLst>
                          </a:prstGeom>
                          <a:grpFill/>
                          <a:ln w="9525">
                            <a:solidFill>
                              <a:sysClr val="windowText" lastClr="000000"/>
                            </a:solidFill>
                            <a:round/>
                            <a:headEnd/>
                            <a:tailEnd/>
                          </a:ln>
                        </wps:spPr>
                        <wps:txbx>
                          <w:txbxContent>
                            <w:p w14:paraId="42029F9A" w14:textId="064966B0" w:rsidR="006E7D7A" w:rsidRPr="003A7766" w:rsidRDefault="006E7D7A" w:rsidP="000D6BDD">
                              <w:pPr>
                                <w:spacing w:before="0" w:after="0"/>
                                <w:rPr>
                                  <w:lang w:val="en-US"/>
                                </w:rPr>
                              </w:pPr>
                              <w:r w:rsidRPr="003A7766">
                                <w:rPr>
                                  <w:sz w:val="20"/>
                                  <w:szCs w:val="20"/>
                                  <w:lang w:val="en-US"/>
                                </w:rPr>
                                <w:t>Studies identified through database searching</w:t>
                              </w:r>
                              <w:r w:rsidRPr="003A7766">
                                <w:rPr>
                                  <w:sz w:val="20"/>
                                  <w:szCs w:val="20"/>
                                  <w:lang w:val="en-US"/>
                                </w:rPr>
                                <w:br/>
                                <w:t xml:space="preserve">n = </w:t>
                              </w:r>
                              <w:r>
                                <w:rPr>
                                  <w:sz w:val="20"/>
                                  <w:szCs w:val="20"/>
                                  <w:lang w:val="en-US"/>
                                </w:rPr>
                                <w:t>432</w:t>
                              </w:r>
                            </w:p>
                            <w:p w14:paraId="79B1BA5F" w14:textId="77777777" w:rsidR="006E7D7A" w:rsidRDefault="006E7D7A" w:rsidP="00E56623">
                              <w:r>
                                <w:t>n</w:t>
                              </w:r>
                            </w:p>
                          </w:txbxContent>
                        </wps:txbx>
                        <wps:bodyPr rot="0" vert="horz" wrap="square" lIns="91440" tIns="45720" rIns="91440" bIns="45720" anchor="t" anchorCtr="0" upright="1">
                          <a:noAutofit/>
                        </wps:bodyPr>
                      </wps:wsp>
                      <wps:wsp>
                        <wps:cNvPr id="81" name="AutoShape 4"/>
                        <wps:cNvSpPr>
                          <a:spLocks noChangeArrowheads="1"/>
                        </wps:cNvSpPr>
                        <wps:spPr bwMode="auto">
                          <a:xfrm>
                            <a:off x="5619" y="3207"/>
                            <a:ext cx="3526" cy="871"/>
                          </a:xfrm>
                          <a:prstGeom prst="roundRect">
                            <a:avLst>
                              <a:gd name="adj" fmla="val 16667"/>
                            </a:avLst>
                          </a:prstGeom>
                          <a:grpFill/>
                          <a:ln w="9525">
                            <a:solidFill>
                              <a:sysClr val="windowText" lastClr="000000"/>
                            </a:solidFill>
                            <a:round/>
                            <a:headEnd/>
                            <a:tailEnd/>
                          </a:ln>
                        </wps:spPr>
                        <wps:txbx>
                          <w:txbxContent>
                            <w:p w14:paraId="0808B1D9" w14:textId="39DB66EB" w:rsidR="006E7D7A" w:rsidRPr="003A7766" w:rsidRDefault="006E7D7A" w:rsidP="00C175A5">
                              <w:pPr>
                                <w:spacing w:before="0" w:after="0"/>
                                <w:rPr>
                                  <w:lang w:val="en-US"/>
                                </w:rPr>
                              </w:pPr>
                              <w:r w:rsidRPr="003A7766">
                                <w:rPr>
                                  <w:sz w:val="20"/>
                                  <w:szCs w:val="20"/>
                                  <w:lang w:val="en-US"/>
                                </w:rPr>
                                <w:t xml:space="preserve">Studies excluded </w:t>
                              </w:r>
                              <w:r>
                                <w:rPr>
                                  <w:sz w:val="20"/>
                                  <w:szCs w:val="20"/>
                                  <w:lang w:val="en-US"/>
                                </w:rPr>
                                <w:t>--</w:t>
                              </w:r>
                              <w:r w:rsidRPr="003A7766">
                                <w:rPr>
                                  <w:sz w:val="20"/>
                                  <w:szCs w:val="20"/>
                                  <w:lang w:val="en-US"/>
                                </w:rPr>
                                <w:t xml:space="preserve"> </w:t>
                              </w:r>
                              <w:r>
                                <w:rPr>
                                  <w:sz w:val="20"/>
                                  <w:szCs w:val="20"/>
                                  <w:lang w:val="en-US"/>
                                </w:rPr>
                                <w:t>T</w:t>
                              </w:r>
                              <w:r w:rsidRPr="003A7766">
                                <w:rPr>
                                  <w:sz w:val="20"/>
                                  <w:szCs w:val="20"/>
                                  <w:lang w:val="en-US"/>
                                </w:rPr>
                                <w:t>itle</w:t>
                              </w:r>
                              <w:r w:rsidRPr="003A7766">
                                <w:rPr>
                                  <w:sz w:val="20"/>
                                  <w:szCs w:val="20"/>
                                  <w:lang w:val="en-US"/>
                                </w:rPr>
                                <w:br/>
                                <w:t xml:space="preserve">n = </w:t>
                              </w:r>
                              <w:r>
                                <w:rPr>
                                  <w:sz w:val="20"/>
                                  <w:szCs w:val="20"/>
                                  <w:lang w:val="en-US"/>
                                </w:rPr>
                                <w:t>144</w:t>
                              </w:r>
                            </w:p>
                            <w:p w14:paraId="509B9138" w14:textId="77777777" w:rsidR="006E7D7A" w:rsidRDefault="006E7D7A" w:rsidP="00E56623">
                              <w:r>
                                <w:t>n</w:t>
                              </w:r>
                            </w:p>
                          </w:txbxContent>
                        </wps:txbx>
                        <wps:bodyPr rot="0" vert="horz" wrap="square" lIns="91440" tIns="45720" rIns="91440" bIns="45720" anchor="t" anchorCtr="0" upright="1">
                          <a:noAutofit/>
                        </wps:bodyPr>
                      </wps:wsp>
                      <wps:wsp>
                        <wps:cNvPr id="82" name="AutoShape 5"/>
                        <wps:cNvSpPr>
                          <a:spLocks noChangeArrowheads="1"/>
                        </wps:cNvSpPr>
                        <wps:spPr bwMode="auto">
                          <a:xfrm>
                            <a:off x="5619" y="6517"/>
                            <a:ext cx="3526" cy="1026"/>
                          </a:xfrm>
                          <a:prstGeom prst="roundRect">
                            <a:avLst>
                              <a:gd name="adj" fmla="val 16667"/>
                            </a:avLst>
                          </a:prstGeom>
                          <a:grpFill/>
                          <a:ln w="9525">
                            <a:solidFill>
                              <a:sysClr val="windowText" lastClr="000000"/>
                            </a:solidFill>
                            <a:round/>
                            <a:headEnd/>
                            <a:tailEnd/>
                          </a:ln>
                        </wps:spPr>
                        <wps:txbx>
                          <w:txbxContent>
                            <w:p w14:paraId="70084F84" w14:textId="3D69B93C" w:rsidR="006E7D7A" w:rsidRPr="002230F0" w:rsidRDefault="006E7D7A" w:rsidP="000D6BDD">
                              <w:pPr>
                                <w:spacing w:before="0" w:after="0"/>
                                <w:rPr>
                                  <w:lang w:val="pt-PT"/>
                                </w:rPr>
                              </w:pPr>
                              <w:r w:rsidRPr="002230F0">
                                <w:rPr>
                                  <w:sz w:val="20"/>
                                  <w:szCs w:val="20"/>
                                  <w:lang w:val="pt-PT"/>
                                </w:rPr>
                                <w:t>Studies excluded - Abstract</w:t>
                              </w:r>
                              <w:r w:rsidRPr="002230F0">
                                <w:rPr>
                                  <w:rFonts w:ascii="Verdana" w:hAnsi="Verdana"/>
                                  <w:sz w:val="20"/>
                                  <w:szCs w:val="20"/>
                                  <w:lang w:val="pt-PT"/>
                                </w:rPr>
                                <w:br/>
                              </w:r>
                              <w:r w:rsidRPr="002230F0">
                                <w:rPr>
                                  <w:rFonts w:cs="Arial"/>
                                  <w:sz w:val="20"/>
                                  <w:szCs w:val="20"/>
                                  <w:lang w:val="pt-PT"/>
                                </w:rPr>
                                <w:t>n = 152</w:t>
                              </w:r>
                            </w:p>
                            <w:p w14:paraId="09DF5E63" w14:textId="59BDFF62" w:rsidR="006E7D7A" w:rsidRPr="002230F0" w:rsidRDefault="006E7D7A" w:rsidP="00E56623">
                              <w:pPr>
                                <w:rPr>
                                  <w:lang w:val="pt-PT"/>
                                </w:rPr>
                              </w:pPr>
                              <w:r w:rsidRPr="002230F0">
                                <w:rPr>
                                  <w:lang w:val="pt-PT"/>
                                </w:rPr>
                                <w:t>N n</w:t>
                              </w:r>
                            </w:p>
                          </w:txbxContent>
                        </wps:txbx>
                        <wps:bodyPr rot="0" vert="horz" wrap="square" lIns="91440" tIns="45720" rIns="91440" bIns="45720" anchor="t" anchorCtr="0" upright="1">
                          <a:noAutofit/>
                        </wps:bodyPr>
                      </wps:wsp>
                      <wps:wsp>
                        <wps:cNvPr id="83" name="AutoShape 6"/>
                        <wps:cNvSpPr>
                          <a:spLocks noChangeArrowheads="1"/>
                        </wps:cNvSpPr>
                        <wps:spPr bwMode="auto">
                          <a:xfrm>
                            <a:off x="5619" y="9783"/>
                            <a:ext cx="3645" cy="1235"/>
                          </a:xfrm>
                          <a:prstGeom prst="roundRect">
                            <a:avLst>
                              <a:gd name="adj" fmla="val 16667"/>
                            </a:avLst>
                          </a:prstGeom>
                          <a:grpFill/>
                          <a:ln w="9525">
                            <a:solidFill>
                              <a:sysClr val="windowText" lastClr="000000"/>
                            </a:solidFill>
                            <a:round/>
                            <a:headEnd/>
                            <a:tailEnd/>
                          </a:ln>
                        </wps:spPr>
                        <wps:txbx>
                          <w:txbxContent>
                            <w:p w14:paraId="5574D123" w14:textId="6C973F14" w:rsidR="006E7D7A" w:rsidRPr="00875425" w:rsidRDefault="006E7D7A" w:rsidP="000D6BDD">
                              <w:pPr>
                                <w:spacing w:before="0" w:after="0"/>
                                <w:rPr>
                                  <w:lang w:val="en-US"/>
                                </w:rPr>
                              </w:pPr>
                              <w:r w:rsidRPr="00875425">
                                <w:rPr>
                                  <w:sz w:val="20"/>
                                  <w:szCs w:val="20"/>
                                  <w:lang w:val="en-US"/>
                                </w:rPr>
                                <w:t xml:space="preserve">Studies excluded </w:t>
                              </w:r>
                              <w:r>
                                <w:rPr>
                                  <w:sz w:val="20"/>
                                  <w:szCs w:val="20"/>
                                  <w:lang w:val="en-US"/>
                                </w:rPr>
                                <w:t xml:space="preserve">-on </w:t>
                              </w:r>
                              <w:r w:rsidRPr="00875425">
                                <w:rPr>
                                  <w:sz w:val="20"/>
                                  <w:szCs w:val="20"/>
                                  <w:lang w:val="en-US"/>
                                </w:rPr>
                                <w:t>reading full text</w:t>
                              </w:r>
                              <w:r>
                                <w:rPr>
                                  <w:sz w:val="20"/>
                                  <w:szCs w:val="20"/>
                                  <w:lang w:val="en-US"/>
                                </w:rPr>
                                <w:t xml:space="preserve"> </w:t>
                              </w:r>
                              <w:r w:rsidRPr="00875425">
                                <w:rPr>
                                  <w:sz w:val="20"/>
                                  <w:szCs w:val="20"/>
                                  <w:lang w:val="en-US"/>
                                </w:rPr>
                                <w:t xml:space="preserve">n = </w:t>
                              </w:r>
                              <w:r>
                                <w:rPr>
                                  <w:sz w:val="20"/>
                                  <w:szCs w:val="20"/>
                                  <w:lang w:val="en-US"/>
                                </w:rPr>
                                <w:t>87</w:t>
                              </w:r>
                            </w:p>
                            <w:p w14:paraId="7D87FF68" w14:textId="77777777" w:rsidR="006E7D7A" w:rsidRDefault="006E7D7A" w:rsidP="00E56623">
                              <w:r>
                                <w:t>n</w:t>
                              </w:r>
                            </w:p>
                          </w:txbxContent>
                        </wps:txbx>
                        <wps:bodyPr rot="0" vert="horz" wrap="square" lIns="91440" tIns="45720" rIns="91440" bIns="45720" anchor="t" anchorCtr="0" upright="1">
                          <a:noAutofit/>
                        </wps:bodyPr>
                      </wps:wsp>
                      <wps:wsp>
                        <wps:cNvPr id="84" name="AutoShape 7"/>
                        <wps:cNvSpPr>
                          <a:spLocks noChangeArrowheads="1"/>
                        </wps:cNvSpPr>
                        <wps:spPr bwMode="auto">
                          <a:xfrm>
                            <a:off x="2168" y="4840"/>
                            <a:ext cx="4394" cy="881"/>
                          </a:xfrm>
                          <a:prstGeom prst="roundRect">
                            <a:avLst>
                              <a:gd name="adj" fmla="val 16667"/>
                            </a:avLst>
                          </a:prstGeom>
                          <a:grpFill/>
                          <a:ln w="9525">
                            <a:solidFill>
                              <a:sysClr val="windowText" lastClr="000000"/>
                            </a:solidFill>
                            <a:round/>
                            <a:headEnd/>
                            <a:tailEnd/>
                          </a:ln>
                        </wps:spPr>
                        <wps:txbx>
                          <w:txbxContent>
                            <w:p w14:paraId="6A1ED454" w14:textId="33981532" w:rsidR="006E7D7A" w:rsidRPr="003A7766" w:rsidRDefault="006E7D7A" w:rsidP="00C175A5">
                              <w:pPr>
                                <w:spacing w:before="0" w:after="0"/>
                                <w:rPr>
                                  <w:lang w:val="en-US"/>
                                </w:rPr>
                              </w:pPr>
                              <w:r w:rsidRPr="003A7766">
                                <w:rPr>
                                  <w:sz w:val="20"/>
                                  <w:szCs w:val="20"/>
                                  <w:lang w:val="en-US"/>
                                </w:rPr>
                                <w:t xml:space="preserve">Studies </w:t>
                              </w:r>
                              <w:r>
                                <w:rPr>
                                  <w:sz w:val="20"/>
                                  <w:szCs w:val="20"/>
                                  <w:lang w:val="en-US"/>
                                </w:rPr>
                                <w:t>for further evaluation</w:t>
                              </w:r>
                              <w:r>
                                <w:rPr>
                                  <w:sz w:val="20"/>
                                  <w:szCs w:val="20"/>
                                  <w:lang w:val="en-US"/>
                                </w:rPr>
                                <w:br/>
                                <w:t>n = 28</w:t>
                              </w:r>
                              <w:r w:rsidRPr="003A7766">
                                <w:rPr>
                                  <w:sz w:val="20"/>
                                  <w:szCs w:val="20"/>
                                  <w:lang w:val="en-US"/>
                                </w:rPr>
                                <w:t>8</w:t>
                              </w:r>
                            </w:p>
                            <w:p w14:paraId="3BC496BF" w14:textId="77777777" w:rsidR="006E7D7A" w:rsidRDefault="006E7D7A" w:rsidP="000D6BDD">
                              <w:pPr>
                                <w:spacing w:before="0" w:after="0"/>
                              </w:pPr>
                            </w:p>
                          </w:txbxContent>
                        </wps:txbx>
                        <wps:bodyPr rot="0" vert="horz" wrap="square" lIns="91440" tIns="45720" rIns="91440" bIns="45720" anchor="t" anchorCtr="0" upright="1">
                          <a:noAutofit/>
                        </wps:bodyPr>
                      </wps:wsp>
                      <wps:wsp>
                        <wps:cNvPr id="85" name="AutoShape 8"/>
                        <wps:cNvSpPr>
                          <a:spLocks noChangeArrowheads="1"/>
                        </wps:cNvSpPr>
                        <wps:spPr bwMode="auto">
                          <a:xfrm>
                            <a:off x="2168" y="8091"/>
                            <a:ext cx="4394" cy="787"/>
                          </a:xfrm>
                          <a:prstGeom prst="roundRect">
                            <a:avLst>
                              <a:gd name="adj" fmla="val 16667"/>
                            </a:avLst>
                          </a:prstGeom>
                          <a:grpFill/>
                          <a:ln w="9525">
                            <a:solidFill>
                              <a:sysClr val="windowText" lastClr="000000"/>
                            </a:solidFill>
                            <a:round/>
                            <a:headEnd/>
                            <a:tailEnd/>
                          </a:ln>
                        </wps:spPr>
                        <wps:txbx>
                          <w:txbxContent>
                            <w:p w14:paraId="1C1FF324" w14:textId="79CFEE36" w:rsidR="006E7D7A" w:rsidRDefault="006E7D7A" w:rsidP="000D6BDD">
                              <w:pPr>
                                <w:spacing w:before="0" w:after="0"/>
                                <w:rPr>
                                  <w:sz w:val="20"/>
                                  <w:szCs w:val="20"/>
                                </w:rPr>
                              </w:pPr>
                              <w:r w:rsidRPr="00875425">
                                <w:rPr>
                                  <w:sz w:val="20"/>
                                  <w:szCs w:val="20"/>
                                </w:rPr>
                                <w:t>Potentially appropriate studies</w:t>
                              </w:r>
                              <w:r w:rsidRPr="00875425">
                                <w:rPr>
                                  <w:sz w:val="20"/>
                                  <w:szCs w:val="20"/>
                                </w:rPr>
                                <w:br/>
                                <w:t xml:space="preserve">n = </w:t>
                              </w:r>
                              <w:r>
                                <w:rPr>
                                  <w:sz w:val="20"/>
                                  <w:szCs w:val="20"/>
                                </w:rPr>
                                <w:t>136</w:t>
                              </w:r>
                            </w:p>
                            <w:p w14:paraId="10BF6673" w14:textId="77777777" w:rsidR="006E7D7A" w:rsidRDefault="006E7D7A" w:rsidP="00E56623">
                              <w:pPr>
                                <w:rPr>
                                  <w:sz w:val="20"/>
                                  <w:szCs w:val="20"/>
                                </w:rPr>
                              </w:pPr>
                            </w:p>
                            <w:p w14:paraId="19CA105D" w14:textId="77777777" w:rsidR="006E7D7A" w:rsidRPr="00875425" w:rsidRDefault="006E7D7A" w:rsidP="00E56623">
                              <w:pPr>
                                <w:rPr>
                                  <w:sz w:val="20"/>
                                  <w:szCs w:val="20"/>
                                </w:rPr>
                              </w:pPr>
                            </w:p>
                            <w:p w14:paraId="77E2774E" w14:textId="77777777" w:rsidR="006E7D7A" w:rsidRDefault="006E7D7A" w:rsidP="00E56623"/>
                            <w:p w14:paraId="4607DC07" w14:textId="77777777" w:rsidR="006E7D7A" w:rsidRDefault="006E7D7A" w:rsidP="00E56623">
                              <w:r>
                                <w:t>n</w:t>
                              </w:r>
                            </w:p>
                          </w:txbxContent>
                        </wps:txbx>
                        <wps:bodyPr rot="0" vert="horz" wrap="square" lIns="91440" tIns="45720" rIns="91440" bIns="45720" anchor="t" anchorCtr="0" upright="1">
                          <a:noAutofit/>
                        </wps:bodyPr>
                      </wps:wsp>
                      <wps:wsp>
                        <wps:cNvPr id="86" name="AutoShape 9"/>
                        <wps:cNvSpPr>
                          <a:spLocks noChangeArrowheads="1"/>
                        </wps:cNvSpPr>
                        <wps:spPr bwMode="auto">
                          <a:xfrm>
                            <a:off x="2168" y="11475"/>
                            <a:ext cx="4394" cy="817"/>
                          </a:xfrm>
                          <a:prstGeom prst="roundRect">
                            <a:avLst>
                              <a:gd name="adj" fmla="val 16667"/>
                            </a:avLst>
                          </a:prstGeom>
                          <a:grpFill/>
                          <a:ln w="9525">
                            <a:solidFill>
                              <a:sysClr val="windowText" lastClr="000000"/>
                            </a:solidFill>
                            <a:round/>
                            <a:headEnd/>
                            <a:tailEnd/>
                          </a:ln>
                        </wps:spPr>
                        <wps:txbx>
                          <w:txbxContent>
                            <w:p w14:paraId="6DF7BEDB" w14:textId="0F67A953" w:rsidR="006E7D7A" w:rsidRPr="00875425" w:rsidRDefault="006E7D7A" w:rsidP="000D6BDD">
                              <w:pPr>
                                <w:spacing w:before="0" w:after="0"/>
                                <w:rPr>
                                  <w:lang w:val="en-US"/>
                                </w:rPr>
                              </w:pPr>
                              <w:r w:rsidRPr="00875425">
                                <w:rPr>
                                  <w:sz w:val="20"/>
                                  <w:szCs w:val="20"/>
                                  <w:lang w:val="en-US"/>
                                </w:rPr>
                                <w:t>Studi</w:t>
                              </w:r>
                              <w:r>
                                <w:rPr>
                                  <w:sz w:val="20"/>
                                  <w:szCs w:val="20"/>
                                  <w:lang w:val="en-US"/>
                                </w:rPr>
                                <w:t>es included in the review</w:t>
                              </w:r>
                              <w:r>
                                <w:rPr>
                                  <w:sz w:val="20"/>
                                  <w:szCs w:val="20"/>
                                  <w:lang w:val="en-US"/>
                                </w:rPr>
                                <w:br/>
                                <w:t>n= 49</w:t>
                              </w:r>
                            </w:p>
                            <w:p w14:paraId="5461CB52" w14:textId="77777777" w:rsidR="006E7D7A" w:rsidRDefault="006E7D7A" w:rsidP="00E56623">
                              <w:r>
                                <w:t>n</w:t>
                              </w:r>
                            </w:p>
                          </w:txbxContent>
                        </wps:txbx>
                        <wps:bodyPr rot="0" vert="horz" wrap="square" lIns="91440" tIns="45720" rIns="91440" bIns="45720" anchor="t" anchorCtr="0" upright="1">
                          <a:noAutofit/>
                        </wps:bodyPr>
                      </wps:wsp>
                      <wps:wsp>
                        <wps:cNvPr id="87" name="AutoShape 10"/>
                        <wps:cNvCnPr>
                          <a:cxnSpLocks noChangeShapeType="1"/>
                        </wps:cNvCnPr>
                        <wps:spPr bwMode="auto">
                          <a:xfrm>
                            <a:off x="4290" y="2663"/>
                            <a:ext cx="0" cy="2177"/>
                          </a:xfrm>
                          <a:prstGeom prst="straightConnector1">
                            <a:avLst/>
                          </a:prstGeom>
                          <a:grpFill/>
                          <a:ln w="9525">
                            <a:solidFill>
                              <a:sysClr val="windowText" lastClr="000000"/>
                            </a:solidFill>
                            <a:round/>
                            <a:headEnd/>
                            <a:tailEnd type="triangle" w="med" len="med"/>
                          </a:ln>
                          <a:extLst/>
                        </wps:spPr>
                        <wps:bodyPr/>
                      </wps:wsp>
                      <wps:wsp>
                        <wps:cNvPr id="88" name="AutoShape 11"/>
                        <wps:cNvCnPr>
                          <a:cxnSpLocks noChangeShapeType="1"/>
                        </wps:cNvCnPr>
                        <wps:spPr bwMode="auto">
                          <a:xfrm>
                            <a:off x="4275" y="5721"/>
                            <a:ext cx="15" cy="2370"/>
                          </a:xfrm>
                          <a:prstGeom prst="straightConnector1">
                            <a:avLst/>
                          </a:prstGeom>
                          <a:grpFill/>
                          <a:ln w="9525">
                            <a:solidFill>
                              <a:sysClr val="windowText" lastClr="000000"/>
                            </a:solidFill>
                            <a:round/>
                            <a:headEnd/>
                            <a:tailEnd type="triangle" w="med" len="med"/>
                          </a:ln>
                          <a:extLst/>
                        </wps:spPr>
                        <wps:bodyPr/>
                      </wps:wsp>
                      <wps:wsp>
                        <wps:cNvPr id="89" name="AutoShape 12"/>
                        <wps:cNvCnPr>
                          <a:cxnSpLocks noChangeShapeType="1"/>
                        </wps:cNvCnPr>
                        <wps:spPr bwMode="auto">
                          <a:xfrm>
                            <a:off x="4290" y="8878"/>
                            <a:ext cx="0" cy="2597"/>
                          </a:xfrm>
                          <a:prstGeom prst="straightConnector1">
                            <a:avLst/>
                          </a:prstGeom>
                          <a:grpFill/>
                          <a:ln w="9525">
                            <a:solidFill>
                              <a:sysClr val="windowText" lastClr="000000"/>
                            </a:solidFill>
                            <a:round/>
                            <a:headEnd/>
                            <a:tailEnd type="triangle" w="med" len="med"/>
                          </a:ln>
                          <a:extLst/>
                        </wps:spPr>
                        <wps:bodyPr/>
                      </wps:wsp>
                      <wps:wsp>
                        <wps:cNvPr id="90" name="AutoShape 13"/>
                        <wps:cNvCnPr>
                          <a:cxnSpLocks noChangeShapeType="1"/>
                        </wps:cNvCnPr>
                        <wps:spPr bwMode="auto">
                          <a:xfrm>
                            <a:off x="4290" y="3711"/>
                            <a:ext cx="1329" cy="0"/>
                          </a:xfrm>
                          <a:prstGeom prst="straightConnector1">
                            <a:avLst/>
                          </a:prstGeom>
                          <a:grpFill/>
                          <a:ln w="9525">
                            <a:solidFill>
                              <a:sysClr val="windowText" lastClr="000000"/>
                            </a:solidFill>
                            <a:round/>
                            <a:headEnd/>
                            <a:tailEnd type="triangle" w="med" len="med"/>
                          </a:ln>
                          <a:extLst/>
                        </wps:spPr>
                        <wps:bodyPr/>
                      </wps:wsp>
                      <wps:wsp>
                        <wps:cNvPr id="91" name="AutoShape 14"/>
                        <wps:cNvCnPr>
                          <a:cxnSpLocks noChangeShapeType="1"/>
                        </wps:cNvCnPr>
                        <wps:spPr bwMode="auto">
                          <a:xfrm>
                            <a:off x="4275" y="7007"/>
                            <a:ext cx="1344" cy="15"/>
                          </a:xfrm>
                          <a:prstGeom prst="straightConnector1">
                            <a:avLst/>
                          </a:prstGeom>
                          <a:grpFill/>
                          <a:ln w="9525">
                            <a:solidFill>
                              <a:sysClr val="windowText" lastClr="000000"/>
                            </a:solidFill>
                            <a:round/>
                            <a:headEnd/>
                            <a:tailEnd type="triangle" w="med" len="med"/>
                          </a:ln>
                          <a:extLst/>
                        </wps:spPr>
                        <wps:bodyPr/>
                      </wps:wsp>
                      <wps:wsp>
                        <wps:cNvPr id="92" name="AutoShape 15"/>
                        <wps:cNvCnPr>
                          <a:cxnSpLocks noChangeShapeType="1"/>
                        </wps:cNvCnPr>
                        <wps:spPr bwMode="auto">
                          <a:xfrm>
                            <a:off x="4290" y="10347"/>
                            <a:ext cx="1329" cy="0"/>
                          </a:xfrm>
                          <a:prstGeom prst="straightConnector1">
                            <a:avLst/>
                          </a:prstGeom>
                          <a:grpFill/>
                          <a:ln w="9525">
                            <a:solidFill>
                              <a:sysClr val="windowText" lastClr="000000"/>
                            </a:solidFill>
                            <a:round/>
                            <a:headEnd/>
                            <a:tailEnd type="triangle" w="med" len="med"/>
                          </a:ln>
                          <a:extLst/>
                        </wps:spPr>
                        <wps:bodyPr/>
                      </wps:wsp>
                    </wpg:wgp>
                  </a:graphicData>
                </a:graphic>
                <wp14:sizeRelH relativeFrom="page">
                  <wp14:pctWidth>0</wp14:pctWidth>
                </wp14:sizeRelH>
                <wp14:sizeRelV relativeFrom="page">
                  <wp14:pctHeight>0</wp14:pctHeight>
                </wp14:sizeRelV>
              </wp:anchor>
            </w:drawing>
          </mc:Choice>
          <mc:Fallback>
            <w:pict>
              <v:group w14:anchorId="4B4745BF" id="Group 50" o:spid="_x0000_s1086" style="position:absolute;left:0;text-align:left;margin-left:28.1pt;margin-top:24.55pt;width:315.15pt;height:522.6pt;z-index:251607552" coordorigin="2168,1485" coordsize="7096,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">
                <v:roundrect id="AutoShape 3" o:spid="_x0000_s1087" style="position:absolute;left:2168;top:1485;width:4394;height:11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f7wA&#10;AADbAAAADwAAAGRycy9kb3ducmV2LnhtbERPvQrCMBDeBd8hnOCmqYIi1SgqKA4uVgfHoznTYnMp&#10;TbT17c0gOH58/6tNZyvxpsaXjhVMxgkI4tzpko2C2/UwWoDwAVlj5ZgUfMjDZt3vrTDVruULvbNg&#10;RAxhn6KCIoQ6ldLnBVn0Y1cTR+7hGoshwsZI3WAbw20lp0kylxZLjg0F1rQvKH9mL6tgb2ZJdT+f&#10;p9uLzF5+15oj6Vap4aDbLkEE6sJf/HOftIJFXB+/x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JO1/vAAAANsAAAAPAAAAAAAAAAAAAAAAAJgCAABkcnMvZG93bnJldi54&#10;bWxQSwUGAAAAAAQABAD1AAAAgQMAAAAA&#10;" filled="f" strokecolor="windowText">
                  <v:textbox>
                    <w:txbxContent>
                      <w:p w14:paraId="42029F9A" w14:textId="064966B0" w:rsidR="006E7D7A" w:rsidRPr="003A7766" w:rsidRDefault="006E7D7A" w:rsidP="000D6BDD">
                        <w:pPr>
                          <w:spacing w:before="0" w:after="0"/>
                          <w:rPr>
                            <w:lang w:val="en-US"/>
                          </w:rPr>
                        </w:pPr>
                        <w:r w:rsidRPr="003A7766">
                          <w:rPr>
                            <w:sz w:val="20"/>
                            <w:szCs w:val="20"/>
                            <w:lang w:val="en-US"/>
                          </w:rPr>
                          <w:t>Studies identified through database searching</w:t>
                        </w:r>
                        <w:r w:rsidRPr="003A7766">
                          <w:rPr>
                            <w:sz w:val="20"/>
                            <w:szCs w:val="20"/>
                            <w:lang w:val="en-US"/>
                          </w:rPr>
                          <w:br/>
                          <w:t xml:space="preserve">n = </w:t>
                        </w:r>
                        <w:r>
                          <w:rPr>
                            <w:sz w:val="20"/>
                            <w:szCs w:val="20"/>
                            <w:lang w:val="en-US"/>
                          </w:rPr>
                          <w:t>432</w:t>
                        </w:r>
                      </w:p>
                      <w:p w14:paraId="79B1BA5F" w14:textId="77777777" w:rsidR="006E7D7A" w:rsidRDefault="006E7D7A" w:rsidP="00E56623">
                        <w:r>
                          <w:t>n</w:t>
                        </w:r>
                      </w:p>
                    </w:txbxContent>
                  </v:textbox>
                </v:roundrect>
                <v:roundrect id="AutoShape 4" o:spid="_x0000_s1088" style="position:absolute;left:5619;top:3207;width:3526;height:8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I5MAA&#10;AADbAAAADwAAAGRycy9kb3ducmV2LnhtbESPQavCMBCE74L/IazgTVMFH1KNooLiwYvVg8elWdNi&#10;sylNtPXfG+GBx2FmvmGW685W4kWNLx0rmIwTEMS50yUbBdfLfjQH4QOyxsoxKXiTh/Wq31tiql3L&#10;Z3plwYgIYZ+igiKEOpXS5wVZ9GNXE0fv7hqLIcrGSN1gG+G2ktMk+ZMWS44LBda0Kyh/ZE+rYGdm&#10;SXU7naabs8yeftuaA+lWqeGg2yxABOrCL/zfPmoF8wl8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hI5MAAAADbAAAADwAAAAAAAAAAAAAAAACYAgAAZHJzL2Rvd25y&#10;ZXYueG1sUEsFBgAAAAAEAAQA9QAAAIUDAAAAAA==&#10;" filled="f" strokecolor="windowText">
                  <v:textbox>
                    <w:txbxContent>
                      <w:p w14:paraId="0808B1D9" w14:textId="39DB66EB" w:rsidR="006E7D7A" w:rsidRPr="003A7766" w:rsidRDefault="006E7D7A" w:rsidP="00C175A5">
                        <w:pPr>
                          <w:spacing w:before="0" w:after="0"/>
                          <w:rPr>
                            <w:lang w:val="en-US"/>
                          </w:rPr>
                        </w:pPr>
                        <w:r w:rsidRPr="003A7766">
                          <w:rPr>
                            <w:sz w:val="20"/>
                            <w:szCs w:val="20"/>
                            <w:lang w:val="en-US"/>
                          </w:rPr>
                          <w:t xml:space="preserve">Studies excluded </w:t>
                        </w:r>
                        <w:r>
                          <w:rPr>
                            <w:sz w:val="20"/>
                            <w:szCs w:val="20"/>
                            <w:lang w:val="en-US"/>
                          </w:rPr>
                          <w:t>--</w:t>
                        </w:r>
                        <w:r w:rsidRPr="003A7766">
                          <w:rPr>
                            <w:sz w:val="20"/>
                            <w:szCs w:val="20"/>
                            <w:lang w:val="en-US"/>
                          </w:rPr>
                          <w:t xml:space="preserve"> </w:t>
                        </w:r>
                        <w:r>
                          <w:rPr>
                            <w:sz w:val="20"/>
                            <w:szCs w:val="20"/>
                            <w:lang w:val="en-US"/>
                          </w:rPr>
                          <w:t>T</w:t>
                        </w:r>
                        <w:r w:rsidRPr="003A7766">
                          <w:rPr>
                            <w:sz w:val="20"/>
                            <w:szCs w:val="20"/>
                            <w:lang w:val="en-US"/>
                          </w:rPr>
                          <w:t>itle</w:t>
                        </w:r>
                        <w:r w:rsidRPr="003A7766">
                          <w:rPr>
                            <w:sz w:val="20"/>
                            <w:szCs w:val="20"/>
                            <w:lang w:val="en-US"/>
                          </w:rPr>
                          <w:br/>
                          <w:t xml:space="preserve">n = </w:t>
                        </w:r>
                        <w:r>
                          <w:rPr>
                            <w:sz w:val="20"/>
                            <w:szCs w:val="20"/>
                            <w:lang w:val="en-US"/>
                          </w:rPr>
                          <w:t>144</w:t>
                        </w:r>
                      </w:p>
                      <w:p w14:paraId="509B9138" w14:textId="77777777" w:rsidR="006E7D7A" w:rsidRDefault="006E7D7A" w:rsidP="00E56623">
                        <w:r>
                          <w:t>n</w:t>
                        </w:r>
                      </w:p>
                    </w:txbxContent>
                  </v:textbox>
                </v:roundrect>
                <v:roundrect id="AutoShape 5" o:spid="_x0000_s1089" style="position:absolute;left:5619;top:6517;width:3526;height:1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Wk8AA&#10;AADbAAAADwAAAGRycy9kb3ducmV2LnhtbESPQYvCMBSE74L/ITzBm6YWFKlGUUHZgxerB4+P5pkW&#10;m5fSRNv995sFweMwM98w621va/Gm1leOFcymCQjiwumKjYLb9ThZgvABWWPtmBT8koftZjhYY6Zd&#10;xxd658GICGGfoYIyhCaT0hclWfRT1xBH7+FaiyHK1kjdYhfhtpZpkiykxYrjQokNHUoqnvnLKjiY&#10;eVLfz+d0d5H5y+87cyLdKTUe9bsViEB9+IY/7R+tYJnC/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rWk8AAAADbAAAADwAAAAAAAAAAAAAAAACYAgAAZHJzL2Rvd25y&#10;ZXYueG1sUEsFBgAAAAAEAAQA9QAAAIUDAAAAAA==&#10;" filled="f" strokecolor="windowText">
                  <v:textbox>
                    <w:txbxContent>
                      <w:p w14:paraId="70084F84" w14:textId="3D69B93C" w:rsidR="006E7D7A" w:rsidRPr="002230F0" w:rsidRDefault="006E7D7A" w:rsidP="000D6BDD">
                        <w:pPr>
                          <w:spacing w:before="0" w:after="0"/>
                          <w:rPr>
                            <w:lang w:val="pt-PT"/>
                          </w:rPr>
                        </w:pPr>
                        <w:r w:rsidRPr="002230F0">
                          <w:rPr>
                            <w:sz w:val="20"/>
                            <w:szCs w:val="20"/>
                            <w:lang w:val="pt-PT"/>
                          </w:rPr>
                          <w:t>Studies excluded - Abstract</w:t>
                        </w:r>
                        <w:r w:rsidRPr="002230F0">
                          <w:rPr>
                            <w:rFonts w:ascii="Verdana" w:hAnsi="Verdana"/>
                            <w:sz w:val="20"/>
                            <w:szCs w:val="20"/>
                            <w:lang w:val="pt-PT"/>
                          </w:rPr>
                          <w:br/>
                        </w:r>
                        <w:r w:rsidRPr="002230F0">
                          <w:rPr>
                            <w:rFonts w:cs="Arial"/>
                            <w:sz w:val="20"/>
                            <w:szCs w:val="20"/>
                            <w:lang w:val="pt-PT"/>
                          </w:rPr>
                          <w:t>n = 152</w:t>
                        </w:r>
                      </w:p>
                      <w:p w14:paraId="09DF5E63" w14:textId="59BDFF62" w:rsidR="006E7D7A" w:rsidRPr="002230F0" w:rsidRDefault="006E7D7A" w:rsidP="00E56623">
                        <w:pPr>
                          <w:rPr>
                            <w:lang w:val="pt-PT"/>
                          </w:rPr>
                        </w:pPr>
                        <w:r w:rsidRPr="002230F0">
                          <w:rPr>
                            <w:lang w:val="pt-PT"/>
                          </w:rPr>
                          <w:t>N n</w:t>
                        </w:r>
                      </w:p>
                    </w:txbxContent>
                  </v:textbox>
                </v:roundrect>
                <v:roundrect id="AutoShape 6" o:spid="_x0000_s1090" style="position:absolute;left:5619;top:9783;width:3645;height:12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zCMIA&#10;AADbAAAADwAAAGRycy9kb3ducmV2LnhtbESPQYvCMBSE7wv+h/AWvK3pKopUY6nCLh68WD14fDRv&#10;07LNS2mirf/eCILHYWa+YdbZYBtxo87XjhV8TxIQxKXTNRsF59PP1xKED8gaG8ek4E4ess3oY42p&#10;dj0f6VYEIyKEfYoKqhDaVEpfVmTRT1xLHL0/11kMUXZG6g77CLeNnCbJQlqsOS5U2NKuovK/uFoF&#10;OzNPmsvhMM2Psrj6bW9+SfdKjT+HfAUi0BDe4Vd7rxUsZ/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nMIwgAAANsAAAAPAAAAAAAAAAAAAAAAAJgCAABkcnMvZG93&#10;bnJldi54bWxQSwUGAAAAAAQABAD1AAAAhwMAAAAA&#10;" filled="f" strokecolor="windowText">
                  <v:textbox>
                    <w:txbxContent>
                      <w:p w14:paraId="5574D123" w14:textId="6C973F14" w:rsidR="006E7D7A" w:rsidRPr="00875425" w:rsidRDefault="006E7D7A" w:rsidP="000D6BDD">
                        <w:pPr>
                          <w:spacing w:before="0" w:after="0"/>
                          <w:rPr>
                            <w:lang w:val="en-US"/>
                          </w:rPr>
                        </w:pPr>
                        <w:r w:rsidRPr="00875425">
                          <w:rPr>
                            <w:sz w:val="20"/>
                            <w:szCs w:val="20"/>
                            <w:lang w:val="en-US"/>
                          </w:rPr>
                          <w:t xml:space="preserve">Studies excluded </w:t>
                        </w:r>
                        <w:r>
                          <w:rPr>
                            <w:sz w:val="20"/>
                            <w:szCs w:val="20"/>
                            <w:lang w:val="en-US"/>
                          </w:rPr>
                          <w:t xml:space="preserve">-on </w:t>
                        </w:r>
                        <w:r w:rsidRPr="00875425">
                          <w:rPr>
                            <w:sz w:val="20"/>
                            <w:szCs w:val="20"/>
                            <w:lang w:val="en-US"/>
                          </w:rPr>
                          <w:t>reading full text</w:t>
                        </w:r>
                        <w:r>
                          <w:rPr>
                            <w:sz w:val="20"/>
                            <w:szCs w:val="20"/>
                            <w:lang w:val="en-US"/>
                          </w:rPr>
                          <w:t xml:space="preserve"> </w:t>
                        </w:r>
                        <w:r w:rsidRPr="00875425">
                          <w:rPr>
                            <w:sz w:val="20"/>
                            <w:szCs w:val="20"/>
                            <w:lang w:val="en-US"/>
                          </w:rPr>
                          <w:t xml:space="preserve">n = </w:t>
                        </w:r>
                        <w:r>
                          <w:rPr>
                            <w:sz w:val="20"/>
                            <w:szCs w:val="20"/>
                            <w:lang w:val="en-US"/>
                          </w:rPr>
                          <w:t>87</w:t>
                        </w:r>
                      </w:p>
                      <w:p w14:paraId="7D87FF68" w14:textId="77777777" w:rsidR="006E7D7A" w:rsidRDefault="006E7D7A" w:rsidP="00E56623">
                        <w:r>
                          <w:t>n</w:t>
                        </w:r>
                      </w:p>
                    </w:txbxContent>
                  </v:textbox>
                </v:roundrect>
                <v:roundrect id="AutoShape 7" o:spid="_x0000_s1091" style="position:absolute;left:2168;top:4840;width:4394;height:8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fMIA&#10;AADbAAAADwAAAGRycy9kb3ducmV2LnhtbESPQYvCMBSE7wv+h/AWvK3piopUY6nCLh68WD14fDRv&#10;07LNS2mirf/eCILHYWa+YdbZYBtxo87XjhV8TxIQxKXTNRsF59PP1xKED8gaG8ek4E4ess3oY42p&#10;dj0f6VYEIyKEfYoKqhDaVEpfVmTRT1xLHL0/11kMUXZG6g77CLeNnCbJQlqsOS5U2NKuovK/uFoF&#10;OzNPmsvhMM2Psrj6bW9+SfdKjT+HfAUi0BDe4Vd7rxUsZ/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t8wgAAANsAAAAPAAAAAAAAAAAAAAAAAJgCAABkcnMvZG93&#10;bnJldi54bWxQSwUGAAAAAAQABAD1AAAAhwMAAAAA&#10;" filled="f" strokecolor="windowText">
                  <v:textbox>
                    <w:txbxContent>
                      <w:p w14:paraId="6A1ED454" w14:textId="33981532" w:rsidR="006E7D7A" w:rsidRPr="003A7766" w:rsidRDefault="006E7D7A" w:rsidP="00C175A5">
                        <w:pPr>
                          <w:spacing w:before="0" w:after="0"/>
                          <w:rPr>
                            <w:lang w:val="en-US"/>
                          </w:rPr>
                        </w:pPr>
                        <w:r w:rsidRPr="003A7766">
                          <w:rPr>
                            <w:sz w:val="20"/>
                            <w:szCs w:val="20"/>
                            <w:lang w:val="en-US"/>
                          </w:rPr>
                          <w:t xml:space="preserve">Studies </w:t>
                        </w:r>
                        <w:r>
                          <w:rPr>
                            <w:sz w:val="20"/>
                            <w:szCs w:val="20"/>
                            <w:lang w:val="en-US"/>
                          </w:rPr>
                          <w:t>for further evaluation</w:t>
                        </w:r>
                        <w:r>
                          <w:rPr>
                            <w:sz w:val="20"/>
                            <w:szCs w:val="20"/>
                            <w:lang w:val="en-US"/>
                          </w:rPr>
                          <w:br/>
                          <w:t>n = 28</w:t>
                        </w:r>
                        <w:r w:rsidRPr="003A7766">
                          <w:rPr>
                            <w:sz w:val="20"/>
                            <w:szCs w:val="20"/>
                            <w:lang w:val="en-US"/>
                          </w:rPr>
                          <w:t>8</w:t>
                        </w:r>
                      </w:p>
                      <w:p w14:paraId="3BC496BF" w14:textId="77777777" w:rsidR="006E7D7A" w:rsidRDefault="006E7D7A" w:rsidP="000D6BDD">
                        <w:pPr>
                          <w:spacing w:before="0" w:after="0"/>
                        </w:pPr>
                      </w:p>
                    </w:txbxContent>
                  </v:textbox>
                </v:roundrect>
                <v:roundrect id="AutoShape 8" o:spid="_x0000_s1092" style="position:absolute;left:2168;top:8091;width:4394;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O58EA&#10;AADbAAAADwAAAGRycy9kb3ducmV2LnhtbESPQYvCMBSE7wv+h/AEb2uq4CLVWKqgePBi3cMeH80z&#10;LTYvpYm2/nsjLHgcZuYbZp0NthEP6nztWMFsmoAgLp2u2Sj4vey/lyB8QNbYOCYFT/KQbUZfa0y1&#10;6/lMjyIYESHsU1RQhdCmUvqyIot+6lri6F1dZzFE2RmpO+wj3DZyniQ/0mLNcaHClnYVlbfibhXs&#10;zCJp/k6neX6Wxd1ve3Mg3Ss1GQ/5CkSgIXzC/+2jVrBcwP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TTufBAAAA2wAAAA8AAAAAAAAAAAAAAAAAmAIAAGRycy9kb3du&#10;cmV2LnhtbFBLBQYAAAAABAAEAPUAAACGAwAAAAA=&#10;" filled="f" strokecolor="windowText">
                  <v:textbox>
                    <w:txbxContent>
                      <w:p w14:paraId="1C1FF324" w14:textId="79CFEE36" w:rsidR="006E7D7A" w:rsidRDefault="006E7D7A" w:rsidP="000D6BDD">
                        <w:pPr>
                          <w:spacing w:before="0" w:after="0"/>
                          <w:rPr>
                            <w:sz w:val="20"/>
                            <w:szCs w:val="20"/>
                          </w:rPr>
                        </w:pPr>
                        <w:r w:rsidRPr="00875425">
                          <w:rPr>
                            <w:sz w:val="20"/>
                            <w:szCs w:val="20"/>
                          </w:rPr>
                          <w:t>Potentially appropriate studies</w:t>
                        </w:r>
                        <w:r w:rsidRPr="00875425">
                          <w:rPr>
                            <w:sz w:val="20"/>
                            <w:szCs w:val="20"/>
                          </w:rPr>
                          <w:br/>
                          <w:t xml:space="preserve">n = </w:t>
                        </w:r>
                        <w:r>
                          <w:rPr>
                            <w:sz w:val="20"/>
                            <w:szCs w:val="20"/>
                          </w:rPr>
                          <w:t>136</w:t>
                        </w:r>
                      </w:p>
                      <w:p w14:paraId="10BF6673" w14:textId="77777777" w:rsidR="006E7D7A" w:rsidRDefault="006E7D7A" w:rsidP="00E56623">
                        <w:pPr>
                          <w:rPr>
                            <w:sz w:val="20"/>
                            <w:szCs w:val="20"/>
                          </w:rPr>
                        </w:pPr>
                      </w:p>
                      <w:p w14:paraId="19CA105D" w14:textId="77777777" w:rsidR="006E7D7A" w:rsidRPr="00875425" w:rsidRDefault="006E7D7A" w:rsidP="00E56623">
                        <w:pPr>
                          <w:rPr>
                            <w:sz w:val="20"/>
                            <w:szCs w:val="20"/>
                          </w:rPr>
                        </w:pPr>
                      </w:p>
                      <w:p w14:paraId="77E2774E" w14:textId="77777777" w:rsidR="006E7D7A" w:rsidRDefault="006E7D7A" w:rsidP="00E56623"/>
                      <w:p w14:paraId="4607DC07" w14:textId="77777777" w:rsidR="006E7D7A" w:rsidRDefault="006E7D7A" w:rsidP="00E56623">
                        <w:r>
                          <w:t>n</w:t>
                        </w:r>
                      </w:p>
                    </w:txbxContent>
                  </v:textbox>
                </v:roundrect>
                <v:roundrect id="AutoShape 9" o:spid="_x0000_s1093" style="position:absolute;left:2168;top:11475;width:4394;height:8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QkMIA&#10;AADbAAAADwAAAGRycy9kb3ducmV2LnhtbESPQWvCQBSE7wX/w/IEb3VjoEFSV1FB6SEXUw8eH9nX&#10;TTD7NmTXJP57t1DocZiZb5jNbrKtGKj3jWMFq2UCgrhyumGj4Pp9el+D8AFZY+uYFDzJw247e9tg&#10;rt3IFxrKYESEsM9RQR1Cl0vpq5os+qXriKP343qLIcreSN3jGOG2lWmSZNJiw3Ghxo6ONVX38mEV&#10;HM1H0t6KIt1fZPnwh9GcSY9KLebT/hNEoCn8h//aX1rBOoP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dCQwgAAANsAAAAPAAAAAAAAAAAAAAAAAJgCAABkcnMvZG93&#10;bnJldi54bWxQSwUGAAAAAAQABAD1AAAAhwMAAAAA&#10;" filled="f" strokecolor="windowText">
                  <v:textbox>
                    <w:txbxContent>
                      <w:p w14:paraId="6DF7BEDB" w14:textId="0F67A953" w:rsidR="006E7D7A" w:rsidRPr="00875425" w:rsidRDefault="006E7D7A" w:rsidP="000D6BDD">
                        <w:pPr>
                          <w:spacing w:before="0" w:after="0"/>
                          <w:rPr>
                            <w:lang w:val="en-US"/>
                          </w:rPr>
                        </w:pPr>
                        <w:r w:rsidRPr="00875425">
                          <w:rPr>
                            <w:sz w:val="20"/>
                            <w:szCs w:val="20"/>
                            <w:lang w:val="en-US"/>
                          </w:rPr>
                          <w:t>Studi</w:t>
                        </w:r>
                        <w:r>
                          <w:rPr>
                            <w:sz w:val="20"/>
                            <w:szCs w:val="20"/>
                            <w:lang w:val="en-US"/>
                          </w:rPr>
                          <w:t>es included in the review</w:t>
                        </w:r>
                        <w:r>
                          <w:rPr>
                            <w:sz w:val="20"/>
                            <w:szCs w:val="20"/>
                            <w:lang w:val="en-US"/>
                          </w:rPr>
                          <w:br/>
                          <w:t>n= 49</w:t>
                        </w:r>
                      </w:p>
                      <w:p w14:paraId="5461CB52" w14:textId="77777777" w:rsidR="006E7D7A" w:rsidRDefault="006E7D7A" w:rsidP="00E56623">
                        <w:r>
                          <w:t>n</w:t>
                        </w:r>
                      </w:p>
                    </w:txbxContent>
                  </v:textbox>
                </v:roundrect>
                <v:shapetype id="_x0000_t32" coordsize="21600,21600" o:spt="32" o:oned="t" path="m,l21600,21600e" filled="f">
                  <v:path arrowok="t" fillok="f" o:connecttype="none"/>
                  <o:lock v:ext="edit" shapetype="t"/>
                </v:shapetype>
                <v:shape id="AutoShape 10" o:spid="_x0000_s1094" type="#_x0000_t32" style="position:absolute;left:4290;top:2663;width:0;height:2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n2cUAAADbAAAADwAAAGRycy9kb3ducmV2LnhtbESPQUvDQBSE74L/YXmCN7tpFS1pt8WK&#10;gj1JEgs9vmZfs6nZt2F3bdJ/7wqCx2FmvmGW69F24kw+tI4VTCcZCOLa6ZYbBZ/V290cRIjIGjvH&#10;pOBCAdar66sl5toNXNC5jI1IEA45KjAx9rmUoTZkMUxcT5y8o/MWY5K+kdrjkOC2k7Mse5QWW04L&#10;Bnt6MVR/ld9WQSH9Zls+dFU1vJr7w4fe7YvTTqnbm/F5ASLSGP/Df+13rWD+BL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sn2cUAAADbAAAADwAAAAAAAAAA&#10;AAAAAAChAgAAZHJzL2Rvd25yZXYueG1sUEsFBgAAAAAEAAQA+QAAAJMDAAAAAA==&#10;" strokecolor="windowText">
                  <v:stroke endarrow="block"/>
                </v:shape>
                <v:shape id="AutoShape 11" o:spid="_x0000_s1095" type="#_x0000_t32" style="position:absolute;left:4275;top:5721;width:15;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zq8IAAADbAAAADwAAAGRycy9kb3ducmV2LnhtbERPz2vCMBS+D/wfwhO8zXROhnRGmeJg&#10;O0nbCTu+NW9Nt+alJNHW/94cBjt+fL/X29F24kI+tI4VPMwzEMS10y03Cj6q1/sViBCRNXaOScGV&#10;Amw3k7s15toNXNCljI1IIRxyVGBi7HMpQ23IYpi7njhx385bjAn6RmqPQwq3nVxk2ZO02HJqMNjT&#10;3lD9W56tgkL63Xu57KpqOJjHr6M+fRY/J6Vm0/HlGUSkMf6L/9xvWsEqjU1f0g+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Szq8IAAADbAAAADwAAAAAAAAAAAAAA&#10;AAChAgAAZHJzL2Rvd25yZXYueG1sUEsFBgAAAAAEAAQA+QAAAJADAAAAAA==&#10;" strokecolor="windowText">
                  <v:stroke endarrow="block"/>
                </v:shape>
                <v:shape id="AutoShape 12" o:spid="_x0000_s1096" type="#_x0000_t32" style="position:absolute;left:4290;top:8878;width:0;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WMMUAAADbAAAADwAAAGRycy9kb3ducmV2LnhtbESPQUvDQBSE74L/YXmCN7tpFalpt8WK&#10;gj1JEgs9vmZfs6nZt2F3bdJ/7wqCx2FmvmGW69F24kw+tI4VTCcZCOLa6ZYbBZ/V290cRIjIGjvH&#10;pOBCAdar66sl5toNXNC5jI1IEA45KjAx9rmUoTZkMUxcT5y8o/MWY5K+kdrjkOC2k7Mse5QWW04L&#10;Bnt6MVR/ld9WQSH9Zls+dFU1vJr7w4fe7YvTTqnbm/F5ASLSGP/Df+13rWD+BL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gWMMUAAADbAAAADwAAAAAAAAAA&#10;AAAAAAChAgAAZHJzL2Rvd25yZXYueG1sUEsFBgAAAAAEAAQA+QAAAJMDAAAAAA==&#10;" strokecolor="windowText">
                  <v:stroke endarrow="block"/>
                </v:shape>
                <v:shape id="AutoShape 13" o:spid="_x0000_s1097" type="#_x0000_t32" style="position:absolute;left:4290;top:3711;width:13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pcMEAAADbAAAADwAAAGRycy9kb3ducmV2LnhtbERPz0vDMBS+D/Y/hDfwtqXqEK1NxxSF&#10;eZK2Djw+m2dT17yUJK71vzcHwePH97vYzXYQZ/Khd6zgcpOBIG6d7rlT8NY8r29BhIiscXBMCn4o&#10;wK5cLgrMtZu4onMdO5FCOOSowMQ45lKG1pDFsHEjceI+nbcYE/Sd1B6nFG4HeZVlN9Jiz6nB4EiP&#10;htpT/W0VVNI/vNTboWmmJ3P98aqP79XXUamL1by/BxFpjv/iP/dBK7hL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ylwwQAAANsAAAAPAAAAAAAAAAAAAAAA&#10;AKECAABkcnMvZG93bnJldi54bWxQSwUGAAAAAAQABAD5AAAAjwMAAAAA&#10;" strokecolor="windowText">
                  <v:stroke endarrow="block"/>
                </v:shape>
                <v:shape id="AutoShape 14" o:spid="_x0000_s1098" type="#_x0000_t32" style="position:absolute;left:4275;top:7007;width:1344;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M68UAAADbAAAADwAAAGRycy9kb3ducmV2LnhtbESPQUvDQBSE74L/YXmCN7tpFbFpt8WK&#10;gj1JEgs9vmZfs6nZt2F3bdJ/7wqCx2FmvmGW69F24kw+tI4VTCcZCOLa6ZYbBZ/V290TiBCRNXaO&#10;ScGFAqxX11dLzLUbuKBzGRuRIBxyVGBi7HMpQ23IYpi4njh5R+ctxiR9I7XHIcFtJ2dZ9igttpwW&#10;DPb0Yqj+Kr+tgkL6zbZ86KpqeDX3hw+92xennVK3N+PzAkSkMf6H/9rvWsF8Cr9f0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eM68UAAADbAAAADwAAAAAAAAAA&#10;AAAAAAChAgAAZHJzL2Rvd25yZXYueG1sUEsFBgAAAAAEAAQA+QAAAJMDAAAAAA==&#10;" strokecolor="windowText">
                  <v:stroke endarrow="block"/>
                </v:shape>
                <v:shape id="AutoShape 15" o:spid="_x0000_s1099" type="#_x0000_t32" style="position:absolute;left:4290;top:10347;width:13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SnMUAAADbAAAADwAAAGRycy9kb3ducmV2LnhtbESPQUvDQBSE74L/YXmCN7uxiti026Ki&#10;YE+SxEKPr9nXbGr2bdhdm/Tfu0Khx2FmvmEWq9F24kg+tI4V3E8yEMS10y03Cr6rj7tnECEia+wc&#10;k4ITBVgtr68WmGs3cEHHMjYiQTjkqMDE2OdShtqQxTBxPXHy9s5bjEn6RmqPQ4LbTk6z7ElabDkt&#10;GOzpzVD9U/5aBYX0r+vysauq4d087L70ZlscNkrd3owvcxCRxngJn9ufWsFsC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USnMUAAADbAAAADwAAAAAAAAAA&#10;AAAAAAChAgAAZHJzL2Rvd25yZXYueG1sUEsFBgAAAAAEAAQA+QAAAJMDAAAAAA==&#10;" strokecolor="windowText">
                  <v:stroke endarrow="block"/>
                </v:shape>
              </v:group>
            </w:pict>
          </mc:Fallback>
        </mc:AlternateContent>
      </w:r>
    </w:p>
    <w:p w14:paraId="1F042F61" w14:textId="77777777" w:rsidR="00E56623" w:rsidRPr="00787196" w:rsidRDefault="00E56623" w:rsidP="00532A44">
      <w:pPr>
        <w:rPr>
          <w:rFonts w:cs="Arial"/>
        </w:rPr>
      </w:pPr>
    </w:p>
    <w:p w14:paraId="7E9A5508" w14:textId="77777777" w:rsidR="00E56623" w:rsidRPr="00787196" w:rsidRDefault="00E56623" w:rsidP="00532A44">
      <w:pPr>
        <w:rPr>
          <w:rFonts w:cs="Arial"/>
        </w:rPr>
      </w:pPr>
    </w:p>
    <w:p w14:paraId="01BD07F9" w14:textId="77777777" w:rsidR="00E56623" w:rsidRPr="00787196" w:rsidRDefault="00E56623" w:rsidP="00532A44">
      <w:pPr>
        <w:rPr>
          <w:rFonts w:cs="Arial"/>
        </w:rPr>
      </w:pPr>
    </w:p>
    <w:p w14:paraId="4BE79CDE" w14:textId="77777777" w:rsidR="00E56623" w:rsidRPr="00787196" w:rsidRDefault="00E56623" w:rsidP="00532A44">
      <w:pPr>
        <w:rPr>
          <w:rFonts w:cs="Arial"/>
        </w:rPr>
      </w:pPr>
    </w:p>
    <w:p w14:paraId="0F79E072" w14:textId="77777777" w:rsidR="00E56623" w:rsidRPr="00787196" w:rsidRDefault="00E56623" w:rsidP="00532A44">
      <w:pPr>
        <w:rPr>
          <w:rFonts w:cs="Arial"/>
        </w:rPr>
      </w:pPr>
    </w:p>
    <w:p w14:paraId="51A44031" w14:textId="77777777" w:rsidR="00E56623" w:rsidRPr="00787196" w:rsidRDefault="00E56623" w:rsidP="00532A44">
      <w:pPr>
        <w:rPr>
          <w:rFonts w:cs="Arial"/>
        </w:rPr>
      </w:pPr>
    </w:p>
    <w:p w14:paraId="253F7C48" w14:textId="77777777" w:rsidR="00E56623" w:rsidRPr="00787196" w:rsidRDefault="00E56623" w:rsidP="00532A44">
      <w:pPr>
        <w:rPr>
          <w:rFonts w:cs="Arial"/>
        </w:rPr>
      </w:pPr>
    </w:p>
    <w:p w14:paraId="0F8F9FE4" w14:textId="77777777" w:rsidR="00E56623" w:rsidRPr="00787196" w:rsidRDefault="00E56623" w:rsidP="00532A44">
      <w:pPr>
        <w:rPr>
          <w:rFonts w:cs="Arial"/>
        </w:rPr>
      </w:pPr>
    </w:p>
    <w:p w14:paraId="13F5971E" w14:textId="77777777" w:rsidR="00E56623" w:rsidRPr="00787196" w:rsidRDefault="00E56623" w:rsidP="00532A44">
      <w:pPr>
        <w:rPr>
          <w:rFonts w:cs="Arial"/>
        </w:rPr>
      </w:pPr>
    </w:p>
    <w:p w14:paraId="4FB31098" w14:textId="77777777" w:rsidR="00E56623" w:rsidRPr="00787196" w:rsidRDefault="00E56623" w:rsidP="00532A44">
      <w:pPr>
        <w:rPr>
          <w:rFonts w:cs="Arial"/>
        </w:rPr>
      </w:pPr>
    </w:p>
    <w:p w14:paraId="239087FD" w14:textId="77777777" w:rsidR="00E56623" w:rsidRPr="00787196" w:rsidRDefault="00E56623" w:rsidP="00532A44">
      <w:pPr>
        <w:rPr>
          <w:rFonts w:cs="Arial"/>
        </w:rPr>
      </w:pPr>
    </w:p>
    <w:p w14:paraId="7ABDB68B" w14:textId="77777777" w:rsidR="00E56623" w:rsidRPr="00787196" w:rsidRDefault="00E56623" w:rsidP="00532A44">
      <w:pPr>
        <w:rPr>
          <w:rFonts w:cs="Arial"/>
        </w:rPr>
      </w:pPr>
    </w:p>
    <w:p w14:paraId="5B10F731" w14:textId="77777777" w:rsidR="00E56623" w:rsidRPr="00787196" w:rsidRDefault="00E56623" w:rsidP="00532A44">
      <w:pPr>
        <w:rPr>
          <w:rFonts w:cs="Arial"/>
        </w:rPr>
      </w:pPr>
    </w:p>
    <w:p w14:paraId="34E80704" w14:textId="77777777" w:rsidR="00E56623" w:rsidRPr="00787196" w:rsidRDefault="00E56623" w:rsidP="00532A44">
      <w:pPr>
        <w:rPr>
          <w:rFonts w:cs="Arial"/>
        </w:rPr>
      </w:pPr>
    </w:p>
    <w:p w14:paraId="4461F3BA" w14:textId="77777777" w:rsidR="00E56623" w:rsidRPr="00787196" w:rsidRDefault="00E56623" w:rsidP="00532A44">
      <w:pPr>
        <w:rPr>
          <w:rFonts w:cs="Arial"/>
        </w:rPr>
      </w:pPr>
    </w:p>
    <w:p w14:paraId="7CD00726" w14:textId="77777777" w:rsidR="00E56623" w:rsidRPr="00787196" w:rsidRDefault="00E56623" w:rsidP="00532A44">
      <w:pPr>
        <w:rPr>
          <w:rFonts w:cs="Arial"/>
          <w:szCs w:val="20"/>
        </w:rPr>
        <w:sectPr w:rsidR="00E56623" w:rsidRPr="00787196" w:rsidSect="004D7A26">
          <w:type w:val="nextColumn"/>
          <w:pgSz w:w="11906" w:h="16838"/>
          <w:pgMar w:top="1134" w:right="1134" w:bottom="1134" w:left="2268" w:header="708" w:footer="708" w:gutter="0"/>
          <w:cols w:space="708"/>
          <w:titlePg/>
          <w:docGrid w:linePitch="360"/>
        </w:sectPr>
      </w:pPr>
    </w:p>
    <w:p w14:paraId="53AF422D" w14:textId="199806CD" w:rsidR="00E56623" w:rsidRPr="00787196" w:rsidRDefault="00E56623" w:rsidP="00C12EF9">
      <w:pPr>
        <w:pStyle w:val="Caption"/>
        <w:keepNext/>
        <w:shd w:val="clear" w:color="auto" w:fill="FFFFFF" w:themeFill="background1"/>
        <w:jc w:val="center"/>
        <w:rPr>
          <w:rFonts w:cs="Arial"/>
          <w:b/>
          <w:i w:val="0"/>
          <w:color w:val="auto"/>
          <w:sz w:val="22"/>
          <w:szCs w:val="22"/>
        </w:rPr>
      </w:pPr>
      <w:bookmarkStart w:id="63" w:name="_Ref365617852"/>
      <w:bookmarkStart w:id="64" w:name="_Ref365617844"/>
      <w:bookmarkStart w:id="65" w:name="_Toc366260668"/>
      <w:bookmarkStart w:id="66" w:name="_Toc461641222"/>
      <w:bookmarkStart w:id="67" w:name="_Toc488655525"/>
      <w:r w:rsidRPr="00787196">
        <w:rPr>
          <w:rFonts w:cs="Arial"/>
          <w:b/>
          <w:i w:val="0"/>
          <w:color w:val="auto"/>
          <w:sz w:val="22"/>
          <w:szCs w:val="22"/>
        </w:rPr>
        <w:lastRenderedPageBreak/>
        <w:t xml:space="preserve">Table </w:t>
      </w:r>
      <w:r w:rsidR="000332A1" w:rsidRPr="00787196">
        <w:rPr>
          <w:rFonts w:cs="Arial"/>
          <w:b/>
          <w:i w:val="0"/>
          <w:color w:val="auto"/>
          <w:sz w:val="22"/>
          <w:szCs w:val="22"/>
        </w:rPr>
        <w:fldChar w:fldCharType="begin"/>
      </w:r>
      <w:r w:rsidR="000332A1" w:rsidRPr="00787196">
        <w:rPr>
          <w:rFonts w:cs="Arial"/>
          <w:b/>
          <w:i w:val="0"/>
          <w:color w:val="auto"/>
          <w:sz w:val="22"/>
          <w:szCs w:val="22"/>
        </w:rPr>
        <w:instrText xml:space="preserve"> STYLEREF 1 \s </w:instrText>
      </w:r>
      <w:r w:rsidR="000332A1" w:rsidRPr="00787196">
        <w:rPr>
          <w:rFonts w:cs="Arial"/>
          <w:b/>
          <w:i w:val="0"/>
          <w:color w:val="auto"/>
          <w:sz w:val="22"/>
          <w:szCs w:val="22"/>
        </w:rPr>
        <w:fldChar w:fldCharType="separate"/>
      </w:r>
      <w:r w:rsidR="00C069BC" w:rsidRPr="00787196">
        <w:rPr>
          <w:rFonts w:cs="Arial"/>
          <w:b/>
          <w:i w:val="0"/>
          <w:noProof/>
          <w:color w:val="auto"/>
          <w:sz w:val="22"/>
          <w:szCs w:val="22"/>
        </w:rPr>
        <w:t>2</w:t>
      </w:r>
      <w:r w:rsidR="000332A1" w:rsidRPr="00787196">
        <w:rPr>
          <w:rFonts w:cs="Arial"/>
          <w:b/>
          <w:i w:val="0"/>
          <w:color w:val="auto"/>
          <w:sz w:val="22"/>
          <w:szCs w:val="22"/>
        </w:rPr>
        <w:fldChar w:fldCharType="end"/>
      </w:r>
      <w:r w:rsidR="000332A1" w:rsidRPr="00787196">
        <w:rPr>
          <w:rFonts w:cs="Arial"/>
          <w:b/>
          <w:i w:val="0"/>
          <w:color w:val="auto"/>
          <w:sz w:val="22"/>
          <w:szCs w:val="22"/>
        </w:rPr>
        <w:noBreakHyphen/>
      </w:r>
      <w:r w:rsidR="000332A1" w:rsidRPr="00787196">
        <w:rPr>
          <w:rFonts w:cs="Arial"/>
          <w:b/>
          <w:i w:val="0"/>
          <w:color w:val="auto"/>
          <w:sz w:val="22"/>
          <w:szCs w:val="22"/>
        </w:rPr>
        <w:fldChar w:fldCharType="begin"/>
      </w:r>
      <w:r w:rsidR="000332A1" w:rsidRPr="00787196">
        <w:rPr>
          <w:rFonts w:cs="Arial"/>
          <w:b/>
          <w:i w:val="0"/>
          <w:color w:val="auto"/>
          <w:sz w:val="22"/>
          <w:szCs w:val="22"/>
        </w:rPr>
        <w:instrText xml:space="preserve"> SEQ Table \* ARABIC \s 1 </w:instrText>
      </w:r>
      <w:r w:rsidR="000332A1" w:rsidRPr="00787196">
        <w:rPr>
          <w:rFonts w:cs="Arial"/>
          <w:b/>
          <w:i w:val="0"/>
          <w:color w:val="auto"/>
          <w:sz w:val="22"/>
          <w:szCs w:val="22"/>
        </w:rPr>
        <w:fldChar w:fldCharType="separate"/>
      </w:r>
      <w:r w:rsidR="00C069BC" w:rsidRPr="00787196">
        <w:rPr>
          <w:rFonts w:cs="Arial"/>
          <w:b/>
          <w:i w:val="0"/>
          <w:noProof/>
          <w:color w:val="auto"/>
          <w:sz w:val="22"/>
          <w:szCs w:val="22"/>
        </w:rPr>
        <w:t>2</w:t>
      </w:r>
      <w:r w:rsidR="000332A1" w:rsidRPr="00787196">
        <w:rPr>
          <w:rFonts w:cs="Arial"/>
          <w:b/>
          <w:i w:val="0"/>
          <w:color w:val="auto"/>
          <w:sz w:val="22"/>
          <w:szCs w:val="22"/>
        </w:rPr>
        <w:fldChar w:fldCharType="end"/>
      </w:r>
      <w:bookmarkEnd w:id="63"/>
      <w:r w:rsidR="00FC7334" w:rsidRPr="00787196">
        <w:rPr>
          <w:rFonts w:cs="Arial"/>
          <w:b/>
          <w:i w:val="0"/>
          <w:color w:val="auto"/>
          <w:sz w:val="22"/>
          <w:szCs w:val="22"/>
        </w:rPr>
        <w:t>.</w:t>
      </w:r>
      <w:r w:rsidRPr="00787196">
        <w:rPr>
          <w:rFonts w:cs="Arial"/>
          <w:b/>
          <w:i w:val="0"/>
          <w:color w:val="auto"/>
          <w:sz w:val="22"/>
          <w:szCs w:val="22"/>
        </w:rPr>
        <w:t xml:space="preserve"> </w:t>
      </w:r>
      <w:r w:rsidR="00297A9A" w:rsidRPr="00787196">
        <w:rPr>
          <w:rFonts w:cs="Arial"/>
          <w:b/>
          <w:i w:val="0"/>
          <w:color w:val="auto"/>
          <w:sz w:val="22"/>
          <w:szCs w:val="22"/>
        </w:rPr>
        <w:t>S</w:t>
      </w:r>
      <w:r w:rsidRPr="00787196">
        <w:rPr>
          <w:rFonts w:cs="Arial"/>
          <w:b/>
          <w:i w:val="0"/>
          <w:color w:val="auto"/>
          <w:sz w:val="22"/>
          <w:szCs w:val="22"/>
        </w:rPr>
        <w:t xml:space="preserve">tudies measuring </w:t>
      </w:r>
      <w:r w:rsidR="004A69E8" w:rsidRPr="00787196">
        <w:rPr>
          <w:rFonts w:cs="Arial"/>
          <w:b/>
          <w:i w:val="0"/>
          <w:color w:val="auto"/>
          <w:sz w:val="22"/>
          <w:szCs w:val="22"/>
        </w:rPr>
        <w:t>OHQoL</w:t>
      </w:r>
      <w:r w:rsidRPr="00787196">
        <w:rPr>
          <w:rFonts w:cs="Arial"/>
          <w:b/>
          <w:i w:val="0"/>
          <w:color w:val="auto"/>
          <w:sz w:val="22"/>
          <w:szCs w:val="22"/>
        </w:rPr>
        <w:t xml:space="preserve"> in conventional dentures</w:t>
      </w:r>
      <w:bookmarkEnd w:id="64"/>
      <w:bookmarkEnd w:id="65"/>
      <w:bookmarkEnd w:id="66"/>
      <w:bookmarkEnd w:id="67"/>
    </w:p>
    <w:tbl>
      <w:tblPr>
        <w:tblW w:w="14464" w:type="dxa"/>
        <w:tblInd w:w="273" w:type="dxa"/>
        <w:tblLayout w:type="fixed"/>
        <w:tblLook w:val="04A0" w:firstRow="1" w:lastRow="0" w:firstColumn="1" w:lastColumn="0" w:noHBand="0" w:noVBand="1"/>
      </w:tblPr>
      <w:tblGrid>
        <w:gridCol w:w="435"/>
        <w:gridCol w:w="1943"/>
        <w:gridCol w:w="2099"/>
        <w:gridCol w:w="979"/>
        <w:gridCol w:w="1399"/>
        <w:gridCol w:w="1260"/>
        <w:gridCol w:w="1678"/>
        <w:gridCol w:w="1819"/>
        <w:gridCol w:w="1577"/>
        <w:gridCol w:w="1261"/>
        <w:gridCol w:w="14"/>
      </w:tblGrid>
      <w:tr w:rsidR="00E56623" w:rsidRPr="00787196" w14:paraId="64A4B566" w14:textId="77777777" w:rsidTr="006B4681">
        <w:trPr>
          <w:gridAfter w:val="1"/>
          <w:wAfter w:w="14" w:type="dxa"/>
          <w:trHeight w:val="591"/>
        </w:trPr>
        <w:tc>
          <w:tcPr>
            <w:tcW w:w="435" w:type="dxa"/>
            <w:tcBorders>
              <w:top w:val="single" w:sz="4" w:space="0" w:color="5A5A5A"/>
              <w:left w:val="single" w:sz="4" w:space="0" w:color="5A5A5A"/>
              <w:bottom w:val="single" w:sz="4" w:space="0" w:color="5A5A5A"/>
              <w:right w:val="single" w:sz="4" w:space="0" w:color="5A5A5A"/>
            </w:tcBorders>
            <w:shd w:val="clear" w:color="auto" w:fill="auto"/>
            <w:vAlign w:val="center"/>
            <w:hideMark/>
          </w:tcPr>
          <w:p w14:paraId="058A9E7B"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No</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31EE77E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Study</w:t>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247A9AA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Sample</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0E8AF7C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0450F06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Mean age (SD/Range)</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3023681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Study design</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595D684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Measurement points</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6F75C2BB" w14:textId="77777777" w:rsidR="00E56623" w:rsidRPr="00787196" w:rsidRDefault="004A69E8"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OHQoL</w:t>
            </w:r>
            <w:r w:rsidR="00E56623" w:rsidRPr="00787196">
              <w:rPr>
                <w:rFonts w:eastAsia="Times New Roman" w:cs="Arial"/>
                <w:color w:val="000000"/>
                <w:sz w:val="17"/>
                <w:szCs w:val="17"/>
              </w:rPr>
              <w:t xml:space="preserve"> measure</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13BC6B75" w14:textId="30351D43"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Other impacts measured</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3E73342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Denture satisfaction</w:t>
            </w:r>
          </w:p>
        </w:tc>
      </w:tr>
      <w:tr w:rsidR="00E56623" w:rsidRPr="00787196" w14:paraId="44C97FC5" w14:textId="77777777" w:rsidTr="006B4681">
        <w:trPr>
          <w:gridAfter w:val="1"/>
          <w:wAfter w:w="14" w:type="dxa"/>
          <w:trHeight w:val="1576"/>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1DD00637"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w:t>
            </w:r>
          </w:p>
        </w:tc>
        <w:tc>
          <w:tcPr>
            <w:tcW w:w="1943" w:type="dxa"/>
            <w:tcBorders>
              <w:top w:val="nil"/>
              <w:left w:val="nil"/>
              <w:bottom w:val="single" w:sz="4" w:space="0" w:color="5A5A5A"/>
              <w:right w:val="single" w:sz="4" w:space="0" w:color="5A5A5A"/>
            </w:tcBorders>
            <w:shd w:val="clear" w:color="auto" w:fill="auto"/>
            <w:vAlign w:val="center"/>
            <w:hideMark/>
          </w:tcPr>
          <w:p w14:paraId="508B1EA2" w14:textId="647B99CF"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Abuzar, Kahwagi, Yamakawa</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ExcludeAuth="1"&gt;&lt;Author&gt;Abuzar&lt;/Author&gt;&lt;Year&gt;2012&lt;/Year&gt;&lt;RecNum&gt;0&lt;/RecNum&gt;&lt;IDText&gt;Investigating oral health-related quality of life and self-perceived satisfaction with partial dentures&lt;/IDText&gt;&lt;DisplayText&gt;(2012)&lt;/DisplayText&gt;&lt;record&gt;&lt;foreign-keys&gt;&lt;key app="EN" db-id="pwzfwxrxk0afwbexa5ex59su9rafdwweesrv"&gt;1&lt;/key&gt;&lt;/foreign-keys&gt;&lt;urls&gt;&lt;related-urls&gt;&lt;url&gt;http://dx.doi.org/10.1111/j.2041-1626.2012.00111.x&lt;/url&gt;&lt;/related-urls&gt;&lt;/urls&gt;&lt;isbn&gt;2041-1626&lt;/isbn&gt;&lt;titles&gt;&lt;title&gt;Investigating oral health-related quality of life and self-perceived satisfaction with partial dentures&lt;/title&gt;&lt;secondary-title&gt;Journal of Investigative and Clinical Dentistry&lt;/secondary-title&gt;&lt;/titles&gt;&lt;pages&gt;109-117&lt;/pages&gt;&lt;number&gt;2&lt;/number&gt;&lt;contributors&gt;&lt;authors&gt;&lt;author&gt;Abuzar, Menaka A.&lt;/author&gt;&lt;author&gt;Kahwagi, Esperance&lt;/author&gt;&lt;author&gt;Yamakawa, Takeshi&lt;/author&gt;&lt;/authors&gt;&lt;/contributors&gt;&lt;added-date format="utc"&gt;1352721534&lt;/added-date&gt;&lt;ref-type name="Journal Article"&gt;17&lt;/ref-type&gt;&lt;dates&gt;&lt;year&gt;2012&lt;/year&gt;&lt;/dates&gt;&lt;rec-number&gt;7&lt;/rec-number&gt;&lt;publisher&gt;Blackwell Publishing Ltd&lt;/publisher&gt;&lt;last-updated-date format="utc"&gt;1374786048&lt;/last-updated-date&gt;&lt;electronic-resource-num&gt;10.1111/j.2041-1626.2012.00111.x&lt;/electronic-resource-num&gt;&lt;volume&gt;3&lt;/volume&gt;&lt;/record&gt;&lt;/Cite&gt;&lt;/EndNote&gt;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422FE9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Individuals seeking removable partial dentures</w:t>
            </w:r>
          </w:p>
        </w:tc>
        <w:tc>
          <w:tcPr>
            <w:tcW w:w="979" w:type="dxa"/>
            <w:tcBorders>
              <w:top w:val="nil"/>
              <w:left w:val="nil"/>
              <w:bottom w:val="single" w:sz="4" w:space="0" w:color="5A5A5A"/>
              <w:right w:val="single" w:sz="4" w:space="0" w:color="5A5A5A"/>
            </w:tcBorders>
            <w:shd w:val="clear" w:color="auto" w:fill="auto"/>
            <w:vAlign w:val="center"/>
            <w:hideMark/>
          </w:tcPr>
          <w:p w14:paraId="4D8E13F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232</w:t>
            </w:r>
          </w:p>
        </w:tc>
        <w:tc>
          <w:tcPr>
            <w:tcW w:w="1399" w:type="dxa"/>
            <w:tcBorders>
              <w:top w:val="nil"/>
              <w:left w:val="nil"/>
              <w:bottom w:val="single" w:sz="4" w:space="0" w:color="5A5A5A"/>
              <w:right w:val="single" w:sz="4" w:space="0" w:color="5A5A5A"/>
            </w:tcBorders>
            <w:shd w:val="clear" w:color="auto" w:fill="auto"/>
            <w:vAlign w:val="center"/>
            <w:hideMark/>
          </w:tcPr>
          <w:p w14:paraId="5E9FCEA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&gt; 60 (77.9%)</w:t>
            </w:r>
          </w:p>
        </w:tc>
        <w:tc>
          <w:tcPr>
            <w:tcW w:w="1260" w:type="dxa"/>
            <w:tcBorders>
              <w:top w:val="nil"/>
              <w:left w:val="nil"/>
              <w:bottom w:val="single" w:sz="4" w:space="0" w:color="5A5A5A"/>
              <w:right w:val="single" w:sz="4" w:space="0" w:color="5A5A5A"/>
            </w:tcBorders>
            <w:shd w:val="clear" w:color="auto" w:fill="auto"/>
            <w:vAlign w:val="center"/>
            <w:hideMark/>
          </w:tcPr>
          <w:p w14:paraId="33C7CF29"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Cross sectional </w:t>
            </w:r>
            <w:r w:rsidR="001B4FE7" w:rsidRPr="00787196">
              <w:rPr>
                <w:rFonts w:eastAsia="Times New Roman" w:cs="Arial"/>
                <w:color w:val="000000"/>
                <w:sz w:val="17"/>
                <w:szCs w:val="17"/>
              </w:rPr>
              <w:t xml:space="preserve">observational </w:t>
            </w:r>
          </w:p>
        </w:tc>
        <w:tc>
          <w:tcPr>
            <w:tcW w:w="1678" w:type="dxa"/>
            <w:tcBorders>
              <w:top w:val="nil"/>
              <w:left w:val="nil"/>
              <w:bottom w:val="single" w:sz="4" w:space="0" w:color="5A5A5A"/>
              <w:right w:val="single" w:sz="4" w:space="0" w:color="5A5A5A"/>
            </w:tcBorders>
            <w:shd w:val="clear" w:color="auto" w:fill="auto"/>
            <w:vAlign w:val="center"/>
            <w:hideMark/>
          </w:tcPr>
          <w:p w14:paraId="1363205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post denture insertion</w:t>
            </w:r>
          </w:p>
        </w:tc>
        <w:tc>
          <w:tcPr>
            <w:tcW w:w="1819" w:type="dxa"/>
            <w:tcBorders>
              <w:top w:val="nil"/>
              <w:left w:val="nil"/>
              <w:bottom w:val="single" w:sz="4" w:space="0" w:color="5A5A5A"/>
              <w:right w:val="single" w:sz="4" w:space="0" w:color="5A5A5A"/>
            </w:tcBorders>
            <w:shd w:val="clear" w:color="auto" w:fill="auto"/>
            <w:vAlign w:val="center"/>
            <w:hideMark/>
          </w:tcPr>
          <w:p w14:paraId="5CDCE8F9" w14:textId="4A3AC871" w:rsidR="00E56623" w:rsidRPr="00787196" w:rsidRDefault="004D0EC8"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OHIP- 14</w:t>
            </w:r>
          </w:p>
        </w:tc>
        <w:tc>
          <w:tcPr>
            <w:tcW w:w="1577" w:type="dxa"/>
            <w:tcBorders>
              <w:top w:val="nil"/>
              <w:left w:val="nil"/>
              <w:bottom w:val="single" w:sz="4" w:space="0" w:color="5A5A5A"/>
              <w:right w:val="single" w:sz="4" w:space="0" w:color="5A5A5A"/>
            </w:tcBorders>
            <w:shd w:val="clear" w:color="auto" w:fill="auto"/>
            <w:vAlign w:val="center"/>
            <w:hideMark/>
          </w:tcPr>
          <w:p w14:paraId="21E26EDA" w14:textId="77777777" w:rsidR="00E56623" w:rsidRPr="00787196" w:rsidRDefault="007654C1"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Perceived d</w:t>
            </w:r>
            <w:r w:rsidR="00E56623" w:rsidRPr="00787196">
              <w:rPr>
                <w:rFonts w:eastAsia="Times New Roman" w:cs="Arial"/>
                <w:color w:val="000000"/>
                <w:sz w:val="17"/>
                <w:szCs w:val="17"/>
              </w:rPr>
              <w:t>enture performance</w:t>
            </w:r>
          </w:p>
          <w:p w14:paraId="06C3653C"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Denture material</w:t>
            </w:r>
          </w:p>
          <w:p w14:paraId="110F5F94"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Denture frequency of use</w:t>
            </w:r>
          </w:p>
        </w:tc>
        <w:tc>
          <w:tcPr>
            <w:tcW w:w="1261" w:type="dxa"/>
            <w:tcBorders>
              <w:top w:val="nil"/>
              <w:left w:val="nil"/>
              <w:bottom w:val="single" w:sz="4" w:space="0" w:color="5A5A5A"/>
              <w:right w:val="single" w:sz="4" w:space="0" w:color="5A5A5A"/>
            </w:tcBorders>
            <w:shd w:val="clear" w:color="auto" w:fill="auto"/>
            <w:vAlign w:val="center"/>
            <w:hideMark/>
          </w:tcPr>
          <w:p w14:paraId="15D26DC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33337F7E" w14:textId="77777777" w:rsidTr="006B4681">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01378FAC"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w:t>
            </w:r>
          </w:p>
        </w:tc>
        <w:tc>
          <w:tcPr>
            <w:tcW w:w="1943" w:type="dxa"/>
            <w:tcBorders>
              <w:top w:val="nil"/>
              <w:left w:val="nil"/>
              <w:bottom w:val="single" w:sz="4" w:space="0" w:color="5A5A5A"/>
              <w:right w:val="single" w:sz="4" w:space="0" w:color="5A5A5A"/>
            </w:tcBorders>
            <w:shd w:val="clear" w:color="auto" w:fill="auto"/>
            <w:vAlign w:val="center"/>
            <w:hideMark/>
          </w:tcPr>
          <w:p w14:paraId="4B8F6A90" w14:textId="74479A60"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ALLEN, MCMILLAN, WALSHAW, LOCKER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ExcludeAuth="1"&gt;&lt;Author&gt;Allen&lt;/Author&gt;&lt;Year&gt;1999&lt;/Year&gt;&lt;RecNum&gt;0&lt;/RecNum&gt;&lt;IDText&gt;A comparison of the validity of generic- and disease-specific measures in the assessment of oral health-related quality of life&lt;/IDText&gt;&lt;DisplayText&gt;(1999)&lt;/DisplayText&gt;&lt;record&gt;&lt;dates&gt;&lt;pub-dates&gt;&lt;date&gt;Oct&lt;/date&gt;&lt;/pub-dates&gt;&lt;year&gt;1999&lt;/year&gt;&lt;/dates&gt;&lt;isbn&gt;0301-5661 (Print)&amp;#xD;0301-5661&lt;/isbn&gt;&lt;titles&gt;&lt;title&gt;A comparison of the validity of generic- and disease-specific measures in the assessment of oral health-related quality of life&lt;/title&gt;&lt;secondary-title&gt;Community Dent Oral Epidemiol&lt;/secondary-title&gt;&lt;alt-title&gt;Community dentistry and oral epidemiology&lt;/alt-title&gt;&lt;/titles&gt;&lt;pages&gt;344-52&lt;/pages&gt;&lt;number&gt;5&lt;/number&gt;&lt;contributors&gt;&lt;authors&gt;&lt;author&gt;Allen, P. F.&lt;/author&gt;&lt;author&gt;McMillan, A. S.&lt;/author&gt;&lt;author&gt;Walshaw, D.&lt;/author&gt;&lt;author&gt;Locker, D.&lt;/author&gt;&lt;/authors&gt;&lt;/contributors&gt;&lt;edition&gt;1999/09/30&lt;/edition&gt;&lt;language&gt;eng&lt;/language&gt;&lt;added-date format="utc"&gt;1374065289&lt;/added-date&gt;&lt;ref-type name="Journal Article"&gt;17&lt;/ref-type&gt;&lt;auth-address&gt;Department of Restorative Dentistry, University of Newcastle upon Tyne, UK. p.f.allen@ncl.ac.uk&lt;/auth-address&gt;&lt;remote-database-provider&gt;Nlm&lt;/remote-database-provider&gt;&lt;rec-number&gt;1085&lt;/rec-number&gt;&lt;last-updated-date format="utc"&gt;1374065289&lt;/last-updated-date&gt;&lt;accession-num&gt;10503795&lt;/accession-num&gt;&lt;volume&gt;27&lt;/volume&gt;&lt;/record&gt;&lt;/Cite&gt;&lt;/EndNote&gt;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(1999)</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57F7EF2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Individuals seeking implants, removable dentures, dentate patients </w:t>
            </w:r>
          </w:p>
        </w:tc>
        <w:tc>
          <w:tcPr>
            <w:tcW w:w="979" w:type="dxa"/>
            <w:tcBorders>
              <w:top w:val="nil"/>
              <w:left w:val="nil"/>
              <w:bottom w:val="single" w:sz="4" w:space="0" w:color="5A5A5A"/>
              <w:right w:val="single" w:sz="4" w:space="0" w:color="5A5A5A"/>
            </w:tcBorders>
            <w:shd w:val="clear" w:color="auto" w:fill="auto"/>
            <w:vAlign w:val="center"/>
            <w:hideMark/>
          </w:tcPr>
          <w:p w14:paraId="4C0A5221" w14:textId="774AC115" w:rsidR="00E56623" w:rsidRPr="00787196" w:rsidRDefault="00E56623" w:rsidP="008D6A8E">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88</w:t>
            </w:r>
          </w:p>
        </w:tc>
        <w:tc>
          <w:tcPr>
            <w:tcW w:w="1399" w:type="dxa"/>
            <w:tcBorders>
              <w:top w:val="nil"/>
              <w:left w:val="nil"/>
              <w:bottom w:val="single" w:sz="4" w:space="0" w:color="5A5A5A"/>
              <w:right w:val="single" w:sz="4" w:space="0" w:color="5A5A5A"/>
            </w:tcBorders>
            <w:shd w:val="clear" w:color="auto" w:fill="auto"/>
            <w:vAlign w:val="center"/>
            <w:hideMark/>
          </w:tcPr>
          <w:p w14:paraId="42FD9AF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58,64,54</w:t>
            </w:r>
          </w:p>
        </w:tc>
        <w:tc>
          <w:tcPr>
            <w:tcW w:w="1260" w:type="dxa"/>
            <w:tcBorders>
              <w:top w:val="nil"/>
              <w:left w:val="nil"/>
              <w:bottom w:val="single" w:sz="4" w:space="0" w:color="5A5A5A"/>
              <w:right w:val="single" w:sz="4" w:space="0" w:color="5A5A5A"/>
            </w:tcBorders>
            <w:shd w:val="clear" w:color="auto" w:fill="auto"/>
            <w:vAlign w:val="center"/>
            <w:hideMark/>
          </w:tcPr>
          <w:p w14:paraId="16300EC4" w14:textId="77777777" w:rsidR="00E56623" w:rsidRPr="00787196" w:rsidRDefault="002B3C4D"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w:t>
            </w:r>
            <w:r w:rsidR="005D02F2" w:rsidRPr="00787196">
              <w:rPr>
                <w:rFonts w:eastAsia="Times New Roman" w:cs="Arial"/>
                <w:color w:val="000000"/>
                <w:sz w:val="17"/>
                <w:szCs w:val="17"/>
              </w:rPr>
              <w:t>ohort</w:t>
            </w:r>
          </w:p>
        </w:tc>
        <w:tc>
          <w:tcPr>
            <w:tcW w:w="1678" w:type="dxa"/>
            <w:tcBorders>
              <w:top w:val="nil"/>
              <w:left w:val="nil"/>
              <w:bottom w:val="single" w:sz="4" w:space="0" w:color="5A5A5A"/>
              <w:right w:val="single" w:sz="4" w:space="0" w:color="5A5A5A"/>
            </w:tcBorders>
            <w:shd w:val="clear" w:color="auto" w:fill="auto"/>
            <w:vAlign w:val="center"/>
            <w:hideMark/>
          </w:tcPr>
          <w:p w14:paraId="4CB33EC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alone prior receiving dentures</w:t>
            </w:r>
          </w:p>
        </w:tc>
        <w:tc>
          <w:tcPr>
            <w:tcW w:w="1819" w:type="dxa"/>
            <w:tcBorders>
              <w:top w:val="nil"/>
              <w:left w:val="nil"/>
              <w:bottom w:val="single" w:sz="4" w:space="0" w:color="5A5A5A"/>
              <w:right w:val="single" w:sz="4" w:space="0" w:color="5A5A5A"/>
            </w:tcBorders>
            <w:shd w:val="clear" w:color="auto" w:fill="auto"/>
            <w:vAlign w:val="center"/>
            <w:hideMark/>
          </w:tcPr>
          <w:p w14:paraId="137C66BC" w14:textId="180E4B17" w:rsidR="00E56623" w:rsidRPr="00787196" w:rsidRDefault="004D0EC8"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AF5751" w:rsidRPr="00787196">
              <w:rPr>
                <w:rFonts w:eastAsia="Times New Roman" w:cs="Arial"/>
                <w:color w:val="000000"/>
                <w:sz w:val="17"/>
                <w:szCs w:val="17"/>
              </w:rPr>
              <w:t xml:space="preserve"> -49</w:t>
            </w:r>
          </w:p>
        </w:tc>
        <w:tc>
          <w:tcPr>
            <w:tcW w:w="1577" w:type="dxa"/>
            <w:tcBorders>
              <w:top w:val="nil"/>
              <w:left w:val="nil"/>
              <w:bottom w:val="single" w:sz="4" w:space="0" w:color="5A5A5A"/>
              <w:right w:val="single" w:sz="4" w:space="0" w:color="5A5A5A"/>
            </w:tcBorders>
            <w:shd w:val="clear" w:color="auto" w:fill="auto"/>
            <w:vAlign w:val="center"/>
            <w:hideMark/>
          </w:tcPr>
          <w:p w14:paraId="267DF93D"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Pain, general satisfaction with dentures, </w:t>
            </w:r>
          </w:p>
          <w:p w14:paraId="49CF62D0"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Chewing</w:t>
            </w:r>
          </w:p>
        </w:tc>
        <w:tc>
          <w:tcPr>
            <w:tcW w:w="1261" w:type="dxa"/>
            <w:tcBorders>
              <w:top w:val="nil"/>
              <w:left w:val="nil"/>
              <w:bottom w:val="single" w:sz="4" w:space="0" w:color="5A5A5A"/>
              <w:right w:val="single" w:sz="4" w:space="0" w:color="5A5A5A"/>
            </w:tcBorders>
            <w:shd w:val="clear" w:color="auto" w:fill="auto"/>
            <w:vAlign w:val="center"/>
            <w:hideMark/>
          </w:tcPr>
          <w:p w14:paraId="340EB49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5FB792D3" w14:textId="77777777" w:rsidTr="006B4681">
        <w:trPr>
          <w:gridAfter w:val="1"/>
          <w:wAfter w:w="14" w:type="dxa"/>
          <w:trHeight w:val="788"/>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59AECECD"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w:t>
            </w:r>
          </w:p>
        </w:tc>
        <w:tc>
          <w:tcPr>
            <w:tcW w:w="1943" w:type="dxa"/>
            <w:tcBorders>
              <w:top w:val="nil"/>
              <w:left w:val="nil"/>
              <w:bottom w:val="single" w:sz="4" w:space="0" w:color="5A5A5A"/>
              <w:right w:val="single" w:sz="4" w:space="0" w:color="5A5A5A"/>
            </w:tcBorders>
            <w:shd w:val="clear" w:color="auto" w:fill="auto"/>
            <w:vAlign w:val="center"/>
            <w:hideMark/>
          </w:tcPr>
          <w:p w14:paraId="224079FF" w14:textId="77777777"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 ALLEN, MCMILLAN,</w:t>
            </w:r>
          </w:p>
          <w:p w14:paraId="1E94F837" w14:textId="5CC97888" w:rsidR="00E56623" w:rsidRPr="00787196" w:rsidRDefault="00FE5527" w:rsidP="00142DF5">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LOCKER</w:t>
            </w:r>
            <w:r w:rsidR="00142DF5" w:rsidRPr="00787196">
              <w:rPr>
                <w:rFonts w:eastAsia="Times New Roman" w:cs="Arial"/>
                <w:color w:val="000000"/>
                <w:sz w:val="17"/>
                <w:szCs w:val="17"/>
              </w:rPr>
              <w:t xml:space="preserve"> </w:t>
            </w:r>
            <w:r w:rsidR="00142DF5" w:rsidRPr="00787196">
              <w:rPr>
                <w:rFonts w:eastAsia="Times New Roman" w:cs="Arial"/>
                <w:color w:val="000000"/>
                <w:sz w:val="17"/>
                <w:szCs w:val="17"/>
              </w:rPr>
              <w:fldChar w:fldCharType="begin"/>
            </w:r>
            <w:r w:rsidR="00142DF5" w:rsidRPr="00787196">
              <w:rPr>
                <w:rFonts w:eastAsia="Times New Roman" w:cs="Arial"/>
                <w:color w:val="000000"/>
                <w:sz w:val="17"/>
                <w:szCs w:val="17"/>
              </w:rPr>
              <w:instrText xml:space="preserve"> ADDIN EN.CITE &lt;EndNote&gt;&lt;Cite ExcludeAuth="1"&gt;&lt;Author&gt;Allen&lt;/Author&gt;&lt;Year&gt;2001&lt;/Year&gt;&lt;IDText&gt;An assessment of sensitivity to change of the Oral Health Impact Profile in a clinical trial&lt;/IDText&gt;&lt;DisplayText&gt;(2001)&lt;/DisplayText&gt;&lt;record&gt;&lt;keywords&gt;&lt;keyword&gt;implants&lt;/keyword&gt;&lt;keyword&gt;quality of life&lt;/keyword&gt;&lt;keyword&gt;health status measures&lt;/keyword&gt;&lt;/keywords&gt;&lt;urls&gt;&lt;related-urls&gt;&lt;url&gt;http://dx.doi.org/10.1034/j.1600-0528.2001.290303.x&lt;/url&gt;&lt;/related-urls&gt;&lt;/urls&gt;&lt;isbn&gt;1600-0528&lt;/isbn&gt;&lt;titles&gt;&lt;title&gt;An assessment of sensitivity to change of the Oral Health Impact Profile in a clinical trial&lt;/title&gt;&lt;secondary-title&gt;Community Dentistry and Oral Epidemiology&lt;/secondary-title&gt;&lt;/titles&gt;&lt;pages&gt;175-82&lt;/pages&gt;&lt;number&gt;3&lt;/number&gt;&lt;contributors&gt;&lt;authors&gt;&lt;author&gt;Allen, P. Finbarr&lt;/author&gt;&lt;author&gt;McMillan, Anne S.&lt;/author&gt;&lt;author&gt;Locker, David&lt;/author&gt;&lt;/authors&gt;&lt;/contributors&gt;&lt;added-date format="utc"&gt;1372250434&lt;/added-date&gt;&lt;ref-type name="Journal Article"&gt;17&lt;/ref-type&gt;&lt;dates&gt;&lt;year&gt;2001&lt;/year&gt;&lt;/dates&gt;&lt;rec-number&gt;774&lt;/rec-number&gt;&lt;publisher&gt;Munksgaard International Publishers&lt;/publisher&gt;&lt;last-updated-date format="utc"&gt;1483575243&lt;/last-updated-date&gt;&lt;electronic-resource-num&gt;10.1034/j.1600-0528.2001.290303.x&lt;/electronic-resource-num&gt;&lt;volume&gt;29(3)&lt;/volume&gt;&lt;/record&gt;&lt;/Cite&gt;&lt;/EndNote&gt;</w:instrText>
            </w:r>
            <w:r w:rsidR="00142DF5" w:rsidRPr="00787196">
              <w:rPr>
                <w:rFonts w:eastAsia="Times New Roman" w:cs="Arial"/>
                <w:color w:val="000000"/>
                <w:sz w:val="17"/>
                <w:szCs w:val="17"/>
              </w:rPr>
              <w:fldChar w:fldCharType="separate"/>
            </w:r>
            <w:r w:rsidR="00142DF5" w:rsidRPr="00787196">
              <w:rPr>
                <w:rFonts w:eastAsia="Times New Roman" w:cs="Arial"/>
                <w:noProof/>
                <w:color w:val="000000"/>
                <w:sz w:val="17"/>
                <w:szCs w:val="17"/>
              </w:rPr>
              <w:t>(2001)</w:t>
            </w:r>
            <w:r w:rsidR="00142DF5"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540321E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3 groups</w:t>
            </w:r>
          </w:p>
          <w:p w14:paraId="1737B50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supported dentures,</w:t>
            </w:r>
          </w:p>
          <w:p w14:paraId="4F28331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 Conventional dentures (sought implants), conventional dentures</w:t>
            </w:r>
          </w:p>
        </w:tc>
        <w:tc>
          <w:tcPr>
            <w:tcW w:w="979" w:type="dxa"/>
            <w:tcBorders>
              <w:top w:val="nil"/>
              <w:left w:val="nil"/>
              <w:bottom w:val="single" w:sz="4" w:space="0" w:color="5A5A5A"/>
              <w:right w:val="single" w:sz="4" w:space="0" w:color="5A5A5A"/>
            </w:tcBorders>
            <w:shd w:val="clear" w:color="auto" w:fill="auto"/>
            <w:vAlign w:val="center"/>
            <w:hideMark/>
          </w:tcPr>
          <w:p w14:paraId="543CF4FC" w14:textId="2901112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 xml:space="preserve">83 </w:t>
            </w:r>
          </w:p>
        </w:tc>
        <w:tc>
          <w:tcPr>
            <w:tcW w:w="1399" w:type="dxa"/>
            <w:tcBorders>
              <w:top w:val="nil"/>
              <w:left w:val="nil"/>
              <w:bottom w:val="single" w:sz="4" w:space="0" w:color="5A5A5A"/>
              <w:right w:val="single" w:sz="4" w:space="0" w:color="5A5A5A"/>
            </w:tcBorders>
            <w:shd w:val="clear" w:color="auto" w:fill="auto"/>
            <w:vAlign w:val="center"/>
            <w:hideMark/>
          </w:tcPr>
          <w:p w14:paraId="418F5C8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57, 60.1, 64.9</w:t>
            </w:r>
          </w:p>
        </w:tc>
        <w:tc>
          <w:tcPr>
            <w:tcW w:w="1260" w:type="dxa"/>
            <w:tcBorders>
              <w:top w:val="nil"/>
              <w:left w:val="nil"/>
              <w:bottom w:val="single" w:sz="4" w:space="0" w:color="5A5A5A"/>
              <w:right w:val="single" w:sz="4" w:space="0" w:color="5A5A5A"/>
            </w:tcBorders>
            <w:shd w:val="clear" w:color="auto" w:fill="auto"/>
            <w:vAlign w:val="center"/>
            <w:hideMark/>
          </w:tcPr>
          <w:p w14:paraId="33DCD5D2" w14:textId="77777777" w:rsidR="00E56623" w:rsidRPr="00787196" w:rsidRDefault="00F13D3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Clinical Trial</w:t>
            </w:r>
          </w:p>
        </w:tc>
        <w:tc>
          <w:tcPr>
            <w:tcW w:w="1678" w:type="dxa"/>
            <w:tcBorders>
              <w:top w:val="nil"/>
              <w:left w:val="nil"/>
              <w:bottom w:val="single" w:sz="4" w:space="0" w:color="5A5A5A"/>
              <w:right w:val="single" w:sz="4" w:space="0" w:color="5A5A5A"/>
            </w:tcBorders>
            <w:shd w:val="clear" w:color="auto" w:fill="auto"/>
            <w:vAlign w:val="center"/>
            <w:hideMark/>
          </w:tcPr>
          <w:p w14:paraId="3A03B70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3 months follow-up</w:t>
            </w:r>
          </w:p>
        </w:tc>
        <w:tc>
          <w:tcPr>
            <w:tcW w:w="1819" w:type="dxa"/>
            <w:tcBorders>
              <w:top w:val="nil"/>
              <w:left w:val="nil"/>
              <w:bottom w:val="single" w:sz="4" w:space="0" w:color="5A5A5A"/>
              <w:right w:val="single" w:sz="4" w:space="0" w:color="5A5A5A"/>
            </w:tcBorders>
            <w:shd w:val="clear" w:color="auto" w:fill="auto"/>
            <w:vAlign w:val="center"/>
            <w:hideMark/>
          </w:tcPr>
          <w:p w14:paraId="3B9143F0" w14:textId="485300CF" w:rsidR="00E56623" w:rsidRPr="00787196" w:rsidRDefault="00AF57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-49</w:t>
            </w:r>
          </w:p>
        </w:tc>
        <w:tc>
          <w:tcPr>
            <w:tcW w:w="1577" w:type="dxa"/>
            <w:tcBorders>
              <w:top w:val="nil"/>
              <w:left w:val="nil"/>
              <w:bottom w:val="single" w:sz="4" w:space="0" w:color="5A5A5A"/>
              <w:right w:val="single" w:sz="4" w:space="0" w:color="5A5A5A"/>
            </w:tcBorders>
            <w:shd w:val="clear" w:color="auto" w:fill="auto"/>
            <w:vAlign w:val="center"/>
            <w:hideMark/>
          </w:tcPr>
          <w:p w14:paraId="4EE81119" w14:textId="555029A1" w:rsidR="00E56623" w:rsidRPr="00787196" w:rsidRDefault="004D0EC8"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Denture satisfaction</w:t>
            </w:r>
            <w:r w:rsidR="00743BDB" w:rsidRPr="00787196">
              <w:rPr>
                <w:rFonts w:eastAsia="Times New Roman" w:cs="Arial"/>
                <w:color w:val="000000"/>
                <w:sz w:val="17"/>
                <w:szCs w:val="17"/>
              </w:rPr>
              <w:t>, SF-36</w:t>
            </w:r>
          </w:p>
        </w:tc>
        <w:tc>
          <w:tcPr>
            <w:tcW w:w="1261" w:type="dxa"/>
            <w:tcBorders>
              <w:top w:val="nil"/>
              <w:left w:val="nil"/>
              <w:bottom w:val="single" w:sz="4" w:space="0" w:color="5A5A5A"/>
              <w:right w:val="single" w:sz="4" w:space="0" w:color="5A5A5A"/>
            </w:tcBorders>
            <w:shd w:val="clear" w:color="auto" w:fill="auto"/>
            <w:vAlign w:val="center"/>
            <w:hideMark/>
          </w:tcPr>
          <w:p w14:paraId="37E4CDC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50C85566" w14:textId="77777777" w:rsidTr="006B4681">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20889DB1"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w:t>
            </w:r>
          </w:p>
        </w:tc>
        <w:tc>
          <w:tcPr>
            <w:tcW w:w="1943" w:type="dxa"/>
            <w:tcBorders>
              <w:top w:val="nil"/>
              <w:left w:val="nil"/>
              <w:bottom w:val="single" w:sz="4" w:space="0" w:color="5A5A5A"/>
              <w:right w:val="single" w:sz="4" w:space="0" w:color="5A5A5A"/>
            </w:tcBorders>
            <w:shd w:val="clear" w:color="auto" w:fill="auto"/>
            <w:vAlign w:val="center"/>
            <w:hideMark/>
          </w:tcPr>
          <w:p w14:paraId="34165E80" w14:textId="6D7B884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ALLEN AND MCMILLAN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ExcludeAuth="1"&gt;&lt;Author&gt;Allen&lt;/Author&gt;&lt;Year&gt;2003&lt;/Year&gt;&lt;RecNum&gt;0&lt;/RecNum&gt;&lt;IDText&gt;A longitudinal study of quality of life outcomes in older adults requesting implant prostheses and complete removable dentures&lt;/IDText&gt;&lt;DisplayText&gt;(2003)&lt;/DisplayText&gt;&lt;record&gt;&lt;dates&gt;&lt;pub-dates&gt;&lt;date&gt;Apr&lt;/date&gt;&lt;/pub-dates&gt;&lt;year&gt;2003&lt;/year&gt;&lt;/dates&gt;&lt;isbn&gt;0905-7161 (Print)&amp;#xD;0905-7161&lt;/isbn&gt;&lt;titles&gt;&lt;title&gt;A longitudinal study of quality of life outcomes in older adults requesting implant prostheses and complete removable dentures&lt;/title&gt;&lt;secondary-title&gt;Clin Oral Implants Res&lt;/secondary-title&gt;&lt;alt-title&gt;Clinical oral implants research&lt;/alt-title&gt;&lt;/titles&gt;&lt;pages&gt;173-9&lt;/pages&gt;&lt;number&gt;2&lt;/number&gt;&lt;contributors&gt;&lt;authors&gt;&lt;author&gt;Allen, P. F.&lt;/author&gt;&lt;author&gt;McMillan, A. S.&lt;/author&gt;&lt;/authors&gt;&lt;/contributors&gt;&lt;edition&gt;2003/03/27&lt;/edition&gt;&lt;language&gt;eng&lt;/language&gt;&lt;added-date format="utc"&gt;1374065288&lt;/added-date&gt;&lt;ref-type name="Journal Article"&gt;17&lt;/ref-type&gt;&lt;auth-address&gt;Department of Restorative Dentistry, University Dental School and Hospital, Wilton, Cork, Ireland. f.allen@ucc.ie&lt;/auth-address&gt;&lt;remote-database-provider&gt;Nlm&lt;/remote-database-provider&gt;&lt;rec-number&gt;1049&lt;/rec-number&gt;&lt;last-updated-date format="utc"&gt;1374065288&lt;/last-updated-date&gt;&lt;accession-num&gt;12656876&lt;/accession-num&gt;&lt;volume&gt;14&lt;/volume&gt;&lt;/record&gt;&lt;/Cite&gt;&lt;/EndNote&gt;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(2003)</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59342E1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4 groups </w:t>
            </w:r>
          </w:p>
          <w:p w14:paraId="41D9F1A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(3 edentulous 1dentate)</w:t>
            </w:r>
          </w:p>
          <w:p w14:paraId="6118EC8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supported</w:t>
            </w:r>
          </w:p>
          <w:p w14:paraId="14362AB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p w14:paraId="7D109E9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(requesting implants)</w:t>
            </w:r>
          </w:p>
          <w:p w14:paraId="01A1F6D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p w14:paraId="3D86FE5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Routine treatment </w:t>
            </w:r>
          </w:p>
          <w:p w14:paraId="7ED8ACA4"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hideMark/>
          </w:tcPr>
          <w:p w14:paraId="5964151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103</w:t>
            </w:r>
          </w:p>
        </w:tc>
        <w:tc>
          <w:tcPr>
            <w:tcW w:w="1399" w:type="dxa"/>
            <w:tcBorders>
              <w:top w:val="nil"/>
              <w:left w:val="nil"/>
              <w:bottom w:val="single" w:sz="4" w:space="0" w:color="5A5A5A"/>
              <w:right w:val="single" w:sz="4" w:space="0" w:color="5A5A5A"/>
            </w:tcBorders>
            <w:shd w:val="clear" w:color="auto" w:fill="auto"/>
            <w:vAlign w:val="center"/>
            <w:hideMark/>
          </w:tcPr>
          <w:p w14:paraId="6F8A544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58.7, 60.2, 65.1, 58.7</w:t>
            </w:r>
          </w:p>
        </w:tc>
        <w:tc>
          <w:tcPr>
            <w:tcW w:w="1260" w:type="dxa"/>
            <w:tcBorders>
              <w:top w:val="nil"/>
              <w:left w:val="nil"/>
              <w:bottom w:val="single" w:sz="4" w:space="0" w:color="5A5A5A"/>
              <w:right w:val="single" w:sz="4" w:space="0" w:color="5A5A5A"/>
            </w:tcBorders>
            <w:shd w:val="clear" w:color="auto" w:fill="auto"/>
            <w:vAlign w:val="center"/>
            <w:hideMark/>
          </w:tcPr>
          <w:p w14:paraId="28D0B6E3" w14:textId="77777777" w:rsidR="00E56623" w:rsidRPr="00787196" w:rsidRDefault="001B4FE7"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w:t>
            </w:r>
            <w:r w:rsidR="00BE466C" w:rsidRPr="00787196">
              <w:rPr>
                <w:rFonts w:eastAsia="Times New Roman" w:cs="Arial"/>
                <w:color w:val="000000"/>
                <w:sz w:val="17"/>
                <w:szCs w:val="17"/>
              </w:rPr>
              <w:t>linical trial</w:t>
            </w:r>
          </w:p>
        </w:tc>
        <w:tc>
          <w:tcPr>
            <w:tcW w:w="1678" w:type="dxa"/>
            <w:tcBorders>
              <w:top w:val="nil"/>
              <w:left w:val="nil"/>
              <w:bottom w:val="single" w:sz="4" w:space="0" w:color="5A5A5A"/>
              <w:right w:val="single" w:sz="4" w:space="0" w:color="5A5A5A"/>
            </w:tcBorders>
            <w:shd w:val="clear" w:color="auto" w:fill="auto"/>
            <w:vAlign w:val="center"/>
            <w:hideMark/>
          </w:tcPr>
          <w:p w14:paraId="6A04DCD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Pre-treatment and post treatment</w:t>
            </w:r>
          </w:p>
        </w:tc>
        <w:tc>
          <w:tcPr>
            <w:tcW w:w="1819" w:type="dxa"/>
            <w:tcBorders>
              <w:top w:val="nil"/>
              <w:left w:val="nil"/>
              <w:bottom w:val="single" w:sz="4" w:space="0" w:color="5A5A5A"/>
              <w:right w:val="single" w:sz="4" w:space="0" w:color="5A5A5A"/>
            </w:tcBorders>
            <w:shd w:val="clear" w:color="auto" w:fill="auto"/>
            <w:vAlign w:val="center"/>
            <w:hideMark/>
          </w:tcPr>
          <w:p w14:paraId="5798C453" w14:textId="104B7164" w:rsidR="00E56623" w:rsidRPr="00787196" w:rsidRDefault="00AF57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-49</w:t>
            </w:r>
          </w:p>
        </w:tc>
        <w:tc>
          <w:tcPr>
            <w:tcW w:w="1577" w:type="dxa"/>
            <w:tcBorders>
              <w:top w:val="nil"/>
              <w:left w:val="nil"/>
              <w:bottom w:val="single" w:sz="4" w:space="0" w:color="5A5A5A"/>
              <w:right w:val="single" w:sz="4" w:space="0" w:color="5A5A5A"/>
            </w:tcBorders>
            <w:shd w:val="clear" w:color="auto" w:fill="auto"/>
            <w:vAlign w:val="center"/>
            <w:hideMark/>
          </w:tcPr>
          <w:p w14:paraId="1AB0820A" w14:textId="6F40FB62" w:rsidR="00E56623" w:rsidRPr="00787196" w:rsidRDefault="004D0EC8"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SF-36, Denture satisfaction</w:t>
            </w:r>
          </w:p>
        </w:tc>
        <w:tc>
          <w:tcPr>
            <w:tcW w:w="1261" w:type="dxa"/>
            <w:tcBorders>
              <w:top w:val="nil"/>
              <w:left w:val="nil"/>
              <w:bottom w:val="single" w:sz="4" w:space="0" w:color="5A5A5A"/>
              <w:right w:val="single" w:sz="4" w:space="0" w:color="5A5A5A"/>
            </w:tcBorders>
            <w:shd w:val="clear" w:color="auto" w:fill="auto"/>
            <w:vAlign w:val="center"/>
            <w:hideMark/>
          </w:tcPr>
          <w:p w14:paraId="007983F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752CA0D5" w14:textId="77777777" w:rsidTr="002C4FCD">
        <w:trPr>
          <w:gridAfter w:val="1"/>
          <w:wAfter w:w="14" w:type="dxa"/>
          <w:trHeight w:val="788"/>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30810C83"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5</w:t>
            </w:r>
          </w:p>
        </w:tc>
        <w:tc>
          <w:tcPr>
            <w:tcW w:w="1943" w:type="dxa"/>
            <w:tcBorders>
              <w:top w:val="nil"/>
              <w:left w:val="nil"/>
              <w:bottom w:val="single" w:sz="4" w:space="0" w:color="5A5A5A"/>
              <w:right w:val="single" w:sz="4" w:space="0" w:color="5A5A5A"/>
            </w:tcBorders>
            <w:shd w:val="clear" w:color="auto" w:fill="auto"/>
            <w:vAlign w:val="center"/>
            <w:hideMark/>
          </w:tcPr>
          <w:p w14:paraId="61C9D674" w14:textId="239A4601"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ALLEN, THOMASON, JEPSON, NOHL, SMITH AND ELLIS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ExcludeAuth="1"&gt;&lt;Author&gt;Allen&lt;/Author&gt;&lt;Year&gt;2006&lt;/Year&gt;&lt;RecNum&gt;0&lt;/RecNum&gt;&lt;IDText&gt;A randomized controlled trial of implant-retained mandibular overdentures&lt;/IDText&gt;&lt;DisplayText&gt;(2006)&lt;/DisplayText&gt;&lt;record&gt;&lt;dates&gt;&lt;pub-dates&gt;&lt;date&gt;Jun&lt;/date&gt;&lt;/pub-dates&gt;&lt;year&gt;2006&lt;/year&gt;&lt;/dates&gt;&lt;isbn&gt;0022-0345 (Print)&amp;#xD;0022-0345&lt;/isbn&gt;&lt;titles&gt;&lt;title&gt;A randomized controlled trial of implant-retained mandibular overdentures&lt;/title&gt;&lt;secondary-title&gt;J Dent Res&lt;/secondary-title&gt;&lt;alt-title&gt;Journal of dental research&lt;/alt-title&gt;&lt;/titles&gt;&lt;pages&gt;547-51&lt;/pages&gt;&lt;number&gt;6&lt;/number&gt;&lt;contributors&gt;&lt;authors&gt;&lt;author&gt;Allen, P. F.&lt;/author&gt;&lt;author&gt;Thomason, J. M.&lt;/author&gt;&lt;author&gt;Jepson, N. J.&lt;/author&gt;&lt;author&gt;Nohl, F.&lt;/author&gt;&lt;author&gt;Smith, D. G.&lt;/author&gt;&lt;author&gt;Ellis, J.&lt;/author&gt;&lt;/authors&gt;&lt;/contributors&gt;&lt;edition&gt;2006/05/26&lt;/edition&gt;&lt;language&gt;eng&lt;/language&gt;&lt;added-date format="utc"&gt;1374065287&lt;/added-date&gt;&lt;ref-type name="Journal Article"&gt;17&lt;/ref-type&gt;&lt;auth-address&gt;National University of Ireland, Cork, Ireland. f.allen@ucc.ie&lt;/auth-address&gt;&lt;remote-database-provider&gt;Nlm&lt;/remote-database-provider&gt;&lt;rec-number&gt;998&lt;/rec-number&gt;&lt;last-updated-date format="utc"&gt;1374065287&lt;/last-updated-date&gt;&lt;accession-num&gt;16723653&lt;/accession-num&gt;&lt;volume&gt;85&lt;/volume&gt;&lt;/record&gt;&lt;/Cite&gt;&lt;/EndNote&gt;</w:instrText>
            </w:r>
            <w:r w:rsidR="007D6B7F" w:rsidRPr="00787196">
              <w:rPr>
                <w:rFonts w:eastAsia="Times New Roman" w:cs="Arial"/>
                <w:color w:val="000000"/>
                <w:sz w:val="17"/>
                <w:szCs w:val="17"/>
              </w:rPr>
              <w:fldChar w:fldCharType="separate"/>
            </w:r>
            <w:r w:rsidR="00C1301A" w:rsidRPr="00787196">
              <w:rPr>
                <w:rFonts w:eastAsia="Times New Roman" w:cs="Arial"/>
                <w:color w:val="000000"/>
                <w:sz w:val="17"/>
                <w:szCs w:val="17"/>
              </w:rPr>
              <w:t>(2006)</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17350A5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68D987A9"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group</w:t>
            </w:r>
          </w:p>
          <w:p w14:paraId="7C364E1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 group</w:t>
            </w:r>
          </w:p>
          <w:p w14:paraId="4A5F81B5"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hideMark/>
          </w:tcPr>
          <w:p w14:paraId="4CFFC835" w14:textId="014BFA61"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118</w:t>
            </w:r>
          </w:p>
        </w:tc>
        <w:tc>
          <w:tcPr>
            <w:tcW w:w="1399" w:type="dxa"/>
            <w:tcBorders>
              <w:top w:val="nil"/>
              <w:left w:val="nil"/>
              <w:bottom w:val="single" w:sz="4" w:space="0" w:color="5A5A5A"/>
              <w:right w:val="single" w:sz="4" w:space="0" w:color="5A5A5A"/>
            </w:tcBorders>
            <w:shd w:val="clear" w:color="auto" w:fill="auto"/>
            <w:vAlign w:val="center"/>
            <w:hideMark/>
          </w:tcPr>
          <w:p w14:paraId="0BB06FBA" w14:textId="77777777" w:rsidR="00E56623" w:rsidRPr="00787196" w:rsidRDefault="006E6D4A"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64.5 (8.8)</w:t>
            </w:r>
          </w:p>
          <w:p w14:paraId="0ABAD737" w14:textId="77777777" w:rsidR="006E6D4A" w:rsidRPr="00787196" w:rsidRDefault="006E6D4A"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68.5 (9.9)</w:t>
            </w:r>
          </w:p>
        </w:tc>
        <w:tc>
          <w:tcPr>
            <w:tcW w:w="1260" w:type="dxa"/>
            <w:tcBorders>
              <w:top w:val="nil"/>
              <w:left w:val="nil"/>
              <w:bottom w:val="single" w:sz="4" w:space="0" w:color="5A5A5A"/>
              <w:right w:val="single" w:sz="4" w:space="0" w:color="5A5A5A"/>
            </w:tcBorders>
            <w:shd w:val="clear" w:color="auto" w:fill="auto"/>
            <w:vAlign w:val="center"/>
            <w:hideMark/>
          </w:tcPr>
          <w:p w14:paraId="3CDF05A3"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Randomised controlled trial*</w:t>
            </w:r>
          </w:p>
        </w:tc>
        <w:tc>
          <w:tcPr>
            <w:tcW w:w="1678" w:type="dxa"/>
            <w:tcBorders>
              <w:top w:val="nil"/>
              <w:left w:val="nil"/>
              <w:bottom w:val="single" w:sz="4" w:space="0" w:color="5A5A5A"/>
              <w:right w:val="single" w:sz="4" w:space="0" w:color="5A5A5A"/>
            </w:tcBorders>
            <w:shd w:val="clear" w:color="auto" w:fill="auto"/>
            <w:vAlign w:val="center"/>
            <w:hideMark/>
          </w:tcPr>
          <w:p w14:paraId="52E821F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and 3 months post treatment </w:t>
            </w:r>
          </w:p>
        </w:tc>
        <w:tc>
          <w:tcPr>
            <w:tcW w:w="1819" w:type="dxa"/>
            <w:tcBorders>
              <w:top w:val="nil"/>
              <w:left w:val="nil"/>
              <w:bottom w:val="single" w:sz="4" w:space="0" w:color="5A5A5A"/>
              <w:right w:val="single" w:sz="4" w:space="0" w:color="5A5A5A"/>
            </w:tcBorders>
            <w:shd w:val="clear" w:color="auto" w:fill="auto"/>
            <w:vAlign w:val="center"/>
            <w:hideMark/>
          </w:tcPr>
          <w:p w14:paraId="2E6B11B0" w14:textId="5CC5FD8A" w:rsidR="00E56623" w:rsidRPr="00787196" w:rsidRDefault="00AF57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-49</w:t>
            </w:r>
          </w:p>
        </w:tc>
        <w:tc>
          <w:tcPr>
            <w:tcW w:w="1577" w:type="dxa"/>
            <w:tcBorders>
              <w:top w:val="nil"/>
              <w:left w:val="nil"/>
              <w:bottom w:val="single" w:sz="4" w:space="0" w:color="5A5A5A"/>
              <w:right w:val="single" w:sz="4" w:space="0" w:color="5A5A5A"/>
            </w:tcBorders>
            <w:shd w:val="clear" w:color="auto" w:fill="auto"/>
            <w:vAlign w:val="center"/>
            <w:hideMark/>
          </w:tcPr>
          <w:p w14:paraId="5C925F6F" w14:textId="047589A6" w:rsidR="00E56623" w:rsidRPr="00787196" w:rsidRDefault="004D0EC8"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Denture satisfaction </w:t>
            </w:r>
          </w:p>
        </w:tc>
        <w:tc>
          <w:tcPr>
            <w:tcW w:w="1261" w:type="dxa"/>
            <w:tcBorders>
              <w:top w:val="nil"/>
              <w:left w:val="nil"/>
              <w:bottom w:val="single" w:sz="4" w:space="0" w:color="5A5A5A"/>
              <w:right w:val="single" w:sz="4" w:space="0" w:color="5A5A5A"/>
            </w:tcBorders>
            <w:shd w:val="clear" w:color="auto" w:fill="auto"/>
            <w:vAlign w:val="center"/>
            <w:hideMark/>
          </w:tcPr>
          <w:p w14:paraId="7663FEA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5BA51726" w14:textId="77777777" w:rsidTr="002C4FCD">
        <w:trPr>
          <w:gridAfter w:val="1"/>
          <w:wAfter w:w="14" w:type="dxa"/>
          <w:trHeight w:val="1379"/>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4C2301B1"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6</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7604B5F2" w14:textId="1E8ABD5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ARMELLINI, HEYDECKE, HABIL/WITTER, AND CREUGERS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ExcludeAuth="1"&gt;&lt;Author&gt;Armellini&lt;/Author&gt;&lt;Year&gt;2008&lt;/Year&gt;&lt;RecNum&gt;0&lt;/RecNum&gt;&lt;IDText&gt;Effect of removable partial dentures on oral health-related quality of life in subjects with shortened dental arches: a 2-center cross-sectional study&lt;/IDText&gt;&lt;DisplayText&gt;(2008)&lt;/DisplayText&gt;&lt;record&gt;&lt;dates&gt;&lt;pub-dates&gt;&lt;date&gt;Nov-Dec&lt;/date&gt;&lt;/pub-dates&gt;&lt;year&gt;2008&lt;/year&gt;&lt;/dates&gt;&lt;isbn&gt;0893-2174 (Print)&amp;#xD;0893-2174&lt;/isbn&gt;&lt;titles&gt;&lt;title&gt;Effect of removable partial dentures on oral health-related quality of life in subjects with shortened dental arches: a 2-center cross-sectional study&lt;/title&gt;&lt;secondary-title&gt;Int J Prosthodont&lt;/secondary-title&gt;&lt;alt-title&gt;The International journal of prosthodontics&lt;/alt-title&gt;&lt;/titles&gt;&lt;pages&gt;524-30&lt;/pages&gt;&lt;number&gt;6&lt;/number&gt;&lt;contributors&gt;&lt;authors&gt;&lt;author&gt;Armellini, D. B.&lt;/author&gt;&lt;author&gt;Heydecke, G.&lt;/author&gt;&lt;author&gt;Witter, D. J.&lt;/author&gt;&lt;author&gt;Creugers, N. H.&lt;/author&gt;&lt;/authors&gt;&lt;/contributors&gt;&lt;edition&gt;2009/01/20&lt;/edition&gt;&lt;language&gt;eng&lt;/language&gt;&lt;added-date format="utc"&gt;1374040090&lt;/added-date&gt;&lt;ref-type name="Journal Article"&gt;17&lt;/ref-type&gt;&lt;auth-address&gt;Department of Restorative Dentistry, Baltimore College of Dental Surgery, University of Maryland, Baltimore, Maryland, USA.&lt;/auth-address&gt;&lt;remote-database-provider&gt;Nlm&lt;/remote-database-provider&gt;&lt;rec-number&gt;939&lt;/rec-number&gt;&lt;last-updated-date format="utc"&gt;1374040090&lt;/last-updated-date&gt;&lt;accession-num&gt;19149071&lt;/accession-num&gt;&lt;volume&gt;21&lt;/volume&gt;&lt;/record&gt;&lt;/Cite&gt;&lt;/EndNote&gt;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(2008)</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2DC4EC2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5 groups</w:t>
            </w:r>
          </w:p>
          <w:p w14:paraId="76A4ECC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Short Dental Arches(SDA)- intact anteriors</w:t>
            </w:r>
          </w:p>
          <w:p w14:paraId="301CB99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SDA -interrupted anteriors</w:t>
            </w:r>
          </w:p>
          <w:p w14:paraId="5908459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SDA -distal extension</w:t>
            </w:r>
          </w:p>
          <w:p w14:paraId="2D62C87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SDA - interrupted with RPD</w:t>
            </w:r>
          </w:p>
          <w:p w14:paraId="41B1347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Complete dental arches</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46361AF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160</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24B51A8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54 ± 18</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52C7414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 centre) Cro</w:t>
            </w:r>
            <w:r w:rsidR="001F3E4C" w:rsidRPr="00787196">
              <w:rPr>
                <w:rFonts w:eastAsia="Times New Roman" w:cs="Arial"/>
                <w:color w:val="000000"/>
                <w:sz w:val="17"/>
                <w:szCs w:val="17"/>
              </w:rPr>
              <w:t xml:space="preserve">ss-sectional observational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411FF5E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alone prior receiving dentures</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022A09E6" w14:textId="3B865A01" w:rsidR="00E56623" w:rsidRPr="00787196" w:rsidRDefault="00AF57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-49</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21CA61A5" w14:textId="59F68253" w:rsidR="00E56623" w:rsidRPr="00787196" w:rsidRDefault="004D0EC8"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 SF-36</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6C10CD6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61E3B52F" w14:textId="77777777" w:rsidTr="006B4681">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6775FD1F"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7</w:t>
            </w:r>
          </w:p>
        </w:tc>
        <w:tc>
          <w:tcPr>
            <w:tcW w:w="1943" w:type="dxa"/>
            <w:tcBorders>
              <w:top w:val="nil"/>
              <w:left w:val="nil"/>
              <w:bottom w:val="single" w:sz="4" w:space="0" w:color="5A5A5A"/>
              <w:right w:val="single" w:sz="4" w:space="0" w:color="5A5A5A"/>
            </w:tcBorders>
            <w:shd w:val="clear" w:color="auto" w:fill="auto"/>
            <w:vAlign w:val="center"/>
            <w:hideMark/>
          </w:tcPr>
          <w:p w14:paraId="347C72D1" w14:textId="75D00431"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ASSUNCAO, ZARDO,DELBEN AND BARAO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ExcludeAuth="1"&gt;&lt;Author&gt;Assuncao&lt;/Author&gt;&lt;Year&gt;2007&lt;/Year&gt;&lt;RecNum&gt;0&lt;/RecNum&gt;&lt;IDText&gt;Comparing the efficacy of mandibular implant-retained overdentures and conventional dentures among elderly edentulous patients: satisfaction and quality of life&lt;/IDText&gt;&lt;DisplayText&gt;(2007)&lt;/DisplayText&gt;&lt;record&gt;&lt;dates&gt;&lt;pub-dates&gt;&lt;date&gt;Dec&lt;/date&gt;&lt;/pub-dates&gt;&lt;year&gt;2007&lt;/year&gt;&lt;/dates&gt;&lt;isbn&gt;0734-0664 (Print)&amp;#xD;0734-0664&lt;/isbn&gt;&lt;titles&gt;&lt;title&gt;Comparing the efficacy of mandibular implant-retained overdentures and conventional dentures among elderly edentulous patients: satisfaction and quality of life&lt;/title&gt;&lt;secondary-title&gt;Gerodontology&lt;/secondary-title&gt;&lt;alt-title&gt;Gerodontology&lt;/alt-title&gt;&lt;/titles&gt;&lt;pages&gt;235-8&lt;/pages&gt;&lt;number&gt;4&lt;/number&gt;&lt;contributors&gt;&lt;authors&gt;&lt;author&gt;Assuncao, W. G.&lt;/author&gt;&lt;author&gt;Zardo, G. G.&lt;/author&gt;&lt;author&gt;Delben, J. A.&lt;/author&gt;&lt;author&gt;Barao, V. A.&lt;/author&gt;&lt;/authors&gt;&lt;/contributors&gt;&lt;edition&gt;2007/11/15&lt;/edition&gt;&lt;language&gt;eng&lt;/language&gt;&lt;added-date format="utc"&gt;1374040090&lt;/added-date&gt;&lt;ref-type name="Journal Article"&gt;17&lt;/ref-type&gt;&lt;auth-address&gt;Department of Dental Materials and Prosthodontics, Aracatuba Dental School, Sao Paulo, Brazil. wirley@foa.unesp.br&lt;/auth-address&gt;&lt;remote-database-provider&gt;Nlm&lt;/remote-database-provider&gt;&lt;rec-number&gt;967&lt;/rec-number&gt;&lt;last-updated-date format="utc"&gt;1374040090&lt;/last-updated-date&gt;&lt;accession-num&gt;17999736&lt;/accession-num&gt;&lt;electronic-resource-num&gt;10.1111/j.1741-2358.2007.00173.x&lt;/electronic-resource-num&gt;&lt;volume&gt;24&lt;/volume&gt;&lt;/record&gt;&lt;/Cite&gt;&lt;/EndNote&gt;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(2007)</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254D8CA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w:t>
            </w:r>
          </w:p>
          <w:p w14:paraId="2B18A1A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Complete dentures (CD)</w:t>
            </w:r>
          </w:p>
          <w:p w14:paraId="6AFE611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Upper CD opposed by implant supported dentures</w:t>
            </w:r>
          </w:p>
        </w:tc>
        <w:tc>
          <w:tcPr>
            <w:tcW w:w="979" w:type="dxa"/>
            <w:tcBorders>
              <w:top w:val="nil"/>
              <w:left w:val="nil"/>
              <w:bottom w:val="single" w:sz="4" w:space="0" w:color="5A5A5A"/>
              <w:right w:val="single" w:sz="4" w:space="0" w:color="5A5A5A"/>
            </w:tcBorders>
            <w:shd w:val="clear" w:color="auto" w:fill="auto"/>
            <w:vAlign w:val="center"/>
            <w:hideMark/>
          </w:tcPr>
          <w:p w14:paraId="3BE00FB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34</w:t>
            </w:r>
          </w:p>
        </w:tc>
        <w:tc>
          <w:tcPr>
            <w:tcW w:w="1399" w:type="dxa"/>
            <w:tcBorders>
              <w:top w:val="nil"/>
              <w:left w:val="nil"/>
              <w:bottom w:val="single" w:sz="4" w:space="0" w:color="5A5A5A"/>
              <w:right w:val="single" w:sz="4" w:space="0" w:color="5A5A5A"/>
            </w:tcBorders>
            <w:shd w:val="clear" w:color="auto" w:fill="auto"/>
            <w:vAlign w:val="center"/>
            <w:hideMark/>
          </w:tcPr>
          <w:p w14:paraId="1DC6CCD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w:t>
            </w:r>
          </w:p>
        </w:tc>
        <w:tc>
          <w:tcPr>
            <w:tcW w:w="1260" w:type="dxa"/>
            <w:tcBorders>
              <w:top w:val="nil"/>
              <w:left w:val="nil"/>
              <w:bottom w:val="single" w:sz="4" w:space="0" w:color="5A5A5A"/>
              <w:right w:val="single" w:sz="4" w:space="0" w:color="5A5A5A"/>
            </w:tcBorders>
            <w:shd w:val="clear" w:color="auto" w:fill="auto"/>
            <w:vAlign w:val="center"/>
            <w:hideMark/>
          </w:tcPr>
          <w:p w14:paraId="6EAD689C"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Cohort </w:t>
            </w:r>
          </w:p>
        </w:tc>
        <w:tc>
          <w:tcPr>
            <w:tcW w:w="1678" w:type="dxa"/>
            <w:tcBorders>
              <w:top w:val="nil"/>
              <w:left w:val="nil"/>
              <w:bottom w:val="single" w:sz="4" w:space="0" w:color="5A5A5A"/>
              <w:right w:val="single" w:sz="4" w:space="0" w:color="5A5A5A"/>
            </w:tcBorders>
            <w:shd w:val="clear" w:color="auto" w:fill="auto"/>
            <w:vAlign w:val="center"/>
            <w:hideMark/>
          </w:tcPr>
          <w:p w14:paraId="0D93295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2 months after delivery of dentures</w:t>
            </w:r>
          </w:p>
        </w:tc>
        <w:tc>
          <w:tcPr>
            <w:tcW w:w="1819" w:type="dxa"/>
            <w:tcBorders>
              <w:top w:val="nil"/>
              <w:left w:val="nil"/>
              <w:bottom w:val="single" w:sz="4" w:space="0" w:color="5A5A5A"/>
              <w:right w:val="single" w:sz="4" w:space="0" w:color="5A5A5A"/>
            </w:tcBorders>
            <w:shd w:val="clear" w:color="auto" w:fill="auto"/>
            <w:vAlign w:val="center"/>
            <w:hideMark/>
          </w:tcPr>
          <w:p w14:paraId="61A52A58" w14:textId="1563E9B5"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Questionnaire based on OHIP</w:t>
            </w:r>
          </w:p>
        </w:tc>
        <w:tc>
          <w:tcPr>
            <w:tcW w:w="1577" w:type="dxa"/>
            <w:tcBorders>
              <w:top w:val="nil"/>
              <w:left w:val="nil"/>
              <w:bottom w:val="single" w:sz="4" w:space="0" w:color="5A5A5A"/>
              <w:right w:val="single" w:sz="4" w:space="0" w:color="5A5A5A"/>
            </w:tcBorders>
            <w:shd w:val="clear" w:color="auto" w:fill="auto"/>
            <w:vAlign w:val="center"/>
            <w:hideMark/>
          </w:tcPr>
          <w:p w14:paraId="18565FF7"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Comfort, </w:t>
            </w:r>
          </w:p>
          <w:p w14:paraId="44AC5315"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Aesthetics, ability to chew 8 foods types of varying textures, psychological limitations.</w:t>
            </w:r>
          </w:p>
        </w:tc>
        <w:tc>
          <w:tcPr>
            <w:tcW w:w="1261" w:type="dxa"/>
            <w:tcBorders>
              <w:top w:val="nil"/>
              <w:left w:val="nil"/>
              <w:bottom w:val="single" w:sz="4" w:space="0" w:color="5A5A5A"/>
              <w:right w:val="single" w:sz="4" w:space="0" w:color="5A5A5A"/>
            </w:tcBorders>
            <w:shd w:val="clear" w:color="auto" w:fill="auto"/>
            <w:vAlign w:val="center"/>
            <w:hideMark/>
          </w:tcPr>
          <w:p w14:paraId="21FC29FE"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89BD544" w14:textId="77777777" w:rsidTr="006B4681">
        <w:trPr>
          <w:gridAfter w:val="1"/>
          <w:wAfter w:w="14" w:type="dxa"/>
          <w:trHeight w:val="1969"/>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77AAC9F3"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8</w:t>
            </w:r>
          </w:p>
        </w:tc>
        <w:tc>
          <w:tcPr>
            <w:tcW w:w="1943" w:type="dxa"/>
            <w:tcBorders>
              <w:top w:val="nil"/>
              <w:left w:val="nil"/>
              <w:bottom w:val="single" w:sz="4" w:space="0" w:color="5A5A5A"/>
              <w:right w:val="single" w:sz="4" w:space="0" w:color="5A5A5A"/>
            </w:tcBorders>
            <w:shd w:val="clear" w:color="auto" w:fill="auto"/>
            <w:vAlign w:val="center"/>
          </w:tcPr>
          <w:p w14:paraId="6E127579" w14:textId="702416ED" w:rsidR="00E56623" w:rsidRPr="00787196" w:rsidRDefault="00FE5527" w:rsidP="00B560B3">
            <w:pPr>
              <w:spacing w:before="0" w:after="0" w:line="240" w:lineRule="auto"/>
              <w:jc w:val="left"/>
              <w:rPr>
                <w:rFonts w:eastAsia="Times New Roman" w:cs="Arial"/>
                <w:color w:val="000000"/>
                <w:sz w:val="17"/>
                <w:szCs w:val="17"/>
                <w:lang w:val="de-DE"/>
              </w:rPr>
            </w:pPr>
            <w:r w:rsidRPr="00787196">
              <w:rPr>
                <w:rFonts w:eastAsia="Times New Roman" w:cs="Arial"/>
                <w:color w:val="000000"/>
                <w:sz w:val="17"/>
                <w:szCs w:val="17"/>
                <w:lang w:val="de-DE"/>
              </w:rPr>
              <w:t>AWAD,LOCKER, KORNER-BTENSKY,FEINE</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lang w:val="de-DE"/>
              </w:rPr>
              <w:instrText xml:space="preserve"> ADDIN EN.CITE &lt;EndNote&gt;&lt;Cite ExcludeAuth="1"&gt;&lt;Author&gt;Awad&lt;/Author&gt;&lt;Year&gt;2000&lt;/Year&gt;&lt;RecNum&gt;0&lt;/RecNum&gt;&lt;IDText&gt;Measuring the effect of intra-oral implant rehabilitation on health-related quality of life in a randomized controlled clinical trial&lt;/IDText&gt;&lt;DisplayText&gt;(2000)&lt;/DisplayText&gt;&lt;record&gt;&lt;foreign-keys&gt;&lt;key app="EN" db-id="pwzfwxrxk0afwbexa5ex59su9rafdwweesrv"&gt;24&lt;/key&gt;&lt;/foreign-keys&gt;&lt;dates&gt;&lt;pub-dates&gt;&lt;date&gt;Sep&lt;/date&gt;&lt;/pub-dates&gt;&lt;year&gt;2000&lt;/year&gt;&lt;/dates&gt;&lt;isbn&gt;0022-0345 (Print)&amp;#xD;0022-0345 (Linking)&lt;/isbn&gt;&lt;titles&gt;&lt;title&gt;Measuring the effect of intra-oral implant rehabilitation on health-related quality of life in a randomized controlled clinical trial&lt;/title&gt;&lt;secondary-title&gt;J Dent Res&lt;/secondary-title&gt;&lt;alt-title&gt;Journal of dental research&lt;/alt-title&gt;&lt;/titles&gt;&lt;pages&gt;1659-63&lt;/pages&gt;&lt;number&gt;9&lt;/number&gt;&lt;contributors&gt;&lt;authors&gt;&lt;author&gt;Awad, M. A.&lt;/author&gt;&lt;author&gt;Locker, D.&lt;/author&gt;&lt;author&gt;Korner-Bitensky, N.&lt;/author&gt;&lt;author&gt;Feine, J. S.&lt;/author&gt;&lt;/authors&gt;&lt;/contributors&gt;&lt;edition&gt;2000/10/07&lt;/edition&gt;&lt;language&gt;eng&lt;/language&gt;&lt;added-date format="utc"&gt;1352721534&lt;/added-date&gt;&lt;ref-type name="Journal Article"&gt;17&lt;/ref-type&gt;&lt;auth-address&gt;McGill University Faculty of Dentistry, Montreal, Quebec, Canada.&lt;/auth-address&gt;&lt;remote-database-provider&gt;NLM&lt;/remote-database-provider&gt;&lt;rec-number&gt;66&lt;/rec-number&gt;&lt;last-updated-date format="utc"&gt;1352739534&lt;/last-updated-date&gt;&lt;accession-num&gt;11023260&lt;/accession-num&gt;&lt;volume&gt;79&lt;/volume&gt;&lt;/record&gt;&lt;/Cite&gt;&lt;/EndNote&gt;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lang w:val="de-DE"/>
              </w:rPr>
              <w:t>(2000)</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5531891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of edentulous</w:t>
            </w:r>
          </w:p>
          <w:p w14:paraId="6864DAA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p w14:paraId="0024DAF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Implant-supported dentures</w:t>
            </w:r>
          </w:p>
        </w:tc>
        <w:tc>
          <w:tcPr>
            <w:tcW w:w="979" w:type="dxa"/>
            <w:tcBorders>
              <w:top w:val="nil"/>
              <w:left w:val="nil"/>
              <w:bottom w:val="single" w:sz="4" w:space="0" w:color="5A5A5A"/>
              <w:right w:val="single" w:sz="4" w:space="0" w:color="5A5A5A"/>
            </w:tcBorders>
            <w:shd w:val="clear" w:color="auto" w:fill="auto"/>
            <w:vAlign w:val="center"/>
          </w:tcPr>
          <w:p w14:paraId="20F1D6B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102</w:t>
            </w:r>
          </w:p>
        </w:tc>
        <w:tc>
          <w:tcPr>
            <w:tcW w:w="1399" w:type="dxa"/>
            <w:tcBorders>
              <w:top w:val="nil"/>
              <w:left w:val="nil"/>
              <w:bottom w:val="single" w:sz="4" w:space="0" w:color="5A5A5A"/>
              <w:right w:val="single" w:sz="4" w:space="0" w:color="5A5A5A"/>
            </w:tcBorders>
            <w:shd w:val="clear" w:color="auto" w:fill="auto"/>
            <w:vAlign w:val="center"/>
          </w:tcPr>
          <w:p w14:paraId="78C78DF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33-65</w:t>
            </w:r>
          </w:p>
        </w:tc>
        <w:tc>
          <w:tcPr>
            <w:tcW w:w="1260" w:type="dxa"/>
            <w:tcBorders>
              <w:top w:val="nil"/>
              <w:left w:val="nil"/>
              <w:bottom w:val="single" w:sz="4" w:space="0" w:color="5A5A5A"/>
              <w:right w:val="single" w:sz="4" w:space="0" w:color="5A5A5A"/>
            </w:tcBorders>
            <w:shd w:val="clear" w:color="auto" w:fill="auto"/>
            <w:vAlign w:val="center"/>
          </w:tcPr>
          <w:p w14:paraId="1A9E1047"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Randomised controlled trial</w:t>
            </w:r>
          </w:p>
        </w:tc>
        <w:tc>
          <w:tcPr>
            <w:tcW w:w="1678" w:type="dxa"/>
            <w:tcBorders>
              <w:top w:val="nil"/>
              <w:left w:val="nil"/>
              <w:bottom w:val="single" w:sz="4" w:space="0" w:color="5A5A5A"/>
              <w:right w:val="single" w:sz="4" w:space="0" w:color="5A5A5A"/>
            </w:tcBorders>
            <w:shd w:val="clear" w:color="auto" w:fill="auto"/>
            <w:vAlign w:val="center"/>
          </w:tcPr>
          <w:p w14:paraId="3CE33BA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Pre-treatment and 2 months post insertion</w:t>
            </w:r>
          </w:p>
        </w:tc>
        <w:tc>
          <w:tcPr>
            <w:tcW w:w="1819" w:type="dxa"/>
            <w:tcBorders>
              <w:top w:val="nil"/>
              <w:left w:val="nil"/>
              <w:bottom w:val="single" w:sz="4" w:space="0" w:color="5A5A5A"/>
              <w:right w:val="single" w:sz="4" w:space="0" w:color="5A5A5A"/>
            </w:tcBorders>
            <w:shd w:val="clear" w:color="auto" w:fill="auto"/>
            <w:vAlign w:val="center"/>
          </w:tcPr>
          <w:p w14:paraId="7474308F" w14:textId="6C18F076" w:rsidR="00E56623" w:rsidRPr="00787196" w:rsidRDefault="00AF57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-49</w:t>
            </w:r>
          </w:p>
        </w:tc>
        <w:tc>
          <w:tcPr>
            <w:tcW w:w="1577" w:type="dxa"/>
            <w:tcBorders>
              <w:top w:val="nil"/>
              <w:left w:val="nil"/>
              <w:bottom w:val="single" w:sz="4" w:space="0" w:color="5A5A5A"/>
              <w:right w:val="single" w:sz="4" w:space="0" w:color="5A5A5A"/>
            </w:tcBorders>
            <w:shd w:val="clear" w:color="auto" w:fill="auto"/>
            <w:vAlign w:val="center"/>
          </w:tcPr>
          <w:p w14:paraId="2877D550"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Nil</w:t>
            </w:r>
          </w:p>
        </w:tc>
        <w:tc>
          <w:tcPr>
            <w:tcW w:w="1261" w:type="dxa"/>
            <w:tcBorders>
              <w:top w:val="nil"/>
              <w:left w:val="nil"/>
              <w:bottom w:val="single" w:sz="4" w:space="0" w:color="5A5A5A"/>
              <w:right w:val="single" w:sz="4" w:space="0" w:color="5A5A5A"/>
            </w:tcBorders>
            <w:shd w:val="clear" w:color="auto" w:fill="auto"/>
            <w:vAlign w:val="center"/>
          </w:tcPr>
          <w:p w14:paraId="183F1F2E"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253CC013" w14:textId="77777777" w:rsidTr="002C4FCD">
        <w:trPr>
          <w:gridAfter w:val="1"/>
          <w:wAfter w:w="14" w:type="dxa"/>
          <w:trHeight w:val="1447"/>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1D517C54"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9</w:t>
            </w:r>
          </w:p>
        </w:tc>
        <w:tc>
          <w:tcPr>
            <w:tcW w:w="1943" w:type="dxa"/>
            <w:tcBorders>
              <w:top w:val="nil"/>
              <w:left w:val="nil"/>
              <w:bottom w:val="single" w:sz="4" w:space="0" w:color="5A5A5A"/>
              <w:right w:val="single" w:sz="4" w:space="0" w:color="5A5A5A"/>
            </w:tcBorders>
            <w:shd w:val="clear" w:color="auto" w:fill="auto"/>
            <w:vAlign w:val="center"/>
            <w:hideMark/>
          </w:tcPr>
          <w:p w14:paraId="5A1B6833" w14:textId="1298EC00"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AWAD,LUND,SHAPIRO,LOCKER,KLEMETTI,CHEHADE,SAVARD AND FEINE</w:t>
            </w:r>
            <w:r w:rsidR="007D6B7F" w:rsidRPr="00787196">
              <w:rPr>
                <w:rFonts w:eastAsia="Times New Roman" w:cs="Arial"/>
                <w:color w:val="000000"/>
                <w:sz w:val="17"/>
                <w:szCs w:val="17"/>
              </w:rPr>
              <w:fldChar w:fldCharType="begin">
                <w:fldData xml:space="preserve">PEVuZE5vdGU+PENpdGUgRXhjbHVkZUF1dGg9IjEiPjxBdXRob3I+QXdhZDwvQXV0aG9yPjxZZWFy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==
</w:fldData>
              </w:fldChar>
            </w:r>
            <w:r w:rsidR="00223957" w:rsidRPr="00787196">
              <w:rPr>
                <w:rFonts w:eastAsia="Times New Roman" w:cs="Arial"/>
                <w:color w:val="000000"/>
                <w:sz w:val="17"/>
                <w:szCs w:val="17"/>
              </w:rPr>
              <w:instrText xml:space="preserve"> ADDIN EN.CITE </w:instrText>
            </w:r>
            <w:r w:rsidR="00223957" w:rsidRPr="00787196">
              <w:rPr>
                <w:rFonts w:eastAsia="Times New Roman" w:cs="Arial"/>
                <w:color w:val="000000"/>
                <w:sz w:val="17"/>
                <w:szCs w:val="17"/>
              </w:rPr>
              <w:fldChar w:fldCharType="begin">
                <w:fldData xml:space="preserve">PEVuZE5vdGU+PENpdGUgRXhjbHVkZUF1dGg9IjEiPjxBdXRob3I+QXdhZDwvQXV0aG9yPjxZZWFy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==
</w:fldData>
              </w:fldChar>
            </w:r>
            <w:r w:rsidR="00223957" w:rsidRPr="00787196">
              <w:rPr>
                <w:rFonts w:eastAsia="Times New Roman" w:cs="Arial"/>
                <w:color w:val="000000"/>
                <w:sz w:val="17"/>
                <w:szCs w:val="17"/>
              </w:rPr>
              <w:instrText xml:space="preserve"> ADDIN EN.CITE.DATA </w:instrText>
            </w:r>
            <w:r w:rsidR="00223957" w:rsidRPr="00787196">
              <w:rPr>
                <w:rFonts w:eastAsia="Times New Roman" w:cs="Arial"/>
                <w:color w:val="000000"/>
                <w:sz w:val="17"/>
                <w:szCs w:val="17"/>
              </w:rPr>
            </w:r>
            <w:r w:rsidR="00223957" w:rsidRPr="00787196">
              <w:rPr>
                <w:rFonts w:eastAsia="Times New Roman" w:cs="Arial"/>
                <w:color w:val="000000"/>
                <w:sz w:val="17"/>
                <w:szCs w:val="17"/>
              </w:rPr>
              <w:fldChar w:fldCharType="end"/>
            </w:r>
            <w:r w:rsidR="007D6B7F" w:rsidRPr="00787196">
              <w:rPr>
                <w:rFonts w:eastAsia="Times New Roman" w:cs="Arial"/>
                <w:color w:val="000000"/>
                <w:sz w:val="17"/>
                <w:szCs w:val="17"/>
              </w:rPr>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(2003)</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6879438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2 groups (Maxillary conventional dentures) with </w:t>
            </w:r>
          </w:p>
          <w:p w14:paraId="0F201AB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Mandibular conventional dentures </w:t>
            </w:r>
          </w:p>
          <w:p w14:paraId="5DAE7AD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Mandibular over dentures </w:t>
            </w:r>
          </w:p>
          <w:p w14:paraId="09AB23BC"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hideMark/>
          </w:tcPr>
          <w:p w14:paraId="05869B6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w:t>
            </w:r>
          </w:p>
        </w:tc>
        <w:tc>
          <w:tcPr>
            <w:tcW w:w="1399" w:type="dxa"/>
            <w:tcBorders>
              <w:top w:val="nil"/>
              <w:left w:val="nil"/>
              <w:bottom w:val="single" w:sz="4" w:space="0" w:color="5A5A5A"/>
              <w:right w:val="single" w:sz="4" w:space="0" w:color="5A5A5A"/>
            </w:tcBorders>
            <w:shd w:val="clear" w:color="auto" w:fill="auto"/>
            <w:vAlign w:val="center"/>
            <w:hideMark/>
          </w:tcPr>
          <w:p w14:paraId="1805339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69.3 male (2.8)</w:t>
            </w:r>
          </w:p>
          <w:p w14:paraId="1A98C18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69.1 female (3.2)</w:t>
            </w:r>
          </w:p>
        </w:tc>
        <w:tc>
          <w:tcPr>
            <w:tcW w:w="1260" w:type="dxa"/>
            <w:tcBorders>
              <w:top w:val="nil"/>
              <w:left w:val="nil"/>
              <w:bottom w:val="single" w:sz="4" w:space="0" w:color="5A5A5A"/>
              <w:right w:val="single" w:sz="4" w:space="0" w:color="5A5A5A"/>
            </w:tcBorders>
            <w:shd w:val="clear" w:color="auto" w:fill="auto"/>
            <w:vAlign w:val="center"/>
            <w:hideMark/>
          </w:tcPr>
          <w:p w14:paraId="71464A09"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Randomised controlled trial</w:t>
            </w:r>
          </w:p>
        </w:tc>
        <w:tc>
          <w:tcPr>
            <w:tcW w:w="1678" w:type="dxa"/>
            <w:tcBorders>
              <w:top w:val="nil"/>
              <w:left w:val="nil"/>
              <w:bottom w:val="single" w:sz="4" w:space="0" w:color="5A5A5A"/>
              <w:right w:val="single" w:sz="4" w:space="0" w:color="5A5A5A"/>
            </w:tcBorders>
            <w:shd w:val="clear" w:color="auto" w:fill="auto"/>
            <w:vAlign w:val="center"/>
            <w:hideMark/>
          </w:tcPr>
          <w:p w14:paraId="3093393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Pre-treatment and 2 months post insertion</w:t>
            </w:r>
          </w:p>
        </w:tc>
        <w:tc>
          <w:tcPr>
            <w:tcW w:w="1819" w:type="dxa"/>
            <w:tcBorders>
              <w:top w:val="nil"/>
              <w:left w:val="nil"/>
              <w:bottom w:val="single" w:sz="4" w:space="0" w:color="5A5A5A"/>
              <w:right w:val="single" w:sz="4" w:space="0" w:color="5A5A5A"/>
            </w:tcBorders>
            <w:shd w:val="clear" w:color="auto" w:fill="auto"/>
            <w:vAlign w:val="center"/>
            <w:hideMark/>
          </w:tcPr>
          <w:p w14:paraId="1B072696" w14:textId="3509911B"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AF5751" w:rsidRPr="00787196">
              <w:rPr>
                <w:rFonts w:eastAsia="Times New Roman" w:cs="Arial"/>
                <w:color w:val="000000"/>
                <w:sz w:val="17"/>
                <w:szCs w:val="17"/>
              </w:rPr>
              <w:t xml:space="preserve"> -49 </w:t>
            </w:r>
            <w:r w:rsidR="004D0EC8" w:rsidRPr="00787196">
              <w:rPr>
                <w:rFonts w:eastAsia="Times New Roman" w:cs="Arial"/>
                <w:color w:val="000000"/>
                <w:sz w:val="17"/>
                <w:szCs w:val="17"/>
              </w:rPr>
              <w:t>, OHIP EDENT</w:t>
            </w:r>
          </w:p>
        </w:tc>
        <w:tc>
          <w:tcPr>
            <w:tcW w:w="1577" w:type="dxa"/>
            <w:tcBorders>
              <w:top w:val="nil"/>
              <w:left w:val="nil"/>
              <w:bottom w:val="single" w:sz="4" w:space="0" w:color="5A5A5A"/>
              <w:right w:val="single" w:sz="4" w:space="0" w:color="5A5A5A"/>
            </w:tcBorders>
            <w:shd w:val="clear" w:color="auto" w:fill="auto"/>
            <w:vAlign w:val="center"/>
            <w:hideMark/>
          </w:tcPr>
          <w:p w14:paraId="7C600B06" w14:textId="365200D2" w:rsidR="00E56623" w:rsidRPr="00787196" w:rsidRDefault="004D0EC8"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VAS scale on </w:t>
            </w:r>
            <w:r w:rsidR="00E56623" w:rsidRPr="00787196">
              <w:rPr>
                <w:rFonts w:eastAsia="Times New Roman" w:cs="Arial"/>
                <w:color w:val="000000"/>
                <w:sz w:val="17"/>
                <w:szCs w:val="17"/>
              </w:rPr>
              <w:t>Comfort,</w:t>
            </w:r>
          </w:p>
          <w:p w14:paraId="0B93F0C6"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Stability (denture), ability to chew (6 type of food), clean, speak</w:t>
            </w:r>
          </w:p>
        </w:tc>
        <w:tc>
          <w:tcPr>
            <w:tcW w:w="1261" w:type="dxa"/>
            <w:tcBorders>
              <w:top w:val="nil"/>
              <w:left w:val="nil"/>
              <w:bottom w:val="single" w:sz="4" w:space="0" w:color="5A5A5A"/>
              <w:right w:val="single" w:sz="4" w:space="0" w:color="5A5A5A"/>
            </w:tcBorders>
            <w:shd w:val="clear" w:color="auto" w:fill="auto"/>
            <w:vAlign w:val="center"/>
            <w:hideMark/>
          </w:tcPr>
          <w:p w14:paraId="45889EB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195AE20" w14:textId="77777777" w:rsidTr="002C4FCD">
        <w:trPr>
          <w:gridAfter w:val="1"/>
          <w:wAfter w:w="14" w:type="dxa"/>
          <w:trHeight w:val="177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26A14F3A"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10</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15693200" w14:textId="5B94DBE4" w:rsidR="00E56623" w:rsidRPr="00787196" w:rsidRDefault="00FE5527" w:rsidP="00B560B3">
            <w:pPr>
              <w:spacing w:before="0" w:after="0" w:line="240" w:lineRule="auto"/>
              <w:jc w:val="left"/>
              <w:rPr>
                <w:rFonts w:eastAsia="Times New Roman" w:cs="Arial"/>
                <w:color w:val="000000"/>
                <w:sz w:val="17"/>
                <w:szCs w:val="17"/>
                <w:lang w:val="pl-PL"/>
              </w:rPr>
            </w:pPr>
            <w:r w:rsidRPr="00787196">
              <w:rPr>
                <w:rFonts w:eastAsia="Times New Roman" w:cs="Arial"/>
                <w:color w:val="000000"/>
                <w:sz w:val="17"/>
                <w:szCs w:val="17"/>
                <w:lang w:val="pl-PL"/>
              </w:rPr>
              <w:t xml:space="preserve">BAE,KIM,PAIK AND KIM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lang w:val="pl-PL"/>
              </w:rPr>
              <w:instrText xml:space="preserve"> ADDIN EN.CITE &lt;EndNote&gt;&lt;Cite ExcludeAuth="1"&gt;&lt;Author&gt;Bae&lt;/Author&gt;&lt;Year&gt;2006&lt;/Year&gt;&lt;RecNum&gt;0&lt;/RecNum&gt;&lt;IDText&gt;A comparison of oral health related quality of life between complete and partial removable denture-wearing older adults in Korea&lt;/IDText&gt;&lt;DisplayText&gt;(2006)&lt;/DisplayText&gt;&lt;record&gt;&lt;dates&gt;&lt;pub-dates&gt;&lt;date&gt;May&lt;/date&gt;&lt;/pub-dates&gt;&lt;year&gt;2006&lt;/year&gt;&lt;/dates&gt;&lt;isbn&gt;0305-182X (Print)&amp;#xD;0305-182x&lt;/isbn&gt;&lt;titles&gt;&lt;title&gt;A comparison of oral health related quality of life between complete and partial removable denture-wearing older adults in Korea&lt;/title&gt;&lt;secondary-title&gt;J Oral Rehabil&lt;/secondary-title&gt;&lt;alt-title&gt;Journal of oral rehabilitation&lt;/alt-title&gt;&lt;/titles&gt;&lt;pages&gt;317-22&lt;/pages&gt;&lt;number&gt;5&lt;/number&gt;&lt;contributors&gt;&lt;authors&gt;&lt;author&gt;Bae, K. H.&lt;/author&gt;&lt;author&gt;Kim, C.&lt;/author&gt;&lt;author&gt;Paik, D. I.&lt;/author&gt;&lt;author&gt;Kim, J. B.&lt;/author&gt;&lt;/authors&gt;&lt;/contributors&gt;&lt;edition&gt;2006/04/25&lt;/edition&gt;&lt;language&gt;eng&lt;/language&gt;&lt;added-date format="utc"&gt;1374065288&lt;/added-date&gt;&lt;ref-type name="Journal Article"&gt;17&lt;/ref-type&gt;&lt;auth-address&gt;Department of Preventive and Community Dentistry, Dental College, Pusan National University, Busan, South Korea.&lt;/auth-address&gt;&lt;remote-database-provider&gt;Nlm&lt;/remote-database-provider&gt;&lt;rec-number&gt;1000&lt;/rec-number&gt;&lt;last-updated-date format="utc"&gt;1374065288&lt;/last-updated-date&gt;&lt;accession-num&gt;16629888&lt;/accession-num&gt;&lt;electronic-resource-num&gt;10.1111/j.1365-2842.2005.01565.x&lt;/electronic-resource-num&gt;&lt;volume&gt;33&lt;/volume&gt;&lt;/record&gt;&lt;/Cite&gt;&lt;/EndNote&gt;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lang w:val="pl-PL"/>
              </w:rPr>
              <w:t>(2006)</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7FAFD9E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(denture wearers)</w:t>
            </w:r>
          </w:p>
          <w:p w14:paraId="1846693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Complete denture</w:t>
            </w:r>
          </w:p>
          <w:p w14:paraId="603EA90F"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Partial denture</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5EE894F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445</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1BA8A75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55-64 (29.7%)</w:t>
            </w:r>
          </w:p>
          <w:p w14:paraId="3029ABD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65-74(46.5%)</w:t>
            </w:r>
          </w:p>
          <w:p w14:paraId="49B2707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&gt;75 (23.8%)</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5D9217EB" w14:textId="77777777" w:rsidR="00E56623" w:rsidRPr="00787196" w:rsidRDefault="001B4FE7"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Cross-sectional telephone</w:t>
            </w:r>
          </w:p>
          <w:p w14:paraId="48AC682A"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S</w:t>
            </w:r>
            <w:r w:rsidR="00E56623" w:rsidRPr="00787196">
              <w:rPr>
                <w:rFonts w:eastAsia="Times New Roman" w:cs="Arial"/>
                <w:color w:val="000000"/>
                <w:sz w:val="17"/>
                <w:szCs w:val="17"/>
              </w:rPr>
              <w:t>urvey</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1924EC4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38890B2D" w14:textId="7F720377"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 xml:space="preserve">OHIP- </w:t>
            </w:r>
            <w:r w:rsidR="00AF5751" w:rsidRPr="00787196">
              <w:rPr>
                <w:rFonts w:eastAsia="Times New Roman" w:cs="Arial"/>
                <w:color w:val="000000"/>
                <w:sz w:val="17"/>
                <w:szCs w:val="17"/>
              </w:rPr>
              <w:t>49 (</w:t>
            </w:r>
            <w:r w:rsidRPr="00787196">
              <w:rPr>
                <w:rFonts w:eastAsia="Times New Roman" w:cs="Arial"/>
                <w:color w:val="000000"/>
                <w:sz w:val="17"/>
                <w:szCs w:val="17"/>
              </w:rPr>
              <w:t>Korean version</w:t>
            </w:r>
            <w:r w:rsidR="00AF5751" w:rsidRPr="00787196">
              <w:rPr>
                <w:rFonts w:eastAsia="Times New Roman" w:cs="Arial"/>
                <w:color w:val="000000"/>
                <w:sz w:val="17"/>
                <w:szCs w:val="17"/>
              </w:rPr>
              <w:t>)</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7C7E9DB4"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Status of the removable denture</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2074F2D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7562EFDD" w14:textId="77777777" w:rsidTr="006B4681">
        <w:trPr>
          <w:gridAfter w:val="1"/>
          <w:wAfter w:w="14" w:type="dxa"/>
          <w:trHeight w:val="591"/>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2645D10D"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11</w:t>
            </w:r>
          </w:p>
        </w:tc>
        <w:tc>
          <w:tcPr>
            <w:tcW w:w="1943" w:type="dxa"/>
            <w:tcBorders>
              <w:top w:val="nil"/>
              <w:left w:val="nil"/>
              <w:bottom w:val="single" w:sz="4" w:space="0" w:color="5A5A5A"/>
              <w:right w:val="single" w:sz="4" w:space="0" w:color="5A5A5A"/>
            </w:tcBorders>
            <w:shd w:val="clear" w:color="auto" w:fill="auto"/>
            <w:vAlign w:val="center"/>
            <w:hideMark/>
          </w:tcPr>
          <w:p w14:paraId="5F71A7E1" w14:textId="10B1374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BARAN AND NALCACI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ExcludeAuth="1"&gt;&lt;Author&gt;Baran&lt;/Author&gt;&lt;Year&gt;2011&lt;/Year&gt;&lt;RecNum&gt;0&lt;/RecNum&gt;&lt;IDText&gt;Self-reported problems before and after prosthodontic treatments according to newly created Turkish version of oral health impact profile&lt;/IDText&gt;&lt;DisplayText&gt;(2011)&lt;/DisplayText&gt;&lt;record&gt;&lt;dates&gt;&lt;pub-dates&gt;&lt;date&gt;Sep-Oct&lt;/date&gt;&lt;/pub-dates&gt;&lt;year&gt;2011&lt;/year&gt;&lt;/dates&gt;&lt;isbn&gt;0167-4943&lt;/isbn&gt;&lt;titles&gt;&lt;title&gt;Self-reported problems before and after prosthodontic treatments according to newly created Turkish version of oral health impact profile&lt;/title&gt;&lt;secondary-title&gt;Arch Gerontol Geriatr&lt;/secondary-title&gt;&lt;alt-title&gt;Archives of gerontology and geriatrics&lt;/alt-title&gt;&lt;/titles&gt;&lt;pages&gt;e99-105&lt;/pages&gt;&lt;number&gt;2&lt;/number&gt;&lt;contributors&gt;&lt;authors&gt;&lt;author&gt;Baran, I.&lt;/author&gt;&lt;author&gt;Nalcaci, R.&lt;/author&gt;&lt;/authors&gt;&lt;/contributors&gt;&lt;edition&gt;2010/08/14&lt;/edition&gt;&lt;language&gt;eng&lt;/language&gt;&lt;added-date format="utc"&gt;1374040090&lt;/added-date&gt;&lt;ref-type name="Journal Article"&gt;17&lt;/ref-type&gt;&lt;auth-address&gt;Department of Prosthodontics, Faculty of Dentistry, University of Kirikkale, 71100 Kirikkale, Turkey. ilgiee@hotmail.com&lt;/auth-address&gt;&lt;remote-database-provider&gt;Nlm&lt;/remote-database-provider&gt;&lt;rec-number&gt;907&lt;/rec-number&gt;&lt;last-updated-date format="utc"&gt;1374040090&lt;/last-updated-date&gt;&lt;accession-num&gt;20705349&lt;/accession-num&gt;&lt;electronic-resource-num&gt;10.1016/j.archger.2010.07.002&lt;/electronic-resource-num&gt;&lt;volume&gt;53&lt;/volume&gt;&lt;/record&gt;&lt;/Cite&gt;&lt;/EndNote&gt;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(2011)</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2642398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Patients seeking removable partial denture</w:t>
            </w:r>
          </w:p>
        </w:tc>
        <w:tc>
          <w:tcPr>
            <w:tcW w:w="979" w:type="dxa"/>
            <w:tcBorders>
              <w:top w:val="nil"/>
              <w:left w:val="nil"/>
              <w:bottom w:val="single" w:sz="4" w:space="0" w:color="5A5A5A"/>
              <w:right w:val="single" w:sz="4" w:space="0" w:color="5A5A5A"/>
            </w:tcBorders>
            <w:shd w:val="clear" w:color="auto" w:fill="auto"/>
            <w:vAlign w:val="center"/>
            <w:hideMark/>
          </w:tcPr>
          <w:p w14:paraId="55A4F0B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136</w:t>
            </w:r>
          </w:p>
        </w:tc>
        <w:tc>
          <w:tcPr>
            <w:tcW w:w="1399" w:type="dxa"/>
            <w:tcBorders>
              <w:top w:val="nil"/>
              <w:left w:val="nil"/>
              <w:bottom w:val="single" w:sz="4" w:space="0" w:color="5A5A5A"/>
              <w:right w:val="single" w:sz="4" w:space="0" w:color="5A5A5A"/>
            </w:tcBorders>
            <w:shd w:val="clear" w:color="auto" w:fill="auto"/>
            <w:vAlign w:val="center"/>
            <w:hideMark/>
          </w:tcPr>
          <w:p w14:paraId="33B46B9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62.47 (7.36)</w:t>
            </w:r>
          </w:p>
        </w:tc>
        <w:tc>
          <w:tcPr>
            <w:tcW w:w="1260" w:type="dxa"/>
            <w:tcBorders>
              <w:top w:val="nil"/>
              <w:left w:val="nil"/>
              <w:bottom w:val="single" w:sz="4" w:space="0" w:color="5A5A5A"/>
              <w:right w:val="single" w:sz="4" w:space="0" w:color="5A5A5A"/>
            </w:tcBorders>
            <w:shd w:val="clear" w:color="auto" w:fill="auto"/>
            <w:vAlign w:val="center"/>
            <w:hideMark/>
          </w:tcPr>
          <w:p w14:paraId="2B8F322E"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2F84D16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1 year follow-up</w:t>
            </w:r>
          </w:p>
        </w:tc>
        <w:tc>
          <w:tcPr>
            <w:tcW w:w="1819" w:type="dxa"/>
            <w:tcBorders>
              <w:top w:val="nil"/>
              <w:left w:val="nil"/>
              <w:bottom w:val="single" w:sz="4" w:space="0" w:color="5A5A5A"/>
              <w:right w:val="single" w:sz="4" w:space="0" w:color="5A5A5A"/>
            </w:tcBorders>
            <w:shd w:val="clear" w:color="auto" w:fill="auto"/>
            <w:vAlign w:val="center"/>
            <w:hideMark/>
          </w:tcPr>
          <w:p w14:paraId="156202DC" w14:textId="4B10962B" w:rsidR="00E56623" w:rsidRPr="00787196" w:rsidRDefault="004D0EC8"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E56623" w:rsidRPr="00787196">
              <w:rPr>
                <w:rFonts w:eastAsia="Times New Roman" w:cs="Arial"/>
                <w:color w:val="000000"/>
                <w:sz w:val="17"/>
                <w:szCs w:val="17"/>
              </w:rPr>
              <w:t>-</w:t>
            </w:r>
            <w:r w:rsidR="00AF5751" w:rsidRPr="00787196">
              <w:rPr>
                <w:rFonts w:eastAsia="Times New Roman" w:cs="Arial"/>
                <w:color w:val="000000"/>
                <w:sz w:val="17"/>
                <w:szCs w:val="17"/>
              </w:rPr>
              <w:t xml:space="preserve"> 49</w:t>
            </w:r>
            <w:r w:rsidR="00E56623" w:rsidRPr="00787196">
              <w:rPr>
                <w:rFonts w:eastAsia="Times New Roman" w:cs="Arial"/>
                <w:color w:val="000000"/>
                <w:sz w:val="17"/>
                <w:szCs w:val="17"/>
              </w:rPr>
              <w:t xml:space="preserve"> </w:t>
            </w:r>
            <w:r w:rsidR="00AF5751" w:rsidRPr="00787196">
              <w:rPr>
                <w:rFonts w:eastAsia="Times New Roman" w:cs="Arial"/>
                <w:color w:val="000000"/>
                <w:sz w:val="17"/>
                <w:szCs w:val="17"/>
              </w:rPr>
              <w:t>(</w:t>
            </w:r>
            <w:r w:rsidR="00E56623" w:rsidRPr="00787196">
              <w:rPr>
                <w:rFonts w:eastAsia="Times New Roman" w:cs="Arial"/>
                <w:color w:val="000000"/>
                <w:sz w:val="17"/>
                <w:szCs w:val="17"/>
              </w:rPr>
              <w:t>Turkish version</w:t>
            </w:r>
            <w:r w:rsidR="00AF5751" w:rsidRPr="00787196">
              <w:rPr>
                <w:rFonts w:eastAsia="Times New Roman" w:cs="Arial"/>
                <w:color w:val="000000"/>
                <w:sz w:val="17"/>
                <w:szCs w:val="17"/>
              </w:rPr>
              <w:t>)</w:t>
            </w:r>
          </w:p>
        </w:tc>
        <w:tc>
          <w:tcPr>
            <w:tcW w:w="1577" w:type="dxa"/>
            <w:tcBorders>
              <w:top w:val="nil"/>
              <w:left w:val="nil"/>
              <w:bottom w:val="single" w:sz="4" w:space="0" w:color="5A5A5A"/>
              <w:right w:val="single" w:sz="4" w:space="0" w:color="5A5A5A"/>
            </w:tcBorders>
            <w:shd w:val="clear" w:color="auto" w:fill="auto"/>
            <w:vAlign w:val="center"/>
            <w:hideMark/>
          </w:tcPr>
          <w:p w14:paraId="6C146C5D" w14:textId="7AC819A6"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Denture status </w:t>
            </w:r>
          </w:p>
        </w:tc>
        <w:tc>
          <w:tcPr>
            <w:tcW w:w="1261" w:type="dxa"/>
            <w:tcBorders>
              <w:top w:val="nil"/>
              <w:left w:val="nil"/>
              <w:bottom w:val="single" w:sz="4" w:space="0" w:color="5A5A5A"/>
              <w:right w:val="single" w:sz="4" w:space="0" w:color="5A5A5A"/>
            </w:tcBorders>
            <w:shd w:val="clear" w:color="auto" w:fill="auto"/>
            <w:vAlign w:val="center"/>
            <w:hideMark/>
          </w:tcPr>
          <w:p w14:paraId="668E1FB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4F816793" w14:textId="77777777" w:rsidTr="006B4681">
        <w:trPr>
          <w:gridAfter w:val="1"/>
          <w:wAfter w:w="14" w:type="dxa"/>
          <w:trHeight w:val="788"/>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6F98E951"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12</w:t>
            </w:r>
          </w:p>
        </w:tc>
        <w:tc>
          <w:tcPr>
            <w:tcW w:w="1943" w:type="dxa"/>
            <w:tcBorders>
              <w:top w:val="nil"/>
              <w:left w:val="nil"/>
              <w:bottom w:val="single" w:sz="4" w:space="0" w:color="5A5A5A"/>
              <w:right w:val="single" w:sz="4" w:space="0" w:color="5A5A5A"/>
            </w:tcBorders>
            <w:shd w:val="clear" w:color="auto" w:fill="auto"/>
            <w:vAlign w:val="center"/>
          </w:tcPr>
          <w:p w14:paraId="583BC854" w14:textId="66A2A4B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ELLIS, PELEKIS AND THOMASON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ExcludeAuth="1"&gt;&lt;Author&gt;Ellis&lt;/Author&gt;&lt;Year&gt;2007&lt;/Year&gt;&lt;RecNum&gt;0&lt;/RecNum&gt;&lt;IDText&gt;Conventional rehabilitation of edentulous patients: the impact on oral health-related quality of life and patient satisfaction&lt;/IDText&gt;&lt;DisplayText&gt;(2007)&lt;/DisplayText&gt;&lt;record&gt;&lt;dates&gt;&lt;pub-dates&gt;&lt;date&gt;Jan-Feb&lt;/date&gt;&lt;/pub-dates&gt;&lt;year&gt;2007&lt;/year&gt;&lt;/dates&gt;&lt;isbn&gt;1059-941X (Print)&amp;#xD;1059-941x&lt;/isbn&gt;&lt;titles&gt;&lt;title&gt;Conventional rehabilitation of edentulous patients: the impact on oral health-related quality of life and patient satisfaction&lt;/title&gt;&lt;secondary-title&gt;J Prosthodont&lt;/secondary-title&gt;&lt;alt-title&gt;Journal of prosthodontics : official journal of the American College of Prosthodontists&lt;/alt-title&gt;&lt;/titles&gt;&lt;pages&gt;37-42&lt;/pages&gt;&lt;number&gt;1&lt;/number&gt;&lt;contributors&gt;&lt;authors&gt;&lt;author&gt;Ellis, J. S.&lt;/author&gt;&lt;author&gt;Pelekis, N. D.&lt;/author&gt;&lt;author&gt;Thomason, J. M.&lt;/author&gt;&lt;/authors&gt;&lt;/contributors&gt;&lt;edition&gt;2007/01/25&lt;/edition&gt;&lt;language&gt;eng&lt;/language&gt;&lt;added-date format="utc"&gt;1374065287&lt;/added-date&gt;&lt;ref-type name="Journal Article"&gt;17&lt;/ref-type&gt;&lt;auth-address&gt;School of Dental Sciences, University of Newcastle upon Tyne, UK. j.s.ellis@ncl.ac.uk&lt;/auth-address&gt;&lt;remote-database-provider&gt;Nlm&lt;/remote-database-provider&gt;&lt;rec-number&gt;990&lt;/rec-number&gt;&lt;last-updated-date format="utc"&gt;1374065287&lt;/last-updated-date&gt;&lt;accession-num&gt;17244306&lt;/accession-num&gt;&lt;electronic-resource-num&gt;10.1111/j.1532-849X.2006.00152.x&lt;/electronic-resource-num&gt;&lt;volume&gt;16&lt;/volume&gt;&lt;/record&gt;&lt;/Cite&gt;&lt;/EndNote&gt;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(2007)</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08811AC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5BEC289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 group</w:t>
            </w:r>
          </w:p>
          <w:p w14:paraId="0DDE17D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Duplicate denture group</w:t>
            </w:r>
          </w:p>
          <w:p w14:paraId="1C44D3DE"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tcPr>
          <w:p w14:paraId="1780B9C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40</w:t>
            </w:r>
          </w:p>
        </w:tc>
        <w:tc>
          <w:tcPr>
            <w:tcW w:w="1399" w:type="dxa"/>
            <w:tcBorders>
              <w:top w:val="nil"/>
              <w:left w:val="nil"/>
              <w:bottom w:val="single" w:sz="4" w:space="0" w:color="5A5A5A"/>
              <w:right w:val="single" w:sz="4" w:space="0" w:color="5A5A5A"/>
            </w:tcBorders>
            <w:shd w:val="clear" w:color="auto" w:fill="auto"/>
            <w:vAlign w:val="center"/>
          </w:tcPr>
          <w:p w14:paraId="4064B24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74.2 (7.29)</w:t>
            </w:r>
          </w:p>
          <w:p w14:paraId="72175E1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73.1 (8.61)</w:t>
            </w:r>
          </w:p>
        </w:tc>
        <w:tc>
          <w:tcPr>
            <w:tcW w:w="1260" w:type="dxa"/>
            <w:tcBorders>
              <w:top w:val="nil"/>
              <w:left w:val="nil"/>
              <w:bottom w:val="single" w:sz="4" w:space="0" w:color="5A5A5A"/>
              <w:right w:val="single" w:sz="4" w:space="0" w:color="5A5A5A"/>
            </w:tcBorders>
            <w:shd w:val="clear" w:color="auto" w:fill="auto"/>
            <w:vAlign w:val="center"/>
            <w:hideMark/>
          </w:tcPr>
          <w:p w14:paraId="0580DF6A"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02564D8E" w14:textId="3E63299F" w:rsidR="0068146E"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w:t>
            </w:r>
            <w:r w:rsidR="008D6A8E" w:rsidRPr="00787196">
              <w:rPr>
                <w:rFonts w:eastAsia="Times New Roman" w:cs="Arial"/>
                <w:color w:val="000000"/>
                <w:sz w:val="17"/>
                <w:szCs w:val="17"/>
              </w:rPr>
              <w:t>1-month</w:t>
            </w:r>
            <w:r w:rsidRPr="00787196">
              <w:rPr>
                <w:rFonts w:eastAsia="Times New Roman" w:cs="Arial"/>
                <w:color w:val="000000"/>
                <w:sz w:val="17"/>
                <w:szCs w:val="17"/>
              </w:rPr>
              <w:t xml:space="preserve"> post treatment, </w:t>
            </w:r>
          </w:p>
          <w:p w14:paraId="3C079730" w14:textId="43E9FEC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12 months post-treatment</w:t>
            </w:r>
          </w:p>
        </w:tc>
        <w:tc>
          <w:tcPr>
            <w:tcW w:w="1819" w:type="dxa"/>
            <w:tcBorders>
              <w:top w:val="nil"/>
              <w:left w:val="nil"/>
              <w:bottom w:val="single" w:sz="4" w:space="0" w:color="5A5A5A"/>
              <w:right w:val="single" w:sz="4" w:space="0" w:color="5A5A5A"/>
            </w:tcBorders>
            <w:shd w:val="clear" w:color="auto" w:fill="auto"/>
            <w:vAlign w:val="center"/>
            <w:hideMark/>
          </w:tcPr>
          <w:p w14:paraId="0A3FD053" w14:textId="71F89253" w:rsidR="00E56623" w:rsidRPr="00787196" w:rsidRDefault="004D0EC8"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386CE2" w:rsidRPr="00787196">
              <w:rPr>
                <w:rFonts w:eastAsia="Times New Roman" w:cs="Arial"/>
                <w:color w:val="000000"/>
                <w:sz w:val="17"/>
                <w:szCs w:val="17"/>
              </w:rPr>
              <w:t>-49</w:t>
            </w:r>
          </w:p>
        </w:tc>
        <w:tc>
          <w:tcPr>
            <w:tcW w:w="1577" w:type="dxa"/>
            <w:tcBorders>
              <w:top w:val="nil"/>
              <w:left w:val="nil"/>
              <w:bottom w:val="single" w:sz="4" w:space="0" w:color="5A5A5A"/>
              <w:right w:val="single" w:sz="4" w:space="0" w:color="5A5A5A"/>
            </w:tcBorders>
            <w:shd w:val="clear" w:color="auto" w:fill="auto"/>
            <w:vAlign w:val="center"/>
            <w:hideMark/>
          </w:tcPr>
          <w:p w14:paraId="4D27C95B" w14:textId="77777777" w:rsidR="00E56623" w:rsidRPr="00787196" w:rsidRDefault="00E56623" w:rsidP="009962E6">
            <w:pPr>
              <w:spacing w:before="0" w:after="0" w:line="240" w:lineRule="auto"/>
              <w:ind w:left="193"/>
              <w:jc w:val="left"/>
              <w:rPr>
                <w:rFonts w:eastAsia="Times New Roman" w:cs="Arial"/>
                <w:color w:val="000000"/>
                <w:sz w:val="17"/>
                <w:szCs w:val="17"/>
              </w:rPr>
            </w:pPr>
          </w:p>
        </w:tc>
        <w:tc>
          <w:tcPr>
            <w:tcW w:w="1261" w:type="dxa"/>
            <w:tcBorders>
              <w:top w:val="nil"/>
              <w:left w:val="nil"/>
              <w:bottom w:val="single" w:sz="4" w:space="0" w:color="5A5A5A"/>
              <w:right w:val="single" w:sz="4" w:space="0" w:color="5A5A5A"/>
            </w:tcBorders>
            <w:shd w:val="clear" w:color="auto" w:fill="auto"/>
            <w:vAlign w:val="center"/>
            <w:hideMark/>
          </w:tcPr>
          <w:p w14:paraId="0A6493A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3F09021C"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326F608C"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13</w:t>
            </w:r>
          </w:p>
        </w:tc>
        <w:tc>
          <w:tcPr>
            <w:tcW w:w="1943" w:type="dxa"/>
            <w:tcBorders>
              <w:top w:val="nil"/>
              <w:left w:val="nil"/>
              <w:bottom w:val="single" w:sz="4" w:space="0" w:color="5A5A5A"/>
              <w:right w:val="single" w:sz="4" w:space="0" w:color="5A5A5A"/>
            </w:tcBorders>
            <w:shd w:val="clear" w:color="auto" w:fill="auto"/>
            <w:vAlign w:val="center"/>
            <w:hideMark/>
          </w:tcPr>
          <w:p w14:paraId="75D7B525" w14:textId="5CE2D99C"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EMAMI, ALLISON, GRANDMONT, ROMPRE AND FEINE </w:t>
            </w:r>
            <w:r w:rsidR="007D6B7F" w:rsidRPr="00787196">
              <w:rPr>
                <w:rFonts w:eastAsia="Times New Roman" w:cs="Arial"/>
                <w:color w:val="000000"/>
                <w:sz w:val="17"/>
                <w:szCs w:val="17"/>
              </w:rPr>
              <w:fldChar w:fldCharType="begin"/>
            </w:r>
            <w:r w:rsidR="00CE759F" w:rsidRPr="00787196">
              <w:rPr>
                <w:rFonts w:eastAsia="Times New Roman" w:cs="Arial"/>
                <w:color w:val="000000"/>
                <w:sz w:val="17"/>
                <w:szCs w:val="17"/>
              </w:rPr>
              <w:instrText xml:space="preserve"> ADDIN EN.CITE &lt;EndNote&gt;&lt;Cite ExcludeAuth="1"&gt;&lt;Author&gt;Emami&lt;/Author&gt;&lt;Year&gt;2010&lt;/Year&gt;&lt;RecNum&gt;0&lt;/RecNum&gt;&lt;IDText&gt;Better oral health related quality of life: Type of prosthesis or psychological robustness?&lt;/IDText&gt;&lt;DisplayText&gt;(2010)&lt;/DisplayText&gt;&lt;record&gt;&lt;rec-number&gt;195&lt;/rec-number&gt;&lt;foreign-keys&gt;&lt;key app="EN" db-id="xf0vwtv58a0w9wezwe9vp0fn0wwt2fp5srs0"&gt;195&lt;/key&gt;&lt;/foreign-keys&gt;&lt;ref-type name="Journal Article"&gt;17&lt;/ref-type&gt;&lt;contributors&gt;&lt;authors&gt;&lt;author&gt;Emami, E.&lt;/author&gt;&lt;author&gt;Allison, P. J.&lt;/author&gt;&lt;author&gt;de Grandmont, P.&lt;/author&gt;&lt;author&gt;Rompre, P. H.&lt;/author&gt;&lt;author&gt;Feine, J. S.&lt;/author&gt;&lt;/authors&gt;&lt;/contributors&gt;&lt;titles&gt;&lt;title&gt;Better oral health related quality of life: Type of prosthesis or psychological robustness?&lt;/title&gt;&lt;secondary-title&gt;Journal of Dentistry&lt;/secondary-title&gt;&lt;/titles&gt;&lt;periodical&gt;&lt;full-title&gt;Journal of Dentistry&lt;/full-title&gt;&lt;/periodical&gt;&lt;pages&gt;232-236&lt;/pages&gt;&lt;volume&gt;38&lt;/volume&gt;&lt;number&gt;3&lt;/number&gt;&lt;keywords&gt;&lt;keyword&gt;Oral health related quality of life&lt;/keyword&gt;&lt;keyword&gt;Sense of coherence&lt;/keyword&gt;&lt;keyword&gt;Clinical trial&lt;/keyword&gt;&lt;keyword&gt;Conventional dentures&lt;/keyword&gt;&lt;keyword&gt;Mandibular-implant overdentures&lt;/keyword&gt;&lt;/keywords&gt;&lt;dates&gt;&lt;year&gt;2010&lt;/year&gt;&lt;/dates&gt;&lt;urls&gt;&lt;related-urls&gt;&lt;url&gt;http://www.sciencedirect.com/science/article/pii/S0300571209002553 &lt;/url&gt;&lt;/related-urls&gt;&lt;/urls&gt;&lt;/record&gt;&lt;/Cite&gt;&lt;/EndNote&gt;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(2010)</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6F4D47E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(complete edentulous)</w:t>
            </w:r>
          </w:p>
          <w:p w14:paraId="02CD0FC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Mandibular conventional dentures;</w:t>
            </w:r>
          </w:p>
          <w:p w14:paraId="0FE27C6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Over dentures retained by implants (ball attachments)</w:t>
            </w:r>
          </w:p>
          <w:p w14:paraId="7ECAC5EB"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hideMark/>
          </w:tcPr>
          <w:p w14:paraId="4417C50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173</w:t>
            </w:r>
          </w:p>
        </w:tc>
        <w:tc>
          <w:tcPr>
            <w:tcW w:w="1399" w:type="dxa"/>
            <w:tcBorders>
              <w:top w:val="nil"/>
              <w:left w:val="nil"/>
              <w:bottom w:val="single" w:sz="4" w:space="0" w:color="5A5A5A"/>
              <w:right w:val="single" w:sz="4" w:space="0" w:color="5A5A5A"/>
            </w:tcBorders>
            <w:shd w:val="clear" w:color="auto" w:fill="auto"/>
            <w:vAlign w:val="center"/>
            <w:hideMark/>
          </w:tcPr>
          <w:p w14:paraId="5EEF672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66-69 (30.1%)</w:t>
            </w:r>
          </w:p>
          <w:p w14:paraId="21551E6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70-79 (61.8%)</w:t>
            </w:r>
          </w:p>
          <w:p w14:paraId="597D44F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80-89 (8.1%)</w:t>
            </w:r>
          </w:p>
        </w:tc>
        <w:tc>
          <w:tcPr>
            <w:tcW w:w="1260" w:type="dxa"/>
            <w:tcBorders>
              <w:top w:val="nil"/>
              <w:left w:val="nil"/>
              <w:bottom w:val="single" w:sz="4" w:space="0" w:color="5A5A5A"/>
              <w:right w:val="single" w:sz="4" w:space="0" w:color="5A5A5A"/>
            </w:tcBorders>
            <w:shd w:val="clear" w:color="auto" w:fill="auto"/>
            <w:vAlign w:val="center"/>
            <w:hideMark/>
          </w:tcPr>
          <w:p w14:paraId="35CAA95E"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ss sectional observational</w:t>
            </w:r>
          </w:p>
        </w:tc>
        <w:tc>
          <w:tcPr>
            <w:tcW w:w="1678" w:type="dxa"/>
            <w:tcBorders>
              <w:top w:val="nil"/>
              <w:left w:val="nil"/>
              <w:bottom w:val="single" w:sz="4" w:space="0" w:color="5A5A5A"/>
              <w:right w:val="single" w:sz="4" w:space="0" w:color="5A5A5A"/>
            </w:tcBorders>
            <w:shd w:val="clear" w:color="auto" w:fill="auto"/>
            <w:vAlign w:val="center"/>
            <w:hideMark/>
          </w:tcPr>
          <w:p w14:paraId="3AD0507E"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after 12 months follow up</w:t>
            </w:r>
          </w:p>
        </w:tc>
        <w:tc>
          <w:tcPr>
            <w:tcW w:w="1819" w:type="dxa"/>
            <w:tcBorders>
              <w:top w:val="nil"/>
              <w:left w:val="nil"/>
              <w:bottom w:val="single" w:sz="4" w:space="0" w:color="5A5A5A"/>
              <w:right w:val="single" w:sz="4" w:space="0" w:color="5A5A5A"/>
            </w:tcBorders>
            <w:shd w:val="clear" w:color="auto" w:fill="auto"/>
            <w:vAlign w:val="center"/>
            <w:hideMark/>
          </w:tcPr>
          <w:p w14:paraId="64ACC757" w14:textId="565DD5E6"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OHIP- 20,</w:t>
            </w:r>
          </w:p>
        </w:tc>
        <w:tc>
          <w:tcPr>
            <w:tcW w:w="1577" w:type="dxa"/>
            <w:tcBorders>
              <w:top w:val="nil"/>
              <w:left w:val="nil"/>
              <w:bottom w:val="single" w:sz="4" w:space="0" w:color="5A5A5A"/>
              <w:right w:val="single" w:sz="4" w:space="0" w:color="5A5A5A"/>
            </w:tcBorders>
            <w:shd w:val="clear" w:color="auto" w:fill="auto"/>
            <w:vAlign w:val="center"/>
            <w:hideMark/>
          </w:tcPr>
          <w:p w14:paraId="53683F14"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Sense of coherence mediate</w:t>
            </w:r>
            <w:r w:rsidR="0092442E" w:rsidRPr="00787196">
              <w:rPr>
                <w:rFonts w:eastAsia="Times New Roman" w:cs="Arial"/>
                <w:color w:val="000000"/>
                <w:sz w:val="17"/>
                <w:szCs w:val="17"/>
              </w:rPr>
              <w:t>d</w:t>
            </w:r>
            <w:r w:rsidRPr="00787196">
              <w:rPr>
                <w:rFonts w:eastAsia="Times New Roman" w:cs="Arial"/>
                <w:color w:val="000000"/>
                <w:sz w:val="17"/>
                <w:szCs w:val="17"/>
              </w:rPr>
              <w:t xml:space="preserve"> effect of dentures on </w:t>
            </w:r>
            <w:r w:rsidR="004A69E8" w:rsidRPr="00787196">
              <w:rPr>
                <w:rFonts w:eastAsia="Times New Roman" w:cs="Arial"/>
                <w:color w:val="000000"/>
                <w:sz w:val="17"/>
                <w:szCs w:val="17"/>
              </w:rPr>
              <w:t>OHQoL</w:t>
            </w:r>
          </w:p>
        </w:tc>
        <w:tc>
          <w:tcPr>
            <w:tcW w:w="1261" w:type="dxa"/>
            <w:tcBorders>
              <w:top w:val="nil"/>
              <w:left w:val="nil"/>
              <w:bottom w:val="single" w:sz="4" w:space="0" w:color="5A5A5A"/>
              <w:right w:val="single" w:sz="4" w:space="0" w:color="5A5A5A"/>
            </w:tcBorders>
            <w:shd w:val="clear" w:color="auto" w:fill="auto"/>
            <w:vAlign w:val="center"/>
            <w:hideMark/>
          </w:tcPr>
          <w:p w14:paraId="6148C06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1681C896" w14:textId="77777777" w:rsidTr="006B4681">
        <w:trPr>
          <w:gridAfter w:val="1"/>
          <w:wAfter w:w="14" w:type="dxa"/>
          <w:trHeight w:val="591"/>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57A2C0D7"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14</w:t>
            </w:r>
          </w:p>
        </w:tc>
        <w:tc>
          <w:tcPr>
            <w:tcW w:w="1943" w:type="dxa"/>
            <w:tcBorders>
              <w:top w:val="nil"/>
              <w:left w:val="nil"/>
              <w:bottom w:val="single" w:sz="4" w:space="0" w:color="5A5A5A"/>
              <w:right w:val="single" w:sz="4" w:space="0" w:color="5A5A5A"/>
            </w:tcBorders>
            <w:shd w:val="clear" w:color="auto" w:fill="auto"/>
            <w:vAlign w:val="center"/>
            <w:hideMark/>
          </w:tcPr>
          <w:p w14:paraId="19CCDBB0" w14:textId="54810D7C"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FORGIE, SCOTT AND DAVIS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ExcludeAuth="1"&gt;&lt;Author&gt;Forgie&lt;/Author&gt;&lt;Year&gt;2005&lt;/Year&gt;&lt;RecNum&gt;0&lt;/RecNum&gt;&lt;IDText&gt;A study to compare the oral health impact profile and satisfaction before and after having replacement complete dentures in England and Scotland&lt;/IDText&gt;&lt;DisplayText&gt;(2005)&lt;/DisplayText&gt;&lt;record&gt;&lt;dates&gt;&lt;pub-dates&gt;&lt;date&gt;Sep&lt;/date&gt;&lt;/pub-dates&gt;&lt;year&gt;2005&lt;/year&gt;&lt;/dates&gt;&lt;isbn&gt;0734-0664 (Print)&amp;#xD;0734-0664&lt;/isbn&gt;&lt;titles&gt;&lt;title&gt;A study to compare the oral health impact profile and satisfaction before and after having replacement complete dentures in England and Scotland&lt;/title&gt;&lt;secondary-title&gt;Gerodontology&lt;/secondary-title&gt;&lt;alt-title&gt;Gerodontology&lt;/alt-title&gt;&lt;/titles&gt;&lt;pages&gt;137-42&lt;/pages&gt;&lt;number&gt;3&lt;/number&gt;&lt;contributors&gt;&lt;authors&gt;&lt;author&gt;Forgie, A. H.&lt;/author&gt;&lt;author&gt;Scott, B. J.&lt;/author&gt;&lt;author&gt;Davis, D. M.&lt;/author&gt;&lt;/authors&gt;&lt;/contributors&gt;&lt;edition&gt;2005/09/17&lt;/edition&gt;&lt;language&gt;eng&lt;/language&gt;&lt;added-date format="utc"&gt;1374065288&lt;/added-date&gt;&lt;ref-type name="Journal Article"&gt;17&lt;/ref-type&gt;&lt;auth-address&gt;Unit of Restorative Dental Care and Clinical Dental Sciences, Dundee Dental Hospital and School, Park Place, Dundee, UK.&lt;/auth-address&gt;&lt;remote-database-provider&gt;Nlm&lt;/remote-database-provider&gt;&lt;rec-number&gt;1007&lt;/rec-number&gt;&lt;last-updated-date format="utc"&gt;1374065288&lt;/last-updated-date&gt;&lt;accession-num&gt;16163904&lt;/accession-num&gt;&lt;volume&gt;22&lt;/volume&gt;&lt;/record&gt;&lt;/Cite&gt;&lt;/EndNote&gt;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(2005)</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6314B1C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2BF4D3A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Requesting replacement dentures</w:t>
            </w:r>
          </w:p>
        </w:tc>
        <w:tc>
          <w:tcPr>
            <w:tcW w:w="979" w:type="dxa"/>
            <w:tcBorders>
              <w:top w:val="nil"/>
              <w:left w:val="nil"/>
              <w:bottom w:val="single" w:sz="4" w:space="0" w:color="5A5A5A"/>
              <w:right w:val="single" w:sz="4" w:space="0" w:color="5A5A5A"/>
            </w:tcBorders>
            <w:shd w:val="clear" w:color="auto" w:fill="auto"/>
            <w:vAlign w:val="center"/>
            <w:hideMark/>
          </w:tcPr>
          <w:p w14:paraId="6A691FA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58</w:t>
            </w:r>
          </w:p>
          <w:p w14:paraId="5DF1713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(32, 26)</w:t>
            </w:r>
          </w:p>
        </w:tc>
        <w:tc>
          <w:tcPr>
            <w:tcW w:w="1399" w:type="dxa"/>
            <w:tcBorders>
              <w:top w:val="nil"/>
              <w:left w:val="nil"/>
              <w:bottom w:val="single" w:sz="4" w:space="0" w:color="5A5A5A"/>
              <w:right w:val="single" w:sz="4" w:space="0" w:color="5A5A5A"/>
            </w:tcBorders>
            <w:shd w:val="clear" w:color="auto" w:fill="auto"/>
            <w:vAlign w:val="center"/>
            <w:hideMark/>
          </w:tcPr>
          <w:p w14:paraId="129203E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71 (9.6)</w:t>
            </w:r>
          </w:p>
          <w:p w14:paraId="06ABBCF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 (10.3)</w:t>
            </w:r>
          </w:p>
        </w:tc>
        <w:tc>
          <w:tcPr>
            <w:tcW w:w="1260" w:type="dxa"/>
            <w:tcBorders>
              <w:top w:val="nil"/>
              <w:left w:val="nil"/>
              <w:bottom w:val="single" w:sz="4" w:space="0" w:color="5A5A5A"/>
              <w:right w:val="single" w:sz="4" w:space="0" w:color="5A5A5A"/>
            </w:tcBorders>
            <w:shd w:val="clear" w:color="auto" w:fill="auto"/>
            <w:vAlign w:val="center"/>
            <w:hideMark/>
          </w:tcPr>
          <w:p w14:paraId="057CE444"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234DAF5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Pre-treatment and 3 months post dentures</w:t>
            </w:r>
          </w:p>
        </w:tc>
        <w:tc>
          <w:tcPr>
            <w:tcW w:w="1819" w:type="dxa"/>
            <w:tcBorders>
              <w:top w:val="nil"/>
              <w:left w:val="nil"/>
              <w:bottom w:val="single" w:sz="4" w:space="0" w:color="5A5A5A"/>
              <w:right w:val="single" w:sz="4" w:space="0" w:color="5A5A5A"/>
            </w:tcBorders>
            <w:shd w:val="clear" w:color="auto" w:fill="auto"/>
            <w:vAlign w:val="center"/>
            <w:hideMark/>
          </w:tcPr>
          <w:p w14:paraId="764C5DA4" w14:textId="2803C5C6"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OHIP-14</w:t>
            </w:r>
          </w:p>
        </w:tc>
        <w:tc>
          <w:tcPr>
            <w:tcW w:w="1577" w:type="dxa"/>
            <w:tcBorders>
              <w:top w:val="nil"/>
              <w:left w:val="nil"/>
              <w:bottom w:val="single" w:sz="4" w:space="0" w:color="5A5A5A"/>
              <w:right w:val="single" w:sz="4" w:space="0" w:color="5A5A5A"/>
            </w:tcBorders>
            <w:shd w:val="clear" w:color="auto" w:fill="auto"/>
            <w:vAlign w:val="center"/>
            <w:hideMark/>
          </w:tcPr>
          <w:p w14:paraId="6AB14FE4"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Change in satisfaction for replacement dentures</w:t>
            </w:r>
          </w:p>
        </w:tc>
        <w:tc>
          <w:tcPr>
            <w:tcW w:w="1261" w:type="dxa"/>
            <w:tcBorders>
              <w:top w:val="nil"/>
              <w:left w:val="nil"/>
              <w:bottom w:val="single" w:sz="4" w:space="0" w:color="5A5A5A"/>
              <w:right w:val="single" w:sz="4" w:space="0" w:color="5A5A5A"/>
            </w:tcBorders>
            <w:shd w:val="clear" w:color="auto" w:fill="auto"/>
            <w:vAlign w:val="center"/>
            <w:hideMark/>
          </w:tcPr>
          <w:p w14:paraId="2F52CCA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03AF85C9"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0BF8D28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15</w:t>
            </w:r>
          </w:p>
        </w:tc>
        <w:tc>
          <w:tcPr>
            <w:tcW w:w="1943" w:type="dxa"/>
            <w:tcBorders>
              <w:top w:val="nil"/>
              <w:left w:val="nil"/>
              <w:bottom w:val="single" w:sz="4" w:space="0" w:color="5A5A5A"/>
              <w:right w:val="single" w:sz="4" w:space="0" w:color="5A5A5A"/>
            </w:tcBorders>
            <w:shd w:val="clear" w:color="auto" w:fill="auto"/>
            <w:vAlign w:val="center"/>
            <w:hideMark/>
          </w:tcPr>
          <w:p w14:paraId="63B122B6" w14:textId="656E60E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FURUYAMA, TAKABA, INUKAI, MULLIGAN, IGARASHI AND BABA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ExcludeAuth="1"&gt;&lt;Author&gt;Furuyama&lt;/Author&gt;&lt;Year&gt;2012&lt;/Year&gt;&lt;RecNum&gt;0&lt;/RecNum&gt;&lt;IDText&gt;Oral health-related quality of life in patients treated by implant-supported fixed dentures and removable partial dentures&lt;/IDText&gt;&lt;DisplayText&gt;(2012)&lt;/DisplayText&gt;&lt;record&gt;&lt;dates&gt;&lt;pub-dates&gt;&lt;date&gt;Aug&lt;/date&gt;&lt;/pub-dates&gt;&lt;year&gt;2012&lt;/year&gt;&lt;/dates&gt;&lt;isbn&gt;0905-7161&lt;/isbn&gt;&lt;titles&gt;&lt;title&gt;Oral health-related quality of life in patients treated by implant-supported fixed dentures and removable partial dentures&lt;/title&gt;&lt;secondary-title&gt;Clin Oral Implants Res&lt;/secondary-title&gt;&lt;alt-title&gt;Clinical oral implants research&lt;/alt-title&gt;&lt;/titles&gt;&lt;pages&gt;958-62&lt;/pages&gt;&lt;number&gt;8&lt;/number&gt;&lt;contributors&gt;&lt;authors&gt;&lt;author&gt;Furuyama, C.&lt;/author&gt;&lt;author&gt;Takaba, M.&lt;/author&gt;&lt;author&gt;Inukai, M.&lt;/author&gt;&lt;author&gt;Mulligan, R.&lt;/author&gt;&lt;author&gt;Igarashi, Y.&lt;/author&gt;&lt;author&gt;Baba, K.&lt;/author&gt;&lt;/authors&gt;&lt;/contributors&gt;&lt;edition&gt;2011/08/03&lt;/edition&gt;&lt;language&gt;eng&lt;/language&gt;&lt;added-date format="utc"&gt;1374040089&lt;/added-date&gt;&lt;ref-type name="Journal Article"&gt;17&lt;/ref-type&gt;&lt;auth-address&gt;Department of Prosthodontics, Showa University, Ohta-ku, Tokyo, Japan.&lt;/auth-address&gt;&lt;remote-database-provider&gt;Nlm&lt;/remote-database-provider&gt;&lt;rec-number&gt;865&lt;/rec-number&gt;&lt;last-updated-date format="utc"&gt;1374040089&lt;/last-updated-date&gt;&lt;accession-num&gt;21806685&lt;/accession-num&gt;&lt;electronic-resource-num&gt;10.1111/j.1600-0501.2011.02247.x&lt;/electronic-resource-num&gt;&lt;volume&gt;23&lt;/volume&gt;&lt;/record&gt;&lt;/Cite&gt;&lt;/EndNote&gt;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1D8D9DA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5CE4C01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supported</w:t>
            </w:r>
          </w:p>
          <w:p w14:paraId="4EAB133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Removable partial dentures</w:t>
            </w:r>
          </w:p>
        </w:tc>
        <w:tc>
          <w:tcPr>
            <w:tcW w:w="979" w:type="dxa"/>
            <w:tcBorders>
              <w:top w:val="nil"/>
              <w:left w:val="nil"/>
              <w:bottom w:val="single" w:sz="4" w:space="0" w:color="5A5A5A"/>
              <w:right w:val="single" w:sz="4" w:space="0" w:color="5A5A5A"/>
            </w:tcBorders>
            <w:shd w:val="clear" w:color="auto" w:fill="auto"/>
            <w:vAlign w:val="center"/>
            <w:hideMark/>
          </w:tcPr>
          <w:p w14:paraId="140C25E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188</w:t>
            </w:r>
          </w:p>
          <w:p w14:paraId="3116E65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(79, 109)</w:t>
            </w:r>
          </w:p>
        </w:tc>
        <w:tc>
          <w:tcPr>
            <w:tcW w:w="1399" w:type="dxa"/>
            <w:tcBorders>
              <w:top w:val="nil"/>
              <w:left w:val="nil"/>
              <w:bottom w:val="single" w:sz="4" w:space="0" w:color="5A5A5A"/>
              <w:right w:val="single" w:sz="4" w:space="0" w:color="5A5A5A"/>
            </w:tcBorders>
            <w:shd w:val="clear" w:color="auto" w:fill="auto"/>
            <w:vAlign w:val="center"/>
            <w:hideMark/>
          </w:tcPr>
          <w:p w14:paraId="5690304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51.7 (12.4)</w:t>
            </w:r>
          </w:p>
        </w:tc>
        <w:tc>
          <w:tcPr>
            <w:tcW w:w="1260" w:type="dxa"/>
            <w:tcBorders>
              <w:top w:val="nil"/>
              <w:left w:val="nil"/>
              <w:bottom w:val="single" w:sz="4" w:space="0" w:color="5A5A5A"/>
              <w:right w:val="single" w:sz="4" w:space="0" w:color="5A5A5A"/>
            </w:tcBorders>
            <w:shd w:val="clear" w:color="auto" w:fill="auto"/>
            <w:vAlign w:val="center"/>
            <w:hideMark/>
          </w:tcPr>
          <w:p w14:paraId="74994AB1"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 xml:space="preserve">ss sectional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37D350E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at least 1 month post insertion of dentures</w:t>
            </w:r>
          </w:p>
        </w:tc>
        <w:tc>
          <w:tcPr>
            <w:tcW w:w="1819" w:type="dxa"/>
            <w:tcBorders>
              <w:top w:val="nil"/>
              <w:left w:val="nil"/>
              <w:bottom w:val="single" w:sz="4" w:space="0" w:color="5A5A5A"/>
              <w:right w:val="single" w:sz="4" w:space="0" w:color="5A5A5A"/>
            </w:tcBorders>
            <w:shd w:val="clear" w:color="auto" w:fill="auto"/>
            <w:vAlign w:val="center"/>
            <w:hideMark/>
          </w:tcPr>
          <w:p w14:paraId="40D37746" w14:textId="24FB7733" w:rsidR="00E56623" w:rsidRPr="00787196" w:rsidRDefault="00386CE2"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 xml:space="preserve">OHIP-49 </w:t>
            </w:r>
            <w:r w:rsidR="00E56623" w:rsidRPr="00787196">
              <w:rPr>
                <w:rFonts w:eastAsia="Times New Roman" w:cs="Arial"/>
                <w:color w:val="000000"/>
                <w:sz w:val="17"/>
                <w:szCs w:val="17"/>
              </w:rPr>
              <w:t>(Japanese version)</w:t>
            </w:r>
          </w:p>
        </w:tc>
        <w:tc>
          <w:tcPr>
            <w:tcW w:w="1577" w:type="dxa"/>
            <w:tcBorders>
              <w:top w:val="nil"/>
              <w:left w:val="nil"/>
              <w:bottom w:val="single" w:sz="4" w:space="0" w:color="5A5A5A"/>
              <w:right w:val="single" w:sz="4" w:space="0" w:color="5A5A5A"/>
            </w:tcBorders>
            <w:shd w:val="clear" w:color="auto" w:fill="auto"/>
            <w:vAlign w:val="center"/>
            <w:hideMark/>
          </w:tcPr>
          <w:p w14:paraId="0B938B9B"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w:t>
            </w:r>
          </w:p>
        </w:tc>
        <w:tc>
          <w:tcPr>
            <w:tcW w:w="1261" w:type="dxa"/>
            <w:tcBorders>
              <w:top w:val="nil"/>
              <w:left w:val="nil"/>
              <w:bottom w:val="single" w:sz="4" w:space="0" w:color="5A5A5A"/>
              <w:right w:val="single" w:sz="4" w:space="0" w:color="5A5A5A"/>
            </w:tcBorders>
            <w:shd w:val="clear" w:color="auto" w:fill="auto"/>
            <w:vAlign w:val="center"/>
            <w:hideMark/>
          </w:tcPr>
          <w:p w14:paraId="365F5E4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36B6EA2F" w14:textId="77777777" w:rsidTr="002C4FCD">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7FAC1CE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16</w:t>
            </w:r>
          </w:p>
        </w:tc>
        <w:tc>
          <w:tcPr>
            <w:tcW w:w="1943" w:type="dxa"/>
            <w:tcBorders>
              <w:top w:val="nil"/>
              <w:left w:val="nil"/>
              <w:bottom w:val="single" w:sz="4" w:space="0" w:color="5A5A5A"/>
              <w:right w:val="single" w:sz="4" w:space="0" w:color="5A5A5A"/>
            </w:tcBorders>
            <w:shd w:val="clear" w:color="auto" w:fill="auto"/>
            <w:vAlign w:val="center"/>
            <w:hideMark/>
          </w:tcPr>
          <w:p w14:paraId="08DD9C31" w14:textId="34190A07"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GECKILI, BILHAN AND BILGIN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ExcludeAuth="1"&gt;&lt;Author&gt;Geckili&lt;/Author&gt;&lt;Year&gt;2011&lt;/Year&gt;&lt;RecNum&gt;0&lt;/RecNum&gt;&lt;IDText&gt;Impact of mandibular two-implant retained overdentures on life quality in a group of elderly Turkish edentulous patients&lt;/IDText&gt;&lt;DisplayText&gt;(2011)&lt;/DisplayText&gt;&lt;record&gt;&lt;dates&gt;&lt;pub-dates&gt;&lt;date&gt;Sep-Oct&lt;/date&gt;&lt;/pub-dates&gt;&lt;year&gt;2011&lt;/year&gt;&lt;/dates&gt;&lt;isbn&gt;0167-4943&lt;/isbn&gt;&lt;titles&gt;&lt;title&gt;Impact of mandibular two-implant retained overdentures on life quality in a group of elderly Turkish edentulous patients&lt;/title&gt;&lt;secondary-title&gt;Arch Gerontol Geriatr&lt;/secondary-title&gt;&lt;alt-title&gt;Archives of gerontology and geriatrics&lt;/alt-title&gt;&lt;/titles&gt;&lt;pages&gt;233-6&lt;/pages&gt;&lt;number&gt;2&lt;/number&gt;&lt;contributors&gt;&lt;authors&gt;&lt;author&gt;Geckili, O.&lt;/author&gt;&lt;author&gt;Bilhan, H.&lt;/author&gt;&lt;author&gt;Bilgin, T.&lt;/author&gt;&lt;/authors&gt;&lt;/contributors&gt;&lt;edition&gt;2010/12/25&lt;/edition&gt;&lt;language&gt;eng&lt;/language&gt;&lt;added-date format="utc"&gt;1374040089&lt;/added-date&gt;&lt;ref-type name="Journal Article"&gt;17&lt;/ref-type&gt;&lt;auth-address&gt;Faculty of Dentistry, Department of Prosthodontics, Istanbul University, 2nd floor, Capa, 34390 Istanbul, Turkey. geckili@istanbul.edu.tr&lt;/auth-address&gt;&lt;remote-database-provider&gt;Nlm&lt;/remote-database-provider&gt;&lt;rec-number&gt;894&lt;/rec-number&gt;&lt;last-updated-date format="utc"&gt;1374040089&lt;/last-updated-date&gt;&lt;accession-num&gt;21183231&lt;/accession-num&gt;&lt;electronic-resource-num&gt;10.1016/j.archger.2010.11.027&lt;/electronic-resource-num&gt;&lt;volume&gt;53&lt;/volume&gt;&lt;/record&gt;&lt;/Cite&gt;&lt;/EndNote&gt;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(2011)</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38BDC85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1 group (edentulous conventional denture wearers seeking implant retained mandibular over dentures)</w:t>
            </w:r>
          </w:p>
        </w:tc>
        <w:tc>
          <w:tcPr>
            <w:tcW w:w="979" w:type="dxa"/>
            <w:tcBorders>
              <w:top w:val="nil"/>
              <w:left w:val="nil"/>
              <w:bottom w:val="single" w:sz="4" w:space="0" w:color="5A5A5A"/>
              <w:right w:val="single" w:sz="4" w:space="0" w:color="5A5A5A"/>
            </w:tcBorders>
            <w:shd w:val="clear" w:color="auto" w:fill="auto"/>
            <w:vAlign w:val="center"/>
            <w:hideMark/>
          </w:tcPr>
          <w:p w14:paraId="63BC52F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78</w:t>
            </w:r>
          </w:p>
        </w:tc>
        <w:tc>
          <w:tcPr>
            <w:tcW w:w="1399" w:type="dxa"/>
            <w:tcBorders>
              <w:top w:val="nil"/>
              <w:left w:val="nil"/>
              <w:bottom w:val="single" w:sz="4" w:space="0" w:color="5A5A5A"/>
              <w:right w:val="single" w:sz="4" w:space="0" w:color="5A5A5A"/>
            </w:tcBorders>
            <w:shd w:val="clear" w:color="auto" w:fill="auto"/>
            <w:vAlign w:val="center"/>
            <w:hideMark/>
          </w:tcPr>
          <w:p w14:paraId="4AC82DB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65-82</w:t>
            </w:r>
          </w:p>
        </w:tc>
        <w:tc>
          <w:tcPr>
            <w:tcW w:w="1260" w:type="dxa"/>
            <w:tcBorders>
              <w:top w:val="nil"/>
              <w:left w:val="nil"/>
              <w:bottom w:val="single" w:sz="4" w:space="0" w:color="5A5A5A"/>
              <w:right w:val="single" w:sz="4" w:space="0" w:color="5A5A5A"/>
            </w:tcBorders>
            <w:shd w:val="clear" w:color="auto" w:fill="auto"/>
            <w:vAlign w:val="center"/>
            <w:hideMark/>
          </w:tcPr>
          <w:p w14:paraId="7C8DB637"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Within subject cross over trial</w:t>
            </w:r>
          </w:p>
        </w:tc>
        <w:tc>
          <w:tcPr>
            <w:tcW w:w="1678" w:type="dxa"/>
            <w:tcBorders>
              <w:top w:val="nil"/>
              <w:left w:val="nil"/>
              <w:bottom w:val="single" w:sz="4" w:space="0" w:color="5A5A5A"/>
              <w:right w:val="single" w:sz="4" w:space="0" w:color="5A5A5A"/>
            </w:tcBorders>
            <w:shd w:val="clear" w:color="auto" w:fill="auto"/>
            <w:vAlign w:val="center"/>
            <w:hideMark/>
          </w:tcPr>
          <w:p w14:paraId="639450CB" w14:textId="6BA8CC39" w:rsidR="00E56623" w:rsidRPr="00787196" w:rsidRDefault="00E56623" w:rsidP="009962E6">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before insertion of dentures and a 6 month follow-up</w:t>
            </w:r>
          </w:p>
        </w:tc>
        <w:tc>
          <w:tcPr>
            <w:tcW w:w="1819" w:type="dxa"/>
            <w:tcBorders>
              <w:top w:val="nil"/>
              <w:left w:val="nil"/>
              <w:bottom w:val="single" w:sz="4" w:space="0" w:color="5A5A5A"/>
              <w:right w:val="single" w:sz="4" w:space="0" w:color="5A5A5A"/>
            </w:tcBorders>
            <w:shd w:val="clear" w:color="auto" w:fill="auto"/>
            <w:vAlign w:val="center"/>
            <w:hideMark/>
          </w:tcPr>
          <w:p w14:paraId="4BEC5C7A" w14:textId="3EC35EFF"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OHIP-14</w:t>
            </w:r>
            <w:r w:rsidR="008B6A46" w:rsidRPr="00787196">
              <w:rPr>
                <w:rFonts w:eastAsia="Times New Roman" w:cs="Arial"/>
                <w:color w:val="000000"/>
                <w:sz w:val="17"/>
                <w:szCs w:val="17"/>
              </w:rPr>
              <w:t xml:space="preserve"> (</w:t>
            </w:r>
            <w:r w:rsidRPr="00787196">
              <w:rPr>
                <w:rFonts w:eastAsia="Times New Roman" w:cs="Arial"/>
                <w:color w:val="000000"/>
                <w:sz w:val="17"/>
                <w:szCs w:val="17"/>
              </w:rPr>
              <w:t>Turkish version</w:t>
            </w:r>
            <w:r w:rsidR="008B6A46" w:rsidRPr="00787196">
              <w:rPr>
                <w:rFonts w:eastAsia="Times New Roman" w:cs="Arial"/>
                <w:color w:val="000000"/>
                <w:sz w:val="17"/>
                <w:szCs w:val="17"/>
              </w:rPr>
              <w:t>)</w:t>
            </w:r>
          </w:p>
        </w:tc>
        <w:tc>
          <w:tcPr>
            <w:tcW w:w="1577" w:type="dxa"/>
            <w:tcBorders>
              <w:top w:val="nil"/>
              <w:left w:val="nil"/>
              <w:bottom w:val="single" w:sz="4" w:space="0" w:color="5A5A5A"/>
              <w:right w:val="single" w:sz="4" w:space="0" w:color="5A5A5A"/>
            </w:tcBorders>
            <w:shd w:val="clear" w:color="auto" w:fill="auto"/>
            <w:vAlign w:val="center"/>
            <w:hideMark/>
          </w:tcPr>
          <w:p w14:paraId="45A4A144"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w:t>
            </w:r>
          </w:p>
        </w:tc>
        <w:tc>
          <w:tcPr>
            <w:tcW w:w="1261" w:type="dxa"/>
            <w:tcBorders>
              <w:top w:val="nil"/>
              <w:left w:val="nil"/>
              <w:bottom w:val="single" w:sz="4" w:space="0" w:color="5A5A5A"/>
              <w:right w:val="single" w:sz="4" w:space="0" w:color="5A5A5A"/>
            </w:tcBorders>
            <w:shd w:val="clear" w:color="auto" w:fill="auto"/>
            <w:vAlign w:val="center"/>
            <w:hideMark/>
          </w:tcPr>
          <w:p w14:paraId="57CB8B9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38CB9638" w14:textId="77777777" w:rsidTr="002C4FCD">
        <w:trPr>
          <w:gridAfter w:val="1"/>
          <w:wAfter w:w="14" w:type="dxa"/>
          <w:trHeight w:val="159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2242EE1C"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17</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7CB56443" w14:textId="1F2AE355"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HA, HEO, JIN, PAIK AND BAE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ExcludeAuth="1"&gt;&lt;Author&gt;Ha&lt;/Author&gt;&lt;Year&gt;2012&lt;/Year&gt;&lt;RecNum&gt;0&lt;/RecNum&gt;&lt;IDText&gt;The impact of the National Denture Service on oral health-related quality of life among poor elders&lt;/IDText&gt;&lt;DisplayText&gt;(2012)&lt;/DisplayText&gt;&lt;record&gt;&lt;foreign-keys&gt;&lt;key app="EN" db-id="pwzfwxrxk0afwbexa5ex59su9rafdwweesrv"&gt;7&lt;/key&gt;&lt;/foreign-keys&gt;&lt;urls&gt;&lt;related-urls&gt;&lt;url&gt;http://dx.doi.org/10.1111/j.1365-2842.2012.02296.x&lt;/url&gt;&lt;/related-urls&gt;&lt;/urls&gt;&lt;isbn&gt;1365-2842&lt;/isbn&gt;&lt;titles&gt;&lt;title&gt;The impact of the National Denture Service on oral health-related quality of life among poor elders&lt;/title&gt;&lt;secondary-title&gt;Journal of Oral Rehabilitation&lt;/secondary-title&gt;&lt;/titles&gt;&lt;pages&gt;600-607&lt;/pages&gt;&lt;number&gt;8&lt;/number&gt;&lt;contributors&gt;&lt;authors&gt;&lt;author&gt;Ha, J. E.&lt;/author&gt;&lt;author&gt;Heo, Y. J.&lt;/author&gt;&lt;author&gt;Jin, B. H.&lt;/author&gt;&lt;author&gt;Paik, D. I.&lt;/author&gt;&lt;author&gt;Bae, K. H.&lt;/author&gt;&lt;/authors&gt;&lt;/contributors&gt;&lt;added-date format="utc"&gt;1352721534&lt;/added-date&gt;&lt;ref-type name="Journal Article"&gt;17&lt;/ref-type&gt;&lt;dates&gt;&lt;year&gt;2012&lt;/year&gt;&lt;/dates&gt;&lt;rec-number&gt;13&lt;/rec-number&gt;&lt;publisher&gt;Blackwell Publishing Ltd&lt;/publisher&gt;&lt;last-updated-date format="utc"&gt;1352739534&lt;/last-updated-date&gt;&lt;electronic-resource-num&gt;10.1111/j.1365-2842.2012.02296.x&lt;/electronic-resource-num&gt;&lt;volume&gt;39&lt;/volume&gt;&lt;/record&gt;&lt;/Cite&gt;&lt;/EndNote&gt;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55D4521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Elderly individuals requiring dentures (beneficiaries of the Korean NDS)</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4D5EA1B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439</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426E9D0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73.62 (6.07)</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288B148C"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7AA0142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3 months post receiving dentures through NDS</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6A310496" w14:textId="5777AB45"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OHIP-14</w:t>
            </w:r>
            <w:r w:rsidR="008B6A46" w:rsidRPr="00787196">
              <w:rPr>
                <w:rFonts w:eastAsia="Times New Roman" w:cs="Arial"/>
                <w:color w:val="000000"/>
                <w:sz w:val="17"/>
                <w:szCs w:val="17"/>
              </w:rPr>
              <w:t xml:space="preserve"> (</w:t>
            </w:r>
            <w:r w:rsidRPr="00787196">
              <w:rPr>
                <w:rFonts w:eastAsia="Times New Roman" w:cs="Arial"/>
                <w:color w:val="000000"/>
                <w:sz w:val="17"/>
                <w:szCs w:val="17"/>
              </w:rPr>
              <w:t>K</w:t>
            </w:r>
            <w:r w:rsidR="008B6A46" w:rsidRPr="00787196">
              <w:rPr>
                <w:rFonts w:eastAsia="Times New Roman" w:cs="Arial"/>
                <w:color w:val="000000"/>
                <w:sz w:val="17"/>
                <w:szCs w:val="17"/>
              </w:rPr>
              <w:t xml:space="preserve">) </w:t>
            </w:r>
            <w:r w:rsidRPr="00787196">
              <w:rPr>
                <w:rFonts w:eastAsia="Times New Roman" w:cs="Arial"/>
                <w:color w:val="000000"/>
                <w:sz w:val="17"/>
                <w:szCs w:val="17"/>
              </w:rPr>
              <w:t>- Korean version</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7589DD29"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Assess effects of Korean National denture service</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44F6529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545CED03" w14:textId="77777777" w:rsidTr="006B4681">
        <w:trPr>
          <w:gridAfter w:val="1"/>
          <w:wAfter w:w="14" w:type="dxa"/>
          <w:trHeight w:val="177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754EA5A0"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18</w:t>
            </w:r>
          </w:p>
        </w:tc>
        <w:tc>
          <w:tcPr>
            <w:tcW w:w="1943" w:type="dxa"/>
            <w:tcBorders>
              <w:top w:val="nil"/>
              <w:left w:val="nil"/>
              <w:bottom w:val="single" w:sz="4" w:space="0" w:color="5A5A5A"/>
              <w:right w:val="single" w:sz="4" w:space="0" w:color="5A5A5A"/>
            </w:tcBorders>
            <w:shd w:val="clear" w:color="auto" w:fill="auto"/>
            <w:vAlign w:val="center"/>
            <w:hideMark/>
          </w:tcPr>
          <w:p w14:paraId="6534EFAC" w14:textId="5E57F11C" w:rsidR="00E56623" w:rsidRPr="00787196" w:rsidRDefault="00FE5527" w:rsidP="00B560B3">
            <w:pPr>
              <w:spacing w:before="0" w:after="0" w:line="240" w:lineRule="auto"/>
              <w:jc w:val="left"/>
              <w:rPr>
                <w:rFonts w:eastAsia="Times New Roman" w:cs="Arial"/>
                <w:color w:val="000000"/>
                <w:sz w:val="17"/>
                <w:szCs w:val="17"/>
                <w:lang w:val="de-DE"/>
              </w:rPr>
            </w:pPr>
            <w:r w:rsidRPr="00787196">
              <w:rPr>
                <w:rFonts w:eastAsia="Times New Roman" w:cs="Arial"/>
                <w:color w:val="000000"/>
                <w:sz w:val="17"/>
                <w:szCs w:val="17"/>
                <w:lang w:val="de-DE"/>
              </w:rPr>
              <w:t xml:space="preserve">HARDER, WOLFART, EGERT AND KERN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lang w:val="de-DE"/>
              </w:rPr>
              <w:instrText xml:space="preserve"> ADDIN EN.CITE &lt;EndNote&gt;&lt;Cite ExcludeAuth="1"&gt;&lt;Author&gt;Harder&lt;/Author&gt;&lt;Year&gt;2011&lt;/Year&gt;&lt;RecNum&gt;0&lt;/RecNum&gt;&lt;IDText&gt;Three-year clinical outcome of single implant-retained mandibular overdentures--results of preliminary prospective study&lt;/IDText&gt;&lt;DisplayText&gt;(2011)&lt;/DisplayText&gt;&lt;record&gt;&lt;dates&gt;&lt;pub-dates&gt;&lt;date&gt;Oct&lt;/date&gt;&lt;/pub-dates&gt;&lt;year&gt;2011&lt;/year&gt;&lt;/dates&gt;&lt;isbn&gt;0300-5712&lt;/isbn&gt;&lt;titles&gt;&lt;title&gt;Three-year clinical outcome of single implant-retained mandibular overdentures--results of preliminary prospective study&lt;/title&gt;&lt;secondary-title&gt;J Dent&lt;/secondary-title&gt;&lt;alt-title&gt;Journal of dentistry&lt;/alt-title&gt;&lt;/titles&gt;&lt;pages&gt;656-61&lt;/pages&gt;&lt;number&gt;10&lt;/number&gt;&lt;contributors&gt;&lt;authors&gt;&lt;author&gt;Harder, S.&lt;/author&gt;&lt;author&gt;Wolfart, S.&lt;/author&gt;&lt;author&gt;Egert, C.&lt;/author&gt;&lt;author&gt;Kern, M.&lt;/author&gt;&lt;/authors&gt;&lt;/contributors&gt;&lt;edition&gt;2011/08/09&lt;/edition&gt;&lt;language&gt;eng&lt;/language&gt;&lt;added-date format="utc"&gt;1374040089&lt;/added-date&gt;&lt;ref-type name="Journal Article"&gt;17&lt;/ref-type&gt;&lt;auth-address&gt;Department of Prosthodontics, Propaedeutics, and Dental Materials, Christian-Albrechts University, Kiel, Germany.&lt;/auth-address&gt;&lt;remote-database-provider&gt;Nlm&lt;/remote-database-provider&gt;&lt;rec-number&gt;866&lt;/rec-number&gt;&lt;last-updated-date format="utc"&gt;1374040089&lt;/last-updated-date&gt;&lt;accession-num&gt;21821093&lt;/accession-num&gt;&lt;electronic-resource-num&gt;10.1016/j.jdent.2011.07.007&lt;/electronic-resource-num&gt;&lt;volume&gt;39&lt;/volume&gt;&lt;/record&gt;&lt;/Cite&gt;&lt;/EndNote&gt;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lang w:val="de-DE"/>
              </w:rPr>
              <w:t>(2011)</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3ADB7FC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Individuals with conventional dentures switching to implant supported mandibular dentures</w:t>
            </w:r>
          </w:p>
        </w:tc>
        <w:tc>
          <w:tcPr>
            <w:tcW w:w="979" w:type="dxa"/>
            <w:tcBorders>
              <w:top w:val="nil"/>
              <w:left w:val="nil"/>
              <w:bottom w:val="single" w:sz="4" w:space="0" w:color="5A5A5A"/>
              <w:right w:val="single" w:sz="4" w:space="0" w:color="5A5A5A"/>
            </w:tcBorders>
            <w:shd w:val="clear" w:color="auto" w:fill="auto"/>
            <w:vAlign w:val="center"/>
            <w:hideMark/>
          </w:tcPr>
          <w:p w14:paraId="11C1335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11</w:t>
            </w:r>
          </w:p>
        </w:tc>
        <w:tc>
          <w:tcPr>
            <w:tcW w:w="1399" w:type="dxa"/>
            <w:tcBorders>
              <w:top w:val="nil"/>
              <w:left w:val="nil"/>
              <w:bottom w:val="single" w:sz="4" w:space="0" w:color="5A5A5A"/>
              <w:right w:val="single" w:sz="4" w:space="0" w:color="5A5A5A"/>
            </w:tcBorders>
            <w:shd w:val="clear" w:color="auto" w:fill="auto"/>
            <w:vAlign w:val="center"/>
            <w:hideMark/>
          </w:tcPr>
          <w:p w14:paraId="3BDC09E4" w14:textId="5AD10A4B"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66.7</w:t>
            </w:r>
          </w:p>
        </w:tc>
        <w:tc>
          <w:tcPr>
            <w:tcW w:w="1260" w:type="dxa"/>
            <w:tcBorders>
              <w:top w:val="nil"/>
              <w:left w:val="nil"/>
              <w:bottom w:val="single" w:sz="4" w:space="0" w:color="5A5A5A"/>
              <w:right w:val="single" w:sz="4" w:space="0" w:color="5A5A5A"/>
            </w:tcBorders>
            <w:shd w:val="clear" w:color="auto" w:fill="auto"/>
            <w:vAlign w:val="center"/>
            <w:hideMark/>
          </w:tcPr>
          <w:p w14:paraId="037455E2"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210F81B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4 weeks follow-up</w:t>
            </w:r>
          </w:p>
        </w:tc>
        <w:tc>
          <w:tcPr>
            <w:tcW w:w="1819" w:type="dxa"/>
            <w:tcBorders>
              <w:top w:val="nil"/>
              <w:left w:val="nil"/>
              <w:bottom w:val="single" w:sz="4" w:space="0" w:color="5A5A5A"/>
              <w:right w:val="single" w:sz="4" w:space="0" w:color="5A5A5A"/>
            </w:tcBorders>
            <w:shd w:val="clear" w:color="auto" w:fill="auto"/>
            <w:vAlign w:val="center"/>
            <w:hideMark/>
          </w:tcPr>
          <w:p w14:paraId="6AF00F50" w14:textId="5E18A536" w:rsidR="00E56623" w:rsidRPr="00787196" w:rsidRDefault="008B6A46" w:rsidP="00B560B3">
            <w:pPr>
              <w:spacing w:after="0" w:line="240" w:lineRule="auto"/>
              <w:ind w:left="310"/>
              <w:jc w:val="left"/>
              <w:rPr>
                <w:rFonts w:eastAsia="Times New Roman" w:cs="Arial"/>
                <w:color w:val="000000"/>
                <w:sz w:val="17"/>
                <w:szCs w:val="17"/>
              </w:rPr>
            </w:pPr>
            <w:r w:rsidRPr="00787196">
              <w:rPr>
                <w:rFonts w:eastAsia="Times New Roman" w:cs="Arial"/>
                <w:color w:val="000000"/>
                <w:sz w:val="17"/>
                <w:szCs w:val="17"/>
              </w:rPr>
              <w:t>O</w:t>
            </w:r>
            <w:r w:rsidR="00E56623" w:rsidRPr="00787196">
              <w:rPr>
                <w:rFonts w:eastAsia="Times New Roman" w:cs="Arial"/>
                <w:color w:val="000000"/>
                <w:sz w:val="17"/>
                <w:szCs w:val="17"/>
              </w:rPr>
              <w:t>HIP-</w:t>
            </w:r>
            <w:r w:rsidR="00386CE2" w:rsidRPr="00787196">
              <w:rPr>
                <w:rFonts w:eastAsia="Times New Roman" w:cs="Arial"/>
                <w:color w:val="000000"/>
                <w:sz w:val="17"/>
                <w:szCs w:val="17"/>
              </w:rPr>
              <w:t xml:space="preserve">49 </w:t>
            </w:r>
            <w:r w:rsidRPr="00787196">
              <w:rPr>
                <w:rFonts w:eastAsia="Times New Roman" w:cs="Arial"/>
                <w:color w:val="000000"/>
                <w:sz w:val="17"/>
                <w:szCs w:val="17"/>
              </w:rPr>
              <w:t>(</w:t>
            </w:r>
            <w:r w:rsidR="00E56623" w:rsidRPr="00787196">
              <w:rPr>
                <w:rFonts w:eastAsia="Times New Roman" w:cs="Arial"/>
                <w:color w:val="000000"/>
                <w:sz w:val="17"/>
                <w:szCs w:val="17"/>
              </w:rPr>
              <w:t>G</w:t>
            </w:r>
            <w:r w:rsidRPr="00787196">
              <w:rPr>
                <w:rFonts w:eastAsia="Times New Roman" w:cs="Arial"/>
                <w:color w:val="000000"/>
                <w:sz w:val="17"/>
                <w:szCs w:val="17"/>
              </w:rPr>
              <w:t>)</w:t>
            </w:r>
            <w:r w:rsidR="00E56623" w:rsidRPr="00787196">
              <w:rPr>
                <w:rFonts w:eastAsia="Times New Roman" w:cs="Arial"/>
                <w:color w:val="000000"/>
                <w:sz w:val="17"/>
                <w:szCs w:val="17"/>
              </w:rPr>
              <w:t xml:space="preserve"> German version</w:t>
            </w:r>
          </w:p>
          <w:p w14:paraId="168854FE" w14:textId="055DA7DE"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auto"/>
            <w:vAlign w:val="center"/>
            <w:hideMark/>
          </w:tcPr>
          <w:p w14:paraId="07316187"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Chewing ability</w:t>
            </w:r>
          </w:p>
        </w:tc>
        <w:tc>
          <w:tcPr>
            <w:tcW w:w="1261" w:type="dxa"/>
            <w:tcBorders>
              <w:top w:val="nil"/>
              <w:left w:val="nil"/>
              <w:bottom w:val="single" w:sz="4" w:space="0" w:color="5A5A5A"/>
              <w:right w:val="single" w:sz="4" w:space="0" w:color="5A5A5A"/>
            </w:tcBorders>
            <w:shd w:val="clear" w:color="auto" w:fill="auto"/>
            <w:vAlign w:val="center"/>
            <w:hideMark/>
          </w:tcPr>
          <w:p w14:paraId="0C7735F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206BA84F" w14:textId="77777777" w:rsidTr="006B4681">
        <w:trPr>
          <w:gridAfter w:val="1"/>
          <w:wAfter w:w="14" w:type="dxa"/>
          <w:trHeight w:val="154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0BFD681B" w14:textId="4A29204F"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19</w:t>
            </w:r>
          </w:p>
        </w:tc>
        <w:tc>
          <w:tcPr>
            <w:tcW w:w="1943" w:type="dxa"/>
            <w:tcBorders>
              <w:top w:val="nil"/>
              <w:left w:val="nil"/>
              <w:bottom w:val="single" w:sz="4" w:space="0" w:color="5A5A5A"/>
              <w:right w:val="single" w:sz="4" w:space="0" w:color="5A5A5A"/>
            </w:tcBorders>
            <w:shd w:val="clear" w:color="auto" w:fill="auto"/>
            <w:vAlign w:val="center"/>
          </w:tcPr>
          <w:p w14:paraId="138F8963" w14:textId="5D0132A0" w:rsidR="00E56623" w:rsidRPr="00787196" w:rsidRDefault="00FE5527"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HEYDECKE, LOCKER, AWAD, LUND AND FEINE </w:t>
            </w:r>
            <w:r w:rsidR="007D6B7F" w:rsidRPr="00787196">
              <w:rPr>
                <w:rFonts w:eastAsia="Times New Roman" w:cs="Arial"/>
                <w:color w:val="000000"/>
                <w:sz w:val="17"/>
                <w:szCs w:val="17"/>
              </w:rPr>
              <w:fldChar w:fldCharType="begin"/>
            </w:r>
            <w:r w:rsidR="00CE759F" w:rsidRPr="00787196">
              <w:rPr>
                <w:rFonts w:eastAsia="Times New Roman" w:cs="Arial"/>
                <w:color w:val="000000"/>
                <w:sz w:val="17"/>
                <w:szCs w:val="17"/>
              </w:rPr>
              <w:instrText xml:space="preserve"> ADDIN EN.CITE &lt;EndNote&gt;&lt;Cite ExcludeAuth="1"&gt;&lt;Author&gt;Heydecke&lt;/Author&gt;&lt;Year&gt;2003&lt;/Year&gt;&lt;RecNum&gt;0&lt;/RecNum&gt;&lt;IDText&gt;Relationship between prosthodontic evaluation and patient ratings of mandibular conventional and implant prostheses&lt;/IDText&gt;&lt;DisplayText&gt;(2003a)&lt;/DisplayText&gt;&lt;record&gt;&lt;isbn&gt;0893-2174&lt;/isbn&gt;&lt;titles&gt;&lt;title&gt;Relationship between prosthodontic evaluation and patient ratings of mandibular conventional and implant prostheses&lt;/title&gt;&lt;secondary-title&gt;International Journal of Prosthodontics&lt;/secondary-title&gt;&lt;/titles&gt;&lt;pages&gt;307-312&lt;/pages&gt;&lt;number&gt;3&lt;/number&gt;&lt;contributors&gt;&lt;authors&gt;&lt;author&gt;Heydecke, Guido&lt;/author&gt;&lt;author&gt;Klemetti, Esa&lt;/author&gt;&lt;author&gt;Awad, Manal A.&lt;/author&gt;&lt;author&gt;Lund, James P.&lt;/author&gt;&lt;author&gt;Feine, Jocelyne S.&lt;/author&gt;&lt;/authors&gt;&lt;/contributors&gt;&lt;added-date format="utc"&gt;1361525804&lt;/added-date&gt;&lt;ref-type name="Journal Article"&gt;17&lt;/ref-type&gt;&lt;dates&gt;&lt;year&gt;2003&lt;/year&gt;&lt;/dates&gt;&lt;rec-number&gt;534&lt;/rec-number&gt;&lt;last-updated-date format="utc"&gt;1385713712&lt;/last-updated-date&gt;&lt;volume&gt;16&lt;/volume&gt;&lt;/record&gt;&lt;/Cite&gt;&lt;/EndNote&gt;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(2003a)</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0496499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14913F2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Mandibular implant retained dentures;</w:t>
            </w:r>
          </w:p>
          <w:p w14:paraId="232FADB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tc>
        <w:tc>
          <w:tcPr>
            <w:tcW w:w="979" w:type="dxa"/>
            <w:tcBorders>
              <w:top w:val="nil"/>
              <w:left w:val="nil"/>
              <w:bottom w:val="single" w:sz="4" w:space="0" w:color="5A5A5A"/>
              <w:right w:val="single" w:sz="4" w:space="0" w:color="5A5A5A"/>
            </w:tcBorders>
            <w:shd w:val="clear" w:color="auto" w:fill="auto"/>
            <w:vAlign w:val="center"/>
          </w:tcPr>
          <w:p w14:paraId="7727AEA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55</w:t>
            </w:r>
          </w:p>
        </w:tc>
        <w:tc>
          <w:tcPr>
            <w:tcW w:w="1399" w:type="dxa"/>
            <w:tcBorders>
              <w:top w:val="nil"/>
              <w:left w:val="nil"/>
              <w:bottom w:val="single" w:sz="4" w:space="0" w:color="5A5A5A"/>
              <w:right w:val="single" w:sz="4" w:space="0" w:color="5A5A5A"/>
            </w:tcBorders>
            <w:shd w:val="clear" w:color="auto" w:fill="auto"/>
            <w:vAlign w:val="center"/>
          </w:tcPr>
          <w:p w14:paraId="486320F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68.9 (3.2)</w:t>
            </w:r>
          </w:p>
          <w:p w14:paraId="1DF492D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69.4 (2.7)</w:t>
            </w:r>
          </w:p>
        </w:tc>
        <w:tc>
          <w:tcPr>
            <w:tcW w:w="1260" w:type="dxa"/>
            <w:tcBorders>
              <w:top w:val="nil"/>
              <w:left w:val="nil"/>
              <w:bottom w:val="single" w:sz="4" w:space="0" w:color="5A5A5A"/>
              <w:right w:val="single" w:sz="4" w:space="0" w:color="5A5A5A"/>
            </w:tcBorders>
            <w:shd w:val="clear" w:color="auto" w:fill="auto"/>
            <w:vAlign w:val="center"/>
          </w:tcPr>
          <w:p w14:paraId="4AB276FB"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tcPr>
          <w:p w14:paraId="3B8B6775" w14:textId="085F9860"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(pre-</w:t>
            </w:r>
            <w:r w:rsidR="009962E6" w:rsidRPr="00787196">
              <w:rPr>
                <w:rFonts w:eastAsia="Times New Roman" w:cs="Arial"/>
                <w:color w:val="000000"/>
                <w:sz w:val="17"/>
                <w:szCs w:val="17"/>
              </w:rPr>
              <w:t>treatment) 2</w:t>
            </w:r>
            <w:r w:rsidRPr="00787196">
              <w:rPr>
                <w:rFonts w:eastAsia="Times New Roman" w:cs="Arial"/>
                <w:color w:val="000000"/>
                <w:sz w:val="17"/>
                <w:szCs w:val="17"/>
              </w:rPr>
              <w:t xml:space="preserve"> &amp; 6 month follow-ups</w:t>
            </w:r>
          </w:p>
          <w:p w14:paraId="6E0CB909"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(6 months only for SF-36)</w:t>
            </w:r>
          </w:p>
        </w:tc>
        <w:tc>
          <w:tcPr>
            <w:tcW w:w="1819" w:type="dxa"/>
            <w:tcBorders>
              <w:top w:val="nil"/>
              <w:left w:val="nil"/>
              <w:bottom w:val="single" w:sz="4" w:space="0" w:color="5A5A5A"/>
              <w:right w:val="single" w:sz="4" w:space="0" w:color="5A5A5A"/>
            </w:tcBorders>
            <w:shd w:val="clear" w:color="auto" w:fill="auto"/>
            <w:vAlign w:val="center"/>
          </w:tcPr>
          <w:p w14:paraId="79237DAF" w14:textId="1E0BAA7A" w:rsidR="00E56623" w:rsidRPr="00787196" w:rsidRDefault="008B6A46"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-20</w:t>
            </w:r>
          </w:p>
        </w:tc>
        <w:tc>
          <w:tcPr>
            <w:tcW w:w="1577" w:type="dxa"/>
            <w:tcBorders>
              <w:top w:val="nil"/>
              <w:left w:val="nil"/>
              <w:bottom w:val="single" w:sz="4" w:space="0" w:color="5A5A5A"/>
              <w:right w:val="single" w:sz="4" w:space="0" w:color="5A5A5A"/>
            </w:tcBorders>
            <w:shd w:val="clear" w:color="auto" w:fill="auto"/>
            <w:vAlign w:val="center"/>
          </w:tcPr>
          <w:p w14:paraId="718DA52F"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Difference in general health status in elderly</w:t>
            </w:r>
          </w:p>
          <w:p w14:paraId="6199A6AC" w14:textId="6206E6B2" w:rsidR="008B6A46" w:rsidRPr="00787196" w:rsidRDefault="008B6A46"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SF-36</w:t>
            </w:r>
          </w:p>
        </w:tc>
        <w:tc>
          <w:tcPr>
            <w:tcW w:w="1261" w:type="dxa"/>
            <w:tcBorders>
              <w:top w:val="nil"/>
              <w:left w:val="nil"/>
              <w:bottom w:val="single" w:sz="4" w:space="0" w:color="5A5A5A"/>
              <w:right w:val="single" w:sz="4" w:space="0" w:color="5A5A5A"/>
            </w:tcBorders>
            <w:shd w:val="clear" w:color="auto" w:fill="auto"/>
            <w:vAlign w:val="center"/>
          </w:tcPr>
          <w:p w14:paraId="5E9BF75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98246A" w:rsidRPr="00787196" w14:paraId="2941D697" w14:textId="77777777" w:rsidTr="006B4681">
        <w:trPr>
          <w:gridAfter w:val="1"/>
          <w:wAfter w:w="14" w:type="dxa"/>
          <w:trHeight w:val="1412"/>
        </w:trPr>
        <w:tc>
          <w:tcPr>
            <w:tcW w:w="435" w:type="dxa"/>
            <w:tcBorders>
              <w:top w:val="nil"/>
              <w:left w:val="single" w:sz="4" w:space="0" w:color="5A5A5A"/>
              <w:bottom w:val="single" w:sz="4" w:space="0" w:color="5A5A5A"/>
              <w:right w:val="single" w:sz="4" w:space="0" w:color="5A5A5A"/>
            </w:tcBorders>
            <w:shd w:val="clear" w:color="auto" w:fill="auto"/>
            <w:vAlign w:val="center"/>
          </w:tcPr>
          <w:p w14:paraId="5D2495EB" w14:textId="77777777" w:rsidR="0098246A" w:rsidRPr="00787196" w:rsidRDefault="0098246A"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20</w:t>
            </w:r>
          </w:p>
        </w:tc>
        <w:tc>
          <w:tcPr>
            <w:tcW w:w="1943" w:type="dxa"/>
            <w:tcBorders>
              <w:top w:val="nil"/>
              <w:left w:val="nil"/>
              <w:bottom w:val="single" w:sz="4" w:space="0" w:color="5A5A5A"/>
              <w:right w:val="single" w:sz="4" w:space="0" w:color="5A5A5A"/>
            </w:tcBorders>
            <w:shd w:val="clear" w:color="auto" w:fill="auto"/>
            <w:vAlign w:val="center"/>
          </w:tcPr>
          <w:p w14:paraId="5F98538D" w14:textId="77777777" w:rsidR="0098246A" w:rsidRPr="00787196" w:rsidRDefault="008535E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HEYDECKE G, TEDESCO LA, KOWALSKI C, INGLEHART MR </w:t>
            </w:r>
            <w:r w:rsidR="0098246A" w:rsidRPr="00787196">
              <w:rPr>
                <w:rFonts w:eastAsia="Times New Roman" w:cs="Arial"/>
                <w:color w:val="000000"/>
                <w:sz w:val="17"/>
                <w:szCs w:val="17"/>
              </w:rPr>
              <w:t>(2004)</w:t>
            </w:r>
          </w:p>
        </w:tc>
        <w:tc>
          <w:tcPr>
            <w:tcW w:w="2099" w:type="dxa"/>
            <w:tcBorders>
              <w:top w:val="nil"/>
              <w:left w:val="nil"/>
              <w:bottom w:val="single" w:sz="4" w:space="0" w:color="5A5A5A"/>
              <w:right w:val="single" w:sz="4" w:space="0" w:color="5A5A5A"/>
            </w:tcBorders>
            <w:shd w:val="clear" w:color="auto" w:fill="auto"/>
            <w:vAlign w:val="center"/>
          </w:tcPr>
          <w:p w14:paraId="71CA39BC" w14:textId="77777777" w:rsidR="0098246A" w:rsidRPr="00787196" w:rsidRDefault="008535E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1 group of (edentulous) Completer dentures </w:t>
            </w:r>
          </w:p>
        </w:tc>
        <w:tc>
          <w:tcPr>
            <w:tcW w:w="979" w:type="dxa"/>
            <w:tcBorders>
              <w:top w:val="nil"/>
              <w:left w:val="nil"/>
              <w:bottom w:val="single" w:sz="4" w:space="0" w:color="5A5A5A"/>
              <w:right w:val="single" w:sz="4" w:space="0" w:color="5A5A5A"/>
            </w:tcBorders>
            <w:shd w:val="clear" w:color="auto" w:fill="auto"/>
            <w:vAlign w:val="center"/>
          </w:tcPr>
          <w:p w14:paraId="7615E89D" w14:textId="77777777" w:rsidR="0098246A" w:rsidRPr="00787196" w:rsidRDefault="008535E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249</w:t>
            </w:r>
          </w:p>
        </w:tc>
        <w:tc>
          <w:tcPr>
            <w:tcW w:w="1399" w:type="dxa"/>
            <w:tcBorders>
              <w:top w:val="nil"/>
              <w:left w:val="nil"/>
              <w:bottom w:val="single" w:sz="4" w:space="0" w:color="5A5A5A"/>
              <w:right w:val="single" w:sz="4" w:space="0" w:color="5A5A5A"/>
            </w:tcBorders>
            <w:shd w:val="clear" w:color="auto" w:fill="auto"/>
            <w:vAlign w:val="center"/>
          </w:tcPr>
          <w:p w14:paraId="4189D109" w14:textId="77777777" w:rsidR="0098246A" w:rsidRPr="00787196" w:rsidRDefault="008535E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66 (12)</w:t>
            </w:r>
          </w:p>
        </w:tc>
        <w:tc>
          <w:tcPr>
            <w:tcW w:w="1260" w:type="dxa"/>
            <w:tcBorders>
              <w:top w:val="nil"/>
              <w:left w:val="nil"/>
              <w:bottom w:val="single" w:sz="4" w:space="0" w:color="5A5A5A"/>
              <w:right w:val="single" w:sz="4" w:space="0" w:color="5A5A5A"/>
            </w:tcBorders>
            <w:shd w:val="clear" w:color="auto" w:fill="auto"/>
            <w:vAlign w:val="center"/>
          </w:tcPr>
          <w:p w14:paraId="5F2525CD" w14:textId="77777777" w:rsidR="0098246A" w:rsidRPr="00787196" w:rsidRDefault="008535E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Postal cross sectional survey</w:t>
            </w:r>
          </w:p>
        </w:tc>
        <w:tc>
          <w:tcPr>
            <w:tcW w:w="1678" w:type="dxa"/>
            <w:tcBorders>
              <w:top w:val="nil"/>
              <w:left w:val="nil"/>
              <w:bottom w:val="single" w:sz="4" w:space="0" w:color="5A5A5A"/>
              <w:right w:val="single" w:sz="4" w:space="0" w:color="5A5A5A"/>
            </w:tcBorders>
            <w:shd w:val="clear" w:color="auto" w:fill="auto"/>
            <w:vAlign w:val="center"/>
          </w:tcPr>
          <w:p w14:paraId="2F281A04" w14:textId="77777777" w:rsidR="0098246A" w:rsidRPr="00787196" w:rsidRDefault="008535E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w:t>
            </w:r>
          </w:p>
        </w:tc>
        <w:tc>
          <w:tcPr>
            <w:tcW w:w="1819" w:type="dxa"/>
            <w:tcBorders>
              <w:top w:val="nil"/>
              <w:left w:val="nil"/>
              <w:bottom w:val="single" w:sz="4" w:space="0" w:color="5A5A5A"/>
              <w:right w:val="single" w:sz="4" w:space="0" w:color="5A5A5A"/>
            </w:tcBorders>
            <w:shd w:val="clear" w:color="auto" w:fill="auto"/>
            <w:vAlign w:val="center"/>
          </w:tcPr>
          <w:p w14:paraId="307ADE8D" w14:textId="04092DCE" w:rsidR="0098246A" w:rsidRPr="00787196" w:rsidRDefault="008535E9"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OHIP-14</w:t>
            </w:r>
          </w:p>
          <w:p w14:paraId="74B88B8E" w14:textId="3058D07B" w:rsidR="008535E9" w:rsidRPr="00787196" w:rsidRDefault="008535E9"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auto"/>
            <w:vAlign w:val="center"/>
          </w:tcPr>
          <w:p w14:paraId="66CEB999" w14:textId="51EF500D" w:rsidR="0098246A" w:rsidRPr="00787196" w:rsidRDefault="008535E9"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Whether coping styles influence OHQOL</w:t>
            </w:r>
            <w:r w:rsidR="008B6A46" w:rsidRPr="00787196">
              <w:rPr>
                <w:rFonts w:eastAsia="Times New Roman" w:cs="Arial"/>
                <w:color w:val="000000"/>
                <w:sz w:val="17"/>
                <w:szCs w:val="17"/>
              </w:rPr>
              <w:t>, Brief COPE</w:t>
            </w:r>
          </w:p>
        </w:tc>
        <w:tc>
          <w:tcPr>
            <w:tcW w:w="1261" w:type="dxa"/>
            <w:tcBorders>
              <w:top w:val="nil"/>
              <w:left w:val="nil"/>
              <w:bottom w:val="single" w:sz="4" w:space="0" w:color="5A5A5A"/>
              <w:right w:val="single" w:sz="4" w:space="0" w:color="5A5A5A"/>
            </w:tcBorders>
            <w:shd w:val="clear" w:color="auto" w:fill="auto"/>
            <w:vAlign w:val="center"/>
          </w:tcPr>
          <w:p w14:paraId="23B31BE5" w14:textId="77777777" w:rsidR="0098246A" w:rsidRPr="00787196" w:rsidRDefault="008535E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2A6E1EEB" w14:textId="77777777" w:rsidTr="002C4FCD">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5DD233BF"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w:t>
            </w:r>
            <w:r w:rsidR="008535E9" w:rsidRPr="00787196">
              <w:rPr>
                <w:rFonts w:eastAsia="Times New Roman" w:cs="Arial"/>
                <w:color w:val="000000"/>
                <w:sz w:val="17"/>
                <w:szCs w:val="17"/>
              </w:rPr>
              <w:t>1</w:t>
            </w:r>
          </w:p>
        </w:tc>
        <w:tc>
          <w:tcPr>
            <w:tcW w:w="1943" w:type="dxa"/>
            <w:tcBorders>
              <w:top w:val="nil"/>
              <w:left w:val="nil"/>
              <w:bottom w:val="single" w:sz="4" w:space="0" w:color="5A5A5A"/>
              <w:right w:val="single" w:sz="4" w:space="0" w:color="5A5A5A"/>
            </w:tcBorders>
            <w:shd w:val="clear" w:color="auto" w:fill="auto"/>
            <w:vAlign w:val="center"/>
          </w:tcPr>
          <w:p w14:paraId="64181EDF" w14:textId="7FE9572E"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HEYDECKE, PENROD, TAKANASHI, LUND, FEINE AND THOMASON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ExcludeAuth="1"&gt;&lt;Author&gt;Heydecke&lt;/Author&gt;&lt;Year&gt;2005&lt;/Year&gt;&lt;RecNum&gt;0&lt;/RecNum&gt;&lt;IDText&gt;Cost-effectiveness of mandibular two-implant overdentures and conventional dentures in the edentulous elderly&lt;/IDText&gt;&lt;DisplayText&gt;(2005a)&lt;/DisplayText&gt;&lt;record&gt;&lt;dates&gt;&lt;pub-dates&gt;&lt;date&gt;Sep&lt;/date&gt;&lt;/pub-dates&gt;&lt;year&gt;2005&lt;/year&gt;&lt;/dates&gt;&lt;isbn&gt;0022-0345 (Print)&amp;#xD;0022-0345&lt;/isbn&gt;&lt;titles&gt;&lt;title&gt;Cost-effectiveness of mandibular two-implant overdentures and conventional dentures in the edentulous elderly&lt;/title&gt;&lt;secondary-title&gt;J Dent Res&lt;/secondary-title&gt;&lt;alt-title&gt;Journal of dental research&lt;/alt-title&gt;&lt;/titles&gt;&lt;pages&gt;794-9&lt;/pages&gt;&lt;number&gt;9&lt;/number&gt;&lt;contributors&gt;&lt;authors&gt;&lt;author&gt;Heydecke, G.&lt;/author&gt;&lt;author&gt;Penrod, J. R.&lt;/author&gt;&lt;author&gt;Takanashi, Y.&lt;/author&gt;&lt;author&gt;Lund, J. P.&lt;/author&gt;&lt;author&gt;Feine, J. S.&lt;/author&gt;&lt;author&gt;Thomason, J. M.&lt;/author&gt;&lt;/authors&gt;&lt;/contributors&gt;&lt;edition&gt;2005/08/20&lt;/edition&gt;&lt;language&gt;eng&lt;/language&gt;&lt;added-date format="utc"&gt;1374065288&lt;/added-date&gt;&lt;ref-type name="Journal Article"&gt;17&lt;/ref-type&gt;&lt;auth-address&gt;Faculty of Dentistry, McGill University, 3640 University Street, M73, Montreal, Quebec H3A 2B2, Canada.&lt;/auth-address&gt;&lt;remote-database-provider&gt;Nlm&lt;/remote-database-provider&gt;&lt;rec-number&gt;1012&lt;/rec-number&gt;&lt;last-updated-date format="utc"&gt;1374065288&lt;/last-updated-date&gt;&lt;accession-num&gt;16109986&lt;/accession-num&gt;&lt;volume&gt;84&lt;/volume&gt;&lt;/record&gt;&lt;/Cite&gt;&lt;/EndNote&gt;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(2005a)</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0C652DD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209CB9B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Mandibular implant retained dentures;</w:t>
            </w:r>
          </w:p>
          <w:p w14:paraId="378CAFA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tc>
        <w:tc>
          <w:tcPr>
            <w:tcW w:w="979" w:type="dxa"/>
            <w:tcBorders>
              <w:top w:val="nil"/>
              <w:left w:val="nil"/>
              <w:bottom w:val="single" w:sz="4" w:space="0" w:color="5A5A5A"/>
              <w:right w:val="single" w:sz="4" w:space="0" w:color="5A5A5A"/>
            </w:tcBorders>
            <w:shd w:val="clear" w:color="auto" w:fill="auto"/>
            <w:vAlign w:val="center"/>
          </w:tcPr>
          <w:p w14:paraId="2B3BE9F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48</w:t>
            </w:r>
          </w:p>
        </w:tc>
        <w:tc>
          <w:tcPr>
            <w:tcW w:w="1399" w:type="dxa"/>
            <w:tcBorders>
              <w:top w:val="nil"/>
              <w:left w:val="nil"/>
              <w:bottom w:val="single" w:sz="4" w:space="0" w:color="5A5A5A"/>
              <w:right w:val="single" w:sz="4" w:space="0" w:color="5A5A5A"/>
            </w:tcBorders>
            <w:shd w:val="clear" w:color="auto" w:fill="auto"/>
            <w:vAlign w:val="center"/>
          </w:tcPr>
          <w:p w14:paraId="348BA76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70.5</w:t>
            </w:r>
          </w:p>
        </w:tc>
        <w:tc>
          <w:tcPr>
            <w:tcW w:w="1260" w:type="dxa"/>
            <w:tcBorders>
              <w:top w:val="nil"/>
              <w:left w:val="nil"/>
              <w:bottom w:val="single" w:sz="4" w:space="0" w:color="5A5A5A"/>
              <w:right w:val="single" w:sz="4" w:space="0" w:color="5A5A5A"/>
            </w:tcBorders>
            <w:shd w:val="clear" w:color="auto" w:fill="auto"/>
            <w:vAlign w:val="center"/>
          </w:tcPr>
          <w:p w14:paraId="6CA32D15"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tcPr>
          <w:p w14:paraId="4B055DB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Baseline (pre –treatment) and one year post insertion of dentures </w:t>
            </w:r>
          </w:p>
        </w:tc>
        <w:tc>
          <w:tcPr>
            <w:tcW w:w="1819" w:type="dxa"/>
            <w:tcBorders>
              <w:top w:val="nil"/>
              <w:left w:val="nil"/>
              <w:bottom w:val="single" w:sz="4" w:space="0" w:color="5A5A5A"/>
              <w:right w:val="single" w:sz="4" w:space="0" w:color="5A5A5A"/>
            </w:tcBorders>
            <w:shd w:val="clear" w:color="auto" w:fill="auto"/>
            <w:vAlign w:val="center"/>
          </w:tcPr>
          <w:p w14:paraId="27E8FC4A" w14:textId="26E9B3B0" w:rsidR="00E56623" w:rsidRPr="00787196" w:rsidRDefault="008B6A46"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-20</w:t>
            </w:r>
          </w:p>
          <w:p w14:paraId="30236F50" w14:textId="64DEE9E6"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auto"/>
            <w:vAlign w:val="center"/>
          </w:tcPr>
          <w:p w14:paraId="5A720E07"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Cost effectiveness between two types of dentures</w:t>
            </w:r>
          </w:p>
        </w:tc>
        <w:tc>
          <w:tcPr>
            <w:tcW w:w="1261" w:type="dxa"/>
            <w:tcBorders>
              <w:top w:val="nil"/>
              <w:left w:val="nil"/>
              <w:bottom w:val="single" w:sz="4" w:space="0" w:color="5A5A5A"/>
              <w:right w:val="single" w:sz="4" w:space="0" w:color="5A5A5A"/>
            </w:tcBorders>
            <w:shd w:val="clear" w:color="auto" w:fill="auto"/>
            <w:vAlign w:val="center"/>
          </w:tcPr>
          <w:p w14:paraId="649104B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499A5BA7" w14:textId="77777777" w:rsidTr="002C4FCD">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5DA4F9AE"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2</w:t>
            </w:r>
            <w:r w:rsidR="008535E9" w:rsidRPr="00787196">
              <w:rPr>
                <w:rFonts w:eastAsia="Times New Roman" w:cs="Arial"/>
                <w:color w:val="000000"/>
                <w:sz w:val="17"/>
                <w:szCs w:val="17"/>
              </w:rPr>
              <w:t>2</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1D0B8006" w14:textId="6D7B1331"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HEYDECKE, THOMASON, LUND AND FEINE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ExcludeAuth="1"&gt;&lt;Author&gt;Heydecke&lt;/Author&gt;&lt;Year&gt;2005&lt;/Year&gt;&lt;RecNum&gt;0&lt;/RecNum&gt;&lt;IDText&gt;The impact of conventional and implant supported prostheses on social and sexual activities in edentulous adults Results from a randomized trial 2 months after treatment&lt;/IDText&gt;&lt;DisplayText&gt;(2005b)&lt;/DisplayText&gt;&lt;record&gt;&lt;dates&gt;&lt;pub-dates&gt;&lt;date&gt;Sep&lt;/date&gt;&lt;/pub-dates&gt;&lt;year&gt;2005&lt;/year&gt;&lt;/dates&gt;&lt;isbn&gt;0300-5712 (Print)&amp;#xD;0300-5712&lt;/isbn&gt;&lt;titles&gt;&lt;title&gt;The impact of conventional and implant supported prostheses on social and sexual activities in edentulous adults Results from a randomized trial 2 months after treatment&lt;/title&gt;&lt;secondary-title&gt;J Dent&lt;/secondary-title&gt;&lt;alt-title&gt;Journal of dentistry&lt;/alt-title&gt;&lt;/titles&gt;&lt;pages&gt;649-57&lt;/pages&gt;&lt;number&gt;8&lt;/number&gt;&lt;contributors&gt;&lt;authors&gt;&lt;author&gt;Heydecke, G.&lt;/author&gt;&lt;author&gt;Thomason, J. M.&lt;/author&gt;&lt;author&gt;Lund, J. P.&lt;/author&gt;&lt;author&gt;Feine, J. S.&lt;/author&gt;&lt;/authors&gt;&lt;/contributors&gt;&lt;edition&gt;2005/09/06&lt;/edition&gt;&lt;language&gt;eng&lt;/language&gt;&lt;added-date format="utc"&gt;1374065288&lt;/added-date&gt;&lt;ref-type name="Journal Article"&gt;17&lt;/ref-type&gt;&lt;auth-address&gt;Faculty of Dentistry, McGill University, 3640 University St, Montreal, Que., Canada H3A 2B2.&lt;/auth-address&gt;&lt;remote-database-provider&gt;Nlm&lt;/remote-database-provider&gt;&lt;rec-number&gt;1011&lt;/rec-number&gt;&lt;last-updated-date format="utc"&gt;1374065288&lt;/last-updated-date&gt;&lt;accession-num&gt;16139696&lt;/accession-num&gt;&lt;electronic-resource-num&gt;10.1016/j.jdent.2005.01.003&lt;/electronic-resource-num&gt;&lt;volume&gt;33&lt;/volume&gt;&lt;/record&gt;&lt;/Cite&gt;&lt;/EndNote&gt;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(2005b)</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5D3B2AA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41E09659"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Mandibular implant retained dentures;</w:t>
            </w:r>
          </w:p>
          <w:p w14:paraId="5FF49EF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468319E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102</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2E85D19E"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50.8 (7.2)</w:t>
            </w:r>
          </w:p>
          <w:p w14:paraId="5EC7694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51.2 (7.7)</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231F6CB7"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079A75B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2 months follow-up</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4BA36B30" w14:textId="7286DF9B"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386CE2" w:rsidRPr="00787196">
              <w:rPr>
                <w:rFonts w:eastAsia="Times New Roman" w:cs="Arial"/>
                <w:color w:val="000000"/>
                <w:sz w:val="17"/>
                <w:szCs w:val="17"/>
              </w:rPr>
              <w:t>-49</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5753EBA0" w14:textId="4876DAC3"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Influence of prostheses on Social, leisure and sexual activities</w:t>
            </w:r>
            <w:r w:rsidR="008B6A46" w:rsidRPr="00787196">
              <w:rPr>
                <w:rFonts w:eastAsia="Times New Roman" w:cs="Arial"/>
                <w:color w:val="000000"/>
                <w:sz w:val="17"/>
                <w:szCs w:val="17"/>
              </w:rPr>
              <w:t xml:space="preserve"> </w:t>
            </w:r>
            <w:r w:rsidR="00690129" w:rsidRPr="00787196">
              <w:rPr>
                <w:rFonts w:eastAsia="Times New Roman" w:cs="Arial"/>
                <w:color w:val="000000"/>
                <w:sz w:val="17"/>
                <w:szCs w:val="17"/>
              </w:rPr>
              <w:t>Social Impact Questionnaire (SIQ)</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4983352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1CF57FAF" w14:textId="77777777" w:rsidTr="006B4681">
        <w:trPr>
          <w:gridAfter w:val="1"/>
          <w:wAfter w:w="14" w:type="dxa"/>
          <w:trHeight w:val="1039"/>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41BAEAA3" w14:textId="77777777" w:rsidR="00E56623" w:rsidRPr="00787196" w:rsidRDefault="008535E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23</w:t>
            </w:r>
          </w:p>
        </w:tc>
        <w:tc>
          <w:tcPr>
            <w:tcW w:w="1943" w:type="dxa"/>
            <w:tcBorders>
              <w:top w:val="nil"/>
              <w:left w:val="nil"/>
              <w:bottom w:val="single" w:sz="4" w:space="0" w:color="5A5A5A"/>
              <w:right w:val="single" w:sz="4" w:space="0" w:color="5A5A5A"/>
            </w:tcBorders>
            <w:shd w:val="clear" w:color="auto" w:fill="auto"/>
            <w:vAlign w:val="center"/>
            <w:hideMark/>
          </w:tcPr>
          <w:p w14:paraId="3AC8484E" w14:textId="700E5095"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HWANG, PATTON, KIM AND KIM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ExcludeAuth="1"&gt;&lt;Author&gt;Hwang&lt;/Author&gt;&lt;Year&gt;2012&lt;/Year&gt;&lt;RecNum&gt;0&lt;/RecNum&gt;&lt;IDText&gt;Relationship between oral impacts on daily performance and chewing ability among independent elders residing in Daejeon City, Korea&lt;/IDText&gt;&lt;DisplayText&gt;(2012)&lt;/DisplayText&gt;&lt;record&gt;&lt;dates&gt;&lt;pub-dates&gt;&lt;date&gt;Jun&lt;/date&gt;&lt;/pub-dates&gt;&lt;year&gt;2012&lt;/year&gt;&lt;/dates&gt;&lt;isbn&gt;0734-0664&lt;/isbn&gt;&lt;titles&gt;&lt;title&gt;Relationship between oral impacts on daily performance and chewing ability among independent elders residing in Daejeon City, Korea&lt;/title&gt;&lt;secondary-title&gt;Gerodontology&lt;/secondary-title&gt;&lt;alt-title&gt;Gerodontology&lt;/alt-title&gt;&lt;/titles&gt;&lt;pages&gt;e481-8&lt;/pages&gt;&lt;number&gt;2&lt;/number&gt;&lt;contributors&gt;&lt;authors&gt;&lt;author&gt;Hwang, S. J.&lt;/author&gt;&lt;author&gt;Patton, L. L.&lt;/author&gt;&lt;author&gt;Kim, J. H.&lt;/author&gt;&lt;author&gt;Kim, H. Y.&lt;/author&gt;&lt;/authors&gt;&lt;/contributors&gt;&lt;edition&gt;2012/01/10&lt;/edition&gt;&lt;language&gt;eng&lt;/language&gt;&lt;added-date format="utc"&gt;1374040089&lt;/added-date&gt;&lt;ref-type name="Journal Article"&gt;17&lt;/ref-type&gt;&lt;auth-address&gt;Department of Dental Hygiene, College of Medical Science, Konyang University, Deajeon, Korea.&lt;/auth-address&gt;&lt;remote-database-provider&gt;Nlm&lt;/remote-database-provider&gt;&lt;rec-number&gt;850&lt;/rec-number&gt;&lt;last-updated-date format="utc"&gt;1374040089&lt;/last-updated-date&gt;&lt;accession-num&gt;22225478&lt;/accession-num&gt;&lt;electronic-resource-num&gt;10.1111/j.1741-2358.2011.00504.x&lt;/electronic-resource-num&gt;&lt;volume&gt;29&lt;/volume&gt;&lt;/record&gt;&lt;/Cite&gt;&lt;/EndNote&gt;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308AB10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Socially active community living elders</w:t>
            </w:r>
          </w:p>
        </w:tc>
        <w:tc>
          <w:tcPr>
            <w:tcW w:w="979" w:type="dxa"/>
            <w:tcBorders>
              <w:top w:val="nil"/>
              <w:left w:val="nil"/>
              <w:bottom w:val="single" w:sz="4" w:space="0" w:color="5A5A5A"/>
              <w:right w:val="single" w:sz="4" w:space="0" w:color="5A5A5A"/>
            </w:tcBorders>
            <w:shd w:val="clear" w:color="auto" w:fill="auto"/>
            <w:vAlign w:val="center"/>
            <w:hideMark/>
          </w:tcPr>
          <w:p w14:paraId="53B71BF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634</w:t>
            </w:r>
          </w:p>
          <w:p w14:paraId="69B42B6F" w14:textId="07AEC43B" w:rsidR="00E56623" w:rsidRPr="00787196" w:rsidRDefault="00E56623" w:rsidP="00B560B3">
            <w:pPr>
              <w:spacing w:before="0" w:after="0" w:line="240" w:lineRule="auto"/>
              <w:jc w:val="center"/>
              <w:rPr>
                <w:rFonts w:eastAsia="Times New Roman" w:cs="Arial"/>
                <w:color w:val="000000"/>
                <w:sz w:val="17"/>
                <w:szCs w:val="17"/>
              </w:rPr>
            </w:pPr>
          </w:p>
        </w:tc>
        <w:tc>
          <w:tcPr>
            <w:tcW w:w="1399" w:type="dxa"/>
            <w:tcBorders>
              <w:top w:val="nil"/>
              <w:left w:val="nil"/>
              <w:bottom w:val="single" w:sz="4" w:space="0" w:color="5A5A5A"/>
              <w:right w:val="single" w:sz="4" w:space="0" w:color="5A5A5A"/>
            </w:tcBorders>
            <w:shd w:val="clear" w:color="auto" w:fill="auto"/>
            <w:vAlign w:val="center"/>
            <w:hideMark/>
          </w:tcPr>
          <w:p w14:paraId="3FF341E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 (26.5)</w:t>
            </w:r>
          </w:p>
        </w:tc>
        <w:tc>
          <w:tcPr>
            <w:tcW w:w="1260" w:type="dxa"/>
            <w:tcBorders>
              <w:top w:val="nil"/>
              <w:left w:val="nil"/>
              <w:bottom w:val="single" w:sz="4" w:space="0" w:color="5A5A5A"/>
              <w:right w:val="single" w:sz="4" w:space="0" w:color="5A5A5A"/>
            </w:tcBorders>
            <w:shd w:val="clear" w:color="auto" w:fill="auto"/>
            <w:vAlign w:val="center"/>
            <w:hideMark/>
          </w:tcPr>
          <w:p w14:paraId="72340911"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 xml:space="preserve">ss sectional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514CBC5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alone</w:t>
            </w:r>
          </w:p>
        </w:tc>
        <w:tc>
          <w:tcPr>
            <w:tcW w:w="1819" w:type="dxa"/>
            <w:tcBorders>
              <w:top w:val="nil"/>
              <w:left w:val="nil"/>
              <w:bottom w:val="single" w:sz="4" w:space="0" w:color="5A5A5A"/>
              <w:right w:val="single" w:sz="4" w:space="0" w:color="5A5A5A"/>
            </w:tcBorders>
            <w:shd w:val="clear" w:color="auto" w:fill="auto"/>
            <w:vAlign w:val="center"/>
            <w:hideMark/>
          </w:tcPr>
          <w:p w14:paraId="07E18C67" w14:textId="510FB6E8"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OIDP</w:t>
            </w:r>
          </w:p>
        </w:tc>
        <w:tc>
          <w:tcPr>
            <w:tcW w:w="1577" w:type="dxa"/>
            <w:tcBorders>
              <w:top w:val="nil"/>
              <w:left w:val="nil"/>
              <w:bottom w:val="single" w:sz="4" w:space="0" w:color="5A5A5A"/>
              <w:right w:val="single" w:sz="4" w:space="0" w:color="5A5A5A"/>
            </w:tcBorders>
            <w:shd w:val="clear" w:color="auto" w:fill="auto"/>
            <w:vAlign w:val="center"/>
            <w:hideMark/>
          </w:tcPr>
          <w:p w14:paraId="72D4137F" w14:textId="7A9D2FB5"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Whether chewing ability can influence </w:t>
            </w:r>
            <w:r w:rsidR="004A69E8" w:rsidRPr="00787196">
              <w:rPr>
                <w:rFonts w:eastAsia="Times New Roman" w:cs="Arial"/>
                <w:color w:val="000000"/>
                <w:sz w:val="17"/>
                <w:szCs w:val="17"/>
              </w:rPr>
              <w:t>OHQoL</w:t>
            </w:r>
          </w:p>
        </w:tc>
        <w:tc>
          <w:tcPr>
            <w:tcW w:w="1261" w:type="dxa"/>
            <w:tcBorders>
              <w:top w:val="nil"/>
              <w:left w:val="nil"/>
              <w:bottom w:val="single" w:sz="4" w:space="0" w:color="5A5A5A"/>
              <w:right w:val="single" w:sz="4" w:space="0" w:color="5A5A5A"/>
            </w:tcBorders>
            <w:shd w:val="clear" w:color="auto" w:fill="auto"/>
            <w:vAlign w:val="center"/>
            <w:hideMark/>
          </w:tcPr>
          <w:p w14:paraId="4CFCE54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N0</w:t>
            </w:r>
          </w:p>
        </w:tc>
      </w:tr>
      <w:tr w:rsidR="00E56623" w:rsidRPr="00787196" w14:paraId="2331CA2F" w14:textId="77777777" w:rsidTr="006B4681">
        <w:trPr>
          <w:gridAfter w:val="1"/>
          <w:wAfter w:w="14" w:type="dxa"/>
          <w:trHeight w:val="697"/>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113025B5" w14:textId="77777777" w:rsidR="00E56623" w:rsidRPr="00787196" w:rsidRDefault="008535E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24</w:t>
            </w:r>
          </w:p>
        </w:tc>
        <w:tc>
          <w:tcPr>
            <w:tcW w:w="1943" w:type="dxa"/>
            <w:tcBorders>
              <w:top w:val="nil"/>
              <w:left w:val="nil"/>
              <w:bottom w:val="single" w:sz="4" w:space="0" w:color="5A5A5A"/>
              <w:right w:val="single" w:sz="4" w:space="0" w:color="5A5A5A"/>
            </w:tcBorders>
            <w:shd w:val="clear" w:color="auto" w:fill="auto"/>
            <w:vAlign w:val="center"/>
            <w:hideMark/>
          </w:tcPr>
          <w:p w14:paraId="7F234F04" w14:textId="562ACA20"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JABBOUR, EMAMI, GRANDMONT, ROMPRE AND FEINE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ExcludeAuth="1"&gt;&lt;Author&gt;Jabbour&lt;/Author&gt;&lt;Year&gt;2012&lt;/Year&gt;&lt;RecNum&gt;0&lt;/RecNum&gt;&lt;IDText&gt;Is oral health-related quality of life stable following rehabilitation with mandibular two-implant overdentures?&lt;/IDText&gt;&lt;DisplayText&gt;(2012)&lt;/DisplayText&gt;&lt;record&gt;&lt;dates&gt;&lt;pub-dates&gt;&lt;date&gt;Oct&lt;/date&gt;&lt;/pub-dates&gt;&lt;year&gt;2012&lt;/year&gt;&lt;/dates&gt;&lt;isbn&gt;0905-7161&lt;/isbn&gt;&lt;titles&gt;&lt;title&gt;Is oral health-related quality of life stable following rehabilitation with mandibular two-implant overdentures?&lt;/title&gt;&lt;secondary-title&gt;Clin Oral Implants Res&lt;/secondary-title&gt;&lt;alt-title&gt;Clinical oral implants research&lt;/alt-title&gt;&lt;/titles&gt;&lt;pages&gt;1205-9&lt;/pages&gt;&lt;number&gt;10&lt;/number&gt;&lt;contributors&gt;&lt;authors&gt;&lt;author&gt;Jabbour, Z.&lt;/author&gt;&lt;author&gt;Emami, E.&lt;/author&gt;&lt;author&gt;de Grandmont, P.&lt;/author&gt;&lt;author&gt;Rompre, P. H.&lt;/author&gt;&lt;author&gt;Feine, J. S.&lt;/author&gt;&lt;/authors&gt;&lt;/contributors&gt;&lt;edition&gt;2011/11/19&lt;/edition&gt;&lt;language&gt;eng&lt;/language&gt;&lt;added-date format="utc"&gt;1374040089&lt;/added-date&gt;&lt;ref-type name="Journal Article"&gt;17&lt;/ref-type&gt;&lt;auth-address&gt;Oral Health and Rehabilitation Research Unit, Faculte de Medecine Dentaire, Universite de Montreal, Montreal, Canada.&lt;/auth-address&gt;&lt;remote-database-provider&gt;Nlm&lt;/remote-database-provider&gt;&lt;rec-number&gt;855&lt;/rec-number&gt;&lt;last-updated-date format="utc"&gt;1374040089&lt;/last-updated-date&gt;&lt;accession-num&gt;22092512&lt;/accession-num&gt;&lt;electronic-resource-num&gt;10.1111/j.1600-0501.2011.02289.x&lt;/electronic-resource-num&gt;&lt;volume&gt;23&lt;/volume&gt;&lt;/record&gt;&lt;/Cite&gt;&lt;/EndNote&gt;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89B4A7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48853E9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Mandibular implant retained dentures;</w:t>
            </w:r>
          </w:p>
          <w:p w14:paraId="3ABF85B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tc>
        <w:tc>
          <w:tcPr>
            <w:tcW w:w="979" w:type="dxa"/>
            <w:tcBorders>
              <w:top w:val="nil"/>
              <w:left w:val="nil"/>
              <w:bottom w:val="single" w:sz="4" w:space="0" w:color="5A5A5A"/>
              <w:right w:val="single" w:sz="4" w:space="0" w:color="5A5A5A"/>
            </w:tcBorders>
            <w:shd w:val="clear" w:color="auto" w:fill="auto"/>
            <w:vAlign w:val="center"/>
            <w:hideMark/>
          </w:tcPr>
          <w:p w14:paraId="6078B8C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153</w:t>
            </w:r>
          </w:p>
        </w:tc>
        <w:tc>
          <w:tcPr>
            <w:tcW w:w="1399" w:type="dxa"/>
            <w:tcBorders>
              <w:top w:val="nil"/>
              <w:left w:val="nil"/>
              <w:bottom w:val="single" w:sz="4" w:space="0" w:color="5A5A5A"/>
              <w:right w:val="single" w:sz="4" w:space="0" w:color="5A5A5A"/>
            </w:tcBorders>
            <w:shd w:val="clear" w:color="auto" w:fill="auto"/>
            <w:vAlign w:val="center"/>
            <w:hideMark/>
          </w:tcPr>
          <w:p w14:paraId="1255B69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71 (4.5)</w:t>
            </w:r>
          </w:p>
        </w:tc>
        <w:tc>
          <w:tcPr>
            <w:tcW w:w="1260" w:type="dxa"/>
            <w:tcBorders>
              <w:top w:val="nil"/>
              <w:left w:val="nil"/>
              <w:bottom w:val="single" w:sz="4" w:space="0" w:color="5A5A5A"/>
              <w:right w:val="single" w:sz="4" w:space="0" w:color="5A5A5A"/>
            </w:tcBorders>
            <w:shd w:val="clear" w:color="auto" w:fill="auto"/>
            <w:vAlign w:val="center"/>
            <w:hideMark/>
          </w:tcPr>
          <w:p w14:paraId="7D4966FC"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0400C5FD" w14:textId="426D3886" w:rsidR="00E56623" w:rsidRPr="00787196" w:rsidRDefault="00E56623" w:rsidP="009962E6">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1 year and 2 year follow-up</w:t>
            </w:r>
          </w:p>
        </w:tc>
        <w:tc>
          <w:tcPr>
            <w:tcW w:w="1819" w:type="dxa"/>
            <w:tcBorders>
              <w:top w:val="nil"/>
              <w:left w:val="nil"/>
              <w:bottom w:val="single" w:sz="4" w:space="0" w:color="5A5A5A"/>
              <w:right w:val="single" w:sz="4" w:space="0" w:color="5A5A5A"/>
            </w:tcBorders>
            <w:shd w:val="clear" w:color="auto" w:fill="auto"/>
            <w:vAlign w:val="center"/>
            <w:hideMark/>
          </w:tcPr>
          <w:p w14:paraId="2CB838E1" w14:textId="79836DFE"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-20</w:t>
            </w:r>
          </w:p>
          <w:p w14:paraId="326ACB88" w14:textId="0F0781A6"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auto"/>
            <w:vAlign w:val="center"/>
            <w:hideMark/>
          </w:tcPr>
          <w:p w14:paraId="460EF84C" w14:textId="48EE54E5" w:rsidR="00E56623" w:rsidRPr="00787196" w:rsidRDefault="00690129"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McGill questionnaire, </w:t>
            </w:r>
            <w:r w:rsidR="00E56623" w:rsidRPr="00787196">
              <w:rPr>
                <w:rFonts w:eastAsia="Times New Roman" w:cs="Arial"/>
                <w:color w:val="000000"/>
                <w:sz w:val="17"/>
                <w:szCs w:val="17"/>
              </w:rPr>
              <w:t xml:space="preserve">Stability of improvement in </w:t>
            </w:r>
            <w:r w:rsidR="004A69E8" w:rsidRPr="00787196">
              <w:rPr>
                <w:rFonts w:eastAsia="Times New Roman" w:cs="Arial"/>
                <w:color w:val="000000"/>
                <w:sz w:val="17"/>
                <w:szCs w:val="17"/>
              </w:rPr>
              <w:t>OHQoL</w:t>
            </w:r>
            <w:r w:rsidR="00E56623" w:rsidRPr="00787196">
              <w:rPr>
                <w:rFonts w:eastAsia="Times New Roman" w:cs="Arial"/>
                <w:color w:val="000000"/>
                <w:sz w:val="17"/>
                <w:szCs w:val="17"/>
              </w:rPr>
              <w:t xml:space="preserve"> over time</w:t>
            </w:r>
          </w:p>
        </w:tc>
        <w:tc>
          <w:tcPr>
            <w:tcW w:w="1261" w:type="dxa"/>
            <w:tcBorders>
              <w:top w:val="nil"/>
              <w:left w:val="nil"/>
              <w:bottom w:val="single" w:sz="4" w:space="0" w:color="5A5A5A"/>
              <w:right w:val="single" w:sz="4" w:space="0" w:color="5A5A5A"/>
            </w:tcBorders>
            <w:shd w:val="clear" w:color="auto" w:fill="auto"/>
            <w:vAlign w:val="center"/>
            <w:hideMark/>
          </w:tcPr>
          <w:p w14:paraId="475857E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ED034FC" w14:textId="77777777" w:rsidTr="006B4681">
        <w:trPr>
          <w:gridAfter w:val="1"/>
          <w:wAfter w:w="14" w:type="dxa"/>
          <w:trHeight w:val="1164"/>
        </w:trPr>
        <w:tc>
          <w:tcPr>
            <w:tcW w:w="435" w:type="dxa"/>
            <w:tcBorders>
              <w:top w:val="nil"/>
              <w:left w:val="single" w:sz="4" w:space="0" w:color="5A5A5A"/>
              <w:bottom w:val="single" w:sz="4" w:space="0" w:color="5A5A5A"/>
              <w:right w:val="single" w:sz="4" w:space="0" w:color="5A5A5A"/>
            </w:tcBorders>
            <w:shd w:val="clear" w:color="auto" w:fill="auto"/>
            <w:vAlign w:val="center"/>
            <w:hideMark/>
          </w:tcPr>
          <w:p w14:paraId="4826318F"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w:t>
            </w:r>
            <w:r w:rsidR="008535E9" w:rsidRPr="00787196">
              <w:rPr>
                <w:rFonts w:eastAsia="Times New Roman" w:cs="Arial"/>
                <w:color w:val="000000"/>
                <w:sz w:val="17"/>
                <w:szCs w:val="17"/>
              </w:rPr>
              <w:t>5</w:t>
            </w:r>
          </w:p>
        </w:tc>
        <w:tc>
          <w:tcPr>
            <w:tcW w:w="1943" w:type="dxa"/>
            <w:tcBorders>
              <w:top w:val="nil"/>
              <w:left w:val="nil"/>
              <w:bottom w:val="single" w:sz="4" w:space="0" w:color="5A5A5A"/>
              <w:right w:val="single" w:sz="4" w:space="0" w:color="5A5A5A"/>
            </w:tcBorders>
            <w:shd w:val="clear" w:color="auto" w:fill="auto"/>
            <w:vAlign w:val="center"/>
            <w:hideMark/>
          </w:tcPr>
          <w:p w14:paraId="7C481589" w14:textId="2E6143FF"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JOHN, SLADE, SZENTPETERY AND SETZ </w:t>
            </w:r>
            <w:r w:rsidR="007D6B7F" w:rsidRPr="00787196">
              <w:rPr>
                <w:rFonts w:eastAsia="Times New Roman" w:cs="Arial"/>
                <w:color w:val="000000"/>
                <w:sz w:val="17"/>
                <w:szCs w:val="17"/>
              </w:rPr>
              <w:fldChar w:fldCharType="begin">
                <w:fldData xml:space="preserve">PEVuZE5vdGU+PENpdGUgRXhjbHVkZUF1dGg9IjEiPjxBdXRob3I+Sm9objwvQXV0aG9yPjxZZWFy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</w:fldData>
              </w:fldChar>
            </w:r>
            <w:r w:rsidR="00223957" w:rsidRPr="00787196">
              <w:rPr>
                <w:rFonts w:eastAsia="Times New Roman" w:cs="Arial"/>
                <w:color w:val="000000"/>
                <w:sz w:val="17"/>
                <w:szCs w:val="17"/>
              </w:rPr>
              <w:instrText xml:space="preserve"> ADDIN EN.CITE </w:instrText>
            </w:r>
            <w:r w:rsidR="00223957" w:rsidRPr="00787196">
              <w:rPr>
                <w:rFonts w:eastAsia="Times New Roman" w:cs="Arial"/>
                <w:color w:val="000000"/>
                <w:sz w:val="17"/>
                <w:szCs w:val="17"/>
              </w:rPr>
              <w:fldChar w:fldCharType="begin">
                <w:fldData xml:space="preserve">PEVuZE5vdGU+PENpdGUgRXhjbHVkZUF1dGg9IjEiPjxBdXRob3I+Sm9objwvQXV0aG9yPjxZZWFy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</w:fldData>
              </w:fldChar>
            </w:r>
            <w:r w:rsidR="00223957" w:rsidRPr="00787196">
              <w:rPr>
                <w:rFonts w:eastAsia="Times New Roman" w:cs="Arial"/>
                <w:color w:val="000000"/>
                <w:sz w:val="17"/>
                <w:szCs w:val="17"/>
              </w:rPr>
              <w:instrText xml:space="preserve"> ADDIN EN.CITE.DATA </w:instrText>
            </w:r>
            <w:r w:rsidR="00223957" w:rsidRPr="00787196">
              <w:rPr>
                <w:rFonts w:eastAsia="Times New Roman" w:cs="Arial"/>
                <w:color w:val="000000"/>
                <w:sz w:val="17"/>
                <w:szCs w:val="17"/>
              </w:rPr>
            </w:r>
            <w:r w:rsidR="00223957" w:rsidRPr="00787196">
              <w:rPr>
                <w:rFonts w:eastAsia="Times New Roman" w:cs="Arial"/>
                <w:color w:val="000000"/>
                <w:sz w:val="17"/>
                <w:szCs w:val="17"/>
              </w:rPr>
              <w:fldChar w:fldCharType="end"/>
            </w:r>
            <w:r w:rsidR="007D6B7F" w:rsidRPr="00787196">
              <w:rPr>
                <w:rFonts w:eastAsia="Times New Roman" w:cs="Arial"/>
                <w:color w:val="000000"/>
                <w:sz w:val="17"/>
                <w:szCs w:val="17"/>
              </w:rPr>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(2004)</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746F19C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3 groups</w:t>
            </w:r>
          </w:p>
          <w:p w14:paraId="653C246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Fixed partial dentures</w:t>
            </w:r>
          </w:p>
          <w:p w14:paraId="4F4C95A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Removable partial dentures</w:t>
            </w:r>
          </w:p>
          <w:p w14:paraId="4815D72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Completer dentures </w:t>
            </w:r>
          </w:p>
        </w:tc>
        <w:tc>
          <w:tcPr>
            <w:tcW w:w="979" w:type="dxa"/>
            <w:tcBorders>
              <w:top w:val="nil"/>
              <w:left w:val="nil"/>
              <w:bottom w:val="single" w:sz="4" w:space="0" w:color="5A5A5A"/>
              <w:right w:val="single" w:sz="4" w:space="0" w:color="5A5A5A"/>
            </w:tcBorders>
            <w:shd w:val="clear" w:color="auto" w:fill="auto"/>
            <w:vAlign w:val="center"/>
            <w:hideMark/>
          </w:tcPr>
          <w:p w14:paraId="08EC92F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107</w:t>
            </w:r>
          </w:p>
        </w:tc>
        <w:tc>
          <w:tcPr>
            <w:tcW w:w="1399" w:type="dxa"/>
            <w:tcBorders>
              <w:top w:val="nil"/>
              <w:left w:val="nil"/>
              <w:bottom w:val="single" w:sz="4" w:space="0" w:color="5A5A5A"/>
              <w:right w:val="single" w:sz="4" w:space="0" w:color="5A5A5A"/>
            </w:tcBorders>
            <w:shd w:val="clear" w:color="auto" w:fill="auto"/>
            <w:vAlign w:val="center"/>
            <w:hideMark/>
          </w:tcPr>
          <w:p w14:paraId="76CF01B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43.8 (12.5)</w:t>
            </w:r>
          </w:p>
          <w:p w14:paraId="7E81D09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60.5 (9.4)</w:t>
            </w:r>
          </w:p>
          <w:p w14:paraId="552B846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68.1 (7.1)</w:t>
            </w:r>
          </w:p>
        </w:tc>
        <w:tc>
          <w:tcPr>
            <w:tcW w:w="1260" w:type="dxa"/>
            <w:tcBorders>
              <w:top w:val="nil"/>
              <w:left w:val="nil"/>
              <w:bottom w:val="single" w:sz="4" w:space="0" w:color="5A5A5A"/>
              <w:right w:val="single" w:sz="4" w:space="0" w:color="5A5A5A"/>
            </w:tcBorders>
            <w:shd w:val="clear" w:color="auto" w:fill="auto"/>
            <w:vAlign w:val="center"/>
            <w:hideMark/>
          </w:tcPr>
          <w:p w14:paraId="0184082B"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413A006F" w14:textId="56316B0B"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Baseline (pre-treatment) and at 1, 6 and 12 months follow-up </w:t>
            </w:r>
          </w:p>
        </w:tc>
        <w:tc>
          <w:tcPr>
            <w:tcW w:w="1819" w:type="dxa"/>
            <w:tcBorders>
              <w:top w:val="nil"/>
              <w:left w:val="nil"/>
              <w:bottom w:val="single" w:sz="4" w:space="0" w:color="5A5A5A"/>
              <w:right w:val="single" w:sz="4" w:space="0" w:color="5A5A5A"/>
            </w:tcBorders>
            <w:shd w:val="clear" w:color="auto" w:fill="auto"/>
            <w:vAlign w:val="center"/>
            <w:hideMark/>
          </w:tcPr>
          <w:p w14:paraId="6690019F" w14:textId="18D6282F" w:rsidR="00690129"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w:t>
            </w:r>
            <w:r w:rsidR="00386CE2" w:rsidRPr="00787196">
              <w:rPr>
                <w:rFonts w:eastAsia="Times New Roman" w:cs="Arial"/>
                <w:color w:val="000000"/>
                <w:sz w:val="17"/>
                <w:szCs w:val="17"/>
              </w:rPr>
              <w:t>IP-</w:t>
            </w:r>
            <w:r w:rsidRPr="00787196">
              <w:rPr>
                <w:rFonts w:eastAsia="Times New Roman" w:cs="Arial"/>
                <w:color w:val="000000"/>
                <w:sz w:val="17"/>
                <w:szCs w:val="17"/>
              </w:rPr>
              <w:t>49</w:t>
            </w:r>
            <w:r w:rsidR="00386CE2" w:rsidRPr="00787196">
              <w:rPr>
                <w:rFonts w:eastAsia="Times New Roman" w:cs="Arial"/>
                <w:color w:val="000000"/>
                <w:sz w:val="17"/>
                <w:szCs w:val="17"/>
              </w:rPr>
              <w:t xml:space="preserve"> G</w:t>
            </w:r>
          </w:p>
          <w:p w14:paraId="692F7F9C" w14:textId="04B270EB"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German version</w:t>
            </w:r>
          </w:p>
        </w:tc>
        <w:tc>
          <w:tcPr>
            <w:tcW w:w="1577" w:type="dxa"/>
            <w:tcBorders>
              <w:top w:val="nil"/>
              <w:left w:val="nil"/>
              <w:bottom w:val="single" w:sz="4" w:space="0" w:color="5A5A5A"/>
              <w:right w:val="single" w:sz="4" w:space="0" w:color="5A5A5A"/>
            </w:tcBorders>
            <w:shd w:val="clear" w:color="auto" w:fill="auto"/>
            <w:vAlign w:val="center"/>
            <w:hideMark/>
          </w:tcPr>
          <w:p w14:paraId="5E3F6E71"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Differences in </w:t>
            </w:r>
            <w:r w:rsidR="004A69E8" w:rsidRPr="00787196">
              <w:rPr>
                <w:rFonts w:eastAsia="Times New Roman" w:cs="Arial"/>
                <w:color w:val="000000"/>
                <w:sz w:val="17"/>
                <w:szCs w:val="17"/>
              </w:rPr>
              <w:t>OHQoL</w:t>
            </w:r>
            <w:r w:rsidRPr="00787196">
              <w:rPr>
                <w:rFonts w:eastAsia="Times New Roman" w:cs="Arial"/>
                <w:color w:val="000000"/>
                <w:sz w:val="17"/>
                <w:szCs w:val="17"/>
              </w:rPr>
              <w:t xml:space="preserve"> based on types of dentures</w:t>
            </w:r>
          </w:p>
          <w:p w14:paraId="427CDF09"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 </w:t>
            </w:r>
          </w:p>
        </w:tc>
        <w:tc>
          <w:tcPr>
            <w:tcW w:w="1261" w:type="dxa"/>
            <w:tcBorders>
              <w:top w:val="nil"/>
              <w:left w:val="nil"/>
              <w:bottom w:val="single" w:sz="4" w:space="0" w:color="5A5A5A"/>
              <w:right w:val="single" w:sz="4" w:space="0" w:color="5A5A5A"/>
            </w:tcBorders>
            <w:shd w:val="clear" w:color="auto" w:fill="auto"/>
            <w:vAlign w:val="center"/>
            <w:hideMark/>
          </w:tcPr>
          <w:p w14:paraId="4B852B0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774EBF" w:rsidRPr="00787196" w14:paraId="1AAE70B6" w14:textId="77777777" w:rsidTr="002C4FCD">
        <w:trPr>
          <w:gridAfter w:val="1"/>
          <w:wAfter w:w="14" w:type="dxa"/>
          <w:trHeight w:val="2518"/>
        </w:trPr>
        <w:tc>
          <w:tcPr>
            <w:tcW w:w="435" w:type="dxa"/>
            <w:tcBorders>
              <w:top w:val="nil"/>
              <w:left w:val="single" w:sz="4" w:space="0" w:color="5A5A5A"/>
              <w:bottom w:val="single" w:sz="4" w:space="0" w:color="5A5A5A"/>
              <w:right w:val="single" w:sz="4" w:space="0" w:color="5A5A5A"/>
            </w:tcBorders>
            <w:shd w:val="clear" w:color="auto" w:fill="auto"/>
            <w:vAlign w:val="center"/>
          </w:tcPr>
          <w:p w14:paraId="03D552D4" w14:textId="27A9D325" w:rsidR="00774EBF"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26</w:t>
            </w:r>
          </w:p>
        </w:tc>
        <w:tc>
          <w:tcPr>
            <w:tcW w:w="1943" w:type="dxa"/>
            <w:tcBorders>
              <w:top w:val="nil"/>
              <w:left w:val="nil"/>
              <w:bottom w:val="single" w:sz="4" w:space="0" w:color="5A5A5A"/>
              <w:right w:val="single" w:sz="4" w:space="0" w:color="5A5A5A"/>
            </w:tcBorders>
            <w:shd w:val="clear" w:color="auto" w:fill="auto"/>
            <w:vAlign w:val="center"/>
          </w:tcPr>
          <w:p w14:paraId="3D1411BB" w14:textId="331DA484" w:rsidR="00232C36" w:rsidRPr="00787196" w:rsidRDefault="009962E6"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KAMALAKIDIS, ANASTASSIADOU, SOFFOU, PISSIOTIS</w:t>
            </w:r>
          </w:p>
          <w:p w14:paraId="29D7451E" w14:textId="46660571" w:rsidR="00774EBF" w:rsidRPr="00787196" w:rsidRDefault="00232C36" w:rsidP="009962E6">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fldChar w:fldCharType="begin"/>
            </w:r>
            <w:r w:rsidR="009962E6" w:rsidRPr="00787196">
              <w:rPr>
                <w:rFonts w:eastAsia="Times New Roman" w:cs="Arial"/>
                <w:color w:val="000000"/>
                <w:sz w:val="17"/>
                <w:szCs w:val="17"/>
              </w:rPr>
              <w:instrText xml:space="preserve"> ADDIN EN.CITE &lt;EndNote&gt;&lt;Cite ExcludeAuth="1"&gt;&lt;Author&gt;Kamalakidis&lt;/Author&gt;&lt;Year&gt;2016&lt;/Year&gt;&lt;IDText&gt;Comparative Study of Acceptance and Adaptation to New Complete Dentures, Using Two Construction Protocols&lt;/IDText&gt;&lt;DisplayText&gt;(2016)&lt;/DisplayText&gt;&lt;record&gt;&lt;isbn&gt;1532-849X&lt;/isbn&gt;&lt;titles&gt;&lt;title&gt;Comparative Study of Acceptance and Adaptation to New Complete Dentures, Using Two Construction Protocols&lt;/title&gt;&lt;secondary-title&gt;Journal of Prosthodontics&lt;/secondary-title&gt;&lt;/titles&gt;&lt;contributors&gt;&lt;authors&gt;&lt;author&gt;Kamalakidis, Savvas N.&lt;/author&gt;&lt;author&gt;Anastassiadou, Vassiliki&lt;/author&gt;&lt;author&gt;Sofou, Afrodite&lt;/author&gt;&lt;author&gt;Pissiotis, Argirios L.&lt;/author&gt;&lt;/authors&gt;&lt;/contributors&gt;&lt;added-date format="utc"&gt;1481296363&lt;/added-date&gt;&lt;ref-type name="Journal Article"&gt;17&lt;/ref-type&gt;&lt;dates&gt;&lt;year&gt;2016&lt;/year&gt;&lt;/dates&gt;&lt;rec-number&gt;2674&lt;/rec-number&gt;&lt;publisher&gt;Wiley Online Library&lt;/publisher&gt;&lt;last-updated-date format="utc"&gt;1481296363&lt;/last-updated-date&gt;&lt;/record&gt;&lt;/Cite&gt;&lt;/EndNote&gt;</w:instrText>
            </w:r>
            <w:r w:rsidRPr="00787196">
              <w:rPr>
                <w:rFonts w:eastAsia="Times New Roman" w:cs="Arial"/>
                <w:color w:val="000000"/>
                <w:sz w:val="17"/>
                <w:szCs w:val="17"/>
              </w:rPr>
              <w:fldChar w:fldCharType="separate"/>
            </w:r>
            <w:r w:rsidR="009962E6" w:rsidRPr="00787196">
              <w:rPr>
                <w:rFonts w:eastAsia="Times New Roman" w:cs="Arial"/>
                <w:noProof/>
                <w:color w:val="000000"/>
                <w:sz w:val="17"/>
                <w:szCs w:val="17"/>
              </w:rPr>
              <w:t>(2016)</w:t>
            </w:r>
            <w:r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428348EB" w14:textId="14E884A9" w:rsidR="00774EBF" w:rsidRPr="00787196" w:rsidRDefault="009411F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In</w:t>
            </w:r>
            <w:r w:rsidR="006B4681" w:rsidRPr="00787196">
              <w:rPr>
                <w:rFonts w:eastAsia="Times New Roman" w:cs="Arial"/>
                <w:color w:val="000000"/>
                <w:sz w:val="17"/>
                <w:szCs w:val="17"/>
              </w:rPr>
              <w:t>di</w:t>
            </w:r>
            <w:r w:rsidRPr="00787196">
              <w:rPr>
                <w:rFonts w:eastAsia="Times New Roman" w:cs="Arial"/>
                <w:color w:val="000000"/>
                <w:sz w:val="17"/>
                <w:szCs w:val="17"/>
              </w:rPr>
              <w:t>viduals seeking replacement complete dentures</w:t>
            </w:r>
          </w:p>
        </w:tc>
        <w:tc>
          <w:tcPr>
            <w:tcW w:w="979" w:type="dxa"/>
            <w:tcBorders>
              <w:top w:val="nil"/>
              <w:left w:val="nil"/>
              <w:bottom w:val="single" w:sz="4" w:space="0" w:color="5A5A5A"/>
              <w:right w:val="single" w:sz="4" w:space="0" w:color="5A5A5A"/>
            </w:tcBorders>
            <w:shd w:val="clear" w:color="auto" w:fill="auto"/>
            <w:vAlign w:val="center"/>
          </w:tcPr>
          <w:p w14:paraId="419141FA" w14:textId="0BB0696E" w:rsidR="00774EBF"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20</w:t>
            </w:r>
          </w:p>
        </w:tc>
        <w:tc>
          <w:tcPr>
            <w:tcW w:w="1399" w:type="dxa"/>
            <w:tcBorders>
              <w:top w:val="nil"/>
              <w:left w:val="nil"/>
              <w:bottom w:val="single" w:sz="4" w:space="0" w:color="5A5A5A"/>
              <w:right w:val="single" w:sz="4" w:space="0" w:color="5A5A5A"/>
            </w:tcBorders>
            <w:shd w:val="clear" w:color="auto" w:fill="auto"/>
            <w:vAlign w:val="center"/>
          </w:tcPr>
          <w:p w14:paraId="09C95A23" w14:textId="240B3133" w:rsidR="00774EBF"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74.2 (7.4)</w:t>
            </w:r>
          </w:p>
          <w:p w14:paraId="7C9CEF28" w14:textId="14B5F881" w:rsidR="009411F9"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71.5 (5.3)</w:t>
            </w:r>
          </w:p>
        </w:tc>
        <w:tc>
          <w:tcPr>
            <w:tcW w:w="1260" w:type="dxa"/>
            <w:tcBorders>
              <w:top w:val="nil"/>
              <w:left w:val="nil"/>
              <w:bottom w:val="single" w:sz="4" w:space="0" w:color="5A5A5A"/>
              <w:right w:val="single" w:sz="4" w:space="0" w:color="5A5A5A"/>
            </w:tcBorders>
            <w:shd w:val="clear" w:color="auto" w:fill="auto"/>
            <w:vAlign w:val="center"/>
          </w:tcPr>
          <w:p w14:paraId="2B8FBB7B" w14:textId="5C6B3E2D" w:rsidR="00774EBF" w:rsidRPr="00787196" w:rsidRDefault="009411F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Cross sectional</w:t>
            </w:r>
          </w:p>
        </w:tc>
        <w:tc>
          <w:tcPr>
            <w:tcW w:w="1678" w:type="dxa"/>
            <w:tcBorders>
              <w:top w:val="nil"/>
              <w:left w:val="nil"/>
              <w:bottom w:val="single" w:sz="4" w:space="0" w:color="5A5A5A"/>
              <w:right w:val="single" w:sz="4" w:space="0" w:color="5A5A5A"/>
            </w:tcBorders>
            <w:shd w:val="clear" w:color="auto" w:fill="auto"/>
            <w:vAlign w:val="center"/>
          </w:tcPr>
          <w:p w14:paraId="44183161" w14:textId="511BA93D" w:rsidR="00774EBF" w:rsidRPr="00787196" w:rsidRDefault="003D5D6F"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only</w:t>
            </w:r>
          </w:p>
        </w:tc>
        <w:tc>
          <w:tcPr>
            <w:tcW w:w="1819" w:type="dxa"/>
            <w:tcBorders>
              <w:top w:val="nil"/>
              <w:left w:val="nil"/>
              <w:bottom w:val="single" w:sz="4" w:space="0" w:color="5A5A5A"/>
              <w:right w:val="single" w:sz="4" w:space="0" w:color="5A5A5A"/>
            </w:tcBorders>
            <w:shd w:val="clear" w:color="auto" w:fill="auto"/>
            <w:vAlign w:val="center"/>
          </w:tcPr>
          <w:p w14:paraId="6F2B2BF4" w14:textId="2D387BA7" w:rsidR="00774EBF" w:rsidRPr="00787196" w:rsidRDefault="003D5D6F"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OHIP-20</w:t>
            </w:r>
          </w:p>
        </w:tc>
        <w:tc>
          <w:tcPr>
            <w:tcW w:w="1577" w:type="dxa"/>
            <w:tcBorders>
              <w:top w:val="nil"/>
              <w:left w:val="nil"/>
              <w:bottom w:val="single" w:sz="4" w:space="0" w:color="5A5A5A"/>
              <w:right w:val="single" w:sz="4" w:space="0" w:color="5A5A5A"/>
            </w:tcBorders>
            <w:shd w:val="clear" w:color="auto" w:fill="auto"/>
            <w:vAlign w:val="center"/>
          </w:tcPr>
          <w:p w14:paraId="6642280C" w14:textId="083EF602" w:rsidR="00774EBF" w:rsidRPr="00787196" w:rsidRDefault="003D5D6F"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To assess difference in OHQoL and complete denture satisfaction questionnaires (CDS) satisfaction levels between two </w:t>
            </w:r>
            <w:r w:rsidR="009962E6" w:rsidRPr="00787196">
              <w:rPr>
                <w:rFonts w:eastAsia="Times New Roman" w:cs="Arial"/>
                <w:color w:val="000000"/>
                <w:sz w:val="17"/>
                <w:szCs w:val="17"/>
              </w:rPr>
              <w:t>construction</w:t>
            </w:r>
            <w:r w:rsidRPr="00787196">
              <w:rPr>
                <w:rFonts w:eastAsia="Times New Roman" w:cs="Arial"/>
                <w:color w:val="000000"/>
                <w:sz w:val="17"/>
                <w:szCs w:val="17"/>
              </w:rPr>
              <w:t xml:space="preserve"> methods</w:t>
            </w:r>
          </w:p>
        </w:tc>
        <w:tc>
          <w:tcPr>
            <w:tcW w:w="1261" w:type="dxa"/>
            <w:tcBorders>
              <w:top w:val="nil"/>
              <w:left w:val="nil"/>
              <w:bottom w:val="single" w:sz="4" w:space="0" w:color="5A5A5A"/>
              <w:right w:val="single" w:sz="4" w:space="0" w:color="5A5A5A"/>
            </w:tcBorders>
            <w:shd w:val="clear" w:color="auto" w:fill="auto"/>
            <w:vAlign w:val="center"/>
          </w:tcPr>
          <w:p w14:paraId="130750AB" w14:textId="53E87416" w:rsidR="00774EBF" w:rsidRPr="00787196" w:rsidRDefault="003D5D6F"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019425C" w14:textId="77777777" w:rsidTr="002C4FCD">
        <w:trPr>
          <w:gridAfter w:val="1"/>
          <w:wAfter w:w="14" w:type="dxa"/>
          <w:trHeight w:val="1739"/>
        </w:trPr>
        <w:tc>
          <w:tcPr>
            <w:tcW w:w="435" w:type="dxa"/>
            <w:tcBorders>
              <w:top w:val="nil"/>
              <w:left w:val="single" w:sz="4" w:space="0" w:color="5A5A5A"/>
              <w:bottom w:val="single" w:sz="4" w:space="0" w:color="5A5A5A"/>
              <w:right w:val="single" w:sz="4" w:space="0" w:color="5A5A5A"/>
            </w:tcBorders>
            <w:shd w:val="clear" w:color="auto" w:fill="auto"/>
            <w:vAlign w:val="center"/>
          </w:tcPr>
          <w:p w14:paraId="248D7D0B" w14:textId="0C939489"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27</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6302CC23" w14:textId="679012C0"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KUBOKI, ICHIKAWA, BABA,HIDESHIMA, SATO,WAKE, NAGAO,UEDA,ONO,</w:t>
            </w:r>
            <w:r w:rsidR="006B4681" w:rsidRPr="00787196">
              <w:rPr>
                <w:rFonts w:eastAsia="Times New Roman" w:cs="Arial"/>
                <w:color w:val="000000"/>
                <w:sz w:val="17"/>
                <w:szCs w:val="17"/>
              </w:rPr>
              <w:t xml:space="preserve">TAMAKI, TSUGA, SAKURAI, SATO, ISHIBASHI, YATANI, OHYAMA, AKAGAWA, HIRAI, SASAKI AND KOYANO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ExcludeAuth="1"&gt;&lt;Author&gt;Kuboki&lt;/Author&gt;&lt;Year&gt;2012&lt;/Year&gt;&lt;RecNum&gt;0&lt;/RecNum&gt;&lt;IDText&gt;A multi-centered epidemiological study evaluating the reliability of the treatment difficulty indices developed by the Japan Prosthodontic Society&lt;/IDText&gt;&lt;DisplayText&gt;(2012)&lt;/DisplayText&gt;&lt;record&gt;&lt;dates&gt;&lt;pub-dates&gt;&lt;date&gt;Apr&lt;/date&gt;&lt;/pub-dates&gt;&lt;year&gt;2012&lt;/year&gt;&lt;/dates&gt;&lt;isbn&gt;1883-1958&lt;/isbn&gt;&lt;titles&gt;&lt;title&gt;A multi-centered epidemiological study evaluating the reliability of the treatment difficulty indices developed by the Japan Prosthodontic Society&lt;/title&gt;&lt;secondary-title&gt;J Prosthodont Res&lt;/secondary-title&gt;&lt;alt-title&gt;Journal of prosthodontic research&lt;/alt-title&gt;&lt;/titles&gt;&lt;pages&gt;71-86&lt;/pages&gt;&lt;number&gt;2&lt;/number&gt;&lt;contributors&gt;&lt;authors&gt;&lt;author&gt;Kuboki, T.&lt;/author&gt;&lt;author&gt;Ichikawa, T.&lt;/author&gt;&lt;author&gt;Baba, K.&lt;/author&gt;&lt;author&gt;Hideshima, M.&lt;/author&gt;&lt;author&gt;Sato, Y.&lt;/author&gt;&lt;author&gt;Wake, H.&lt;/author&gt;&lt;author&gt;Nagao, K.&lt;/author&gt;&lt;author&gt;Kodaira-Ueda, Y.&lt;/author&gt;&lt;author&gt;Kimura-Ono, A.&lt;/author&gt;&lt;author&gt;Tamaki, K.&lt;/author&gt;&lt;author&gt;Tsuga, K.&lt;/author&gt;&lt;author&gt;Sakurai, K.&lt;/author&gt;&lt;author&gt;Sato, H.&lt;/author&gt;&lt;author&gt;Ishibashi, K.&lt;/author&gt;&lt;author&gt;Yatani, H.&lt;/author&gt;&lt;author&gt;Ohyama, T.&lt;/author&gt;&lt;author&gt;Akagawa, Y.&lt;/author&gt;&lt;author&gt;Hirai, T.&lt;/author&gt;&lt;author&gt;Sasaki, K.&lt;/author&gt;&lt;author&gt;Koyano, K.&lt;/author&gt;&lt;/authors&gt;&lt;/contributors&gt;&lt;edition&gt;2012/04/27&lt;/edition&gt;&lt;language&gt;eng&lt;/language&gt;&lt;added-date format="utc"&gt;1374040089&lt;/added-date&gt;&lt;ref-type name="Journal Article"&gt;17&lt;/ref-type&gt;&lt;auth-address&gt;Department of Oral Rehabilitation and Regenerative Medicine, Okayama University Graduate School of Medicine, Dentistry andPharmaceutical Sciences, 2-5-1 Shikata-cho, Kita-ku, Okayama, Japan.kuboki@md.okayama-u.ac.jp&lt;/auth-address&gt;&lt;remote-database-provider&gt;Nlm&lt;/remote-database-provider&gt;&lt;rec-number&gt;841&lt;/rec-number&gt;&lt;last-updated-date format="utc"&gt;1374040089&lt;/last-updated-date&gt;&lt;accession-num&gt;22534566&lt;/accession-num&gt;&lt;electronic-resource-num&gt;10.1016/j.jpor.2012.02.007&lt;/electronic-resource-num&gt;&lt;volume&gt;56&lt;/volume&gt;&lt;/record&gt;&lt;/Cite&gt;&lt;/EndNote&gt;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7D5E3CF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 3 groups</w:t>
            </w:r>
          </w:p>
          <w:p w14:paraId="2354EEC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Edentulous</w:t>
            </w:r>
          </w:p>
          <w:p w14:paraId="0C58FA4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Partially edentulous</w:t>
            </w:r>
          </w:p>
          <w:p w14:paraId="4C8608D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Patients with teeth problems</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4D0D65B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151</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1604CA6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66.3 (11.5)</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50D54A2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Multi-axi</w:t>
            </w:r>
            <w:r w:rsidR="001F3E4C" w:rsidRPr="00787196">
              <w:rPr>
                <w:rFonts w:eastAsia="Times New Roman" w:cs="Arial"/>
                <w:color w:val="000000"/>
                <w:sz w:val="17"/>
                <w:szCs w:val="17"/>
              </w:rPr>
              <w:t xml:space="preserve">s. Longitudinal assessment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218A7C4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Measurement at baseline and 2 weeks after first visit </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0BD4CBB1" w14:textId="68E3B012" w:rsidR="00386CE2"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 xml:space="preserve">OHIP </w:t>
            </w:r>
            <w:r w:rsidR="00386CE2" w:rsidRPr="00787196">
              <w:rPr>
                <w:rFonts w:eastAsia="Times New Roman" w:cs="Arial"/>
                <w:color w:val="000000"/>
                <w:sz w:val="17"/>
                <w:szCs w:val="17"/>
              </w:rPr>
              <w:t>–</w:t>
            </w:r>
            <w:r w:rsidR="00690129" w:rsidRPr="00787196">
              <w:rPr>
                <w:rFonts w:eastAsia="Times New Roman" w:cs="Arial"/>
                <w:color w:val="000000"/>
                <w:sz w:val="17"/>
                <w:szCs w:val="17"/>
              </w:rPr>
              <w:t xml:space="preserve"> </w:t>
            </w:r>
            <w:r w:rsidR="00386CE2" w:rsidRPr="00787196">
              <w:rPr>
                <w:rFonts w:eastAsia="Times New Roman" w:cs="Arial"/>
                <w:color w:val="000000"/>
                <w:sz w:val="17"/>
                <w:szCs w:val="17"/>
              </w:rPr>
              <w:t>49</w:t>
            </w:r>
          </w:p>
          <w:p w14:paraId="58CDAB65" w14:textId="7D9705BC"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Japanese version</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65351D1A"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Evaluation of a multi-axis assessment scheme introduced for prosthodontic treatment</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41AA5F5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49304030" w14:textId="77777777" w:rsidTr="006B4681">
        <w:trPr>
          <w:gridAfter w:val="1"/>
          <w:wAfter w:w="14" w:type="dxa"/>
          <w:trHeight w:val="991"/>
        </w:trPr>
        <w:tc>
          <w:tcPr>
            <w:tcW w:w="435" w:type="dxa"/>
            <w:tcBorders>
              <w:top w:val="nil"/>
              <w:left w:val="single" w:sz="4" w:space="0" w:color="5A5A5A"/>
              <w:bottom w:val="single" w:sz="4" w:space="0" w:color="5A5A5A"/>
              <w:right w:val="single" w:sz="4" w:space="0" w:color="5A5A5A"/>
            </w:tcBorders>
            <w:shd w:val="clear" w:color="auto" w:fill="auto"/>
            <w:vAlign w:val="center"/>
          </w:tcPr>
          <w:p w14:paraId="24139984" w14:textId="189534DF"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28</w:t>
            </w:r>
          </w:p>
        </w:tc>
        <w:tc>
          <w:tcPr>
            <w:tcW w:w="1943" w:type="dxa"/>
            <w:tcBorders>
              <w:top w:val="nil"/>
              <w:left w:val="nil"/>
              <w:bottom w:val="single" w:sz="4" w:space="0" w:color="5A5A5A"/>
              <w:right w:val="single" w:sz="4" w:space="0" w:color="5A5A5A"/>
            </w:tcBorders>
            <w:shd w:val="clear" w:color="auto" w:fill="auto"/>
            <w:vAlign w:val="center"/>
          </w:tcPr>
          <w:p w14:paraId="1EF52B7B" w14:textId="309EEEE5"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LEE, YANG, HO AND LEE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ExcludeAuth="1"&gt;&lt;Author&gt;Lee&lt;/Author&gt;&lt;Year&gt;2012&lt;/Year&gt;&lt;RecNum&gt;0&lt;/RecNum&gt;&lt;IDText&gt;Exploring the quality of life after denture-wearing within elders in Kaohsiung&lt;/IDText&gt;&lt;DisplayText&gt;(2012)&lt;/DisplayText&gt;&lt;record&gt;&lt;dates&gt;&lt;pub-dates&gt;&lt;date&gt;Jun&lt;/date&gt;&lt;/pub-dates&gt;&lt;year&gt;2012&lt;/year&gt;&lt;/dates&gt;&lt;isbn&gt;0734-0664&lt;/isbn&gt;&lt;titles&gt;&lt;title&gt;Exploring the quality of life after denture-wearing within elders in Kaohsiung&lt;/title&gt;&lt;secondary-title&gt;Gerodontology&lt;/secondary-title&gt;&lt;alt-title&gt;Gerodontology&lt;/alt-title&gt;&lt;/titles&gt;&lt;pages&gt;e1067-77&lt;/pages&gt;&lt;number&gt;2&lt;/number&gt;&lt;contributors&gt;&lt;authors&gt;&lt;author&gt;Lee, I. C.&lt;/author&gt;&lt;author&gt;Yang, Y. H.&lt;/author&gt;&lt;author&gt;Ho, P. S.&lt;/author&gt;&lt;/authors&gt;&lt;/contributors&gt;&lt;edition&gt;2012/01/27&lt;/edition&gt;&lt;language&gt;eng&lt;/language&gt;&lt;added-date format="utc"&gt;1374040089&lt;/added-date&gt;&lt;ref-type name="Journal Article"&gt;17&lt;/ref-type&gt;&lt;auth-address&gt;Graduate Institute of Healthcare Administration, Kaohsiung Medical University, Kaohsiung, Taiwan.&lt;/auth-address&gt;&lt;remote-database-provider&gt;Nlm&lt;/remote-database-provider&gt;&lt;rec-number&gt;846&lt;/rec-number&gt;&lt;last-updated-date format="utc"&gt;1385713712&lt;/last-updated-date&gt;&lt;accession-num&gt;22276983&lt;/accession-num&gt;&lt;electronic-resource-num&gt;10.1111/j.1741-2358.2012.00614.x&lt;/electronic-resource-num&gt;&lt;volume&gt;29&lt;/volume&gt;&lt;/record&gt;&lt;/Cite&gt;&lt;/EndNote&gt;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3E91CEF2"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Elderly divided into 3 groups</w:t>
            </w:r>
          </w:p>
          <w:p w14:paraId="7ABCFBC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Edentulous and satisfied </w:t>
            </w:r>
          </w:p>
          <w:p w14:paraId="3F1396F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Edentulous and not satisfied with dentures</w:t>
            </w:r>
          </w:p>
          <w:p w14:paraId="6D92AEC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Dentulous</w:t>
            </w:r>
          </w:p>
        </w:tc>
        <w:tc>
          <w:tcPr>
            <w:tcW w:w="979" w:type="dxa"/>
            <w:tcBorders>
              <w:top w:val="nil"/>
              <w:left w:val="nil"/>
              <w:bottom w:val="single" w:sz="4" w:space="0" w:color="5A5A5A"/>
              <w:right w:val="single" w:sz="4" w:space="0" w:color="5A5A5A"/>
            </w:tcBorders>
            <w:shd w:val="clear" w:color="auto" w:fill="auto"/>
            <w:vAlign w:val="center"/>
          </w:tcPr>
          <w:p w14:paraId="2F482BF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1332</w:t>
            </w:r>
          </w:p>
        </w:tc>
        <w:tc>
          <w:tcPr>
            <w:tcW w:w="1399" w:type="dxa"/>
            <w:tcBorders>
              <w:top w:val="nil"/>
              <w:left w:val="nil"/>
              <w:bottom w:val="single" w:sz="4" w:space="0" w:color="5A5A5A"/>
              <w:right w:val="single" w:sz="4" w:space="0" w:color="5A5A5A"/>
            </w:tcBorders>
            <w:shd w:val="clear" w:color="auto" w:fill="auto"/>
            <w:vAlign w:val="center"/>
          </w:tcPr>
          <w:p w14:paraId="7ECA64A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74.05</w:t>
            </w:r>
          </w:p>
        </w:tc>
        <w:tc>
          <w:tcPr>
            <w:tcW w:w="1260" w:type="dxa"/>
            <w:tcBorders>
              <w:top w:val="nil"/>
              <w:left w:val="nil"/>
              <w:bottom w:val="single" w:sz="4" w:space="0" w:color="5A5A5A"/>
              <w:right w:val="single" w:sz="4" w:space="0" w:color="5A5A5A"/>
            </w:tcBorders>
            <w:shd w:val="clear" w:color="auto" w:fill="auto"/>
            <w:vAlign w:val="center"/>
          </w:tcPr>
          <w:p w14:paraId="3583A1E0"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 xml:space="preserve">ss sectional observational </w:t>
            </w:r>
          </w:p>
        </w:tc>
        <w:tc>
          <w:tcPr>
            <w:tcW w:w="1678" w:type="dxa"/>
            <w:tcBorders>
              <w:top w:val="nil"/>
              <w:left w:val="nil"/>
              <w:bottom w:val="single" w:sz="4" w:space="0" w:color="5A5A5A"/>
              <w:right w:val="single" w:sz="4" w:space="0" w:color="5A5A5A"/>
            </w:tcBorders>
            <w:shd w:val="clear" w:color="auto" w:fill="auto"/>
            <w:vAlign w:val="center"/>
          </w:tcPr>
          <w:p w14:paraId="15E5CE2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only</w:t>
            </w:r>
          </w:p>
        </w:tc>
        <w:tc>
          <w:tcPr>
            <w:tcW w:w="1819" w:type="dxa"/>
            <w:tcBorders>
              <w:top w:val="nil"/>
              <w:left w:val="nil"/>
              <w:bottom w:val="single" w:sz="4" w:space="0" w:color="5A5A5A"/>
              <w:right w:val="single" w:sz="4" w:space="0" w:color="5A5A5A"/>
            </w:tcBorders>
            <w:shd w:val="clear" w:color="auto" w:fill="auto"/>
            <w:vAlign w:val="center"/>
          </w:tcPr>
          <w:p w14:paraId="0F81AFFF" w14:textId="01E68260" w:rsidR="00386CE2" w:rsidRPr="00787196" w:rsidRDefault="00F71F6B"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386CE2" w:rsidRPr="00787196">
              <w:rPr>
                <w:rFonts w:eastAsia="Times New Roman" w:cs="Arial"/>
                <w:color w:val="000000"/>
                <w:sz w:val="17"/>
                <w:szCs w:val="17"/>
              </w:rPr>
              <w:t xml:space="preserve"> -49</w:t>
            </w:r>
          </w:p>
          <w:p w14:paraId="2C2204A9" w14:textId="7D4989B2"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(Chinese version)</w:t>
            </w:r>
          </w:p>
        </w:tc>
        <w:tc>
          <w:tcPr>
            <w:tcW w:w="1577" w:type="dxa"/>
            <w:tcBorders>
              <w:top w:val="nil"/>
              <w:left w:val="nil"/>
              <w:bottom w:val="single" w:sz="4" w:space="0" w:color="5A5A5A"/>
              <w:right w:val="single" w:sz="4" w:space="0" w:color="5A5A5A"/>
            </w:tcBorders>
            <w:shd w:val="clear" w:color="auto" w:fill="auto"/>
            <w:vAlign w:val="center"/>
          </w:tcPr>
          <w:p w14:paraId="3019891C"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Denture replacement </w:t>
            </w:r>
          </w:p>
        </w:tc>
        <w:tc>
          <w:tcPr>
            <w:tcW w:w="1261" w:type="dxa"/>
            <w:tcBorders>
              <w:top w:val="nil"/>
              <w:left w:val="nil"/>
              <w:bottom w:val="single" w:sz="4" w:space="0" w:color="5A5A5A"/>
              <w:right w:val="single" w:sz="4" w:space="0" w:color="5A5A5A"/>
            </w:tcBorders>
            <w:shd w:val="clear" w:color="auto" w:fill="auto"/>
            <w:vAlign w:val="center"/>
          </w:tcPr>
          <w:p w14:paraId="5EADB61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248F0234" w14:textId="77777777" w:rsidTr="006B4681">
        <w:trPr>
          <w:gridAfter w:val="1"/>
          <w:wAfter w:w="14" w:type="dxa"/>
          <w:trHeight w:val="1350"/>
        </w:trPr>
        <w:tc>
          <w:tcPr>
            <w:tcW w:w="435" w:type="dxa"/>
            <w:tcBorders>
              <w:top w:val="nil"/>
              <w:left w:val="single" w:sz="4" w:space="0" w:color="5A5A5A"/>
              <w:bottom w:val="single" w:sz="4" w:space="0" w:color="5A5A5A"/>
              <w:right w:val="single" w:sz="4" w:space="0" w:color="5A5A5A"/>
            </w:tcBorders>
            <w:shd w:val="clear" w:color="auto" w:fill="auto"/>
            <w:vAlign w:val="center"/>
          </w:tcPr>
          <w:p w14:paraId="5B1B607B" w14:textId="2F1A1D03"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29</w:t>
            </w:r>
          </w:p>
        </w:tc>
        <w:tc>
          <w:tcPr>
            <w:tcW w:w="1943" w:type="dxa"/>
            <w:tcBorders>
              <w:top w:val="nil"/>
              <w:left w:val="nil"/>
              <w:bottom w:val="single" w:sz="4" w:space="0" w:color="5A5A5A"/>
              <w:right w:val="single" w:sz="4" w:space="0" w:color="5A5A5A"/>
            </w:tcBorders>
            <w:shd w:val="clear" w:color="auto" w:fill="auto"/>
            <w:vAlign w:val="center"/>
            <w:hideMark/>
          </w:tcPr>
          <w:p w14:paraId="44512FDE" w14:textId="11B2D94A"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LOCKER, MATEAR, STEPHENS, LAWRENCE AND PAYNE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ExcludeAuth="1"&gt;&lt;Author&gt;Locker&lt;/Author&gt;&lt;Year&gt;2001&lt;/Year&gt;&lt;RecNum&gt;0&lt;/RecNum&gt;&lt;IDText&gt;Comparison of the GOHAI and OHIP-14 as measures of the oral health-related quality of life of the elderly&lt;/IDText&gt;&lt;DisplayText&gt;(2001)&lt;/DisplayText&gt;&lt;record&gt;&lt;dates&gt;&lt;pub-dates&gt;&lt;date&gt;Oct&lt;/date&gt;&lt;/pub-dates&gt;&lt;year&gt;2001&lt;/year&gt;&lt;/dates&gt;&lt;isbn&gt;0301-5661 (Print)&amp;#xD;0301-5661&lt;/isbn&gt;&lt;titles&gt;&lt;title&gt;Comparison of the GOHAI and OHIP-14 as measures of the oral health-related quality of life of the elderly&lt;/title&gt;&lt;secondary-title&gt;Community Dent Oral Epidemiol&lt;/secondary-title&gt;&lt;alt-title&gt;Community dentistry and oral epidemiology&lt;/alt-title&gt;&lt;/titles&gt;&lt;pages&gt;373-81&lt;/pages&gt;&lt;number&gt;5&lt;/number&gt;&lt;contributors&gt;&lt;authors&gt;&lt;author&gt;Locker, D.&lt;/author&gt;&lt;author&gt;Matear, D.&lt;/author&gt;&lt;author&gt;Stephens, M.&lt;/author&gt;&lt;author&gt;Lawrence, H.&lt;/author&gt;&lt;author&gt;Payne, B.&lt;/author&gt;&lt;/authors&gt;&lt;/contributors&gt;&lt;edition&gt;2001/09/13&lt;/edition&gt;&lt;language&gt;eng&lt;/language&gt;&lt;added-date format="utc"&gt;1374065288&lt;/added-date&gt;&lt;ref-type name="Journal Article"&gt;17&lt;/ref-type&gt;&lt;auth-address&gt;Community Dental Health Services Research Unit, Faculty of Dentistry, University of Toronto, Ontario, Canada. david.locker@utoronto.ca&lt;/auth-address&gt;&lt;remote-database-provider&gt;Nlm&lt;/remote-database-provider&gt;&lt;rec-number&gt;1068&lt;/rec-number&gt;&lt;last-updated-date format="utc"&gt;1374065288&lt;/last-updated-date&gt;&lt;accession-num&gt;11553110&lt;/accession-num&gt;&lt;volume&gt;29&lt;/volume&gt;&lt;/record&gt;&lt;/Cite&gt;&lt;/EndNote&gt;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(2001)</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79A621A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1 group of elderly people </w:t>
            </w:r>
          </w:p>
        </w:tc>
        <w:tc>
          <w:tcPr>
            <w:tcW w:w="979" w:type="dxa"/>
            <w:tcBorders>
              <w:top w:val="nil"/>
              <w:left w:val="nil"/>
              <w:bottom w:val="single" w:sz="4" w:space="0" w:color="5A5A5A"/>
              <w:right w:val="single" w:sz="4" w:space="0" w:color="5A5A5A"/>
            </w:tcBorders>
            <w:shd w:val="clear" w:color="auto" w:fill="auto"/>
            <w:vAlign w:val="center"/>
            <w:hideMark/>
          </w:tcPr>
          <w:p w14:paraId="7566D55E" w14:textId="10377EE5" w:rsidR="00E56623" w:rsidRPr="00787196" w:rsidRDefault="00E56623" w:rsidP="006B4681">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225 (71%-</w:t>
            </w:r>
            <w:r w:rsidRPr="00787196">
              <w:rPr>
                <w:rFonts w:eastAsia="Times New Roman" w:cs="Arial"/>
                <w:color w:val="000000"/>
                <w:sz w:val="16"/>
                <w:szCs w:val="16"/>
              </w:rPr>
              <w:t>removable dentures</w:t>
            </w:r>
            <w:r w:rsidRPr="00787196">
              <w:rPr>
                <w:rFonts w:eastAsia="Times New Roman" w:cs="Arial"/>
                <w:color w:val="000000"/>
                <w:sz w:val="17"/>
                <w:szCs w:val="17"/>
              </w:rPr>
              <w:t>)</w:t>
            </w:r>
          </w:p>
        </w:tc>
        <w:tc>
          <w:tcPr>
            <w:tcW w:w="1399" w:type="dxa"/>
            <w:tcBorders>
              <w:top w:val="nil"/>
              <w:left w:val="nil"/>
              <w:bottom w:val="single" w:sz="4" w:space="0" w:color="5A5A5A"/>
              <w:right w:val="single" w:sz="4" w:space="0" w:color="5A5A5A"/>
            </w:tcBorders>
            <w:shd w:val="clear" w:color="auto" w:fill="auto"/>
            <w:vAlign w:val="center"/>
            <w:hideMark/>
          </w:tcPr>
          <w:p w14:paraId="05146A2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83</w:t>
            </w:r>
          </w:p>
        </w:tc>
        <w:tc>
          <w:tcPr>
            <w:tcW w:w="1260" w:type="dxa"/>
            <w:tcBorders>
              <w:top w:val="nil"/>
              <w:left w:val="nil"/>
              <w:bottom w:val="single" w:sz="4" w:space="0" w:color="5A5A5A"/>
              <w:right w:val="single" w:sz="4" w:space="0" w:color="5A5A5A"/>
            </w:tcBorders>
            <w:shd w:val="clear" w:color="auto" w:fill="auto"/>
            <w:vAlign w:val="center"/>
            <w:hideMark/>
          </w:tcPr>
          <w:p w14:paraId="7B39A033" w14:textId="120758F9" w:rsidR="00E56623" w:rsidRPr="00787196" w:rsidRDefault="00E56623" w:rsidP="006B4681">
            <w:pPr>
              <w:spacing w:before="0" w:after="0" w:line="240" w:lineRule="auto"/>
              <w:rPr>
                <w:rFonts w:eastAsia="Times New Roman" w:cs="Arial"/>
                <w:color w:val="000000"/>
                <w:sz w:val="17"/>
                <w:szCs w:val="17"/>
              </w:rPr>
            </w:pPr>
            <w:r w:rsidRPr="00787196">
              <w:rPr>
                <w:rFonts w:eastAsia="Times New Roman" w:cs="Arial"/>
                <w:color w:val="000000"/>
                <w:sz w:val="17"/>
                <w:szCs w:val="17"/>
              </w:rPr>
              <w:t>Cros</w:t>
            </w:r>
            <w:r w:rsidR="001F3E4C" w:rsidRPr="00787196">
              <w:rPr>
                <w:rFonts w:eastAsia="Times New Roman" w:cs="Arial"/>
                <w:color w:val="000000"/>
                <w:sz w:val="17"/>
                <w:szCs w:val="17"/>
              </w:rPr>
              <w:t xml:space="preserve">s sectional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6CC3C7A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Measured after a personal interview. Reference period of 1 year </w:t>
            </w:r>
          </w:p>
        </w:tc>
        <w:tc>
          <w:tcPr>
            <w:tcW w:w="1819" w:type="dxa"/>
            <w:tcBorders>
              <w:top w:val="nil"/>
              <w:left w:val="nil"/>
              <w:bottom w:val="single" w:sz="4" w:space="0" w:color="5A5A5A"/>
              <w:right w:val="single" w:sz="4" w:space="0" w:color="5A5A5A"/>
            </w:tcBorders>
            <w:shd w:val="clear" w:color="auto" w:fill="auto"/>
            <w:vAlign w:val="center"/>
            <w:hideMark/>
          </w:tcPr>
          <w:p w14:paraId="2DCF26B7" w14:textId="55B216BE"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GOHAI,</w:t>
            </w:r>
            <w:r w:rsidR="00F71F6B" w:rsidRPr="00787196">
              <w:rPr>
                <w:rFonts w:eastAsia="Times New Roman" w:cs="Arial"/>
                <w:color w:val="000000"/>
                <w:sz w:val="17"/>
                <w:szCs w:val="17"/>
              </w:rPr>
              <w:t xml:space="preserve"> </w:t>
            </w:r>
            <w:r w:rsidRPr="00787196">
              <w:rPr>
                <w:rFonts w:eastAsia="Times New Roman" w:cs="Arial"/>
                <w:color w:val="000000"/>
                <w:sz w:val="17"/>
                <w:szCs w:val="17"/>
              </w:rPr>
              <w:t>OHIP-14</w:t>
            </w:r>
          </w:p>
        </w:tc>
        <w:tc>
          <w:tcPr>
            <w:tcW w:w="1577" w:type="dxa"/>
            <w:tcBorders>
              <w:top w:val="nil"/>
              <w:left w:val="nil"/>
              <w:bottom w:val="single" w:sz="4" w:space="0" w:color="5A5A5A"/>
              <w:right w:val="single" w:sz="4" w:space="0" w:color="5A5A5A"/>
            </w:tcBorders>
            <w:shd w:val="clear" w:color="auto" w:fill="auto"/>
            <w:vAlign w:val="center"/>
            <w:hideMark/>
          </w:tcPr>
          <w:p w14:paraId="7F0CF43F" w14:textId="2C1F6CE3" w:rsidR="00E56623" w:rsidRPr="00787196" w:rsidRDefault="00F71F6B"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Activities of daily living (ADL), Perceived stress questionnaire (PSQ)</w:t>
            </w:r>
          </w:p>
        </w:tc>
        <w:tc>
          <w:tcPr>
            <w:tcW w:w="1261" w:type="dxa"/>
            <w:tcBorders>
              <w:top w:val="nil"/>
              <w:left w:val="nil"/>
              <w:bottom w:val="single" w:sz="4" w:space="0" w:color="5A5A5A"/>
              <w:right w:val="single" w:sz="4" w:space="0" w:color="5A5A5A"/>
            </w:tcBorders>
            <w:shd w:val="clear" w:color="auto" w:fill="auto"/>
            <w:vAlign w:val="center"/>
            <w:hideMark/>
          </w:tcPr>
          <w:p w14:paraId="2F0316D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0CEB444E" w14:textId="77777777" w:rsidTr="006B4681">
        <w:trPr>
          <w:gridAfter w:val="1"/>
          <w:wAfter w:w="14" w:type="dxa"/>
          <w:trHeight w:val="1343"/>
        </w:trPr>
        <w:tc>
          <w:tcPr>
            <w:tcW w:w="435" w:type="dxa"/>
            <w:tcBorders>
              <w:top w:val="nil"/>
              <w:left w:val="single" w:sz="4" w:space="0" w:color="5A5A5A"/>
              <w:bottom w:val="single" w:sz="4" w:space="0" w:color="5A5A5A"/>
              <w:right w:val="single" w:sz="4" w:space="0" w:color="5A5A5A"/>
            </w:tcBorders>
            <w:shd w:val="clear" w:color="auto" w:fill="FFFFFF"/>
            <w:vAlign w:val="center"/>
          </w:tcPr>
          <w:p w14:paraId="1D545A29" w14:textId="17D7D94E"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30</w:t>
            </w:r>
          </w:p>
        </w:tc>
        <w:tc>
          <w:tcPr>
            <w:tcW w:w="1943" w:type="dxa"/>
            <w:tcBorders>
              <w:top w:val="nil"/>
              <w:left w:val="nil"/>
              <w:bottom w:val="single" w:sz="4" w:space="0" w:color="5A5A5A"/>
              <w:right w:val="single" w:sz="4" w:space="0" w:color="5A5A5A"/>
            </w:tcBorders>
            <w:shd w:val="clear" w:color="auto" w:fill="FFFFFF"/>
            <w:vAlign w:val="center"/>
            <w:hideMark/>
          </w:tcPr>
          <w:p w14:paraId="4813A57F" w14:textId="50F8B576" w:rsidR="00E56623" w:rsidRPr="00787196" w:rsidRDefault="00FE5527"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LOCKER AND ALLEN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ExcludeAuth="1"&gt;&lt;Author&gt;Locker&lt;/Author&gt;&lt;Year&gt;2002&lt;/Year&gt;&lt;RecNum&gt;0&lt;/RecNum&gt;&lt;IDText&gt;Developing short-form measures of oral health-related quality of life&lt;/IDText&gt;&lt;DisplayText&gt;(2002)&lt;/DisplayText&gt;&lt;record&gt;&lt;dates&gt;&lt;pub-dates&gt;&lt;date&gt;Winter&lt;/date&gt;&lt;/pub-dates&gt;&lt;year&gt;2002&lt;/year&gt;&lt;/dates&gt;&lt;isbn&gt;0022-4006 (Print)&amp;#xD;0022-4006&lt;/isbn&gt;&lt;titles&gt;&lt;title&gt;Developing short-form measures of oral health-related quality of life&lt;/title&gt;&lt;secondary-title&gt;J Public Health Dent&lt;/secondary-title&gt;&lt;alt-title&gt;Journal of public health dentistry&lt;/alt-title&gt;&lt;/titles&gt;&lt;pages&gt;13-20&lt;/pages&gt;&lt;number&gt;1&lt;/number&gt;&lt;contributors&gt;&lt;authors&gt;&lt;author&gt;Locker, D.&lt;/author&gt;&lt;author&gt;Allen, P. F.&lt;/author&gt;&lt;/authors&gt;&lt;/contributors&gt;&lt;edition&gt;2004/01/01&lt;/edition&gt;&lt;language&gt;eng&lt;/language&gt;&lt;added-date format="utc"&gt;1374065288&lt;/added-date&gt;&lt;ref-type name="Journal Article"&gt;17&lt;/ref-type&gt;&lt;auth-address&gt;Faculty of Dentistry, University of Toronto, 124 Edward Street, Toronto, Ontario M5G 1G6, Canada. david.locker@utoronto.ca&lt;/auth-address&gt;&lt;remote-database-provider&gt;Nlm&lt;/remote-database-provider&gt;&lt;rec-number&gt;1032&lt;/rec-number&gt;&lt;last-updated-date format="utc"&gt;1374065288&lt;/last-updated-date&gt;&lt;accession-num&gt;14700084&lt;/accession-num&gt;&lt;volume&gt;62&lt;/volume&gt;&lt;/record&gt;&lt;/Cite&gt;&lt;/EndNote&gt;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FFFFFF"/>
            <w:vAlign w:val="center"/>
            <w:hideMark/>
          </w:tcPr>
          <w:p w14:paraId="34C0C15E" w14:textId="115A7FD3"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Community dwelling older adults</w:t>
            </w:r>
          </w:p>
        </w:tc>
        <w:tc>
          <w:tcPr>
            <w:tcW w:w="979" w:type="dxa"/>
            <w:tcBorders>
              <w:top w:val="nil"/>
              <w:left w:val="nil"/>
              <w:bottom w:val="single" w:sz="4" w:space="0" w:color="5A5A5A"/>
              <w:right w:val="single" w:sz="4" w:space="0" w:color="5A5A5A"/>
            </w:tcBorders>
            <w:shd w:val="clear" w:color="auto" w:fill="FFFFFF"/>
            <w:vAlign w:val="center"/>
            <w:hideMark/>
          </w:tcPr>
          <w:p w14:paraId="61C710E2" w14:textId="1F24D97A"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541</w:t>
            </w:r>
          </w:p>
          <w:p w14:paraId="2CDF90D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 years follow up)</w:t>
            </w:r>
          </w:p>
        </w:tc>
        <w:tc>
          <w:tcPr>
            <w:tcW w:w="1399" w:type="dxa"/>
            <w:tcBorders>
              <w:top w:val="nil"/>
              <w:left w:val="nil"/>
              <w:bottom w:val="single" w:sz="4" w:space="0" w:color="5A5A5A"/>
              <w:right w:val="single" w:sz="4" w:space="0" w:color="5A5A5A"/>
            </w:tcBorders>
            <w:shd w:val="clear" w:color="auto" w:fill="FFFFFF"/>
            <w:vAlign w:val="center"/>
            <w:hideMark/>
          </w:tcPr>
          <w:p w14:paraId="17C50AD6" w14:textId="63B7CD6C"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&lt;50</w:t>
            </w:r>
          </w:p>
        </w:tc>
        <w:tc>
          <w:tcPr>
            <w:tcW w:w="1260" w:type="dxa"/>
            <w:tcBorders>
              <w:top w:val="nil"/>
              <w:left w:val="nil"/>
              <w:bottom w:val="single" w:sz="4" w:space="0" w:color="5A5A5A"/>
              <w:right w:val="single" w:sz="4" w:space="0" w:color="5A5A5A"/>
            </w:tcBorders>
            <w:shd w:val="clear" w:color="auto" w:fill="FFFFFF"/>
            <w:vAlign w:val="center"/>
            <w:hideMark/>
          </w:tcPr>
          <w:p w14:paraId="7D3D6F15"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FFFFFF"/>
            <w:vAlign w:val="center"/>
            <w:hideMark/>
          </w:tcPr>
          <w:p w14:paraId="38DB7370" w14:textId="55BBCCF5" w:rsidR="00E56623" w:rsidRPr="00787196" w:rsidRDefault="00E56623" w:rsidP="009962E6">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1, 3 and 7 year follow-up</w:t>
            </w:r>
          </w:p>
        </w:tc>
        <w:tc>
          <w:tcPr>
            <w:tcW w:w="1819" w:type="dxa"/>
            <w:tcBorders>
              <w:top w:val="nil"/>
              <w:left w:val="nil"/>
              <w:bottom w:val="single" w:sz="4" w:space="0" w:color="5A5A5A"/>
              <w:right w:val="single" w:sz="4" w:space="0" w:color="5A5A5A"/>
            </w:tcBorders>
            <w:shd w:val="clear" w:color="auto" w:fill="FFFFFF"/>
            <w:vAlign w:val="center"/>
            <w:hideMark/>
          </w:tcPr>
          <w:p w14:paraId="4E7BC4DB" w14:textId="60733E15"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F71F6B" w:rsidRPr="00787196">
              <w:rPr>
                <w:rFonts w:eastAsia="Times New Roman" w:cs="Arial"/>
                <w:color w:val="000000"/>
                <w:sz w:val="17"/>
                <w:szCs w:val="17"/>
              </w:rPr>
              <w:t xml:space="preserve"> -49 , </w:t>
            </w:r>
            <w:r w:rsidRPr="00787196">
              <w:rPr>
                <w:rFonts w:eastAsia="Times New Roman" w:cs="Arial"/>
                <w:color w:val="000000"/>
                <w:sz w:val="17"/>
                <w:szCs w:val="17"/>
              </w:rPr>
              <w:t>OHIP -14</w:t>
            </w:r>
          </w:p>
        </w:tc>
        <w:tc>
          <w:tcPr>
            <w:tcW w:w="1577" w:type="dxa"/>
            <w:tcBorders>
              <w:top w:val="nil"/>
              <w:left w:val="nil"/>
              <w:bottom w:val="single" w:sz="4" w:space="0" w:color="5A5A5A"/>
              <w:right w:val="single" w:sz="4" w:space="0" w:color="5A5A5A"/>
            </w:tcBorders>
            <w:shd w:val="clear" w:color="auto" w:fill="FFFFFF"/>
            <w:vAlign w:val="center"/>
            <w:hideMark/>
          </w:tcPr>
          <w:p w14:paraId="7D3BDB0C"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To determine a short of OHIP questionnaire, Discriminant validity was determined between denture wearers</w:t>
            </w:r>
          </w:p>
        </w:tc>
        <w:tc>
          <w:tcPr>
            <w:tcW w:w="1261" w:type="dxa"/>
            <w:tcBorders>
              <w:top w:val="nil"/>
              <w:left w:val="nil"/>
              <w:bottom w:val="single" w:sz="4" w:space="0" w:color="5A5A5A"/>
              <w:right w:val="single" w:sz="4" w:space="0" w:color="5A5A5A"/>
            </w:tcBorders>
            <w:shd w:val="clear" w:color="auto" w:fill="FFFFFF"/>
            <w:vAlign w:val="center"/>
            <w:hideMark/>
          </w:tcPr>
          <w:p w14:paraId="7C4F653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7C979A4E"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FFFFFF"/>
            <w:vAlign w:val="center"/>
          </w:tcPr>
          <w:p w14:paraId="38A81CE8" w14:textId="4EB83750"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31</w:t>
            </w:r>
          </w:p>
        </w:tc>
        <w:tc>
          <w:tcPr>
            <w:tcW w:w="1943" w:type="dxa"/>
            <w:tcBorders>
              <w:top w:val="nil"/>
              <w:left w:val="nil"/>
              <w:bottom w:val="single" w:sz="4" w:space="0" w:color="5A5A5A"/>
              <w:right w:val="single" w:sz="4" w:space="0" w:color="5A5A5A"/>
            </w:tcBorders>
            <w:shd w:val="clear" w:color="auto" w:fill="FFFFFF"/>
            <w:vAlign w:val="center"/>
            <w:hideMark/>
          </w:tcPr>
          <w:p w14:paraId="2469CF71" w14:textId="580B5554"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MICHAURD, GRANDMORT, FEINE AND EMAMI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ExcludeAuth="1"&gt;&lt;Author&gt;Michaud&lt;/Author&gt;&lt;Year&gt;2012&lt;/Year&gt;&lt;RecNum&gt;0&lt;/RecNum&gt;&lt;IDText&gt;Measuring patient-based outcomes: is treatment satisfaction associated with oral health-related quality of life?&lt;/IDText&gt;&lt;DisplayText&gt;(2012)&lt;/DisplayText&gt;&lt;record&gt;&lt;dates&gt;&lt;pub-dates&gt;&lt;date&gt;Aug&lt;/date&gt;&lt;/pub-dates&gt;&lt;year&gt;2012&lt;/year&gt;&lt;/dates&gt;&lt;isbn&gt;0300-5712&lt;/isbn&gt;&lt;titles&gt;&lt;title&gt;Measuring patient-based outcomes: is treatment satisfaction associated with oral health-related quality of life?&lt;/title&gt;&lt;secondary-title&gt;J Dent&lt;/secondary-title&gt;&lt;alt-title&gt;Journal of dentistry&lt;/alt-title&gt;&lt;/titles&gt;&lt;pages&gt;624-31&lt;/pages&gt;&lt;number&gt;8&lt;/number&gt;&lt;contributors&gt;&lt;authors&gt;&lt;author&gt;Michaud, P. L.&lt;/author&gt;&lt;author&gt;de Grandmont, P.&lt;/author&gt;&lt;author&gt;Feine, J. S.&lt;/author&gt;&lt;author&gt;Emami, E.&lt;/author&gt;&lt;/authors&gt;&lt;/contributors&gt;&lt;edition&gt;2012/04/24&lt;/edition&gt;&lt;language&gt;eng&lt;/language&gt;&lt;added-date format="utc"&gt;1374040089&lt;/added-date&gt;&lt;ref-type name="Journal Article"&gt;17&lt;/ref-type&gt;&lt;auth-address&gt;Departement de Dentisterie de Restauration, Faculte de Medecine Dentaire, Universite de Montreal, Montreal, Canada.&lt;/auth-address&gt;&lt;remote-database-provider&gt;Nlm&lt;/remote-database-provider&gt;&lt;rec-number&gt;842&lt;/rec-number&gt;&lt;last-updated-date format="utc"&gt;1374040089&lt;/last-updated-date&gt;&lt;accession-num&gt;22522414&lt;/accession-num&gt;&lt;electronic-resource-num&gt;10.1016/j.jdent.2012.04.007&lt;/electronic-resource-num&gt;&lt;volume&gt;40&lt;/volume&gt;&lt;/record&gt;&lt;/Cite&gt;&lt;/EndNote&gt;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FFFFFF"/>
            <w:vAlign w:val="center"/>
            <w:hideMark/>
          </w:tcPr>
          <w:p w14:paraId="0A47EFC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of denture wearers</w:t>
            </w:r>
          </w:p>
          <w:p w14:paraId="04C58074"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over dentures</w:t>
            </w:r>
          </w:p>
          <w:p w14:paraId="27DDA49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tc>
        <w:tc>
          <w:tcPr>
            <w:tcW w:w="979" w:type="dxa"/>
            <w:tcBorders>
              <w:top w:val="nil"/>
              <w:left w:val="nil"/>
              <w:bottom w:val="single" w:sz="4" w:space="0" w:color="5A5A5A"/>
              <w:right w:val="single" w:sz="4" w:space="0" w:color="5A5A5A"/>
            </w:tcBorders>
            <w:shd w:val="clear" w:color="auto" w:fill="FFFFFF"/>
            <w:vAlign w:val="center"/>
            <w:hideMark/>
          </w:tcPr>
          <w:p w14:paraId="7D008634" w14:textId="1D50999A"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199</w:t>
            </w:r>
          </w:p>
        </w:tc>
        <w:tc>
          <w:tcPr>
            <w:tcW w:w="1399" w:type="dxa"/>
            <w:tcBorders>
              <w:top w:val="nil"/>
              <w:left w:val="nil"/>
              <w:bottom w:val="single" w:sz="4" w:space="0" w:color="5A5A5A"/>
              <w:right w:val="single" w:sz="4" w:space="0" w:color="5A5A5A"/>
            </w:tcBorders>
            <w:shd w:val="clear" w:color="auto" w:fill="FFFFFF"/>
            <w:vAlign w:val="center"/>
            <w:hideMark/>
          </w:tcPr>
          <w:p w14:paraId="18296610" w14:textId="38217BF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70</w:t>
            </w:r>
          </w:p>
          <w:p w14:paraId="073D405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Range 64-85</w:t>
            </w:r>
          </w:p>
        </w:tc>
        <w:tc>
          <w:tcPr>
            <w:tcW w:w="1260" w:type="dxa"/>
            <w:tcBorders>
              <w:top w:val="nil"/>
              <w:left w:val="nil"/>
              <w:bottom w:val="single" w:sz="4" w:space="0" w:color="5A5A5A"/>
              <w:right w:val="single" w:sz="4" w:space="0" w:color="5A5A5A"/>
            </w:tcBorders>
            <w:shd w:val="clear" w:color="auto" w:fill="FFFFFF"/>
            <w:vAlign w:val="center"/>
            <w:hideMark/>
          </w:tcPr>
          <w:p w14:paraId="53D9285C"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 </w:t>
            </w:r>
          </w:p>
        </w:tc>
        <w:tc>
          <w:tcPr>
            <w:tcW w:w="1678" w:type="dxa"/>
            <w:tcBorders>
              <w:top w:val="nil"/>
              <w:left w:val="nil"/>
              <w:bottom w:val="single" w:sz="4" w:space="0" w:color="5A5A5A"/>
              <w:right w:val="single" w:sz="4" w:space="0" w:color="5A5A5A"/>
            </w:tcBorders>
            <w:shd w:val="clear" w:color="auto" w:fill="FFFFFF"/>
            <w:vAlign w:val="center"/>
            <w:hideMark/>
          </w:tcPr>
          <w:p w14:paraId="4CEE2F7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6 month 1 year follow-up visits</w:t>
            </w:r>
          </w:p>
        </w:tc>
        <w:tc>
          <w:tcPr>
            <w:tcW w:w="1819" w:type="dxa"/>
            <w:tcBorders>
              <w:top w:val="nil"/>
              <w:left w:val="nil"/>
              <w:bottom w:val="single" w:sz="4" w:space="0" w:color="5A5A5A"/>
              <w:right w:val="single" w:sz="4" w:space="0" w:color="5A5A5A"/>
            </w:tcBorders>
            <w:shd w:val="clear" w:color="auto" w:fill="FFFFFF"/>
            <w:vAlign w:val="center"/>
            <w:hideMark/>
          </w:tcPr>
          <w:p w14:paraId="689F73C4" w14:textId="77777777" w:rsidR="00E56623" w:rsidRPr="00787196" w:rsidRDefault="00E56623" w:rsidP="00B560B3">
            <w:pPr>
              <w:spacing w:before="0" w:after="0" w:line="240" w:lineRule="auto"/>
              <w:ind w:left="310"/>
              <w:jc w:val="left"/>
              <w:rPr>
                <w:rFonts w:eastAsia="Times New Roman" w:cs="Arial"/>
                <w:color w:val="000000"/>
                <w:sz w:val="17"/>
                <w:szCs w:val="17"/>
              </w:rPr>
            </w:pPr>
          </w:p>
          <w:p w14:paraId="4829255B" w14:textId="5FEE5716"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F71F6B" w:rsidRPr="00787196">
              <w:rPr>
                <w:rFonts w:eastAsia="Times New Roman" w:cs="Arial"/>
                <w:color w:val="000000"/>
                <w:sz w:val="17"/>
                <w:szCs w:val="17"/>
              </w:rPr>
              <w:t xml:space="preserve"> - </w:t>
            </w:r>
            <w:r w:rsidRPr="00787196">
              <w:rPr>
                <w:rFonts w:eastAsia="Times New Roman" w:cs="Arial"/>
                <w:color w:val="000000"/>
                <w:sz w:val="17"/>
                <w:szCs w:val="17"/>
              </w:rPr>
              <w:t>20</w:t>
            </w:r>
          </w:p>
          <w:p w14:paraId="6D8AF743" w14:textId="77777777"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FFFFFF"/>
            <w:vAlign w:val="center"/>
            <w:hideMark/>
          </w:tcPr>
          <w:p w14:paraId="073CB211" w14:textId="23A24813" w:rsidR="00E56623" w:rsidRPr="00787196" w:rsidRDefault="00F71F6B"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McGill Denture Satisfaction Instrument</w:t>
            </w:r>
          </w:p>
        </w:tc>
        <w:tc>
          <w:tcPr>
            <w:tcW w:w="1261" w:type="dxa"/>
            <w:tcBorders>
              <w:top w:val="nil"/>
              <w:left w:val="nil"/>
              <w:bottom w:val="single" w:sz="4" w:space="0" w:color="5A5A5A"/>
              <w:right w:val="single" w:sz="4" w:space="0" w:color="5A5A5A"/>
            </w:tcBorders>
            <w:shd w:val="clear" w:color="auto" w:fill="FFFFFF"/>
            <w:vAlign w:val="center"/>
            <w:hideMark/>
          </w:tcPr>
          <w:p w14:paraId="3E87D8DE"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7E8640EB" w14:textId="77777777" w:rsidTr="002C4FCD">
        <w:trPr>
          <w:gridAfter w:val="1"/>
          <w:wAfter w:w="14" w:type="dxa"/>
          <w:trHeight w:val="788"/>
        </w:trPr>
        <w:tc>
          <w:tcPr>
            <w:tcW w:w="435" w:type="dxa"/>
            <w:tcBorders>
              <w:top w:val="nil"/>
              <w:left w:val="single" w:sz="4" w:space="0" w:color="5A5A5A"/>
              <w:bottom w:val="single" w:sz="4" w:space="0" w:color="5A5A5A"/>
              <w:right w:val="single" w:sz="4" w:space="0" w:color="5A5A5A"/>
            </w:tcBorders>
            <w:shd w:val="clear" w:color="auto" w:fill="auto"/>
            <w:vAlign w:val="center"/>
          </w:tcPr>
          <w:p w14:paraId="5F07A47C" w14:textId="0C2ED7D3"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32</w:t>
            </w:r>
          </w:p>
        </w:tc>
        <w:tc>
          <w:tcPr>
            <w:tcW w:w="1943" w:type="dxa"/>
            <w:tcBorders>
              <w:top w:val="nil"/>
              <w:left w:val="nil"/>
              <w:bottom w:val="single" w:sz="4" w:space="0" w:color="5A5A5A"/>
              <w:right w:val="single" w:sz="4" w:space="0" w:color="5A5A5A"/>
            </w:tcBorders>
            <w:shd w:val="clear" w:color="auto" w:fill="FFFFFF"/>
            <w:vAlign w:val="center"/>
            <w:hideMark/>
          </w:tcPr>
          <w:p w14:paraId="433E1684" w14:textId="060B98C1"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MONTERO, LOPEZ, GALINDO, VICENTE AND BRAVO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ExcludeAuth="1"&gt;&lt;Author&gt;Montero&lt;/Author&gt;&lt;Year&gt;2009&lt;/Year&gt;&lt;RecNum&gt;0&lt;/RecNum&gt;&lt;IDText&gt;Impact of prosthodontic status on oral wellbeing: a cross-sectional cohort study&lt;/IDText&gt;&lt;DisplayText&gt;(2009)&lt;/DisplayText&gt;&lt;record&gt;&lt;dates&gt;&lt;pub-dates&gt;&lt;date&gt;Aug&lt;/date&gt;&lt;/pub-dates&gt;&lt;year&gt;2009&lt;/year&gt;&lt;/dates&gt;&lt;isbn&gt;0305-182x&lt;/isbn&gt;&lt;titles&gt;&lt;title&gt;Impact of prosthodontic status on oral wellbeing: a cross-sectional cohort study&lt;/title&gt;&lt;secondary-title&gt;J Oral Rehabil&lt;/secondary-title&gt;&lt;alt-title&gt;Journal of oral rehabilitation&lt;/alt-title&gt;&lt;/titles&gt;&lt;pages&gt;592-600&lt;/pages&gt;&lt;number&gt;8&lt;/number&gt;&lt;contributors&gt;&lt;authors&gt;&lt;author&gt;Montero, J.&lt;/author&gt;&lt;author&gt;Lopez, J. F.&lt;/author&gt;&lt;author&gt;Galindo, M. P.&lt;/author&gt;&lt;author&gt;Vicente, P.&lt;/author&gt;&lt;author&gt;Bravo, M.&lt;/author&gt;&lt;/authors&gt;&lt;/contributors&gt;&lt;edition&gt;2009/06/11&lt;/edition&gt;&lt;language&gt;eng&lt;/language&gt;&lt;added-date format="utc"&gt;1374040090&lt;/added-date&gt;&lt;ref-type name="Journal Article"&gt;17&lt;/ref-type&gt;&lt;auth-address&gt;Faculty of Medicine, University of Salamanca, Salamanca, Spain. javimont@usal.es&lt;/auth-address&gt;&lt;remote-database-provider&gt;Nlm&lt;/remote-database-provider&gt;&lt;rec-number&gt;931&lt;/rec-number&gt;&lt;last-updated-date format="utc"&gt;1374040090&lt;/last-updated-date&gt;&lt;accession-num&gt;19508350&lt;/accession-num&gt;&lt;electronic-resource-num&gt;10.1111/j.1365-2842.2009.01968.x&lt;/electronic-resource-num&gt;&lt;volume&gt;36&lt;/volume&gt;&lt;/record&gt;&lt;/Cite&gt;&lt;/EndNote&gt;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(2009)</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FFFFFF"/>
            <w:vAlign w:val="center"/>
            <w:hideMark/>
          </w:tcPr>
          <w:p w14:paraId="3FF2AE4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3 groups </w:t>
            </w:r>
          </w:p>
          <w:p w14:paraId="5C13C77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Requesting prostheses</w:t>
            </w:r>
          </w:p>
          <w:p w14:paraId="7DD7B72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prostheses</w:t>
            </w:r>
          </w:p>
          <w:p w14:paraId="579A69B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Control group (neither)</w:t>
            </w:r>
          </w:p>
        </w:tc>
        <w:tc>
          <w:tcPr>
            <w:tcW w:w="979" w:type="dxa"/>
            <w:tcBorders>
              <w:top w:val="nil"/>
              <w:left w:val="nil"/>
              <w:bottom w:val="single" w:sz="4" w:space="0" w:color="5A5A5A"/>
              <w:right w:val="single" w:sz="4" w:space="0" w:color="5A5A5A"/>
            </w:tcBorders>
            <w:shd w:val="clear" w:color="auto" w:fill="FFFFFF"/>
            <w:vAlign w:val="center"/>
            <w:hideMark/>
          </w:tcPr>
          <w:p w14:paraId="59D5CEB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78</w:t>
            </w:r>
          </w:p>
          <w:p w14:paraId="7A6848C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(31, 29,18)</w:t>
            </w:r>
          </w:p>
        </w:tc>
        <w:tc>
          <w:tcPr>
            <w:tcW w:w="1399" w:type="dxa"/>
            <w:tcBorders>
              <w:top w:val="nil"/>
              <w:left w:val="nil"/>
              <w:bottom w:val="single" w:sz="4" w:space="0" w:color="5A5A5A"/>
              <w:right w:val="single" w:sz="4" w:space="0" w:color="5A5A5A"/>
            </w:tcBorders>
            <w:shd w:val="clear" w:color="auto" w:fill="FFFFFF"/>
            <w:vAlign w:val="center"/>
            <w:hideMark/>
          </w:tcPr>
          <w:p w14:paraId="0DBBDAC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 xml:space="preserve">64.7 </w:t>
            </w:r>
            <w:r w:rsidRPr="00787196">
              <w:rPr>
                <w:rFonts w:eastAsia="Times New Roman" w:cs="Arial"/>
                <w:color w:val="000000"/>
                <w:sz w:val="17"/>
                <w:szCs w:val="17"/>
              </w:rPr>
              <w:br/>
              <w:t>(10.7)</w:t>
            </w:r>
          </w:p>
        </w:tc>
        <w:tc>
          <w:tcPr>
            <w:tcW w:w="1260" w:type="dxa"/>
            <w:tcBorders>
              <w:top w:val="nil"/>
              <w:left w:val="nil"/>
              <w:bottom w:val="single" w:sz="4" w:space="0" w:color="5A5A5A"/>
              <w:right w:val="single" w:sz="4" w:space="0" w:color="5A5A5A"/>
            </w:tcBorders>
            <w:shd w:val="clear" w:color="auto" w:fill="FFFFFF"/>
            <w:vAlign w:val="center"/>
            <w:hideMark/>
          </w:tcPr>
          <w:p w14:paraId="7AC49C7E" w14:textId="1359B6C0" w:rsidR="00E56623" w:rsidRPr="00787196" w:rsidRDefault="00E56623" w:rsidP="006B4681">
            <w:pPr>
              <w:spacing w:before="0" w:after="0" w:line="240" w:lineRule="auto"/>
              <w:rPr>
                <w:rFonts w:eastAsia="Times New Roman" w:cs="Arial"/>
                <w:color w:val="000000"/>
                <w:sz w:val="17"/>
                <w:szCs w:val="17"/>
              </w:rPr>
            </w:pPr>
            <w:r w:rsidRPr="00787196">
              <w:rPr>
                <w:rFonts w:eastAsia="Times New Roman" w:cs="Arial"/>
                <w:color w:val="000000"/>
                <w:sz w:val="17"/>
                <w:szCs w:val="17"/>
              </w:rPr>
              <w:t>Cros</w:t>
            </w:r>
            <w:r w:rsidR="001F3E4C" w:rsidRPr="00787196">
              <w:rPr>
                <w:rFonts w:eastAsia="Times New Roman" w:cs="Arial"/>
                <w:color w:val="000000"/>
                <w:sz w:val="17"/>
                <w:szCs w:val="17"/>
              </w:rPr>
              <w:t xml:space="preserve">s sectional observational </w:t>
            </w:r>
          </w:p>
        </w:tc>
        <w:tc>
          <w:tcPr>
            <w:tcW w:w="1678" w:type="dxa"/>
            <w:tcBorders>
              <w:top w:val="nil"/>
              <w:left w:val="nil"/>
              <w:bottom w:val="single" w:sz="4" w:space="0" w:color="5A5A5A"/>
              <w:right w:val="single" w:sz="4" w:space="0" w:color="5A5A5A"/>
            </w:tcBorders>
            <w:shd w:val="clear" w:color="auto" w:fill="FFFFFF"/>
            <w:vAlign w:val="center"/>
            <w:hideMark/>
          </w:tcPr>
          <w:p w14:paraId="63B4815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3 months follow-up</w:t>
            </w:r>
          </w:p>
        </w:tc>
        <w:tc>
          <w:tcPr>
            <w:tcW w:w="1819" w:type="dxa"/>
            <w:tcBorders>
              <w:top w:val="nil"/>
              <w:left w:val="nil"/>
              <w:bottom w:val="single" w:sz="4" w:space="0" w:color="5A5A5A"/>
              <w:right w:val="single" w:sz="4" w:space="0" w:color="5A5A5A"/>
            </w:tcBorders>
            <w:shd w:val="clear" w:color="auto" w:fill="FFFFFF"/>
            <w:vAlign w:val="center"/>
            <w:hideMark/>
          </w:tcPr>
          <w:p w14:paraId="530550AA" w14:textId="55A5C9EC" w:rsidR="00F71F6B" w:rsidRPr="00787196" w:rsidRDefault="00E56623" w:rsidP="009962E6">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OIDP and OHIP</w:t>
            </w:r>
            <w:r w:rsidR="00F71F6B" w:rsidRPr="00787196">
              <w:rPr>
                <w:rFonts w:eastAsia="Times New Roman" w:cs="Arial"/>
                <w:color w:val="000000"/>
                <w:sz w:val="17"/>
                <w:szCs w:val="17"/>
              </w:rPr>
              <w:t>-</w:t>
            </w:r>
            <w:r w:rsidRPr="00787196">
              <w:rPr>
                <w:rFonts w:eastAsia="Times New Roman" w:cs="Arial"/>
                <w:color w:val="000000"/>
                <w:sz w:val="17"/>
                <w:szCs w:val="17"/>
              </w:rPr>
              <w:t>14</w:t>
            </w:r>
          </w:p>
          <w:p w14:paraId="1ED1B780" w14:textId="03245C91" w:rsidR="00E56623" w:rsidRPr="00787196" w:rsidRDefault="00F71F6B"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Spanish versions</w:t>
            </w:r>
          </w:p>
        </w:tc>
        <w:tc>
          <w:tcPr>
            <w:tcW w:w="1577" w:type="dxa"/>
            <w:tcBorders>
              <w:top w:val="nil"/>
              <w:left w:val="nil"/>
              <w:bottom w:val="single" w:sz="4" w:space="0" w:color="5A5A5A"/>
              <w:right w:val="single" w:sz="4" w:space="0" w:color="5A5A5A"/>
            </w:tcBorders>
            <w:shd w:val="clear" w:color="auto" w:fill="FFFFFF"/>
            <w:vAlign w:val="center"/>
            <w:hideMark/>
          </w:tcPr>
          <w:p w14:paraId="6E797061"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Satisfaction, chewing, aesthetic function </w:t>
            </w:r>
          </w:p>
        </w:tc>
        <w:tc>
          <w:tcPr>
            <w:tcW w:w="1261" w:type="dxa"/>
            <w:tcBorders>
              <w:top w:val="nil"/>
              <w:left w:val="nil"/>
              <w:bottom w:val="single" w:sz="4" w:space="0" w:color="5A5A5A"/>
              <w:right w:val="single" w:sz="4" w:space="0" w:color="5A5A5A"/>
            </w:tcBorders>
            <w:shd w:val="clear" w:color="auto" w:fill="FFFFFF"/>
            <w:vAlign w:val="center"/>
            <w:hideMark/>
          </w:tcPr>
          <w:p w14:paraId="43D932F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4964E8B" w14:textId="77777777" w:rsidTr="002C4FCD">
        <w:trPr>
          <w:gridAfter w:val="1"/>
          <w:wAfter w:w="14" w:type="dxa"/>
          <w:trHeight w:val="890"/>
        </w:trPr>
        <w:tc>
          <w:tcPr>
            <w:tcW w:w="435" w:type="dxa"/>
            <w:tcBorders>
              <w:top w:val="nil"/>
              <w:left w:val="single" w:sz="4" w:space="0" w:color="5A5A5A"/>
              <w:bottom w:val="single" w:sz="4" w:space="0" w:color="5A5A5A"/>
              <w:right w:val="single" w:sz="4" w:space="0" w:color="5A5A5A"/>
            </w:tcBorders>
            <w:shd w:val="clear" w:color="auto" w:fill="FFFFFF"/>
            <w:vAlign w:val="center"/>
          </w:tcPr>
          <w:p w14:paraId="7F7560DE" w14:textId="7C1A725F"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33</w:t>
            </w:r>
          </w:p>
        </w:tc>
        <w:tc>
          <w:tcPr>
            <w:tcW w:w="1943" w:type="dxa"/>
            <w:tcBorders>
              <w:top w:val="single" w:sz="4" w:space="0" w:color="5A5A5A"/>
              <w:left w:val="nil"/>
              <w:bottom w:val="single" w:sz="4" w:space="0" w:color="5A5A5A"/>
              <w:right w:val="single" w:sz="4" w:space="0" w:color="5A5A5A"/>
            </w:tcBorders>
            <w:shd w:val="clear" w:color="auto" w:fill="FFFFFF"/>
            <w:vAlign w:val="center"/>
            <w:hideMark/>
          </w:tcPr>
          <w:p w14:paraId="55121B42" w14:textId="54701329"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MORAIS, HEYDECKE, PAWLIUK, LUND AND FEINE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ExcludeAuth="1"&gt;&lt;Author&gt;Morais&lt;/Author&gt;&lt;Year&gt;2003&lt;/Year&gt;&lt;RecNum&gt;0&lt;/RecNum&gt;&lt;IDText&gt;The effects of mandibular two-implant overdentures on nutrition in elderly edentulous individuals&lt;/IDText&gt;&lt;DisplayText&gt;(2003)&lt;/DisplayText&gt;&lt;record&gt;&lt;dates&gt;&lt;pub-dates&gt;&lt;date&gt;Jan&lt;/date&gt;&lt;/pub-dates&gt;&lt;year&gt;2003&lt;/year&gt;&lt;/dates&gt;&lt;isbn&gt;0022-0345 (Print)&amp;#xD;0022-0345&lt;/isbn&gt;&lt;titles&gt;&lt;title&gt;The effects of mandibular two-implant overdentures on nutrition in elderly edentulous individuals&lt;/title&gt;&lt;secondary-title&gt;J Dent Res&lt;/secondary-title&gt;&lt;alt-title&gt;Journal of dental research&lt;/alt-title&gt;&lt;/titles&gt;&lt;pages&gt;53-8&lt;/pages&gt;&lt;number&gt;1&lt;/number&gt;&lt;contributors&gt;&lt;authors&gt;&lt;author&gt;Morais, J. A.&lt;/author&gt;&lt;author&gt;Heydecke, G.&lt;/author&gt;&lt;author&gt;Pawliuk, J.&lt;/author&gt;&lt;author&gt;Lund, J. P.&lt;/author&gt;&lt;author&gt;Feine, J. S.&lt;/author&gt;&lt;/authors&gt;&lt;/contributors&gt;&lt;edition&gt;2003/01/01&lt;/edition&gt;&lt;language&gt;eng&lt;/language&gt;&lt;added-date format="utc"&gt;1374065288&lt;/added-date&gt;&lt;ref-type name="Journal Article"&gt;17&lt;/ref-type&gt;&lt;auth-address&gt;Nutrition and Food Science Centre, Royal Victoria Hospital, Faculty of Medicine, McGill University, Montreal, Quebec, Canada.&lt;/auth-address&gt;&lt;remote-database-provider&gt;Nlm&lt;/remote-database-provider&gt;&lt;rec-number&gt;1054&lt;/rec-number&gt;&lt;last-updated-date format="utc"&gt;1374065288&lt;/last-updated-date&gt;&lt;accession-num&gt;12508046&lt;/accession-num&gt;&lt;volume&gt;82&lt;/volume&gt;&lt;/record&gt;&lt;/Cite&gt;&lt;/EndNote&gt;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(2003)</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FFFFFF"/>
            <w:vAlign w:val="bottom"/>
            <w:hideMark/>
          </w:tcPr>
          <w:p w14:paraId="32ACA17F"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23BC5BE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supported mandibular dentures</w:t>
            </w:r>
          </w:p>
          <w:p w14:paraId="0C1E93C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p w14:paraId="0C18BBA6" w14:textId="77777777" w:rsidR="00E56623" w:rsidRPr="00787196" w:rsidRDefault="00E56623" w:rsidP="00B560B3">
            <w:pPr>
              <w:spacing w:before="0" w:after="0" w:line="240" w:lineRule="auto"/>
              <w:jc w:val="left"/>
              <w:rPr>
                <w:rFonts w:eastAsia="Times New Roman" w:cs="Arial"/>
                <w:color w:val="000000"/>
                <w:sz w:val="17"/>
                <w:szCs w:val="17"/>
              </w:rPr>
            </w:pPr>
          </w:p>
          <w:p w14:paraId="2BE38E2C"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single" w:sz="4" w:space="0" w:color="5A5A5A"/>
              <w:left w:val="nil"/>
              <w:bottom w:val="single" w:sz="4" w:space="0" w:color="5A5A5A"/>
              <w:right w:val="single" w:sz="4" w:space="0" w:color="5A5A5A"/>
            </w:tcBorders>
            <w:shd w:val="clear" w:color="auto" w:fill="FFFFFF"/>
            <w:vAlign w:val="center"/>
            <w:hideMark/>
          </w:tcPr>
          <w:p w14:paraId="53D1F0A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56</w:t>
            </w:r>
          </w:p>
        </w:tc>
        <w:tc>
          <w:tcPr>
            <w:tcW w:w="1399" w:type="dxa"/>
            <w:tcBorders>
              <w:top w:val="single" w:sz="4" w:space="0" w:color="5A5A5A"/>
              <w:left w:val="nil"/>
              <w:bottom w:val="single" w:sz="4" w:space="0" w:color="5A5A5A"/>
              <w:right w:val="single" w:sz="4" w:space="0" w:color="5A5A5A"/>
            </w:tcBorders>
            <w:shd w:val="clear" w:color="auto" w:fill="FFFFFF"/>
            <w:vAlign w:val="center"/>
            <w:hideMark/>
          </w:tcPr>
          <w:p w14:paraId="380AC34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70.1</w:t>
            </w:r>
          </w:p>
          <w:p w14:paraId="0FF2A85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69.6</w:t>
            </w:r>
          </w:p>
        </w:tc>
        <w:tc>
          <w:tcPr>
            <w:tcW w:w="1260" w:type="dxa"/>
            <w:tcBorders>
              <w:top w:val="single" w:sz="4" w:space="0" w:color="5A5A5A"/>
              <w:left w:val="nil"/>
              <w:bottom w:val="single" w:sz="4" w:space="0" w:color="5A5A5A"/>
              <w:right w:val="single" w:sz="4" w:space="0" w:color="5A5A5A"/>
            </w:tcBorders>
            <w:shd w:val="clear" w:color="auto" w:fill="FFFFFF"/>
            <w:vAlign w:val="center"/>
            <w:hideMark/>
          </w:tcPr>
          <w:p w14:paraId="6B306C10"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Randomised controlled trial</w:t>
            </w:r>
          </w:p>
        </w:tc>
        <w:tc>
          <w:tcPr>
            <w:tcW w:w="1678" w:type="dxa"/>
            <w:tcBorders>
              <w:top w:val="single" w:sz="4" w:space="0" w:color="5A5A5A"/>
              <w:left w:val="nil"/>
              <w:bottom w:val="single" w:sz="4" w:space="0" w:color="5A5A5A"/>
              <w:right w:val="single" w:sz="4" w:space="0" w:color="5A5A5A"/>
            </w:tcBorders>
            <w:shd w:val="clear" w:color="auto" w:fill="FFFFFF"/>
            <w:vAlign w:val="center"/>
            <w:hideMark/>
          </w:tcPr>
          <w:p w14:paraId="3BAEA1F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and 6 and 12 months follow-up</w:t>
            </w:r>
          </w:p>
        </w:tc>
        <w:tc>
          <w:tcPr>
            <w:tcW w:w="1819" w:type="dxa"/>
            <w:tcBorders>
              <w:top w:val="single" w:sz="4" w:space="0" w:color="5A5A5A"/>
              <w:left w:val="nil"/>
              <w:bottom w:val="single" w:sz="4" w:space="0" w:color="5A5A5A"/>
              <w:right w:val="single" w:sz="4" w:space="0" w:color="5A5A5A"/>
            </w:tcBorders>
            <w:shd w:val="clear" w:color="auto" w:fill="FFFFFF"/>
            <w:vAlign w:val="center"/>
            <w:hideMark/>
          </w:tcPr>
          <w:p w14:paraId="35876568" w14:textId="77777777" w:rsidR="00E56623" w:rsidRPr="00787196" w:rsidRDefault="00E56623" w:rsidP="00B560B3">
            <w:pPr>
              <w:spacing w:before="0" w:after="0" w:line="240" w:lineRule="auto"/>
              <w:ind w:left="310"/>
              <w:jc w:val="left"/>
              <w:rPr>
                <w:rFonts w:eastAsia="Times New Roman" w:cs="Arial"/>
                <w:color w:val="000000"/>
                <w:sz w:val="17"/>
                <w:szCs w:val="17"/>
              </w:rPr>
            </w:pPr>
          </w:p>
          <w:p w14:paraId="264A0BDE" w14:textId="20CD4173"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 xml:space="preserve">(no explanation on </w:t>
            </w:r>
            <w:r w:rsidR="004A69E8" w:rsidRPr="00787196">
              <w:rPr>
                <w:rFonts w:eastAsia="Times New Roman" w:cs="Arial"/>
                <w:color w:val="000000"/>
                <w:sz w:val="17"/>
                <w:szCs w:val="17"/>
              </w:rPr>
              <w:t>OHQoL</w:t>
            </w:r>
            <w:r w:rsidRPr="00787196">
              <w:rPr>
                <w:rFonts w:eastAsia="Times New Roman" w:cs="Arial"/>
                <w:color w:val="000000"/>
                <w:sz w:val="17"/>
                <w:szCs w:val="17"/>
              </w:rPr>
              <w:t xml:space="preserve"> measure used)</w:t>
            </w:r>
          </w:p>
        </w:tc>
        <w:tc>
          <w:tcPr>
            <w:tcW w:w="1577" w:type="dxa"/>
            <w:tcBorders>
              <w:top w:val="single" w:sz="4" w:space="0" w:color="5A5A5A"/>
              <w:left w:val="nil"/>
              <w:bottom w:val="single" w:sz="4" w:space="0" w:color="5A5A5A"/>
              <w:right w:val="single" w:sz="4" w:space="0" w:color="5A5A5A"/>
            </w:tcBorders>
            <w:shd w:val="clear" w:color="auto" w:fill="FFFFFF"/>
            <w:vAlign w:val="center"/>
            <w:hideMark/>
          </w:tcPr>
          <w:p w14:paraId="01B60943" w14:textId="7D49165B" w:rsidR="00E56623" w:rsidRPr="00787196" w:rsidRDefault="00F71F6B"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Anthropometric data, Blood nutrients, General satisfaction </w:t>
            </w:r>
            <w:r w:rsidR="00E56623" w:rsidRPr="00787196">
              <w:rPr>
                <w:rFonts w:eastAsia="Times New Roman" w:cs="Arial"/>
                <w:color w:val="000000"/>
                <w:sz w:val="17"/>
                <w:szCs w:val="17"/>
              </w:rPr>
              <w:t>Nutrition, chewing ability</w:t>
            </w:r>
            <w:r w:rsidRPr="00787196">
              <w:rPr>
                <w:rFonts w:eastAsia="Times New Roman" w:cs="Arial"/>
                <w:color w:val="000000"/>
                <w:sz w:val="17"/>
                <w:szCs w:val="17"/>
              </w:rPr>
              <w:t>.</w:t>
            </w:r>
          </w:p>
        </w:tc>
        <w:tc>
          <w:tcPr>
            <w:tcW w:w="1261" w:type="dxa"/>
            <w:tcBorders>
              <w:top w:val="single" w:sz="4" w:space="0" w:color="5A5A5A"/>
              <w:left w:val="nil"/>
              <w:bottom w:val="single" w:sz="4" w:space="0" w:color="5A5A5A"/>
              <w:right w:val="single" w:sz="4" w:space="0" w:color="5A5A5A"/>
            </w:tcBorders>
            <w:shd w:val="clear" w:color="auto" w:fill="FFFFFF"/>
            <w:vAlign w:val="center"/>
            <w:hideMark/>
          </w:tcPr>
          <w:p w14:paraId="3F8DF90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62356A27" w14:textId="77777777" w:rsidTr="006B4681">
        <w:trPr>
          <w:gridAfter w:val="1"/>
          <w:wAfter w:w="14" w:type="dxa"/>
          <w:trHeight w:val="1271"/>
        </w:trPr>
        <w:tc>
          <w:tcPr>
            <w:tcW w:w="435" w:type="dxa"/>
            <w:tcBorders>
              <w:top w:val="nil"/>
              <w:left w:val="single" w:sz="4" w:space="0" w:color="5A5A5A"/>
              <w:bottom w:val="single" w:sz="4" w:space="0" w:color="5A5A5A"/>
              <w:right w:val="single" w:sz="4" w:space="0" w:color="5A5A5A"/>
            </w:tcBorders>
            <w:shd w:val="clear" w:color="auto" w:fill="FFFFFF"/>
            <w:vAlign w:val="center"/>
          </w:tcPr>
          <w:p w14:paraId="554FF74C" w14:textId="1DA2939C"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34</w:t>
            </w:r>
          </w:p>
        </w:tc>
        <w:tc>
          <w:tcPr>
            <w:tcW w:w="1943" w:type="dxa"/>
            <w:tcBorders>
              <w:top w:val="nil"/>
              <w:left w:val="nil"/>
              <w:bottom w:val="single" w:sz="4" w:space="0" w:color="5A5A5A"/>
              <w:right w:val="single" w:sz="4" w:space="0" w:color="5A5A5A"/>
            </w:tcBorders>
            <w:shd w:val="clear" w:color="auto" w:fill="FFFFFF"/>
            <w:vAlign w:val="center"/>
            <w:hideMark/>
          </w:tcPr>
          <w:p w14:paraId="77CEFF6A" w14:textId="61853544"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OZHAYAT, GOTFREDSEN, ELVERDAM AND OWALL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ExcludeAuth="1"&gt;&lt;Author&gt;Ozhayat&lt;/Author&gt;&lt;Year&gt;2010&lt;/Year&gt;&lt;RecNum&gt;0&lt;/RecNum&gt;&lt;IDText&gt;Comparison of an individual systematic interview method and the oral health impact profile. Responsiveness and ability of describing treatment effect of oral rehabilitation&lt;/IDText&gt;&lt;DisplayText&gt;(2010a)&lt;/DisplayText&gt;&lt;record&gt;&lt;dates&gt;&lt;pub-dates&gt;&lt;date&gt;Aug&lt;/date&gt;&lt;/pub-dates&gt;&lt;year&gt;2010&lt;/year&gt;&lt;/dates&gt;&lt;isbn&gt;0305-182x&lt;/isbn&gt;&lt;titles&gt;&lt;title&gt;Comparison of an individual systematic interview method and the oral health impact profile. Responsiveness and ability of describing treatment effect of oral rehabilitation&lt;/title&gt;&lt;secondary-title&gt;J Oral Rehabil&lt;/secondary-title&gt;&lt;alt-title&gt;Journal of oral rehabilitation&lt;/alt-title&gt;&lt;/titles&gt;&lt;pages&gt;604-14&lt;/pages&gt;&lt;number&gt;8&lt;/number&gt;&lt;contributors&gt;&lt;authors&gt;&lt;author&gt;Ozhayat, E. B.&lt;/author&gt;&lt;author&gt;Gotfredsen, K.&lt;/author&gt;&lt;author&gt;Elverdam, B.&lt;/author&gt;&lt;author&gt;Owall, B.&lt;/author&gt;&lt;/authors&gt;&lt;/contributors&gt;&lt;edition&gt;2010/05/13&lt;/edition&gt;&lt;language&gt;eng&lt;/language&gt;&lt;added-date format="utc"&gt;1374040090&lt;/added-date&gt;&lt;ref-type name="Journal Article"&gt;17&lt;/ref-type&gt;&lt;auth-address&gt;Department of Oral Rehabilitation, Institute of Odontology, Faculty of Health Science, University of Copenhagen, Copenhagen, Denmark. ebo@odont.ku.dk&lt;/auth-address&gt;&lt;remote-database-provider&gt;Nlm&lt;/remote-database-provider&gt;&lt;rec-number&gt;910&lt;/rec-number&gt;&lt;last-updated-date format="utc"&gt;1374040090&lt;/last-updated-date&gt;&lt;accession-num&gt;20459458&lt;/accession-num&gt;&lt;electronic-resource-num&gt;10.1111/j.1365-2842.2010.02093.x&lt;/electronic-resource-num&gt;&lt;volume&gt;37&lt;/volume&gt;&lt;/record&gt;&lt;/Cite&gt;&lt;/EndNote&gt;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(2010a)</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FFFFFF"/>
            <w:vAlign w:val="center"/>
            <w:hideMark/>
          </w:tcPr>
          <w:p w14:paraId="5B29796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Group of edentulous adults seeking both fixed and removable conventional prostheses</w:t>
            </w:r>
          </w:p>
        </w:tc>
        <w:tc>
          <w:tcPr>
            <w:tcW w:w="979" w:type="dxa"/>
            <w:tcBorders>
              <w:top w:val="nil"/>
              <w:left w:val="nil"/>
              <w:bottom w:val="single" w:sz="4" w:space="0" w:color="5A5A5A"/>
              <w:right w:val="single" w:sz="4" w:space="0" w:color="5A5A5A"/>
            </w:tcBorders>
            <w:shd w:val="clear" w:color="auto" w:fill="FFFFFF"/>
            <w:vAlign w:val="center"/>
            <w:hideMark/>
          </w:tcPr>
          <w:p w14:paraId="6123FE1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22</w:t>
            </w:r>
          </w:p>
        </w:tc>
        <w:tc>
          <w:tcPr>
            <w:tcW w:w="1399" w:type="dxa"/>
            <w:tcBorders>
              <w:top w:val="nil"/>
              <w:left w:val="nil"/>
              <w:bottom w:val="single" w:sz="4" w:space="0" w:color="5A5A5A"/>
              <w:right w:val="single" w:sz="4" w:space="0" w:color="5A5A5A"/>
            </w:tcBorders>
            <w:shd w:val="clear" w:color="auto" w:fill="FFFFFF"/>
            <w:vAlign w:val="center"/>
            <w:hideMark/>
          </w:tcPr>
          <w:p w14:paraId="3CD6F09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67.5</w:t>
            </w:r>
          </w:p>
        </w:tc>
        <w:tc>
          <w:tcPr>
            <w:tcW w:w="1260" w:type="dxa"/>
            <w:tcBorders>
              <w:top w:val="nil"/>
              <w:left w:val="nil"/>
              <w:bottom w:val="single" w:sz="4" w:space="0" w:color="5A5A5A"/>
              <w:right w:val="single" w:sz="4" w:space="0" w:color="5A5A5A"/>
            </w:tcBorders>
            <w:shd w:val="clear" w:color="auto" w:fill="FFFFFF"/>
            <w:vAlign w:val="center"/>
            <w:hideMark/>
          </w:tcPr>
          <w:p w14:paraId="1CD810CB"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FFFFFF"/>
            <w:vAlign w:val="center"/>
            <w:hideMark/>
          </w:tcPr>
          <w:p w14:paraId="280909F9"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2-12 month follow up </w:t>
            </w:r>
          </w:p>
        </w:tc>
        <w:tc>
          <w:tcPr>
            <w:tcW w:w="1819" w:type="dxa"/>
            <w:tcBorders>
              <w:top w:val="nil"/>
              <w:left w:val="nil"/>
              <w:bottom w:val="single" w:sz="4" w:space="0" w:color="5A5A5A"/>
              <w:right w:val="single" w:sz="4" w:space="0" w:color="5A5A5A"/>
            </w:tcBorders>
            <w:shd w:val="clear" w:color="auto" w:fill="FFFFFF"/>
            <w:vAlign w:val="center"/>
            <w:hideMark/>
          </w:tcPr>
          <w:p w14:paraId="3E2E2098" w14:textId="6DA3E133"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F71F6B" w:rsidRPr="00787196">
              <w:rPr>
                <w:rFonts w:eastAsia="Times New Roman" w:cs="Arial"/>
                <w:color w:val="000000"/>
                <w:sz w:val="17"/>
                <w:szCs w:val="17"/>
              </w:rPr>
              <w:t xml:space="preserve"> -</w:t>
            </w:r>
            <w:r w:rsidRPr="00787196">
              <w:rPr>
                <w:rFonts w:eastAsia="Times New Roman" w:cs="Arial"/>
                <w:color w:val="000000"/>
                <w:sz w:val="17"/>
                <w:szCs w:val="17"/>
              </w:rPr>
              <w:t xml:space="preserve"> 49</w:t>
            </w:r>
          </w:p>
        </w:tc>
        <w:tc>
          <w:tcPr>
            <w:tcW w:w="1577" w:type="dxa"/>
            <w:tcBorders>
              <w:top w:val="nil"/>
              <w:left w:val="nil"/>
              <w:bottom w:val="single" w:sz="4" w:space="0" w:color="5A5A5A"/>
              <w:right w:val="single" w:sz="4" w:space="0" w:color="5A5A5A"/>
            </w:tcBorders>
            <w:shd w:val="clear" w:color="auto" w:fill="FFFFFF"/>
            <w:vAlign w:val="center"/>
            <w:hideMark/>
          </w:tcPr>
          <w:p w14:paraId="5412090F" w14:textId="1D8413E1" w:rsidR="00F71F6B" w:rsidRPr="00787196" w:rsidRDefault="009962E6"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Schedule for the</w:t>
            </w:r>
            <w:r w:rsidR="00F71F6B" w:rsidRPr="00787196">
              <w:rPr>
                <w:rFonts w:eastAsia="Times New Roman" w:cs="Arial"/>
                <w:color w:val="000000"/>
                <w:sz w:val="17"/>
                <w:szCs w:val="17"/>
              </w:rPr>
              <w:t xml:space="preserve"> Evaluation of</w:t>
            </w:r>
          </w:p>
          <w:p w14:paraId="0AA54841" w14:textId="4E54F878" w:rsidR="00E56623" w:rsidRPr="00787196" w:rsidRDefault="00F71F6B" w:rsidP="006B4681">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Individual Quality of Life – Direct Weighing SEIQoL-DW,</w:t>
            </w:r>
          </w:p>
        </w:tc>
        <w:tc>
          <w:tcPr>
            <w:tcW w:w="1261" w:type="dxa"/>
            <w:tcBorders>
              <w:top w:val="nil"/>
              <w:left w:val="nil"/>
              <w:bottom w:val="single" w:sz="4" w:space="0" w:color="5A5A5A"/>
              <w:right w:val="single" w:sz="4" w:space="0" w:color="5A5A5A"/>
            </w:tcBorders>
            <w:shd w:val="clear" w:color="auto" w:fill="FFFFFF"/>
            <w:vAlign w:val="center"/>
            <w:hideMark/>
          </w:tcPr>
          <w:p w14:paraId="01D1A1B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552D96A3"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tcPr>
          <w:p w14:paraId="36364C5D" w14:textId="01058D22"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35</w:t>
            </w:r>
          </w:p>
        </w:tc>
        <w:tc>
          <w:tcPr>
            <w:tcW w:w="1943" w:type="dxa"/>
            <w:tcBorders>
              <w:top w:val="nil"/>
              <w:left w:val="nil"/>
              <w:bottom w:val="single" w:sz="4" w:space="0" w:color="5A5A5A"/>
              <w:right w:val="single" w:sz="4" w:space="0" w:color="5A5A5A"/>
            </w:tcBorders>
            <w:shd w:val="clear" w:color="auto" w:fill="auto"/>
            <w:vAlign w:val="center"/>
            <w:hideMark/>
          </w:tcPr>
          <w:p w14:paraId="5C1C4F5E" w14:textId="62C1623C"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OZHAYAT, GOTFREDSEN, ELVERDAM, OWALL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ExcludeAuth="1"&gt;&lt;Author&gt;Ozhayat&lt;/Author&gt;&lt;Year&gt;2010&lt;/Year&gt;&lt;RecNum&gt;0&lt;/RecNum&gt;&lt;IDText&gt;Patient-generated aspects in oral rehabilitation decision making. II. Comparison of an individual systematic interview method and the oral health impact profile&lt;/IDText&gt;&lt;DisplayText&gt;(2010b)&lt;/DisplayText&gt;&lt;record&gt;&lt;dates&gt;&lt;pub-dates&gt;&lt;date&gt;Sep-Oct&lt;/date&gt;&lt;/pub-dates&gt;&lt;year&gt;2010&lt;/year&gt;&lt;/dates&gt;&lt;isbn&gt;0893-2174 (Print)&amp;#xD;0893-2174&lt;/isbn&gt;&lt;titles&gt;&lt;title&gt;Patient-generated aspects in oral rehabilitation decision making. II. Comparison of an individual systematic interview method and the oral health impact profile&lt;/title&gt;&lt;secondary-title&gt;Int J Prosthodont&lt;/secondary-title&gt;&lt;alt-title&gt;The International journal of prosthodontics&lt;/alt-title&gt;&lt;/titles&gt;&lt;pages&gt;421-8&lt;/pages&gt;&lt;number&gt;5&lt;/number&gt;&lt;contributors&gt;&lt;authors&gt;&lt;author&gt;Ozhayat, E. B.&lt;/author&gt;&lt;author&gt;Gotfredsen, K.&lt;/author&gt;&lt;author&gt;Elverdam, B.&lt;/author&gt;&lt;author&gt;Owall, B.&lt;/author&gt;&lt;/authors&gt;&lt;/contributors&gt;&lt;edition&gt;2010/09/23&lt;/edition&gt;&lt;language&gt;eng&lt;/language&gt;&lt;added-date format="utc"&gt;1374040090&lt;/added-date&gt;&lt;ref-type name="Journal Article"&gt;17&lt;/ref-type&gt;&lt;auth-address&gt;Department of Oral Rehabilitation, Institute of Odontology, Faculty of Health Science, University of Copenhagen, Copenhagen, Denmark. ebo@odont.ku.dk&lt;/auth-address&gt;&lt;remote-database-provider&gt;Nlm&lt;/remote-database-provider&gt;&lt;rec-number&gt;903&lt;/rec-number&gt;&lt;last-updated-date format="utc"&gt;1374040090&lt;/last-updated-date&gt;&lt;accession-num&gt;20859557&lt;/accession-num&gt;&lt;volume&gt;23&lt;/volume&gt;&lt;/record&gt;&lt;/Cite&gt;&lt;/EndNote&gt;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(2010b)</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451DC335" w14:textId="024E829C"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Group of e</w:t>
            </w:r>
            <w:r w:rsidR="006B4681" w:rsidRPr="00787196">
              <w:rPr>
                <w:rFonts w:eastAsia="Times New Roman" w:cs="Arial"/>
                <w:color w:val="000000"/>
                <w:sz w:val="17"/>
                <w:szCs w:val="17"/>
              </w:rPr>
              <w:t xml:space="preserve">dentulous adults seeking </w:t>
            </w:r>
            <w:r w:rsidRPr="00787196">
              <w:rPr>
                <w:rFonts w:eastAsia="Times New Roman" w:cs="Arial"/>
                <w:color w:val="000000"/>
                <w:sz w:val="17"/>
                <w:szCs w:val="17"/>
              </w:rPr>
              <w:t>oral rehabilitation</w:t>
            </w:r>
          </w:p>
        </w:tc>
        <w:tc>
          <w:tcPr>
            <w:tcW w:w="979" w:type="dxa"/>
            <w:tcBorders>
              <w:top w:val="nil"/>
              <w:left w:val="nil"/>
              <w:bottom w:val="single" w:sz="4" w:space="0" w:color="5A5A5A"/>
              <w:right w:val="single" w:sz="4" w:space="0" w:color="5A5A5A"/>
            </w:tcBorders>
            <w:shd w:val="clear" w:color="auto" w:fill="auto"/>
            <w:vAlign w:val="center"/>
            <w:hideMark/>
          </w:tcPr>
          <w:p w14:paraId="21D69DF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w:t>
            </w:r>
          </w:p>
        </w:tc>
        <w:tc>
          <w:tcPr>
            <w:tcW w:w="1399" w:type="dxa"/>
            <w:tcBorders>
              <w:top w:val="nil"/>
              <w:left w:val="nil"/>
              <w:bottom w:val="single" w:sz="4" w:space="0" w:color="5A5A5A"/>
              <w:right w:val="single" w:sz="4" w:space="0" w:color="5A5A5A"/>
            </w:tcBorders>
            <w:shd w:val="clear" w:color="auto" w:fill="auto"/>
            <w:vAlign w:val="center"/>
            <w:hideMark/>
          </w:tcPr>
          <w:p w14:paraId="41772B81" w14:textId="779D9675"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w:t>
            </w:r>
          </w:p>
        </w:tc>
        <w:tc>
          <w:tcPr>
            <w:tcW w:w="1260" w:type="dxa"/>
            <w:tcBorders>
              <w:top w:val="nil"/>
              <w:left w:val="nil"/>
              <w:bottom w:val="single" w:sz="4" w:space="0" w:color="5A5A5A"/>
              <w:right w:val="single" w:sz="4" w:space="0" w:color="5A5A5A"/>
            </w:tcBorders>
            <w:shd w:val="clear" w:color="auto" w:fill="auto"/>
            <w:vAlign w:val="center"/>
            <w:hideMark/>
          </w:tcPr>
          <w:p w14:paraId="13CCC9BC" w14:textId="77777777" w:rsidR="00E56623" w:rsidRPr="00787196" w:rsidRDefault="001F3E4C"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3263EAE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Before start of the treatment and at four weeks follow-up</w:t>
            </w:r>
          </w:p>
        </w:tc>
        <w:tc>
          <w:tcPr>
            <w:tcW w:w="1819" w:type="dxa"/>
            <w:tcBorders>
              <w:top w:val="nil"/>
              <w:left w:val="nil"/>
              <w:bottom w:val="single" w:sz="4" w:space="0" w:color="5A5A5A"/>
              <w:right w:val="single" w:sz="4" w:space="0" w:color="5A5A5A"/>
            </w:tcBorders>
            <w:shd w:val="clear" w:color="auto" w:fill="auto"/>
            <w:vAlign w:val="center"/>
            <w:hideMark/>
          </w:tcPr>
          <w:p w14:paraId="0671455F" w14:textId="7A68BAA7" w:rsidR="00E56623" w:rsidRPr="00787196" w:rsidRDefault="00E711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E56623" w:rsidRPr="00787196">
              <w:rPr>
                <w:rFonts w:eastAsia="Times New Roman" w:cs="Arial"/>
                <w:color w:val="000000"/>
                <w:sz w:val="17"/>
                <w:szCs w:val="17"/>
              </w:rPr>
              <w:t xml:space="preserve"> 49</w:t>
            </w:r>
          </w:p>
        </w:tc>
        <w:tc>
          <w:tcPr>
            <w:tcW w:w="1577" w:type="dxa"/>
            <w:tcBorders>
              <w:top w:val="nil"/>
              <w:left w:val="nil"/>
              <w:bottom w:val="single" w:sz="4" w:space="0" w:color="5A5A5A"/>
              <w:right w:val="single" w:sz="4" w:space="0" w:color="5A5A5A"/>
            </w:tcBorders>
            <w:shd w:val="clear" w:color="auto" w:fill="auto"/>
            <w:vAlign w:val="center"/>
            <w:hideMark/>
          </w:tcPr>
          <w:p w14:paraId="35DA5167" w14:textId="77777777" w:rsidR="00E71151" w:rsidRPr="00787196" w:rsidRDefault="00E71151"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Schedule for the Evaluation of</w:t>
            </w:r>
          </w:p>
          <w:p w14:paraId="427F1418" w14:textId="0013F563" w:rsidR="00E56623" w:rsidRPr="00787196" w:rsidRDefault="00E71151" w:rsidP="006B4681">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Individual Quality of Life – Direct Weighing SEIQoL-DW,</w:t>
            </w:r>
          </w:p>
        </w:tc>
        <w:tc>
          <w:tcPr>
            <w:tcW w:w="1261" w:type="dxa"/>
            <w:tcBorders>
              <w:top w:val="nil"/>
              <w:left w:val="nil"/>
              <w:bottom w:val="single" w:sz="4" w:space="0" w:color="5A5A5A"/>
              <w:right w:val="single" w:sz="4" w:space="0" w:color="5A5A5A"/>
            </w:tcBorders>
            <w:shd w:val="clear" w:color="auto" w:fill="auto"/>
            <w:vAlign w:val="center"/>
            <w:hideMark/>
          </w:tcPr>
          <w:p w14:paraId="2032BA9B"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6035EE31" w14:textId="77777777" w:rsidTr="006B4681">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tcPr>
          <w:p w14:paraId="50F8CC3F" w14:textId="4D041370"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36</w:t>
            </w:r>
          </w:p>
        </w:tc>
        <w:tc>
          <w:tcPr>
            <w:tcW w:w="1943" w:type="dxa"/>
            <w:tcBorders>
              <w:top w:val="nil"/>
              <w:left w:val="nil"/>
              <w:bottom w:val="single" w:sz="4" w:space="0" w:color="5A5A5A"/>
              <w:right w:val="single" w:sz="4" w:space="0" w:color="5A5A5A"/>
            </w:tcBorders>
            <w:shd w:val="clear" w:color="auto" w:fill="auto"/>
            <w:vAlign w:val="center"/>
          </w:tcPr>
          <w:p w14:paraId="73C06F57" w14:textId="1CB7600E" w:rsidR="00E56623" w:rsidRPr="00787196" w:rsidRDefault="00FE5527"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OZHAYAT AND GOTFREDSEN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ExcludeAuth="1"&gt;&lt;Author&gt;Ozhayat&lt;/Author&gt;&lt;Year&gt;2012&lt;/Year&gt;&lt;RecNum&gt;0&lt;/RecNum&gt;&lt;IDText&gt;Effect of treatment with fixed and removable dental prostheses. An oral health-related quality of life study&lt;/IDText&gt;&lt;DisplayText&gt;(2012)&lt;/DisplayText&gt;&lt;record&gt;&lt;dates&gt;&lt;pub-dates&gt;&lt;date&gt;Jan&lt;/date&gt;&lt;/pub-dates&gt;&lt;year&gt;2012&lt;/year&gt;&lt;/dates&gt;&lt;isbn&gt;0305-182x&lt;/isbn&gt;&lt;titles&gt;&lt;title&gt;Effect of treatment with fixed and removable dental prostheses. An oral health-related quality of life study&lt;/title&gt;&lt;secondary-title&gt;J Oral Rehabil&lt;/secondary-title&gt;&lt;alt-title&gt;Journal of oral rehabilitation&lt;/alt-title&gt;&lt;/titles&gt;&lt;pages&gt;28-36&lt;/pages&gt;&lt;number&gt;1&lt;/number&gt;&lt;contributors&gt;&lt;authors&gt;&lt;author&gt;Ozhayat, E. B.&lt;/author&gt;&lt;author&gt;Gotfredsen, K.&lt;/author&gt;&lt;/authors&gt;&lt;/contributors&gt;&lt;edition&gt;2011/08/19&lt;/edition&gt;&lt;language&gt;eng&lt;/language&gt;&lt;added-date format="utc"&gt;1374040089&lt;/added-date&gt;&lt;ref-type name="Journal Article"&gt;17&lt;/ref-type&gt;&lt;auth-address&gt;Department of Oral Rehabilitation, Institute of Odontology, Faculty of Health Science, University of Copenhagen, Copenhagen, Denmark. eboz@sund.ku.dk&lt;/auth-address&gt;&lt;remote-database-provider&gt;Nlm&lt;/remote-database-provider&gt;&lt;rec-number&gt;863&lt;/rec-number&gt;&lt;last-updated-date format="utc"&gt;1374040089&lt;/last-updated-date&gt;&lt;accession-num&gt;21848545&lt;/accession-num&gt;&lt;electronic-resource-num&gt;10.1111/j.1365-2842.2011.02245.x&lt;/electronic-resource-num&gt;&lt;volume&gt;39&lt;/volume&gt;&lt;/record&gt;&lt;/Cite&gt;&lt;/EndNote&gt;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(2012)</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387C505F"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3 groups </w:t>
            </w:r>
          </w:p>
          <w:p w14:paraId="1424186B" w14:textId="7C1412AB"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2 groups denture wearers based </w:t>
            </w:r>
            <w:r w:rsidR="006B4681" w:rsidRPr="00787196">
              <w:rPr>
                <w:rFonts w:eastAsia="Times New Roman" w:cs="Arial"/>
                <w:color w:val="000000"/>
                <w:sz w:val="17"/>
                <w:szCs w:val="17"/>
              </w:rPr>
              <w:t>on type</w:t>
            </w:r>
            <w:r w:rsidRPr="00787196">
              <w:rPr>
                <w:rFonts w:eastAsia="Times New Roman" w:cs="Arial"/>
                <w:color w:val="000000"/>
                <w:sz w:val="17"/>
                <w:szCs w:val="17"/>
              </w:rPr>
              <w:t xml:space="preserve"> of prostheses</w:t>
            </w:r>
          </w:p>
          <w:p w14:paraId="47C9746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1 group as a control </w:t>
            </w:r>
          </w:p>
        </w:tc>
        <w:tc>
          <w:tcPr>
            <w:tcW w:w="979" w:type="dxa"/>
            <w:tcBorders>
              <w:top w:val="nil"/>
              <w:left w:val="nil"/>
              <w:bottom w:val="single" w:sz="4" w:space="0" w:color="5A5A5A"/>
              <w:right w:val="single" w:sz="4" w:space="0" w:color="5A5A5A"/>
            </w:tcBorders>
            <w:shd w:val="clear" w:color="auto" w:fill="auto"/>
            <w:vAlign w:val="center"/>
            <w:hideMark/>
          </w:tcPr>
          <w:p w14:paraId="16842BE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307</w:t>
            </w:r>
          </w:p>
        </w:tc>
        <w:tc>
          <w:tcPr>
            <w:tcW w:w="1399" w:type="dxa"/>
            <w:tcBorders>
              <w:top w:val="nil"/>
              <w:left w:val="nil"/>
              <w:bottom w:val="single" w:sz="4" w:space="0" w:color="5A5A5A"/>
              <w:right w:val="single" w:sz="4" w:space="0" w:color="5A5A5A"/>
            </w:tcBorders>
            <w:shd w:val="clear" w:color="auto" w:fill="auto"/>
            <w:vAlign w:val="center"/>
            <w:hideMark/>
          </w:tcPr>
          <w:p w14:paraId="679405A4"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60.8</w:t>
            </w:r>
          </w:p>
        </w:tc>
        <w:tc>
          <w:tcPr>
            <w:tcW w:w="1260" w:type="dxa"/>
            <w:tcBorders>
              <w:top w:val="nil"/>
              <w:left w:val="nil"/>
              <w:bottom w:val="single" w:sz="4" w:space="0" w:color="5A5A5A"/>
              <w:right w:val="single" w:sz="4" w:space="0" w:color="5A5A5A"/>
            </w:tcBorders>
            <w:shd w:val="clear" w:color="auto" w:fill="auto"/>
            <w:vAlign w:val="center"/>
            <w:hideMark/>
          </w:tcPr>
          <w:p w14:paraId="34A9598B" w14:textId="77777777" w:rsidR="00E56623" w:rsidRPr="00787196" w:rsidRDefault="001F3E4C"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5FDCF1B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and 1-4 months post treatment </w:t>
            </w:r>
          </w:p>
        </w:tc>
        <w:tc>
          <w:tcPr>
            <w:tcW w:w="1819" w:type="dxa"/>
            <w:tcBorders>
              <w:top w:val="nil"/>
              <w:left w:val="nil"/>
              <w:bottom w:val="single" w:sz="4" w:space="0" w:color="5A5A5A"/>
              <w:right w:val="single" w:sz="4" w:space="0" w:color="5A5A5A"/>
            </w:tcBorders>
            <w:shd w:val="clear" w:color="auto" w:fill="auto"/>
            <w:vAlign w:val="center"/>
            <w:hideMark/>
          </w:tcPr>
          <w:p w14:paraId="3A324A4E" w14:textId="5131EBF7"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OHIP-49</w:t>
            </w:r>
          </w:p>
        </w:tc>
        <w:tc>
          <w:tcPr>
            <w:tcW w:w="1577" w:type="dxa"/>
            <w:tcBorders>
              <w:top w:val="nil"/>
              <w:left w:val="nil"/>
              <w:bottom w:val="single" w:sz="4" w:space="0" w:color="5A5A5A"/>
              <w:right w:val="single" w:sz="4" w:space="0" w:color="5A5A5A"/>
            </w:tcBorders>
            <w:shd w:val="clear" w:color="auto" w:fill="auto"/>
            <w:vAlign w:val="center"/>
            <w:hideMark/>
          </w:tcPr>
          <w:p w14:paraId="36597518"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Effect of different prosthodontic treatment </w:t>
            </w:r>
          </w:p>
        </w:tc>
        <w:tc>
          <w:tcPr>
            <w:tcW w:w="1261" w:type="dxa"/>
            <w:tcBorders>
              <w:top w:val="nil"/>
              <w:left w:val="nil"/>
              <w:bottom w:val="single" w:sz="4" w:space="0" w:color="5A5A5A"/>
              <w:right w:val="single" w:sz="4" w:space="0" w:color="5A5A5A"/>
            </w:tcBorders>
            <w:shd w:val="clear" w:color="auto" w:fill="auto"/>
            <w:vAlign w:val="center"/>
            <w:hideMark/>
          </w:tcPr>
          <w:p w14:paraId="20EDDCA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425659D0"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tcPr>
          <w:p w14:paraId="0FFFC89D" w14:textId="306A9179"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37</w:t>
            </w:r>
          </w:p>
        </w:tc>
        <w:tc>
          <w:tcPr>
            <w:tcW w:w="1943" w:type="dxa"/>
            <w:tcBorders>
              <w:top w:val="nil"/>
              <w:left w:val="nil"/>
              <w:bottom w:val="single" w:sz="4" w:space="0" w:color="5A5A5A"/>
              <w:right w:val="single" w:sz="4" w:space="0" w:color="5A5A5A"/>
            </w:tcBorders>
            <w:shd w:val="clear" w:color="auto" w:fill="auto"/>
            <w:vAlign w:val="center"/>
            <w:hideMark/>
          </w:tcPr>
          <w:p w14:paraId="62BFD758" w14:textId="603CCF79"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PEARSON, GIBSON, DAVIS, GELBIER AND ROBINSON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ExcludeAuth="1"&gt;&lt;Author&gt;Pearson&lt;/Author&gt;&lt;Year&gt;2007&lt;/Year&gt;&lt;RecNum&gt;0&lt;/RecNum&gt;&lt;IDText&gt;The effect of a domiciliary denture service on oral health related quality of life: a randomised controlled trial&lt;/IDText&gt;&lt;DisplayText&gt;(2007)&lt;/DisplayText&gt;&lt;record&gt;&lt;dates&gt;&lt;pub-dates&gt;&lt;date&gt;Jul 28&lt;/date&gt;&lt;/pub-dates&gt;&lt;year&gt;2007&lt;/year&gt;&lt;/dates&gt;&lt;isbn&gt;0007-0610&lt;/isbn&gt;&lt;titles&gt;&lt;title&gt;The effect of a domiciliary denture service on oral health related quality of life: a randomised controlled trial&lt;/title&gt;&lt;secondary-title&gt;Br Dent J&lt;/secondary-title&gt;&lt;alt-title&gt;British dental journal&lt;/alt-title&gt;&lt;/titles&gt;&lt;pages&gt;E3; discussion 100-1&lt;/pages&gt;&lt;number&gt;2&lt;/number&gt;&lt;contributors&gt;&lt;authors&gt;&lt;author&gt;Pearson, N. K.&lt;/author&gt;&lt;author&gt;Gibson, B. J.&lt;/author&gt;&lt;author&gt;Davis, D. M.&lt;/author&gt;&lt;author&gt;Gelbier, S.&lt;/author&gt;&lt;author&gt;Robinson, P. G.&lt;/author&gt;&lt;/authors&gt;&lt;/contributors&gt;&lt;edition&gt;2007/06/16&lt;/edition&gt;&lt;language&gt;eng&lt;/language&gt;&lt;added-date format="utc"&gt;1374040090&lt;/added-date&gt;&lt;ref-type name="Journal Article"&gt;17&lt;/ref-type&gt;&lt;auth-address&gt;Community &amp;amp; Salaried Dental Services, Tower Hamlets Primary Care Trust. nicola.pearson@thpct.nhs.uk&lt;/auth-address&gt;&lt;remote-database-provider&gt;Nlm&lt;/remote-database-provider&gt;&lt;rec-number&gt;980&lt;/rec-number&gt;&lt;last-updated-date format="utc"&gt;1374040090&lt;/last-updated-date&gt;&lt;accession-num&gt;17571092&lt;/accession-num&gt;&lt;electronic-resource-num&gt;10.1038/bdj.2007.569&lt;/electronic-resource-num&gt;&lt;volume&gt;203&lt;/volume&gt;&lt;/record&gt;&lt;/Cite&gt;&lt;/EndNote&gt;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(2007)</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74B5408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of denture wearers</w:t>
            </w:r>
          </w:p>
          <w:p w14:paraId="68797B05"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Study group </w:t>
            </w:r>
          </w:p>
          <w:p w14:paraId="177151F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(domiciliary service)</w:t>
            </w:r>
          </w:p>
          <w:p w14:paraId="716196A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Control group (conventional methods)</w:t>
            </w:r>
          </w:p>
        </w:tc>
        <w:tc>
          <w:tcPr>
            <w:tcW w:w="979" w:type="dxa"/>
            <w:tcBorders>
              <w:top w:val="nil"/>
              <w:left w:val="nil"/>
              <w:bottom w:val="single" w:sz="4" w:space="0" w:color="5A5A5A"/>
              <w:right w:val="single" w:sz="4" w:space="0" w:color="5A5A5A"/>
            </w:tcBorders>
            <w:shd w:val="clear" w:color="auto" w:fill="auto"/>
            <w:vAlign w:val="center"/>
            <w:hideMark/>
          </w:tcPr>
          <w:p w14:paraId="47DDEB3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126</w:t>
            </w:r>
          </w:p>
        </w:tc>
        <w:tc>
          <w:tcPr>
            <w:tcW w:w="1399" w:type="dxa"/>
            <w:tcBorders>
              <w:top w:val="nil"/>
              <w:left w:val="nil"/>
              <w:bottom w:val="single" w:sz="4" w:space="0" w:color="5A5A5A"/>
              <w:right w:val="single" w:sz="4" w:space="0" w:color="5A5A5A"/>
            </w:tcBorders>
            <w:shd w:val="clear" w:color="auto" w:fill="auto"/>
            <w:vAlign w:val="center"/>
            <w:hideMark/>
          </w:tcPr>
          <w:p w14:paraId="2795C01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55 (39-76)</w:t>
            </w:r>
          </w:p>
        </w:tc>
        <w:tc>
          <w:tcPr>
            <w:tcW w:w="1260" w:type="dxa"/>
            <w:tcBorders>
              <w:top w:val="nil"/>
              <w:left w:val="nil"/>
              <w:bottom w:val="single" w:sz="4" w:space="0" w:color="5A5A5A"/>
              <w:right w:val="single" w:sz="4" w:space="0" w:color="5A5A5A"/>
            </w:tcBorders>
            <w:shd w:val="clear" w:color="auto" w:fill="auto"/>
            <w:vAlign w:val="center"/>
            <w:hideMark/>
          </w:tcPr>
          <w:p w14:paraId="36F7697B"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Randomised control trial</w:t>
            </w:r>
          </w:p>
        </w:tc>
        <w:tc>
          <w:tcPr>
            <w:tcW w:w="1678" w:type="dxa"/>
            <w:tcBorders>
              <w:top w:val="nil"/>
              <w:left w:val="nil"/>
              <w:bottom w:val="single" w:sz="4" w:space="0" w:color="5A5A5A"/>
              <w:right w:val="single" w:sz="4" w:space="0" w:color="5A5A5A"/>
            </w:tcBorders>
            <w:shd w:val="clear" w:color="auto" w:fill="auto"/>
            <w:vAlign w:val="center"/>
            <w:hideMark/>
          </w:tcPr>
          <w:p w14:paraId="4C966AD3"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and 3 months follow up </w:t>
            </w:r>
          </w:p>
        </w:tc>
        <w:tc>
          <w:tcPr>
            <w:tcW w:w="1819" w:type="dxa"/>
            <w:tcBorders>
              <w:top w:val="nil"/>
              <w:left w:val="nil"/>
              <w:bottom w:val="single" w:sz="4" w:space="0" w:color="5A5A5A"/>
              <w:right w:val="single" w:sz="4" w:space="0" w:color="5A5A5A"/>
            </w:tcBorders>
            <w:shd w:val="clear" w:color="auto" w:fill="auto"/>
            <w:vAlign w:val="center"/>
            <w:hideMark/>
          </w:tcPr>
          <w:p w14:paraId="418D0402" w14:textId="3F0E648E" w:rsidR="00E56623" w:rsidRPr="00787196" w:rsidRDefault="00E711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OIDP</w:t>
            </w:r>
          </w:p>
        </w:tc>
        <w:tc>
          <w:tcPr>
            <w:tcW w:w="1577" w:type="dxa"/>
            <w:tcBorders>
              <w:top w:val="nil"/>
              <w:left w:val="nil"/>
              <w:bottom w:val="single" w:sz="4" w:space="0" w:color="5A5A5A"/>
              <w:right w:val="single" w:sz="4" w:space="0" w:color="5A5A5A"/>
            </w:tcBorders>
            <w:shd w:val="clear" w:color="auto" w:fill="auto"/>
            <w:vAlign w:val="center"/>
            <w:hideMark/>
          </w:tcPr>
          <w:p w14:paraId="59DF9505"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Evaluation of a denture provision</w:t>
            </w:r>
          </w:p>
        </w:tc>
        <w:tc>
          <w:tcPr>
            <w:tcW w:w="1261" w:type="dxa"/>
            <w:tcBorders>
              <w:top w:val="nil"/>
              <w:left w:val="nil"/>
              <w:bottom w:val="single" w:sz="4" w:space="0" w:color="5A5A5A"/>
              <w:right w:val="single" w:sz="4" w:space="0" w:color="5A5A5A"/>
            </w:tcBorders>
            <w:shd w:val="clear" w:color="auto" w:fill="auto"/>
            <w:vAlign w:val="center"/>
            <w:hideMark/>
          </w:tcPr>
          <w:p w14:paraId="7164C7E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6B4681" w:rsidRPr="00787196" w14:paraId="4617F802" w14:textId="77777777" w:rsidTr="006B4681">
        <w:trPr>
          <w:trHeight w:val="1182"/>
        </w:trPr>
        <w:tc>
          <w:tcPr>
            <w:tcW w:w="435" w:type="dxa"/>
            <w:tcBorders>
              <w:top w:val="nil"/>
              <w:left w:val="single" w:sz="4" w:space="0" w:color="5A5A5A"/>
              <w:bottom w:val="single" w:sz="4" w:space="0" w:color="5A5A5A"/>
              <w:right w:val="single" w:sz="4" w:space="0" w:color="5A5A5A"/>
            </w:tcBorders>
            <w:shd w:val="clear" w:color="auto" w:fill="auto"/>
            <w:vAlign w:val="center"/>
          </w:tcPr>
          <w:p w14:paraId="05C05982" w14:textId="035B8F79" w:rsidR="006B4681" w:rsidRPr="00787196" w:rsidRDefault="006B4681"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38</w:t>
            </w:r>
          </w:p>
        </w:tc>
        <w:tc>
          <w:tcPr>
            <w:tcW w:w="1943" w:type="dxa"/>
            <w:tcBorders>
              <w:top w:val="nil"/>
              <w:left w:val="nil"/>
              <w:bottom w:val="single" w:sz="4" w:space="0" w:color="5A5A5A"/>
              <w:right w:val="single" w:sz="4" w:space="0" w:color="5A5A5A"/>
            </w:tcBorders>
            <w:shd w:val="clear" w:color="auto" w:fill="auto"/>
            <w:vAlign w:val="center"/>
            <w:hideMark/>
          </w:tcPr>
          <w:p w14:paraId="3F3674A4" w14:textId="1CE07741" w:rsidR="006B4681" w:rsidRPr="00787196" w:rsidRDefault="006B4681" w:rsidP="00B560B3">
            <w:pPr>
              <w:spacing w:before="0" w:after="0" w:line="240" w:lineRule="auto"/>
              <w:jc w:val="left"/>
              <w:rPr>
                <w:rFonts w:eastAsia="Times New Roman" w:cs="Arial"/>
                <w:color w:val="000000"/>
                <w:sz w:val="17"/>
                <w:szCs w:val="17"/>
                <w:lang w:val="pt-PT"/>
              </w:rPr>
            </w:pPr>
            <w:r w:rsidRPr="00787196">
              <w:rPr>
                <w:rFonts w:eastAsia="Times New Roman" w:cs="Arial"/>
                <w:color w:val="000000"/>
                <w:sz w:val="17"/>
                <w:szCs w:val="17"/>
                <w:lang w:val="pt-PT"/>
              </w:rPr>
              <w:t xml:space="preserve">PISANI, SEGUNDO, BALBINO, DE SOUZA, PARANHOS AND SILVA </w:t>
            </w:r>
            <w:r w:rsidRPr="00787196">
              <w:rPr>
                <w:rFonts w:eastAsia="Times New Roman" w:cs="Arial"/>
                <w:color w:val="000000"/>
                <w:sz w:val="17"/>
                <w:szCs w:val="17"/>
              </w:rPr>
              <w:fldChar w:fldCharType="begin"/>
            </w:r>
            <w:r w:rsidRPr="00787196">
              <w:rPr>
                <w:rFonts w:eastAsia="Times New Roman" w:cs="Arial"/>
                <w:color w:val="000000"/>
                <w:sz w:val="17"/>
                <w:szCs w:val="17"/>
                <w:lang w:val="pt-PT"/>
              </w:rPr>
              <w:instrText xml:space="preserve"> ADDIN EN.CITE &lt;EndNote&gt;&lt;Cite ExcludeAuth="1"&gt;&lt;Author&gt;Pisani&lt;/Author&gt;&lt;Year&gt;2012&lt;/Year&gt;&lt;RecNum&gt;0&lt;/RecNum&gt;&lt;IDText&gt;Oral health related quality of life of edentulous patients after denture relining with a silicone-based soft liner&lt;/IDText&gt;&lt;DisplayText&gt;(2012)&lt;/DisplayText&gt;&lt;record&gt;&lt;dates&gt;&lt;pub-dates&gt;&lt;date&gt;Jun&lt;/date&gt;&lt;/pub-dates&gt;&lt;year&gt;2012&lt;/year&gt;&lt;/dates&gt;&lt;isbn&gt;0734-0664&lt;/isbn&gt;&lt;titles&gt;&lt;title&gt;Oral health related quality of life of edentulous patients after denture relining with a silicone-based soft liner&lt;/title&gt;&lt;secondary-title&gt;Gerodontology&lt;/secondary-title&gt;&lt;alt-title&gt;Gerodontology&lt;/alt-title&gt;&lt;/titles&gt;&lt;pages&gt;e474-80&lt;/pages&gt;&lt;number&gt;2&lt;/number&gt;&lt;contributors&gt;&lt;authors&gt;&lt;author&gt;Pisani, M. X.&lt;/author&gt;&lt;author&gt;Malheiros-Segundo Ade, L.&lt;/author&gt;&lt;author&gt;Balbino, K. L.&lt;/author&gt;&lt;author&gt;de Souza, R. F.&lt;/author&gt;&lt;author&gt;Paranhos Hde, F.&lt;/author&gt;&lt;author&gt;da Silva, C. H.&lt;/author&gt;&lt;/authors&gt;&lt;/contributors&gt;&lt;edition&gt;2011/06/24&lt;/edition&gt;&lt;language&gt;eng&lt;/language&gt;&lt;added-date format="utc"&gt;1374040089&lt;/added-date&gt;&lt;ref-type name="Journal Article"&gt;17&lt;/ref-type&gt;&lt;auth-address&gt;Department of Dental Materials and Prosthodontics, Ribeirao Preto Dental School, University of Sao Paulo, Ribeirao Preto, SP, Brazil.&lt;/auth-address&gt;&lt;remote-database-provider&gt;Nlm&lt;/remote-database-provider&gt;&lt;rec-number&gt;869&lt;/rec-number&gt;&lt;last-updated-date format="utc"&gt;1374040089&lt;/last-updated-date&gt;&lt;accession-num&gt;21696442&lt;/accession-num&gt;&lt;electronic-resource-num&gt;10.1111/j.1741-2358.2011.00503.x&lt;/electronic-resource-num&gt;&lt;volume&gt;29&lt;/volume&gt;&lt;/record&gt;&lt;/Cite&gt;&lt;/EndNote&gt;</w:instrText>
            </w:r>
            <w:r w:rsidRPr="00787196">
              <w:rPr>
                <w:rFonts w:eastAsia="Times New Roman" w:cs="Arial"/>
                <w:color w:val="000000"/>
                <w:sz w:val="17"/>
                <w:szCs w:val="17"/>
              </w:rPr>
              <w:fldChar w:fldCharType="separate"/>
            </w:r>
            <w:r w:rsidRPr="00787196">
              <w:rPr>
                <w:rFonts w:eastAsia="Times New Roman" w:cs="Arial"/>
                <w:color w:val="000000"/>
                <w:sz w:val="17"/>
                <w:szCs w:val="17"/>
                <w:lang w:val="pt-PT"/>
              </w:rPr>
              <w:t>(2012)</w:t>
            </w:r>
            <w:r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27259C0F" w14:textId="77777777" w:rsidR="006B4681" w:rsidRPr="00787196" w:rsidRDefault="006B4681"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Individuals wearing complete dentures with less retentive mandibular dentures</w:t>
            </w:r>
          </w:p>
        </w:tc>
        <w:tc>
          <w:tcPr>
            <w:tcW w:w="979" w:type="dxa"/>
            <w:tcBorders>
              <w:top w:val="nil"/>
              <w:left w:val="nil"/>
              <w:bottom w:val="single" w:sz="4" w:space="0" w:color="5A5A5A"/>
              <w:right w:val="single" w:sz="4" w:space="0" w:color="5A5A5A"/>
            </w:tcBorders>
            <w:shd w:val="clear" w:color="auto" w:fill="auto"/>
            <w:vAlign w:val="center"/>
            <w:hideMark/>
          </w:tcPr>
          <w:p w14:paraId="68E0B52D" w14:textId="77777777" w:rsidR="006B4681" w:rsidRPr="00787196" w:rsidRDefault="006B4681"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33</w:t>
            </w:r>
          </w:p>
        </w:tc>
        <w:tc>
          <w:tcPr>
            <w:tcW w:w="1399" w:type="dxa"/>
            <w:tcBorders>
              <w:top w:val="nil"/>
              <w:left w:val="nil"/>
              <w:bottom w:val="single" w:sz="4" w:space="0" w:color="5A5A5A"/>
              <w:right w:val="single" w:sz="4" w:space="0" w:color="5A5A5A"/>
            </w:tcBorders>
            <w:shd w:val="clear" w:color="auto" w:fill="auto"/>
            <w:vAlign w:val="center"/>
            <w:hideMark/>
          </w:tcPr>
          <w:p w14:paraId="0F93755D" w14:textId="77777777" w:rsidR="006B4681" w:rsidRPr="00787196" w:rsidRDefault="006B4681"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68.2 (10.2)</w:t>
            </w:r>
          </w:p>
        </w:tc>
        <w:tc>
          <w:tcPr>
            <w:tcW w:w="1260" w:type="dxa"/>
            <w:tcBorders>
              <w:top w:val="nil"/>
              <w:left w:val="nil"/>
              <w:bottom w:val="single" w:sz="4" w:space="0" w:color="5A5A5A"/>
              <w:right w:val="single" w:sz="4" w:space="0" w:color="5A5A5A"/>
            </w:tcBorders>
            <w:shd w:val="clear" w:color="auto" w:fill="auto"/>
            <w:vAlign w:val="center"/>
            <w:hideMark/>
          </w:tcPr>
          <w:p w14:paraId="270A277C" w14:textId="77777777" w:rsidR="006B4681" w:rsidRPr="00787196" w:rsidRDefault="006B4681"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4B998A73" w14:textId="65EB23D0" w:rsidR="006B4681" w:rsidRPr="00787196" w:rsidRDefault="006B4681"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Prior to relining the denture and 3 months follow up</w:t>
            </w:r>
          </w:p>
        </w:tc>
        <w:tc>
          <w:tcPr>
            <w:tcW w:w="1819" w:type="dxa"/>
            <w:tcBorders>
              <w:top w:val="nil"/>
              <w:left w:val="nil"/>
              <w:bottom w:val="single" w:sz="4" w:space="0" w:color="5A5A5A"/>
              <w:right w:val="single" w:sz="4" w:space="0" w:color="5A5A5A"/>
            </w:tcBorders>
            <w:shd w:val="clear" w:color="auto" w:fill="auto"/>
            <w:vAlign w:val="center"/>
            <w:hideMark/>
          </w:tcPr>
          <w:p w14:paraId="5C6145C7" w14:textId="61E5CC30" w:rsidR="006B4681" w:rsidRPr="00787196" w:rsidRDefault="006B4681" w:rsidP="009962E6">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 EDENT – Brazilian version</w:t>
            </w:r>
          </w:p>
        </w:tc>
        <w:tc>
          <w:tcPr>
            <w:tcW w:w="1577" w:type="dxa"/>
            <w:tcBorders>
              <w:top w:val="nil"/>
              <w:left w:val="nil"/>
              <w:bottom w:val="single" w:sz="4" w:space="0" w:color="5A5A5A"/>
              <w:right w:val="single" w:sz="4" w:space="0" w:color="5A5A5A"/>
            </w:tcBorders>
            <w:shd w:val="clear" w:color="auto" w:fill="auto"/>
            <w:vAlign w:val="center"/>
            <w:hideMark/>
          </w:tcPr>
          <w:p w14:paraId="1C50EAC2" w14:textId="47C4F901" w:rsidR="006B4681" w:rsidRPr="00787196" w:rsidRDefault="006B4681" w:rsidP="006B4681">
            <w:pPr>
              <w:spacing w:before="0" w:after="0" w:line="240" w:lineRule="auto"/>
              <w:ind w:left="186"/>
              <w:jc w:val="left"/>
              <w:rPr>
                <w:rFonts w:eastAsia="Times New Roman" w:cs="Arial"/>
                <w:color w:val="000000"/>
                <w:sz w:val="17"/>
                <w:szCs w:val="17"/>
              </w:rPr>
            </w:pPr>
            <w:r w:rsidRPr="00787196">
              <w:rPr>
                <w:rFonts w:eastAsia="Times New Roman" w:cs="Arial"/>
                <w:color w:val="000000"/>
                <w:sz w:val="17"/>
                <w:szCs w:val="17"/>
              </w:rPr>
              <w:t>To check if relining dentures improves OHQoL</w:t>
            </w:r>
          </w:p>
        </w:tc>
        <w:tc>
          <w:tcPr>
            <w:tcW w:w="1275" w:type="dxa"/>
            <w:gridSpan w:val="2"/>
            <w:tcBorders>
              <w:top w:val="nil"/>
              <w:left w:val="nil"/>
              <w:bottom w:val="single" w:sz="4" w:space="0" w:color="5A5A5A"/>
              <w:right w:val="single" w:sz="4" w:space="0" w:color="5A5A5A"/>
            </w:tcBorders>
            <w:shd w:val="clear" w:color="auto" w:fill="auto"/>
            <w:vAlign w:val="center"/>
          </w:tcPr>
          <w:p w14:paraId="23170B44" w14:textId="7E9E5C89" w:rsidR="006B4681" w:rsidRPr="00787196" w:rsidRDefault="006B4681" w:rsidP="00B560B3">
            <w:pPr>
              <w:spacing w:before="0" w:after="0" w:line="240" w:lineRule="auto"/>
              <w:jc w:val="center"/>
              <w:rPr>
                <w:rFonts w:eastAsia="Times New Roman" w:cs="Arial"/>
                <w:color w:val="000000"/>
                <w:sz w:val="17"/>
                <w:szCs w:val="17"/>
              </w:rPr>
            </w:pPr>
          </w:p>
        </w:tc>
      </w:tr>
      <w:tr w:rsidR="00E56623" w:rsidRPr="00787196" w14:paraId="7FB42F98" w14:textId="77777777" w:rsidTr="002C4FCD">
        <w:trPr>
          <w:gridAfter w:val="1"/>
          <w:wAfter w:w="14" w:type="dxa"/>
          <w:trHeight w:val="1122"/>
        </w:trPr>
        <w:tc>
          <w:tcPr>
            <w:tcW w:w="435" w:type="dxa"/>
            <w:tcBorders>
              <w:top w:val="nil"/>
              <w:left w:val="single" w:sz="4" w:space="0" w:color="5A5A5A"/>
              <w:bottom w:val="single" w:sz="4" w:space="0" w:color="5A5A5A"/>
              <w:right w:val="single" w:sz="4" w:space="0" w:color="5A5A5A"/>
            </w:tcBorders>
            <w:shd w:val="clear" w:color="auto" w:fill="auto"/>
            <w:vAlign w:val="center"/>
          </w:tcPr>
          <w:p w14:paraId="2092496F" w14:textId="6A9BD77E"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39</w:t>
            </w:r>
          </w:p>
        </w:tc>
        <w:tc>
          <w:tcPr>
            <w:tcW w:w="1943" w:type="dxa"/>
            <w:tcBorders>
              <w:top w:val="single" w:sz="4" w:space="0" w:color="5A5A5A"/>
              <w:left w:val="nil"/>
              <w:bottom w:val="single" w:sz="4" w:space="0" w:color="5A5A5A"/>
              <w:right w:val="single" w:sz="4" w:space="0" w:color="5A5A5A"/>
            </w:tcBorders>
            <w:shd w:val="clear" w:color="auto" w:fill="auto"/>
            <w:vAlign w:val="center"/>
            <w:hideMark/>
          </w:tcPr>
          <w:p w14:paraId="2717DF99" w14:textId="5C436205"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REISSMANN, JOHN AND SCHIERZ</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ExcludeAuth="1"&gt;&lt;Author&gt;Reissmann&lt;/Author&gt;&lt;Year&gt;2011&lt;/Year&gt;&lt;RecNum&gt;0&lt;/RecNum&gt;&lt;IDText&gt;Influence of administration method on oral health-related quality of life assessment using the Oral Health Impact Profile&lt;/IDText&gt;&lt;DisplayText&gt;(2011)&lt;/DisplayText&gt;&lt;record&gt;&lt;dates&gt;&lt;pub-dates&gt;&lt;date&gt;Feb&lt;/date&gt;&lt;/pub-dates&gt;&lt;year&gt;2011&lt;/year&gt;&lt;/dates&gt;&lt;isbn&gt;0909-8836&lt;/isbn&gt;&lt;titles&gt;&lt;title&gt;Influence of administration method on oral health-related quality of life assessment using the Oral Health Impact Profile&lt;/title&gt;&lt;secondary-title&gt;Eur J Oral Sci&lt;/secondary-title&gt;&lt;alt-title&gt;European journal of oral sciences&lt;/alt-title&gt;&lt;/titles&gt;&lt;pages&gt;73-8&lt;/pages&gt;&lt;number&gt;1&lt;/number&gt;&lt;contributors&gt;&lt;authors&gt;&lt;author&gt;Reissmann, D. R.&lt;/author&gt;&lt;author&gt;John, M. T.&lt;/author&gt;&lt;author&gt;Schierz, O.&lt;/author&gt;&lt;/authors&gt;&lt;/contributors&gt;&lt;edition&gt;2011/01/20&lt;/edition&gt;&lt;language&gt;eng&lt;/language&gt;&lt;added-date format="utc"&gt;1374040089&lt;/added-date&gt;&lt;ref-type name="Journal Article"&gt;17&lt;/ref-type&gt;&lt;auth-address&gt;Department of Prosthetic Dentistry, School of Dentistry, University Medical Center Hamburg-Eppendorf, Hamburg, Germany. d.reissmann@uke.de&lt;/auth-address&gt;&lt;remote-database-provider&gt;Nlm&lt;/remote-database-provider&gt;&lt;rec-number&gt;889&lt;/rec-number&gt;&lt;last-updated-date format="utc"&gt;1374040089&lt;/last-updated-date&gt;&lt;accession-num&gt;21244515&lt;/accession-num&gt;&lt;electronic-resource-num&gt;10.1111/j.1600-0722.2010.00805.x&lt;/electronic-resource-num&gt;&lt;volume&gt;119&lt;/volume&gt;&lt;/record&gt;&lt;/Cite&gt;&lt;/EndNote&gt;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(2011)</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59E9B3DE"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Convenience sample of people seeking dental treatment at a prosthodontic unit</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75A629D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42</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029FB696"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57.5 (15.7)</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442C42AD" w14:textId="77777777" w:rsidR="00E56623" w:rsidRPr="00787196" w:rsidRDefault="001F3E4C"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7106CACD" w14:textId="36557006"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3 measurements within 3-</w:t>
            </w:r>
            <w:r w:rsidR="006B4681" w:rsidRPr="00787196">
              <w:rPr>
                <w:rFonts w:eastAsia="Times New Roman" w:cs="Arial"/>
                <w:color w:val="000000"/>
                <w:sz w:val="17"/>
                <w:szCs w:val="17"/>
              </w:rPr>
              <w:t>4-week</w:t>
            </w:r>
            <w:r w:rsidRPr="00787196">
              <w:rPr>
                <w:rFonts w:eastAsia="Times New Roman" w:cs="Arial"/>
                <w:color w:val="000000"/>
                <w:sz w:val="17"/>
                <w:szCs w:val="17"/>
              </w:rPr>
              <w:t xml:space="preserve"> period post intervention. One pre-treatment for new patients </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2C9F1728" w14:textId="26221D2B" w:rsidR="00E56623" w:rsidRPr="00787196" w:rsidRDefault="00E71151"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OHIP-49</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6E481698"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Influence of administration methods</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5E97C6D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556054D4" w14:textId="77777777" w:rsidTr="006B4681">
        <w:trPr>
          <w:gridAfter w:val="1"/>
          <w:wAfter w:w="14" w:type="dxa"/>
          <w:trHeight w:val="1491"/>
        </w:trPr>
        <w:tc>
          <w:tcPr>
            <w:tcW w:w="435" w:type="dxa"/>
            <w:tcBorders>
              <w:top w:val="nil"/>
              <w:left w:val="single" w:sz="4" w:space="0" w:color="5A5A5A"/>
              <w:bottom w:val="single" w:sz="4" w:space="0" w:color="5A5A5A"/>
              <w:right w:val="single" w:sz="4" w:space="0" w:color="5A5A5A"/>
            </w:tcBorders>
            <w:shd w:val="clear" w:color="auto" w:fill="auto"/>
            <w:vAlign w:val="center"/>
          </w:tcPr>
          <w:p w14:paraId="3E92E656" w14:textId="77A6E200" w:rsidR="00E56623" w:rsidRPr="00787196" w:rsidRDefault="00774EBF" w:rsidP="00B560B3">
            <w:pPr>
              <w:spacing w:before="0" w:after="0" w:line="240" w:lineRule="auto"/>
              <w:rPr>
                <w:rFonts w:eastAsia="Times New Roman" w:cs="Arial"/>
                <w:sz w:val="17"/>
                <w:szCs w:val="17"/>
              </w:rPr>
            </w:pPr>
            <w:r w:rsidRPr="00787196">
              <w:rPr>
                <w:rFonts w:eastAsia="Times New Roman" w:cs="Arial"/>
                <w:sz w:val="17"/>
                <w:szCs w:val="17"/>
              </w:rPr>
              <w:t>40</w:t>
            </w:r>
          </w:p>
        </w:tc>
        <w:tc>
          <w:tcPr>
            <w:tcW w:w="1943" w:type="dxa"/>
            <w:tcBorders>
              <w:top w:val="nil"/>
              <w:left w:val="nil"/>
              <w:bottom w:val="single" w:sz="4" w:space="0" w:color="5A5A5A"/>
              <w:right w:val="single" w:sz="4" w:space="0" w:color="5A5A5A"/>
            </w:tcBorders>
            <w:shd w:val="clear" w:color="auto" w:fill="auto"/>
            <w:vAlign w:val="center"/>
            <w:hideMark/>
          </w:tcPr>
          <w:p w14:paraId="249B3E7F" w14:textId="71566BB9" w:rsidR="00E56623" w:rsidRPr="00787196" w:rsidRDefault="00FE5527" w:rsidP="00B560B3">
            <w:pPr>
              <w:spacing w:before="0" w:after="0" w:line="240" w:lineRule="auto"/>
              <w:jc w:val="left"/>
              <w:rPr>
                <w:rFonts w:eastAsia="Times New Roman" w:cs="Arial"/>
                <w:sz w:val="17"/>
                <w:szCs w:val="17"/>
              </w:rPr>
            </w:pPr>
            <w:r w:rsidRPr="00787196">
              <w:rPr>
                <w:rFonts w:eastAsia="Times New Roman" w:cs="Arial"/>
                <w:sz w:val="17"/>
                <w:szCs w:val="17"/>
              </w:rPr>
              <w:t xml:space="preserve">RING, HOFER, HEUSTON, HARRIS AND BOYLE </w:t>
            </w:r>
            <w:r w:rsidR="007D6B7F" w:rsidRPr="00787196">
              <w:rPr>
                <w:rFonts w:eastAsia="Times New Roman" w:cs="Arial"/>
                <w:sz w:val="17"/>
                <w:szCs w:val="17"/>
              </w:rPr>
              <w:fldChar w:fldCharType="begin"/>
            </w:r>
            <w:r w:rsidR="00223957" w:rsidRPr="00787196">
              <w:rPr>
                <w:rFonts w:eastAsia="Times New Roman" w:cs="Arial"/>
                <w:sz w:val="17"/>
                <w:szCs w:val="17"/>
              </w:rPr>
              <w:instrText xml:space="preserve"> ADDIN EN.CITE &lt;EndNote&gt;&lt;Cite ExcludeAuth="1"&gt;&lt;Author&gt;Ring&lt;/Author&gt;&lt;Year&gt;2005&lt;/Year&gt;&lt;RecNum&gt;0&lt;/RecNum&gt;&lt;IDText&gt;Response shift masks the treatment impact on patient reported outcomes (PROs): the example of individual quality of life in edentulous patients&lt;/IDText&gt;&lt;DisplayText&gt;(2005)&lt;/DisplayText&gt;&lt;record&gt;&lt;isbn&gt;1477-7525&lt;/isbn&gt;&lt;custom2&gt;Pmc1236951&lt;/custom2&gt;&lt;titles&gt;&lt;title&gt;Response shift masks the treatment impact on patient reported outcomes (PROs): the example of individual quality of life in edentulous patients&lt;/title&gt;&lt;secondary-title&gt;Health Qual Life Outcomes&lt;/secondary-title&gt;&lt;alt-title&gt;Health and quality of life outcomes&lt;/alt-title&gt;&lt;/titles&gt;&lt;pages&gt;55&lt;/pages&gt;&lt;contributors&gt;&lt;authors&gt;&lt;author&gt;Ring, L.&lt;/author&gt;&lt;author&gt;Hofer, S.&lt;/author&gt;&lt;author&gt;Heuston, F.&lt;/author&gt;&lt;author&gt;Harris, D.&lt;/author&gt;&lt;author&gt;O&amp;apos;Boyle, C. A.&lt;/author&gt;&lt;/authors&gt;&lt;/contributors&gt;&lt;edition&gt;2005/09/09&lt;/edition&gt;&lt;language&gt;eng&lt;/language&gt;&lt;added-date format="utc"&gt;1374065288&lt;/added-date&gt;&lt;ref-type name="Journal Article"&gt;17&lt;/ref-type&gt;&lt;auth-address&gt;Department of Psychology, Royal College of Surgeons in Ireland, Mercer Street Lower, Dublin 2, Ireland. lena.ring@farmaci.uu.se&lt;/auth-address&gt;&lt;dates&gt;&lt;year&gt;2005&lt;/year&gt;&lt;/dates&gt;&lt;remote-database-provider&gt;Nlm&lt;/remote-database-provider&gt;&lt;rec-number&gt;1008&lt;/rec-number&gt;&lt;last-updated-date format="utc"&gt;1374065288&lt;/last-updated-date&gt;&lt;accession-num&gt;16146573&lt;/accession-num&gt;&lt;electronic-resource-num&gt;10.1186/1477-7525-3-55&lt;/electronic-resource-num&gt;&lt;volume&gt;3&lt;/volume&gt;&lt;/record&gt;&lt;/Cite&gt;&lt;/EndNote&gt;</w:instrText>
            </w:r>
            <w:r w:rsidR="007D6B7F" w:rsidRPr="00787196">
              <w:rPr>
                <w:rFonts w:eastAsia="Times New Roman" w:cs="Arial"/>
                <w:sz w:val="17"/>
                <w:szCs w:val="17"/>
              </w:rPr>
              <w:fldChar w:fldCharType="separate"/>
            </w:r>
            <w:r w:rsidRPr="00787196">
              <w:rPr>
                <w:rFonts w:eastAsia="Times New Roman" w:cs="Arial"/>
                <w:sz w:val="17"/>
                <w:szCs w:val="17"/>
              </w:rPr>
              <w:t>(2005)</w:t>
            </w:r>
            <w:r w:rsidR="007D6B7F" w:rsidRPr="00787196">
              <w:rPr>
                <w:rFonts w:eastAsia="Times New Roman" w:cs="Arial"/>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72B94C06" w14:textId="77777777" w:rsidR="00E56623" w:rsidRPr="00787196" w:rsidRDefault="00E56623" w:rsidP="00B560B3">
            <w:pPr>
              <w:spacing w:before="0" w:after="0" w:line="240" w:lineRule="auto"/>
              <w:jc w:val="left"/>
              <w:rPr>
                <w:rFonts w:eastAsia="Times New Roman" w:cs="Arial"/>
                <w:sz w:val="17"/>
                <w:szCs w:val="17"/>
              </w:rPr>
            </w:pPr>
            <w:r w:rsidRPr="00787196">
              <w:rPr>
                <w:rFonts w:eastAsia="Times New Roman" w:cs="Arial"/>
                <w:sz w:val="17"/>
                <w:szCs w:val="17"/>
              </w:rPr>
              <w:t>Individuals receiving conventional denture treatment</w:t>
            </w:r>
          </w:p>
        </w:tc>
        <w:tc>
          <w:tcPr>
            <w:tcW w:w="979" w:type="dxa"/>
            <w:tcBorders>
              <w:top w:val="nil"/>
              <w:left w:val="nil"/>
              <w:bottom w:val="single" w:sz="4" w:space="0" w:color="5A5A5A"/>
              <w:right w:val="single" w:sz="4" w:space="0" w:color="5A5A5A"/>
            </w:tcBorders>
            <w:shd w:val="clear" w:color="auto" w:fill="auto"/>
            <w:vAlign w:val="center"/>
            <w:hideMark/>
          </w:tcPr>
          <w:p w14:paraId="49A683BB" w14:textId="77777777" w:rsidR="00E56623" w:rsidRPr="00787196" w:rsidRDefault="00E56623" w:rsidP="00B560B3">
            <w:pPr>
              <w:spacing w:before="0" w:after="0" w:line="240" w:lineRule="auto"/>
              <w:jc w:val="center"/>
              <w:rPr>
                <w:rFonts w:eastAsia="Times New Roman" w:cs="Arial"/>
                <w:sz w:val="17"/>
                <w:szCs w:val="17"/>
              </w:rPr>
            </w:pPr>
            <w:r w:rsidRPr="00787196">
              <w:rPr>
                <w:rFonts w:eastAsia="Times New Roman" w:cs="Arial"/>
                <w:sz w:val="17"/>
                <w:szCs w:val="17"/>
              </w:rPr>
              <w:t>117</w:t>
            </w:r>
          </w:p>
        </w:tc>
        <w:tc>
          <w:tcPr>
            <w:tcW w:w="1399" w:type="dxa"/>
            <w:tcBorders>
              <w:top w:val="nil"/>
              <w:left w:val="nil"/>
              <w:bottom w:val="single" w:sz="4" w:space="0" w:color="5A5A5A"/>
              <w:right w:val="single" w:sz="4" w:space="0" w:color="5A5A5A"/>
            </w:tcBorders>
            <w:shd w:val="clear" w:color="auto" w:fill="auto"/>
            <w:vAlign w:val="center"/>
            <w:hideMark/>
          </w:tcPr>
          <w:p w14:paraId="14187906" w14:textId="77777777" w:rsidR="00E56623" w:rsidRPr="00787196" w:rsidRDefault="00E56623" w:rsidP="00B560B3">
            <w:pPr>
              <w:spacing w:before="0" w:after="0" w:line="240" w:lineRule="auto"/>
              <w:jc w:val="center"/>
              <w:rPr>
                <w:rFonts w:eastAsia="Times New Roman" w:cs="Arial"/>
                <w:sz w:val="17"/>
                <w:szCs w:val="17"/>
              </w:rPr>
            </w:pPr>
            <w:r w:rsidRPr="00787196">
              <w:rPr>
                <w:rFonts w:eastAsia="Times New Roman" w:cs="Arial"/>
                <w:sz w:val="17"/>
                <w:szCs w:val="17"/>
              </w:rPr>
              <w:t>64 (8)</w:t>
            </w:r>
          </w:p>
        </w:tc>
        <w:tc>
          <w:tcPr>
            <w:tcW w:w="1260" w:type="dxa"/>
            <w:tcBorders>
              <w:top w:val="nil"/>
              <w:left w:val="nil"/>
              <w:bottom w:val="single" w:sz="4" w:space="0" w:color="5A5A5A"/>
              <w:right w:val="single" w:sz="4" w:space="0" w:color="5A5A5A"/>
            </w:tcBorders>
            <w:shd w:val="clear" w:color="auto" w:fill="auto"/>
            <w:vAlign w:val="center"/>
            <w:hideMark/>
          </w:tcPr>
          <w:p w14:paraId="09E797BA" w14:textId="77777777" w:rsidR="00E56623" w:rsidRPr="00787196" w:rsidRDefault="00E56623" w:rsidP="00B560B3">
            <w:pPr>
              <w:spacing w:before="0" w:after="0" w:line="240" w:lineRule="auto"/>
              <w:jc w:val="left"/>
              <w:rPr>
                <w:rFonts w:eastAsia="Times New Roman" w:cs="Arial"/>
                <w:sz w:val="17"/>
                <w:szCs w:val="17"/>
              </w:rPr>
            </w:pPr>
            <w:r w:rsidRPr="00787196">
              <w:rPr>
                <w:rFonts w:eastAsia="Times New Roman" w:cs="Arial"/>
                <w:sz w:val="17"/>
                <w:szCs w:val="17"/>
              </w:rPr>
              <w:t>Randomised control trial</w:t>
            </w:r>
          </w:p>
        </w:tc>
        <w:tc>
          <w:tcPr>
            <w:tcW w:w="1678" w:type="dxa"/>
            <w:tcBorders>
              <w:top w:val="nil"/>
              <w:left w:val="nil"/>
              <w:bottom w:val="single" w:sz="4" w:space="0" w:color="5A5A5A"/>
              <w:right w:val="single" w:sz="4" w:space="0" w:color="5A5A5A"/>
            </w:tcBorders>
            <w:shd w:val="clear" w:color="auto" w:fill="auto"/>
            <w:vAlign w:val="center"/>
            <w:hideMark/>
          </w:tcPr>
          <w:p w14:paraId="14B4650F" w14:textId="5B381549" w:rsidR="00E56623" w:rsidRPr="00787196" w:rsidRDefault="00E56623" w:rsidP="009962E6">
            <w:pPr>
              <w:spacing w:before="0" w:after="0" w:line="240" w:lineRule="auto"/>
              <w:jc w:val="left"/>
              <w:rPr>
                <w:rFonts w:eastAsia="Times New Roman" w:cs="Arial"/>
                <w:sz w:val="17"/>
                <w:szCs w:val="17"/>
              </w:rPr>
            </w:pPr>
            <w:r w:rsidRPr="00787196">
              <w:rPr>
                <w:rFonts w:eastAsia="Times New Roman" w:cs="Arial"/>
                <w:sz w:val="17"/>
                <w:szCs w:val="17"/>
              </w:rPr>
              <w:t>Baseline before treatment and 3 month follow-up after treatment</w:t>
            </w:r>
          </w:p>
        </w:tc>
        <w:tc>
          <w:tcPr>
            <w:tcW w:w="1819" w:type="dxa"/>
            <w:tcBorders>
              <w:top w:val="nil"/>
              <w:left w:val="nil"/>
              <w:bottom w:val="single" w:sz="4" w:space="0" w:color="5A5A5A"/>
              <w:right w:val="single" w:sz="4" w:space="0" w:color="5A5A5A"/>
            </w:tcBorders>
            <w:shd w:val="clear" w:color="auto" w:fill="auto"/>
            <w:vAlign w:val="center"/>
            <w:hideMark/>
          </w:tcPr>
          <w:p w14:paraId="72B02D6A" w14:textId="4D3EB83D" w:rsidR="00E56623" w:rsidRPr="00787196" w:rsidRDefault="00E56623" w:rsidP="00B560B3">
            <w:pPr>
              <w:spacing w:before="0" w:after="0" w:line="240" w:lineRule="auto"/>
              <w:ind w:left="310"/>
              <w:jc w:val="left"/>
              <w:rPr>
                <w:rFonts w:eastAsia="Times New Roman" w:cs="Arial"/>
                <w:sz w:val="17"/>
                <w:szCs w:val="17"/>
              </w:rPr>
            </w:pPr>
            <w:r w:rsidRPr="00787196">
              <w:rPr>
                <w:rFonts w:eastAsia="Times New Roman" w:cs="Arial"/>
                <w:sz w:val="17"/>
                <w:szCs w:val="17"/>
              </w:rPr>
              <w:t>OHIP</w:t>
            </w:r>
            <w:r w:rsidR="00E71151" w:rsidRPr="00787196">
              <w:rPr>
                <w:rFonts w:eastAsia="Times New Roman" w:cs="Arial"/>
                <w:sz w:val="17"/>
                <w:szCs w:val="17"/>
              </w:rPr>
              <w:t xml:space="preserve"> -49</w:t>
            </w:r>
          </w:p>
        </w:tc>
        <w:tc>
          <w:tcPr>
            <w:tcW w:w="1577" w:type="dxa"/>
            <w:tcBorders>
              <w:top w:val="nil"/>
              <w:left w:val="nil"/>
              <w:bottom w:val="single" w:sz="4" w:space="0" w:color="5A5A5A"/>
              <w:right w:val="single" w:sz="4" w:space="0" w:color="5A5A5A"/>
            </w:tcBorders>
            <w:shd w:val="clear" w:color="auto" w:fill="auto"/>
            <w:vAlign w:val="center"/>
            <w:hideMark/>
          </w:tcPr>
          <w:p w14:paraId="14DF6CE7" w14:textId="12605AB1" w:rsidR="00E71151" w:rsidRPr="00787196" w:rsidRDefault="00E71151" w:rsidP="009962E6">
            <w:pPr>
              <w:spacing w:before="0" w:after="0" w:line="240" w:lineRule="auto"/>
              <w:ind w:left="193"/>
              <w:jc w:val="left"/>
              <w:rPr>
                <w:rFonts w:eastAsia="Times New Roman" w:cs="Arial"/>
                <w:sz w:val="17"/>
                <w:szCs w:val="17"/>
              </w:rPr>
            </w:pPr>
            <w:r w:rsidRPr="00787196">
              <w:rPr>
                <w:rFonts w:eastAsia="Times New Roman" w:cs="Arial"/>
                <w:sz w:val="17"/>
                <w:szCs w:val="17"/>
              </w:rPr>
              <w:t>Schedule for the Evaluation of</w:t>
            </w:r>
          </w:p>
          <w:p w14:paraId="6C040636" w14:textId="5A61A4EB" w:rsidR="00E56623" w:rsidRPr="00787196" w:rsidRDefault="00E71151" w:rsidP="009962E6">
            <w:pPr>
              <w:spacing w:before="0" w:after="0" w:line="240" w:lineRule="auto"/>
              <w:ind w:left="193"/>
              <w:jc w:val="left"/>
              <w:rPr>
                <w:rFonts w:eastAsia="Times New Roman" w:cs="Arial"/>
                <w:sz w:val="17"/>
                <w:szCs w:val="17"/>
              </w:rPr>
            </w:pPr>
            <w:r w:rsidRPr="00787196">
              <w:rPr>
                <w:rFonts w:eastAsia="Times New Roman" w:cs="Arial"/>
                <w:sz w:val="17"/>
                <w:szCs w:val="17"/>
              </w:rPr>
              <w:t>Individual Quality of Life – Direct Weighing SEIQoL-DW</w:t>
            </w:r>
          </w:p>
        </w:tc>
        <w:tc>
          <w:tcPr>
            <w:tcW w:w="1261" w:type="dxa"/>
            <w:tcBorders>
              <w:top w:val="nil"/>
              <w:left w:val="nil"/>
              <w:bottom w:val="single" w:sz="4" w:space="0" w:color="5A5A5A"/>
              <w:right w:val="single" w:sz="4" w:space="0" w:color="5A5A5A"/>
            </w:tcBorders>
            <w:shd w:val="clear" w:color="auto" w:fill="auto"/>
            <w:vAlign w:val="center"/>
            <w:hideMark/>
          </w:tcPr>
          <w:p w14:paraId="716F496A" w14:textId="77777777" w:rsidR="00E56623" w:rsidRPr="00787196" w:rsidRDefault="00E56623" w:rsidP="00B560B3">
            <w:pPr>
              <w:spacing w:before="0" w:after="0" w:line="240" w:lineRule="auto"/>
              <w:jc w:val="center"/>
              <w:rPr>
                <w:rFonts w:eastAsia="Times New Roman" w:cs="Arial"/>
                <w:sz w:val="17"/>
                <w:szCs w:val="17"/>
              </w:rPr>
            </w:pPr>
            <w:r w:rsidRPr="00787196">
              <w:rPr>
                <w:rFonts w:eastAsia="Times New Roman" w:cs="Arial"/>
                <w:sz w:val="17"/>
                <w:szCs w:val="17"/>
              </w:rPr>
              <w:t>No</w:t>
            </w:r>
          </w:p>
        </w:tc>
      </w:tr>
      <w:tr w:rsidR="00E56623" w:rsidRPr="00787196" w14:paraId="32EAD778" w14:textId="77777777" w:rsidTr="006B4681">
        <w:trPr>
          <w:gridAfter w:val="1"/>
          <w:wAfter w:w="14" w:type="dxa"/>
          <w:trHeight w:val="1518"/>
        </w:trPr>
        <w:tc>
          <w:tcPr>
            <w:tcW w:w="435" w:type="dxa"/>
            <w:tcBorders>
              <w:top w:val="nil"/>
              <w:left w:val="single" w:sz="4" w:space="0" w:color="5A5A5A"/>
              <w:bottom w:val="single" w:sz="4" w:space="0" w:color="5A5A5A"/>
              <w:right w:val="single" w:sz="4" w:space="0" w:color="5A5A5A"/>
            </w:tcBorders>
            <w:shd w:val="clear" w:color="auto" w:fill="auto"/>
            <w:vAlign w:val="center"/>
          </w:tcPr>
          <w:p w14:paraId="6BA32374" w14:textId="5839030C"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41</w:t>
            </w:r>
          </w:p>
        </w:tc>
        <w:tc>
          <w:tcPr>
            <w:tcW w:w="1943" w:type="dxa"/>
            <w:tcBorders>
              <w:top w:val="nil"/>
              <w:left w:val="nil"/>
              <w:bottom w:val="single" w:sz="4" w:space="0" w:color="5A5A5A"/>
              <w:right w:val="single" w:sz="4" w:space="0" w:color="5A5A5A"/>
            </w:tcBorders>
            <w:shd w:val="clear" w:color="auto" w:fill="auto"/>
            <w:vAlign w:val="center"/>
            <w:hideMark/>
          </w:tcPr>
          <w:p w14:paraId="6C93FC32" w14:textId="4DA7CA0F"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sz w:val="17"/>
                <w:szCs w:val="17"/>
              </w:rPr>
              <w:t xml:space="preserve">Ryu,Tsakos and Sheiham </w:t>
            </w:r>
            <w:r w:rsidR="007D6B7F" w:rsidRPr="00787196">
              <w:rPr>
                <w:rFonts w:eastAsia="Times New Roman" w:cs="Arial"/>
                <w:sz w:val="17"/>
                <w:szCs w:val="17"/>
              </w:rPr>
              <w:fldChar w:fldCharType="begin"/>
            </w:r>
            <w:r w:rsidR="00223957" w:rsidRPr="00787196">
              <w:rPr>
                <w:rFonts w:eastAsia="Times New Roman" w:cs="Arial"/>
                <w:sz w:val="17"/>
                <w:szCs w:val="17"/>
              </w:rPr>
              <w:instrText xml:space="preserve"> ADDIN EN.CITE &lt;EndNote&gt;&lt;Cite ExcludeAuth="1"&gt;&lt;Author&gt;Ryu&lt;/Author&gt;&lt;Year&gt;2008&lt;/Year&gt;&lt;RecNum&gt;0&lt;/RecNum&gt;&lt;IDText&gt;Differences in prosthodontic treatment needs assessments between the standard normative and sociodental approach&lt;/IDText&gt;&lt;DisplayText&gt;(2008)&lt;/DisplayText&gt;&lt;record&gt;&lt;dates&gt;&lt;pub-dates&gt;&lt;date&gt;Sep-Oct&lt;/date&gt;&lt;/pub-dates&gt;&lt;year&gt;2008&lt;/year&gt;&lt;/dates&gt;&lt;isbn&gt;0893-2174 (Print)&amp;#xD;0893-2174&lt;/isbn&gt;&lt;titles&gt;&lt;title&gt;Differences in prosthodontic treatment needs assessments between the standard normative and sociodental approach&lt;/title&gt;&lt;secondary-title&gt;Int J Prosthodont&lt;/secondary-title&gt;&lt;alt-title&gt;The International journal of prosthodontics&lt;/alt-title&gt;&lt;/titles&gt;&lt;pages&gt;425-32&lt;/pages&gt;&lt;number&gt;5&lt;/number&gt;&lt;contributors&gt;&lt;authors&gt;&lt;author&gt;Ryu, J. I.&lt;/author&gt;&lt;author&gt;Tsakos, G.&lt;/author&gt;&lt;author&gt;Sheiham, A.&lt;/author&gt;&lt;/authors&gt;&lt;/contributors&gt;&lt;edition&gt;2008/10/28&lt;/edition&gt;&lt;language&gt;eng&lt;/language&gt;&lt;added-date format="utc"&gt;1374040090&lt;/added-date&gt;&lt;ref-type name="Journal Article"&gt;17&lt;/ref-type&gt;&lt;auth-address&gt;Oral Cancer Research Institute, College of Dentistry, Yonsei University, Seoul, Korea. jaeinryu@kihasa.re.kr&lt;/auth-address&gt;&lt;remote-database-provider&gt;Nlm&lt;/remote-database-provider&gt;&lt;rec-number&gt;947&lt;/rec-number&gt;&lt;last-updated-date format="utc"&gt;1374040090&lt;/last-updated-date&gt;&lt;accession-num&gt;18950066&lt;/accession-num&gt;&lt;volume&gt;21&lt;/volume&gt;&lt;/record&gt;&lt;/Cite&gt;&lt;/EndNote&gt;</w:instrText>
            </w:r>
            <w:r w:rsidR="007D6B7F" w:rsidRPr="00787196">
              <w:rPr>
                <w:rFonts w:eastAsia="Times New Roman" w:cs="Arial"/>
                <w:sz w:val="17"/>
                <w:szCs w:val="17"/>
              </w:rPr>
              <w:fldChar w:fldCharType="separate"/>
            </w:r>
            <w:r w:rsidRPr="00787196">
              <w:rPr>
                <w:rFonts w:eastAsia="Times New Roman" w:cs="Arial"/>
                <w:sz w:val="17"/>
                <w:szCs w:val="17"/>
              </w:rPr>
              <w:t>(2008)</w:t>
            </w:r>
            <w:r w:rsidR="007D6B7F" w:rsidRPr="00787196">
              <w:rPr>
                <w:rFonts w:eastAsia="Times New Roman" w:cs="Arial"/>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43EE91A" w14:textId="7A53204B"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Individuals recruited in Korean National health survey</w:t>
            </w:r>
          </w:p>
        </w:tc>
        <w:tc>
          <w:tcPr>
            <w:tcW w:w="979" w:type="dxa"/>
            <w:tcBorders>
              <w:top w:val="nil"/>
              <w:left w:val="nil"/>
              <w:bottom w:val="single" w:sz="4" w:space="0" w:color="5A5A5A"/>
              <w:right w:val="single" w:sz="4" w:space="0" w:color="5A5A5A"/>
            </w:tcBorders>
            <w:shd w:val="clear" w:color="auto" w:fill="auto"/>
            <w:vAlign w:val="center"/>
            <w:hideMark/>
          </w:tcPr>
          <w:p w14:paraId="7C814350"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1029</w:t>
            </w:r>
          </w:p>
        </w:tc>
        <w:tc>
          <w:tcPr>
            <w:tcW w:w="1399" w:type="dxa"/>
            <w:tcBorders>
              <w:top w:val="nil"/>
              <w:left w:val="nil"/>
              <w:bottom w:val="single" w:sz="4" w:space="0" w:color="5A5A5A"/>
              <w:right w:val="single" w:sz="4" w:space="0" w:color="5A5A5A"/>
            </w:tcBorders>
            <w:shd w:val="clear" w:color="auto" w:fill="auto"/>
            <w:vAlign w:val="center"/>
            <w:hideMark/>
          </w:tcPr>
          <w:p w14:paraId="06004F19"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30-64</w:t>
            </w:r>
          </w:p>
        </w:tc>
        <w:tc>
          <w:tcPr>
            <w:tcW w:w="1260" w:type="dxa"/>
            <w:tcBorders>
              <w:top w:val="nil"/>
              <w:left w:val="nil"/>
              <w:bottom w:val="single" w:sz="4" w:space="0" w:color="5A5A5A"/>
              <w:right w:val="single" w:sz="4" w:space="0" w:color="5A5A5A"/>
            </w:tcBorders>
            <w:shd w:val="clear" w:color="auto" w:fill="auto"/>
            <w:vAlign w:val="center"/>
            <w:hideMark/>
          </w:tcPr>
          <w:p w14:paraId="54E72F73"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ss sectional observational</w:t>
            </w:r>
          </w:p>
        </w:tc>
        <w:tc>
          <w:tcPr>
            <w:tcW w:w="1678" w:type="dxa"/>
            <w:tcBorders>
              <w:top w:val="nil"/>
              <w:left w:val="nil"/>
              <w:bottom w:val="single" w:sz="4" w:space="0" w:color="5A5A5A"/>
              <w:right w:val="single" w:sz="4" w:space="0" w:color="5A5A5A"/>
            </w:tcBorders>
            <w:shd w:val="clear" w:color="auto" w:fill="auto"/>
            <w:vAlign w:val="center"/>
            <w:hideMark/>
          </w:tcPr>
          <w:p w14:paraId="44141F8D"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One measurement only </w:t>
            </w:r>
          </w:p>
        </w:tc>
        <w:tc>
          <w:tcPr>
            <w:tcW w:w="1819" w:type="dxa"/>
            <w:tcBorders>
              <w:top w:val="nil"/>
              <w:left w:val="nil"/>
              <w:bottom w:val="single" w:sz="4" w:space="0" w:color="5A5A5A"/>
              <w:right w:val="single" w:sz="4" w:space="0" w:color="5A5A5A"/>
            </w:tcBorders>
            <w:shd w:val="clear" w:color="auto" w:fill="auto"/>
            <w:vAlign w:val="center"/>
            <w:hideMark/>
          </w:tcPr>
          <w:p w14:paraId="703F0A28" w14:textId="6F00C4C1"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Condition specific (CS -OIDP)</w:t>
            </w:r>
          </w:p>
        </w:tc>
        <w:tc>
          <w:tcPr>
            <w:tcW w:w="1577" w:type="dxa"/>
            <w:tcBorders>
              <w:top w:val="nil"/>
              <w:left w:val="nil"/>
              <w:bottom w:val="single" w:sz="4" w:space="0" w:color="5A5A5A"/>
              <w:right w:val="single" w:sz="4" w:space="0" w:color="5A5A5A"/>
            </w:tcBorders>
            <w:shd w:val="clear" w:color="auto" w:fill="auto"/>
            <w:vAlign w:val="center"/>
            <w:hideMark/>
          </w:tcPr>
          <w:p w14:paraId="3D758E27"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Compare normative and socio-dental prosthodontic needs</w:t>
            </w:r>
          </w:p>
        </w:tc>
        <w:tc>
          <w:tcPr>
            <w:tcW w:w="1261" w:type="dxa"/>
            <w:tcBorders>
              <w:top w:val="nil"/>
              <w:left w:val="nil"/>
              <w:bottom w:val="single" w:sz="4" w:space="0" w:color="5A5A5A"/>
              <w:right w:val="single" w:sz="4" w:space="0" w:color="5A5A5A"/>
            </w:tcBorders>
            <w:shd w:val="clear" w:color="auto" w:fill="auto"/>
            <w:vAlign w:val="center"/>
            <w:hideMark/>
          </w:tcPr>
          <w:p w14:paraId="61DB3E1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774EBF" w:rsidRPr="00787196" w14:paraId="1CCC8248" w14:textId="77777777" w:rsidTr="006B4681">
        <w:trPr>
          <w:gridAfter w:val="1"/>
          <w:wAfter w:w="14" w:type="dxa"/>
          <w:trHeight w:val="1518"/>
        </w:trPr>
        <w:tc>
          <w:tcPr>
            <w:tcW w:w="435" w:type="dxa"/>
            <w:tcBorders>
              <w:top w:val="nil"/>
              <w:left w:val="single" w:sz="4" w:space="0" w:color="5A5A5A"/>
              <w:bottom w:val="single" w:sz="4" w:space="0" w:color="5A5A5A"/>
              <w:right w:val="single" w:sz="4" w:space="0" w:color="5A5A5A"/>
            </w:tcBorders>
            <w:shd w:val="clear" w:color="auto" w:fill="auto"/>
            <w:vAlign w:val="center"/>
          </w:tcPr>
          <w:p w14:paraId="6F4BE8F4" w14:textId="1E36D687" w:rsidR="00774EBF"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41</w:t>
            </w:r>
          </w:p>
        </w:tc>
        <w:tc>
          <w:tcPr>
            <w:tcW w:w="1943" w:type="dxa"/>
            <w:tcBorders>
              <w:top w:val="nil"/>
              <w:left w:val="nil"/>
              <w:bottom w:val="single" w:sz="4" w:space="0" w:color="5A5A5A"/>
              <w:right w:val="single" w:sz="4" w:space="0" w:color="5A5A5A"/>
            </w:tcBorders>
            <w:shd w:val="clear" w:color="auto" w:fill="auto"/>
            <w:vAlign w:val="center"/>
          </w:tcPr>
          <w:p w14:paraId="4E34D9AB" w14:textId="02B8FA55" w:rsidR="00774EBF" w:rsidRPr="00787196" w:rsidRDefault="009411F9" w:rsidP="006B4681">
            <w:pPr>
              <w:spacing w:before="0" w:after="0" w:line="240" w:lineRule="auto"/>
              <w:jc w:val="left"/>
              <w:rPr>
                <w:rFonts w:eastAsia="Times New Roman" w:cs="Arial"/>
                <w:sz w:val="17"/>
                <w:szCs w:val="17"/>
              </w:rPr>
            </w:pPr>
            <w:r w:rsidRPr="00787196">
              <w:rPr>
                <w:rFonts w:eastAsia="Times New Roman" w:cs="Arial"/>
                <w:sz w:val="17"/>
                <w:szCs w:val="17"/>
              </w:rPr>
              <w:t xml:space="preserve">Samnieng, P Lekatana, H </w:t>
            </w:r>
            <w:r w:rsidRPr="00787196">
              <w:rPr>
                <w:rFonts w:eastAsia="Times New Roman" w:cs="Arial"/>
                <w:sz w:val="17"/>
                <w:szCs w:val="17"/>
              </w:rPr>
              <w:fldChar w:fldCharType="begin"/>
            </w:r>
            <w:r w:rsidRPr="00787196">
              <w:rPr>
                <w:rFonts w:eastAsia="Times New Roman" w:cs="Arial"/>
                <w:sz w:val="17"/>
                <w:szCs w:val="17"/>
              </w:rPr>
              <w:instrText xml:space="preserve"> ADDIN EN.CITE &lt;EndNote&gt;&lt;Cite ExcludeAuth="1"&gt;&lt;Author&gt;Samnieng&lt;/Author&gt;&lt;Year&gt;2016&lt;/Year&gt;&lt;IDText&gt;Oral health and quality of life among elderly in Thai&lt;/IDText&gt;&lt;DisplayText&gt;(2016)&lt;/DisplayText&gt;&lt;record&gt;&lt;isbn&gt;2355-4800&lt;/isbn&gt;&lt;titles&gt;&lt;title&gt;Oral health and quality of life among elderly in Thai&lt;/title&gt;&lt;secondary-title&gt;Journal of Dentistry Indonesia&lt;/secondary-title&gt;&lt;/titles&gt;&lt;pages&gt;40-47&lt;/pages&gt;&lt;number&gt;2&lt;/number&gt;&lt;contributors&gt;&lt;authors&gt;&lt;author&gt;Samnieng, Patcharaphol&lt;/author&gt;&lt;author&gt;Lekatana, Hatairat&lt;/author&gt;&lt;/authors&gt;&lt;/contributors&gt;&lt;added-date format="utc"&gt;1481296299&lt;/added-date&gt;&lt;ref-type name="Journal Article"&gt;17&lt;/ref-type&gt;&lt;dates&gt;&lt;year&gt;2016&lt;/year&gt;&lt;/dates&gt;&lt;rec-number&gt;2673&lt;/rec-number&gt;&lt;last-updated-date format="utc"&gt;1481296299&lt;/last-updated-date&gt;&lt;volume&gt;23&lt;/volume&gt;&lt;/record&gt;&lt;/Cite&gt;&lt;/EndNote&gt;</w:instrText>
            </w:r>
            <w:r w:rsidRPr="00787196">
              <w:rPr>
                <w:rFonts w:eastAsia="Times New Roman" w:cs="Arial"/>
                <w:sz w:val="17"/>
                <w:szCs w:val="17"/>
              </w:rPr>
              <w:fldChar w:fldCharType="separate"/>
            </w:r>
            <w:r w:rsidRPr="00787196">
              <w:rPr>
                <w:rFonts w:eastAsia="Times New Roman" w:cs="Arial"/>
                <w:sz w:val="17"/>
                <w:szCs w:val="17"/>
              </w:rPr>
              <w:t>(2016)</w:t>
            </w:r>
            <w:r w:rsidRPr="00787196">
              <w:rPr>
                <w:rFonts w:eastAsia="Times New Roman" w:cs="Arial"/>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tcPr>
          <w:p w14:paraId="5C8F46B7" w14:textId="1FFE640B" w:rsidR="00774EBF" w:rsidRPr="00787196" w:rsidRDefault="009411F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Community dwelling Thai aged 60 years or older</w:t>
            </w:r>
          </w:p>
        </w:tc>
        <w:tc>
          <w:tcPr>
            <w:tcW w:w="979" w:type="dxa"/>
            <w:tcBorders>
              <w:top w:val="nil"/>
              <w:left w:val="nil"/>
              <w:bottom w:val="single" w:sz="4" w:space="0" w:color="5A5A5A"/>
              <w:right w:val="single" w:sz="4" w:space="0" w:color="5A5A5A"/>
            </w:tcBorders>
            <w:shd w:val="clear" w:color="auto" w:fill="auto"/>
            <w:vAlign w:val="center"/>
          </w:tcPr>
          <w:p w14:paraId="7F98D343" w14:textId="7D50C42C" w:rsidR="00774EBF"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428</w:t>
            </w:r>
          </w:p>
        </w:tc>
        <w:tc>
          <w:tcPr>
            <w:tcW w:w="1399" w:type="dxa"/>
            <w:tcBorders>
              <w:top w:val="nil"/>
              <w:left w:val="nil"/>
              <w:bottom w:val="single" w:sz="4" w:space="0" w:color="5A5A5A"/>
              <w:right w:val="single" w:sz="4" w:space="0" w:color="5A5A5A"/>
            </w:tcBorders>
            <w:shd w:val="clear" w:color="auto" w:fill="auto"/>
            <w:vAlign w:val="center"/>
          </w:tcPr>
          <w:p w14:paraId="24EDAA0D" w14:textId="1E82C572" w:rsidR="00774EBF"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68.79</w:t>
            </w:r>
          </w:p>
        </w:tc>
        <w:tc>
          <w:tcPr>
            <w:tcW w:w="1260" w:type="dxa"/>
            <w:tcBorders>
              <w:top w:val="nil"/>
              <w:left w:val="nil"/>
              <w:bottom w:val="single" w:sz="4" w:space="0" w:color="5A5A5A"/>
              <w:right w:val="single" w:sz="4" w:space="0" w:color="5A5A5A"/>
            </w:tcBorders>
            <w:shd w:val="clear" w:color="auto" w:fill="auto"/>
            <w:vAlign w:val="center"/>
          </w:tcPr>
          <w:p w14:paraId="4CA1802D" w14:textId="35B38F3C" w:rsidR="00774EBF" w:rsidRPr="00787196" w:rsidRDefault="009411F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Cross sectional observational</w:t>
            </w:r>
          </w:p>
        </w:tc>
        <w:tc>
          <w:tcPr>
            <w:tcW w:w="1678" w:type="dxa"/>
            <w:tcBorders>
              <w:top w:val="nil"/>
              <w:left w:val="nil"/>
              <w:bottom w:val="single" w:sz="4" w:space="0" w:color="5A5A5A"/>
              <w:right w:val="single" w:sz="4" w:space="0" w:color="5A5A5A"/>
            </w:tcBorders>
            <w:shd w:val="clear" w:color="auto" w:fill="auto"/>
            <w:vAlign w:val="center"/>
          </w:tcPr>
          <w:p w14:paraId="6ABF14D0" w14:textId="6FF2FB9E" w:rsidR="00774EBF" w:rsidRPr="00787196" w:rsidRDefault="009411F9"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One measurement only</w:t>
            </w:r>
          </w:p>
        </w:tc>
        <w:tc>
          <w:tcPr>
            <w:tcW w:w="1819" w:type="dxa"/>
            <w:tcBorders>
              <w:top w:val="nil"/>
              <w:left w:val="nil"/>
              <w:bottom w:val="single" w:sz="4" w:space="0" w:color="5A5A5A"/>
              <w:right w:val="single" w:sz="4" w:space="0" w:color="5A5A5A"/>
            </w:tcBorders>
            <w:shd w:val="clear" w:color="auto" w:fill="auto"/>
            <w:vAlign w:val="center"/>
          </w:tcPr>
          <w:p w14:paraId="3F8E60EE" w14:textId="57ABDB53" w:rsidR="00774EBF" w:rsidRPr="00787196" w:rsidRDefault="009411F9"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GOHAI</w:t>
            </w:r>
          </w:p>
        </w:tc>
        <w:tc>
          <w:tcPr>
            <w:tcW w:w="1577" w:type="dxa"/>
            <w:tcBorders>
              <w:top w:val="nil"/>
              <w:left w:val="nil"/>
              <w:bottom w:val="single" w:sz="4" w:space="0" w:color="5A5A5A"/>
              <w:right w:val="single" w:sz="4" w:space="0" w:color="5A5A5A"/>
            </w:tcBorders>
            <w:shd w:val="clear" w:color="auto" w:fill="auto"/>
            <w:vAlign w:val="center"/>
          </w:tcPr>
          <w:p w14:paraId="54295D7B" w14:textId="6E68E0EB" w:rsidR="00774EBF" w:rsidRPr="00787196" w:rsidRDefault="009411F9"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Quality of life was assessed with WHOQOL-BREF</w:t>
            </w:r>
          </w:p>
        </w:tc>
        <w:tc>
          <w:tcPr>
            <w:tcW w:w="1261" w:type="dxa"/>
            <w:tcBorders>
              <w:top w:val="nil"/>
              <w:left w:val="nil"/>
              <w:bottom w:val="single" w:sz="4" w:space="0" w:color="5A5A5A"/>
              <w:right w:val="single" w:sz="4" w:space="0" w:color="5A5A5A"/>
            </w:tcBorders>
            <w:shd w:val="clear" w:color="auto" w:fill="auto"/>
            <w:vAlign w:val="center"/>
          </w:tcPr>
          <w:p w14:paraId="51F41B6A" w14:textId="4889830B" w:rsidR="00774EBF" w:rsidRPr="00787196" w:rsidRDefault="009411F9"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197F2BE5" w14:textId="77777777" w:rsidTr="006B4681">
        <w:trPr>
          <w:gridAfter w:val="1"/>
          <w:wAfter w:w="14" w:type="dxa"/>
          <w:trHeight w:val="985"/>
        </w:trPr>
        <w:tc>
          <w:tcPr>
            <w:tcW w:w="435" w:type="dxa"/>
            <w:tcBorders>
              <w:top w:val="nil"/>
              <w:left w:val="single" w:sz="4" w:space="0" w:color="5A5A5A"/>
              <w:bottom w:val="single" w:sz="4" w:space="0" w:color="5A5A5A"/>
              <w:right w:val="single" w:sz="4" w:space="0" w:color="5A5A5A"/>
            </w:tcBorders>
            <w:shd w:val="clear" w:color="auto" w:fill="auto"/>
            <w:vAlign w:val="center"/>
          </w:tcPr>
          <w:p w14:paraId="7658F6E0" w14:textId="38D0B37D"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43</w:t>
            </w:r>
          </w:p>
        </w:tc>
        <w:tc>
          <w:tcPr>
            <w:tcW w:w="1943" w:type="dxa"/>
            <w:tcBorders>
              <w:top w:val="nil"/>
              <w:left w:val="nil"/>
              <w:bottom w:val="single" w:sz="4" w:space="0" w:color="5A5A5A"/>
              <w:right w:val="single" w:sz="4" w:space="0" w:color="5A5A5A"/>
            </w:tcBorders>
            <w:shd w:val="clear" w:color="auto" w:fill="auto"/>
            <w:vAlign w:val="center"/>
          </w:tcPr>
          <w:p w14:paraId="4E03D8E0" w14:textId="46B2A94D"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SOUZA, PATROCINIO, PERO, MARRA AND COMPAGNONI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ExcludeAuth="1"&gt;&lt;Author&gt;Souza&lt;/Author&gt;&lt;Year&gt;2007&lt;/Year&gt;&lt;RecNum&gt;0&lt;/RecNum&gt;&lt;IDText&gt;Reliability and validation of a Brazilian version of the Oral Health Impact Profile for assessing edentulous subjects&lt;/IDText&gt;&lt;DisplayText&gt;(2007)&lt;/DisplayText&gt;&lt;record&gt;&lt;keywords&gt;&lt;keyword&gt;complete denture&lt;/keyword&gt;&lt;keyword&gt;edentulous mouth&lt;/keyword&gt;&lt;keyword&gt;patient satisfaction&lt;/keyword&gt;&lt;keyword&gt;quality of life&lt;/keyword&gt;&lt;keyword&gt;questionnaires&lt;/keyword&gt;&lt;/keywords&gt;&lt;urls&gt;&lt;related-urls&gt;&lt;url&gt;http://dx.doi.org/10.1111/j.1365-2842.2007.01749.x&lt;/url&gt;&lt;/related-urls&gt;&lt;/urls&gt;&lt;isbn&gt;1365-2842&lt;/isbn&gt;&lt;titles&gt;&lt;title&gt;Reliability and validation of a Brazilian version of the Oral Health Impact Profile for assessing edentulous subjects&lt;/title&gt;&lt;secondary-title&gt;Journal of Oral Rehabilitation&lt;/secondary-title&gt;&lt;/titles&gt;&lt;pages&gt;821-826&lt;/pages&gt;&lt;number&gt;11&lt;/number&gt;&lt;contributors&gt;&lt;authors&gt;&lt;author&gt;Souza, R. F.&lt;/author&gt;&lt;author&gt;PatrocÍNio, L.&lt;/author&gt;&lt;author&gt;Pero, A. C.&lt;/author&gt;&lt;author&gt;Marra, J.&lt;/author&gt;&lt;author&gt;Compagnoni, M. A.&lt;/author&gt;&lt;/authors&gt;&lt;/contributors&gt;&lt;added-date format="utc"&gt;1370056177&lt;/added-date&gt;&lt;ref-type name="Journal Article"&gt;17&lt;/ref-type&gt;&lt;dates&gt;&lt;year&gt;2007&lt;/year&gt;&lt;/dates&gt;&lt;rec-number&gt;747&lt;/rec-number&gt;&lt;publisher&gt;Blackwell Publishing Ltd&lt;/publisher&gt;&lt;last-updated-date format="utc"&gt;1385713712&lt;/last-updated-date&gt;&lt;electronic-resource-num&gt;10.1111/j.1365-2842.2007.01749.x&lt;/electronic-resource-num&gt;&lt;volume&gt;34&lt;/volume&gt;&lt;/record&gt;&lt;/Cite&gt;&lt;/EndNote&gt;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(2007)</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4A3D9A1" w14:textId="209AB29F"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Edentulous conventional complete denture wearers </w:t>
            </w:r>
          </w:p>
        </w:tc>
        <w:tc>
          <w:tcPr>
            <w:tcW w:w="979" w:type="dxa"/>
            <w:tcBorders>
              <w:top w:val="nil"/>
              <w:left w:val="nil"/>
              <w:bottom w:val="single" w:sz="4" w:space="0" w:color="5A5A5A"/>
              <w:right w:val="single" w:sz="4" w:space="0" w:color="5A5A5A"/>
            </w:tcBorders>
            <w:shd w:val="clear" w:color="auto" w:fill="auto"/>
            <w:vAlign w:val="center"/>
            <w:hideMark/>
          </w:tcPr>
          <w:p w14:paraId="1CE09735" w14:textId="73A1FDA3"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58</w:t>
            </w:r>
          </w:p>
        </w:tc>
        <w:tc>
          <w:tcPr>
            <w:tcW w:w="1399" w:type="dxa"/>
            <w:tcBorders>
              <w:top w:val="nil"/>
              <w:left w:val="nil"/>
              <w:bottom w:val="single" w:sz="4" w:space="0" w:color="5A5A5A"/>
              <w:right w:val="single" w:sz="4" w:space="0" w:color="5A5A5A"/>
            </w:tcBorders>
            <w:shd w:val="clear" w:color="auto" w:fill="auto"/>
            <w:vAlign w:val="center"/>
            <w:hideMark/>
          </w:tcPr>
          <w:p w14:paraId="6F159C0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69.1 (10.3))</w:t>
            </w:r>
          </w:p>
        </w:tc>
        <w:tc>
          <w:tcPr>
            <w:tcW w:w="1260" w:type="dxa"/>
            <w:tcBorders>
              <w:top w:val="nil"/>
              <w:left w:val="nil"/>
              <w:bottom w:val="single" w:sz="4" w:space="0" w:color="5A5A5A"/>
              <w:right w:val="single" w:sz="4" w:space="0" w:color="5A5A5A"/>
            </w:tcBorders>
            <w:shd w:val="clear" w:color="auto" w:fill="auto"/>
            <w:vAlign w:val="center"/>
            <w:hideMark/>
          </w:tcPr>
          <w:p w14:paraId="2B1089B9"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Longitudinal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3480405F"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before surgery and follow-up 3 months after surgery</w:t>
            </w:r>
          </w:p>
        </w:tc>
        <w:tc>
          <w:tcPr>
            <w:tcW w:w="1819" w:type="dxa"/>
            <w:tcBorders>
              <w:top w:val="nil"/>
              <w:left w:val="nil"/>
              <w:bottom w:val="single" w:sz="4" w:space="0" w:color="5A5A5A"/>
              <w:right w:val="single" w:sz="4" w:space="0" w:color="5A5A5A"/>
            </w:tcBorders>
            <w:shd w:val="clear" w:color="auto" w:fill="auto"/>
            <w:vAlign w:val="center"/>
            <w:hideMark/>
          </w:tcPr>
          <w:p w14:paraId="37323EE6" w14:textId="1138A485" w:rsidR="00E56623" w:rsidRPr="00787196" w:rsidRDefault="00E56623" w:rsidP="006B4681">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w:t>
            </w:r>
            <w:r w:rsidR="00E71151" w:rsidRPr="00787196">
              <w:rPr>
                <w:rFonts w:eastAsia="Times New Roman" w:cs="Arial"/>
                <w:color w:val="000000"/>
                <w:sz w:val="17"/>
                <w:szCs w:val="17"/>
              </w:rPr>
              <w:t xml:space="preserve"> </w:t>
            </w:r>
            <w:r w:rsidRPr="00787196">
              <w:rPr>
                <w:rFonts w:eastAsia="Times New Roman" w:cs="Arial"/>
                <w:color w:val="000000"/>
                <w:sz w:val="17"/>
                <w:szCs w:val="17"/>
              </w:rPr>
              <w:t>EDENT – Brazilian version</w:t>
            </w:r>
          </w:p>
        </w:tc>
        <w:tc>
          <w:tcPr>
            <w:tcW w:w="1577" w:type="dxa"/>
            <w:tcBorders>
              <w:top w:val="nil"/>
              <w:left w:val="nil"/>
              <w:bottom w:val="single" w:sz="4" w:space="0" w:color="5A5A5A"/>
              <w:right w:val="single" w:sz="4" w:space="0" w:color="5A5A5A"/>
            </w:tcBorders>
            <w:shd w:val="clear" w:color="auto" w:fill="auto"/>
            <w:vAlign w:val="center"/>
            <w:hideMark/>
          </w:tcPr>
          <w:p w14:paraId="1DA3D4D9"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Validation of the OHIP-EDENT version</w:t>
            </w:r>
          </w:p>
        </w:tc>
        <w:tc>
          <w:tcPr>
            <w:tcW w:w="1261" w:type="dxa"/>
            <w:tcBorders>
              <w:top w:val="nil"/>
              <w:left w:val="nil"/>
              <w:bottom w:val="single" w:sz="4" w:space="0" w:color="5A5A5A"/>
              <w:right w:val="single" w:sz="4" w:space="0" w:color="5A5A5A"/>
            </w:tcBorders>
            <w:shd w:val="clear" w:color="auto" w:fill="auto"/>
            <w:vAlign w:val="center"/>
            <w:hideMark/>
          </w:tcPr>
          <w:p w14:paraId="312953C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28284E26" w14:textId="77777777" w:rsidTr="002C4FCD">
        <w:trPr>
          <w:gridAfter w:val="1"/>
          <w:wAfter w:w="14" w:type="dxa"/>
          <w:trHeight w:val="1182"/>
        </w:trPr>
        <w:tc>
          <w:tcPr>
            <w:tcW w:w="435" w:type="dxa"/>
            <w:tcBorders>
              <w:top w:val="nil"/>
              <w:left w:val="single" w:sz="4" w:space="0" w:color="5A5A5A"/>
              <w:bottom w:val="single" w:sz="4" w:space="0" w:color="5A5A5A"/>
              <w:right w:val="single" w:sz="4" w:space="0" w:color="5A5A5A"/>
            </w:tcBorders>
            <w:shd w:val="clear" w:color="auto" w:fill="auto"/>
            <w:vAlign w:val="center"/>
          </w:tcPr>
          <w:p w14:paraId="3EC3B1AE" w14:textId="39828FF6"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44</w:t>
            </w:r>
          </w:p>
        </w:tc>
        <w:tc>
          <w:tcPr>
            <w:tcW w:w="1943" w:type="dxa"/>
            <w:tcBorders>
              <w:top w:val="nil"/>
              <w:left w:val="nil"/>
              <w:bottom w:val="single" w:sz="4" w:space="0" w:color="5A5A5A"/>
              <w:right w:val="single" w:sz="4" w:space="0" w:color="5A5A5A"/>
            </w:tcBorders>
            <w:shd w:val="clear" w:color="auto" w:fill="auto"/>
            <w:vAlign w:val="center"/>
          </w:tcPr>
          <w:p w14:paraId="7484309B" w14:textId="60DFED99"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Torres, Costa, Modena, Cota, Cortes and Seraidarian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ExcludeAuth="1"&gt;&lt;Author&gt;Torres&lt;/Author&gt;&lt;Year&gt;2011&lt;/Year&gt;&lt;RecNum&gt;0&lt;/RecNum&gt;&lt;IDText&gt;Association between personality traits and quality of life in patients treated with conventional mandibular dentures or implant-supported overdentures&lt;/IDText&gt;&lt;DisplayText&gt;(2011)&lt;/DisplayText&gt;&lt;record&gt;&lt;dates&gt;&lt;pub-dates&gt;&lt;date&gt;Jun&lt;/date&gt;&lt;/pub-dates&gt;&lt;year&gt;2011&lt;/year&gt;&lt;/dates&gt;&lt;isbn&gt;0305-182x&lt;/isbn&gt;&lt;titles&gt;&lt;title&gt;Association between personality traits and quality of life in patients treated with conventional mandibular dentures or implant-supported overdentures&lt;/title&gt;&lt;secondary-title&gt;J Oral Rehabil&lt;/secondary-title&gt;&lt;alt-title&gt;Journal of oral rehabilitation&lt;/alt-title&gt;&lt;/titles&gt;&lt;pages&gt;454-61&lt;/pages&gt;&lt;number&gt;6&lt;/number&gt;&lt;contributors&gt;&lt;authors&gt;&lt;author&gt;Torres, B. L.&lt;/author&gt;&lt;author&gt;Costa, F. O.&lt;/author&gt;&lt;author&gt;Modena, C. M.&lt;/author&gt;&lt;author&gt;Cota, L. O.&lt;/author&gt;&lt;author&gt;Cortes, M. I.&lt;/author&gt;&lt;author&gt;Seraidarian, P. I.&lt;/author&gt;&lt;/authors&gt;&lt;/contributors&gt;&lt;edition&gt;2010/11/03&lt;/edition&gt;&lt;language&gt;eng&lt;/language&gt;&lt;added-date format="utc"&gt;1374040090&lt;/added-date&gt;&lt;ref-type name="Journal Article"&gt;17&lt;/ref-type&gt;&lt;auth-address&gt;School of Dentistry, Catholic University of Minas Gerais, Belo Horizonte, Brazil.&lt;/auth-address&gt;&lt;remote-database-provider&gt;Nlm&lt;/remote-database-provider&gt;&lt;rec-number&gt;900&lt;/rec-number&gt;&lt;last-updated-date format="utc"&gt;1374040090&lt;/last-updated-date&gt;&lt;accession-num&gt;21039749&lt;/accession-num&gt;&lt;electronic-resource-num&gt;10.1111/j.1365-2842.2010.02165.x&lt;/electronic-resource-num&gt;&lt;volume&gt;38&lt;/volume&gt;&lt;/record&gt;&lt;/Cite&gt;&lt;/EndNote&gt;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(2011)</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E49A6B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2 groups edentulous</w:t>
            </w:r>
          </w:p>
          <w:p w14:paraId="3A8C9BD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Implant supported mandibular dentures</w:t>
            </w:r>
          </w:p>
          <w:p w14:paraId="3F440C4E"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Conventional dentures</w:t>
            </w:r>
          </w:p>
          <w:p w14:paraId="3098EDD2"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nil"/>
              <w:left w:val="nil"/>
              <w:bottom w:val="single" w:sz="4" w:space="0" w:color="5A5A5A"/>
              <w:right w:val="single" w:sz="4" w:space="0" w:color="5A5A5A"/>
            </w:tcBorders>
            <w:shd w:val="clear" w:color="auto" w:fill="auto"/>
            <w:vAlign w:val="center"/>
            <w:hideMark/>
          </w:tcPr>
          <w:p w14:paraId="75E850D3" w14:textId="288C4F13"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100</w:t>
            </w:r>
          </w:p>
        </w:tc>
        <w:tc>
          <w:tcPr>
            <w:tcW w:w="1399" w:type="dxa"/>
            <w:tcBorders>
              <w:top w:val="nil"/>
              <w:left w:val="nil"/>
              <w:bottom w:val="single" w:sz="4" w:space="0" w:color="5A5A5A"/>
              <w:right w:val="single" w:sz="4" w:space="0" w:color="5A5A5A"/>
            </w:tcBorders>
            <w:shd w:val="clear" w:color="auto" w:fill="auto"/>
            <w:vAlign w:val="center"/>
            <w:hideMark/>
          </w:tcPr>
          <w:p w14:paraId="6C71B00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64.24 (10.69)</w:t>
            </w:r>
          </w:p>
          <w:p w14:paraId="607BD73C"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61.78 (8.92)</w:t>
            </w:r>
          </w:p>
        </w:tc>
        <w:tc>
          <w:tcPr>
            <w:tcW w:w="1260" w:type="dxa"/>
            <w:tcBorders>
              <w:top w:val="nil"/>
              <w:left w:val="nil"/>
              <w:bottom w:val="single" w:sz="4" w:space="0" w:color="5A5A5A"/>
              <w:right w:val="single" w:sz="4" w:space="0" w:color="5A5A5A"/>
            </w:tcBorders>
            <w:shd w:val="clear" w:color="auto" w:fill="auto"/>
            <w:vAlign w:val="center"/>
            <w:hideMark/>
          </w:tcPr>
          <w:p w14:paraId="09FD040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Cro</w:t>
            </w:r>
            <w:r w:rsidR="001F3E4C" w:rsidRPr="00787196">
              <w:rPr>
                <w:rFonts w:eastAsia="Times New Roman" w:cs="Arial"/>
                <w:color w:val="000000"/>
                <w:sz w:val="17"/>
                <w:szCs w:val="17"/>
              </w:rPr>
              <w:t xml:space="preserve">ss sectional observational </w:t>
            </w:r>
          </w:p>
        </w:tc>
        <w:tc>
          <w:tcPr>
            <w:tcW w:w="1678" w:type="dxa"/>
            <w:tcBorders>
              <w:top w:val="nil"/>
              <w:left w:val="nil"/>
              <w:bottom w:val="single" w:sz="4" w:space="0" w:color="5A5A5A"/>
              <w:right w:val="single" w:sz="4" w:space="0" w:color="5A5A5A"/>
            </w:tcBorders>
            <w:shd w:val="clear" w:color="auto" w:fill="auto"/>
            <w:vAlign w:val="center"/>
            <w:hideMark/>
          </w:tcPr>
          <w:p w14:paraId="4A900AE2" w14:textId="24E3967E" w:rsidR="00E56623" w:rsidRPr="00787196" w:rsidRDefault="00E56623" w:rsidP="006B4681">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One measurement only? (mention of 12 months prior conclusion of study) </w:t>
            </w:r>
          </w:p>
        </w:tc>
        <w:tc>
          <w:tcPr>
            <w:tcW w:w="1819" w:type="dxa"/>
            <w:tcBorders>
              <w:top w:val="nil"/>
              <w:left w:val="nil"/>
              <w:bottom w:val="single" w:sz="4" w:space="0" w:color="5A5A5A"/>
              <w:right w:val="single" w:sz="4" w:space="0" w:color="5A5A5A"/>
            </w:tcBorders>
            <w:shd w:val="clear" w:color="auto" w:fill="auto"/>
            <w:vAlign w:val="center"/>
            <w:hideMark/>
          </w:tcPr>
          <w:p w14:paraId="12FE5C7E" w14:textId="24FFE94B"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w:t>
            </w:r>
            <w:r w:rsidR="00E71151" w:rsidRPr="00787196">
              <w:rPr>
                <w:rFonts w:eastAsia="Times New Roman" w:cs="Arial"/>
                <w:color w:val="000000"/>
                <w:sz w:val="17"/>
                <w:szCs w:val="17"/>
              </w:rPr>
              <w:t>P-14</w:t>
            </w:r>
          </w:p>
        </w:tc>
        <w:tc>
          <w:tcPr>
            <w:tcW w:w="1577" w:type="dxa"/>
            <w:tcBorders>
              <w:top w:val="nil"/>
              <w:left w:val="nil"/>
              <w:bottom w:val="single" w:sz="4" w:space="0" w:color="5A5A5A"/>
              <w:right w:val="single" w:sz="4" w:space="0" w:color="5A5A5A"/>
            </w:tcBorders>
            <w:shd w:val="clear" w:color="auto" w:fill="auto"/>
            <w:vAlign w:val="center"/>
            <w:hideMark/>
          </w:tcPr>
          <w:p w14:paraId="432EFFD3"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Association between personality traits and quality of life</w:t>
            </w:r>
          </w:p>
          <w:p w14:paraId="7D192860"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in denture wearers </w:t>
            </w:r>
          </w:p>
        </w:tc>
        <w:tc>
          <w:tcPr>
            <w:tcW w:w="1261" w:type="dxa"/>
            <w:tcBorders>
              <w:top w:val="nil"/>
              <w:left w:val="nil"/>
              <w:bottom w:val="single" w:sz="4" w:space="0" w:color="5A5A5A"/>
              <w:right w:val="single" w:sz="4" w:space="0" w:color="5A5A5A"/>
            </w:tcBorders>
            <w:shd w:val="clear" w:color="auto" w:fill="auto"/>
            <w:vAlign w:val="center"/>
            <w:hideMark/>
          </w:tcPr>
          <w:p w14:paraId="492EEC3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4C31C7E6" w14:textId="77777777" w:rsidTr="002C4FCD">
        <w:trPr>
          <w:gridAfter w:val="1"/>
          <w:wAfter w:w="14" w:type="dxa"/>
          <w:trHeight w:val="591"/>
        </w:trPr>
        <w:tc>
          <w:tcPr>
            <w:tcW w:w="435" w:type="dxa"/>
            <w:tcBorders>
              <w:top w:val="nil"/>
              <w:left w:val="single" w:sz="4" w:space="0" w:color="5A5A5A"/>
              <w:bottom w:val="single" w:sz="4" w:space="0" w:color="5A5A5A"/>
              <w:right w:val="single" w:sz="4" w:space="0" w:color="5A5A5A"/>
            </w:tcBorders>
            <w:shd w:val="clear" w:color="auto" w:fill="auto"/>
            <w:vAlign w:val="center"/>
          </w:tcPr>
          <w:p w14:paraId="2D4AD7AE" w14:textId="60D9AA21"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lastRenderedPageBreak/>
              <w:t>45</w:t>
            </w:r>
          </w:p>
        </w:tc>
        <w:tc>
          <w:tcPr>
            <w:tcW w:w="1943" w:type="dxa"/>
            <w:tcBorders>
              <w:top w:val="single" w:sz="4" w:space="0" w:color="5A5A5A"/>
              <w:left w:val="nil"/>
              <w:bottom w:val="single" w:sz="4" w:space="0" w:color="5A5A5A"/>
              <w:right w:val="single" w:sz="4" w:space="0" w:color="5A5A5A"/>
            </w:tcBorders>
            <w:shd w:val="clear" w:color="auto" w:fill="auto"/>
            <w:vAlign w:val="center"/>
          </w:tcPr>
          <w:p w14:paraId="2B40F9D1" w14:textId="336726E6"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Tsakos, Sheiham, Iliffe, Kharicha, Harari, Swift, Gillman, and Stuck</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ExcludeAuth="1"&gt;&lt;Author&gt;Tsakos&lt;/Author&gt;&lt;Year&gt;2009&lt;/Year&gt;&lt;RecNum&gt;0&lt;/RecNum&gt;&lt;IDText&gt;The impact of educational level on oral health-related quality of life in older people in London&lt;/IDText&gt;&lt;DisplayText&gt;(2009)&lt;/DisplayText&gt;&lt;record&gt;&lt;dates&gt;&lt;pub-dates&gt;&lt;date&gt;Jun&lt;/date&gt;&lt;/pub-dates&gt;&lt;year&gt;2009&lt;/year&gt;&lt;/dates&gt;&lt;isbn&gt;0909-8836&lt;/isbn&gt;&lt;titles&gt;&lt;title&gt;The impact of educational level on oral health-related quality of life in older people in London&lt;/title&gt;&lt;secondary-title&gt;Eur J Oral Sci&lt;/secondary-title&gt;&lt;alt-title&gt;European journal of oral sciences&lt;/alt-title&gt;&lt;/titles&gt;&lt;pages&gt;286-92&lt;/pages&gt;&lt;number&gt;3&lt;/number&gt;&lt;contributors&gt;&lt;authors&gt;&lt;author&gt;Tsakos, G.&lt;/author&gt;&lt;author&gt;Sheiham, A.&lt;/author&gt;&lt;author&gt;Iliffe, S.&lt;/author&gt;&lt;author&gt;Kharicha, K.&lt;/author&gt;&lt;author&gt;Harari, D.&lt;/author&gt;&lt;author&gt;Swift, C. G.&lt;/author&gt;&lt;author&gt;Gillman, G.&lt;/author&gt;&lt;author&gt;Stuck, A. E.&lt;/author&gt;&lt;/authors&gt;&lt;/contributors&gt;&lt;edition&gt;2009/07/09&lt;/edition&gt;&lt;language&gt;eng&lt;/language&gt;&lt;added-date format="utc"&gt;1374040090&lt;/added-date&gt;&lt;ref-type name="Journal Article"&gt;17&lt;/ref-type&gt;&lt;auth-address&gt;Department of Epidemiology and Public Health, UCL Medical School, London, UK. g.tsakos@ucl.ac.uk&lt;/auth-address&gt;&lt;remote-database-provider&gt;Nlm&lt;/remote-database-provider&gt;&lt;rec-number&gt;927&lt;/rec-number&gt;&lt;last-updated-date format="utc"&gt;1374040090&lt;/last-updated-date&gt;&lt;accession-num&gt;19583757&lt;/accession-num&gt;&lt;electronic-resource-num&gt;10.1111/j.1600-0722.2009.00619.x&lt;/electronic-resource-num&gt;&lt;volume&gt;117&lt;/volume&gt;&lt;/record&gt;&lt;/Cite&gt;&lt;/EndNote&gt;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(2009)</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76BC84F7" w14:textId="4BBB4CD2"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Community-dwelling </w:t>
            </w:r>
            <w:r w:rsidR="009962E6" w:rsidRPr="00787196">
              <w:rPr>
                <w:rFonts w:eastAsia="Times New Roman" w:cs="Arial"/>
                <w:color w:val="000000"/>
                <w:sz w:val="17"/>
                <w:szCs w:val="17"/>
              </w:rPr>
              <w:t>elders 65</w:t>
            </w:r>
            <w:r w:rsidRPr="00787196">
              <w:rPr>
                <w:rFonts w:eastAsia="Times New Roman" w:cs="Arial"/>
                <w:color w:val="000000"/>
                <w:sz w:val="17"/>
                <w:szCs w:val="17"/>
              </w:rPr>
              <w:t xml:space="preserve"> yrs. of age and older</w:t>
            </w:r>
          </w:p>
          <w:p w14:paraId="3945E0DB" w14:textId="77777777" w:rsidR="00E56623" w:rsidRPr="00787196" w:rsidRDefault="00E56623" w:rsidP="00B560B3">
            <w:pPr>
              <w:spacing w:before="0" w:after="0" w:line="240" w:lineRule="auto"/>
              <w:jc w:val="left"/>
              <w:rPr>
                <w:rFonts w:eastAsia="Times New Roman" w:cs="Arial"/>
                <w:color w:val="000000"/>
                <w:sz w:val="17"/>
                <w:szCs w:val="17"/>
              </w:rPr>
            </w:pP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48D00567"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1054</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6F6C241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74.7</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22B0B6B5"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Secondary data from Randomised control trial</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705E1471" w14:textId="1CBBD491" w:rsidR="00E56623" w:rsidRPr="00787196" w:rsidRDefault="00E56623" w:rsidP="00D345C0">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One measurement only </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01FAEBD0" w14:textId="1A839A22"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GOHAI</w:t>
            </w: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2307ACBC" w14:textId="77777777" w:rsidR="00E71151" w:rsidRPr="00787196" w:rsidRDefault="00E71151"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Health Risk</w:t>
            </w:r>
          </w:p>
          <w:p w14:paraId="1235490E" w14:textId="69A79D11" w:rsidR="00E71151" w:rsidRPr="00787196" w:rsidRDefault="00E71151"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Appraisal for Older Persons (HRA-O) </w:t>
            </w:r>
          </w:p>
          <w:p w14:paraId="2140644C" w14:textId="0C7DE24D" w:rsidR="00E56623" w:rsidRPr="00787196" w:rsidRDefault="00E56623" w:rsidP="009962E6">
            <w:pPr>
              <w:spacing w:before="0" w:after="0" w:line="240" w:lineRule="auto"/>
              <w:ind w:left="193"/>
              <w:jc w:val="left"/>
              <w:rPr>
                <w:rFonts w:eastAsia="Times New Roman" w:cs="Arial"/>
                <w:color w:val="000000"/>
                <w:sz w:val="17"/>
                <w:szCs w:val="17"/>
              </w:rPr>
            </w:pP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3E5489A8"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793FD1C3" w14:textId="77777777" w:rsidTr="006B4681">
        <w:trPr>
          <w:gridAfter w:val="1"/>
          <w:wAfter w:w="14" w:type="dxa"/>
          <w:trHeight w:val="1262"/>
        </w:trPr>
        <w:tc>
          <w:tcPr>
            <w:tcW w:w="435" w:type="dxa"/>
            <w:tcBorders>
              <w:top w:val="nil"/>
              <w:left w:val="single" w:sz="4" w:space="0" w:color="5A5A5A"/>
              <w:bottom w:val="single" w:sz="4" w:space="0" w:color="5A5A5A"/>
              <w:right w:val="single" w:sz="4" w:space="0" w:color="5A5A5A"/>
            </w:tcBorders>
            <w:shd w:val="clear" w:color="auto" w:fill="auto"/>
            <w:vAlign w:val="center"/>
          </w:tcPr>
          <w:p w14:paraId="2CCEA28A" w14:textId="23AAFFCF" w:rsidR="00E56623" w:rsidRPr="00787196" w:rsidRDefault="009411F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46</w:t>
            </w:r>
          </w:p>
        </w:tc>
        <w:tc>
          <w:tcPr>
            <w:tcW w:w="1943" w:type="dxa"/>
            <w:tcBorders>
              <w:top w:val="nil"/>
              <w:left w:val="nil"/>
              <w:bottom w:val="single" w:sz="4" w:space="0" w:color="5A5A5A"/>
              <w:right w:val="single" w:sz="4" w:space="0" w:color="5A5A5A"/>
            </w:tcBorders>
            <w:shd w:val="clear" w:color="auto" w:fill="auto"/>
            <w:vAlign w:val="center"/>
          </w:tcPr>
          <w:p w14:paraId="0E3E55C3" w14:textId="3F50E78E"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Veyrune, Jeanin, Dutheil and Riordan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ExcludeAuth="1"&gt;&lt;Author&gt;Veyrune&lt;/Author&gt;&lt;Year&gt;2005&lt;/Year&gt;&lt;RecNum&gt;0&lt;/RecNum&gt;&lt;IDText&gt;Impact of new prostheses on the oral health related quality of life of edentulous patients&lt;/IDText&gt;&lt;DisplayText&gt;(2005)&lt;/DisplayText&gt;&lt;record&gt;&lt;dates&gt;&lt;pub-dates&gt;&lt;date&gt;Mar&lt;/date&gt;&lt;/pub-dates&gt;&lt;year&gt;2005&lt;/year&gt;&lt;/dates&gt;&lt;isbn&gt;0734-0664 (Print)&amp;#xD;0734-0664&lt;/isbn&gt;&lt;titles&gt;&lt;title&gt;Impact of new prostheses on the oral health related quality of life of edentulous patients&lt;/title&gt;&lt;secondary-title&gt;Gerodontology&lt;/secondary-title&gt;&lt;alt-title&gt;Gerodontology&lt;/alt-title&gt;&lt;/titles&gt;&lt;pages&gt;3-9&lt;/pages&gt;&lt;number&gt;1&lt;/number&gt;&lt;contributors&gt;&lt;authors&gt;&lt;author&gt;Veyrune, J. L.&lt;/author&gt;&lt;author&gt;Tubert-Jeannin, S.&lt;/author&gt;&lt;author&gt;Dutheil, C.&lt;/author&gt;&lt;author&gt;Riordan, P. J.&lt;/author&gt;&lt;/authors&gt;&lt;/contributors&gt;&lt;edition&gt;2005/03/08&lt;/edition&gt;&lt;language&gt;eng&lt;/language&gt;&lt;added-date format="utc"&gt;1374065288&lt;/added-date&gt;&lt;ref-type name="Journal Article"&gt;17&lt;/ref-type&gt;&lt;auth-address&gt;Group for the study of populations with oral health disadvantages (GEDIDO), Dental school, University of Clermont-Ferrand, Clermont-Ferrand, France. j-luc.veyrune@u-clermont1.fr&lt;/auth-address&gt;&lt;remote-database-provider&gt;Nlm&lt;/remote-database-provider&gt;&lt;rec-number&gt;1016&lt;/rec-number&gt;&lt;last-updated-date format="utc"&gt;1374065288&lt;/last-updated-date&gt;&lt;accession-num&gt;15747892&lt;/accession-num&gt;&lt;volume&gt;22&lt;/volume&gt;&lt;/record&gt;&lt;/Cite&gt;&lt;/EndNote&gt;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(2005)</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086CD436"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Patients seeking new dentures randomised into 2 groups.</w:t>
            </w:r>
          </w:p>
        </w:tc>
        <w:tc>
          <w:tcPr>
            <w:tcW w:w="979" w:type="dxa"/>
            <w:tcBorders>
              <w:top w:val="nil"/>
              <w:left w:val="nil"/>
              <w:bottom w:val="single" w:sz="4" w:space="0" w:color="5A5A5A"/>
              <w:right w:val="single" w:sz="4" w:space="0" w:color="5A5A5A"/>
            </w:tcBorders>
            <w:shd w:val="clear" w:color="auto" w:fill="auto"/>
            <w:vAlign w:val="center"/>
            <w:hideMark/>
          </w:tcPr>
          <w:p w14:paraId="5215E23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26</w:t>
            </w:r>
          </w:p>
        </w:tc>
        <w:tc>
          <w:tcPr>
            <w:tcW w:w="1399" w:type="dxa"/>
            <w:tcBorders>
              <w:top w:val="nil"/>
              <w:left w:val="nil"/>
              <w:bottom w:val="single" w:sz="4" w:space="0" w:color="5A5A5A"/>
              <w:right w:val="single" w:sz="4" w:space="0" w:color="5A5A5A"/>
            </w:tcBorders>
            <w:shd w:val="clear" w:color="auto" w:fill="auto"/>
            <w:vAlign w:val="center"/>
            <w:hideMark/>
          </w:tcPr>
          <w:p w14:paraId="2C939C6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64.5 (10.7)</w:t>
            </w:r>
          </w:p>
        </w:tc>
        <w:tc>
          <w:tcPr>
            <w:tcW w:w="1260" w:type="dxa"/>
            <w:tcBorders>
              <w:top w:val="nil"/>
              <w:left w:val="nil"/>
              <w:bottom w:val="single" w:sz="4" w:space="0" w:color="5A5A5A"/>
              <w:right w:val="single" w:sz="4" w:space="0" w:color="5A5A5A"/>
            </w:tcBorders>
            <w:shd w:val="clear" w:color="auto" w:fill="auto"/>
            <w:vAlign w:val="center"/>
            <w:hideMark/>
          </w:tcPr>
          <w:p w14:paraId="35E458D6"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Randomised controlled trial</w:t>
            </w:r>
          </w:p>
        </w:tc>
        <w:tc>
          <w:tcPr>
            <w:tcW w:w="1678" w:type="dxa"/>
            <w:tcBorders>
              <w:top w:val="nil"/>
              <w:left w:val="nil"/>
              <w:bottom w:val="single" w:sz="4" w:space="0" w:color="5A5A5A"/>
              <w:right w:val="single" w:sz="4" w:space="0" w:color="5A5A5A"/>
            </w:tcBorders>
            <w:shd w:val="clear" w:color="auto" w:fill="auto"/>
            <w:vAlign w:val="center"/>
            <w:hideMark/>
          </w:tcPr>
          <w:p w14:paraId="1430EAC7"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at denture placement, 6 weeks, 12 weeks follow up (Group 1). Group 2 after denture placement only</w:t>
            </w:r>
          </w:p>
        </w:tc>
        <w:tc>
          <w:tcPr>
            <w:tcW w:w="1819" w:type="dxa"/>
            <w:tcBorders>
              <w:top w:val="nil"/>
              <w:left w:val="nil"/>
              <w:bottom w:val="single" w:sz="4" w:space="0" w:color="5A5A5A"/>
              <w:right w:val="single" w:sz="4" w:space="0" w:color="5A5A5A"/>
            </w:tcBorders>
            <w:shd w:val="clear" w:color="auto" w:fill="auto"/>
            <w:vAlign w:val="center"/>
            <w:hideMark/>
          </w:tcPr>
          <w:p w14:paraId="33AB9063" w14:textId="03021947"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GOHAI</w:t>
            </w:r>
            <w:r w:rsidR="00E71151" w:rsidRPr="00787196">
              <w:rPr>
                <w:rFonts w:eastAsia="Times New Roman" w:cs="Arial"/>
                <w:color w:val="000000"/>
                <w:sz w:val="17"/>
                <w:szCs w:val="17"/>
              </w:rPr>
              <w:t>- French version</w:t>
            </w:r>
          </w:p>
        </w:tc>
        <w:tc>
          <w:tcPr>
            <w:tcW w:w="1577" w:type="dxa"/>
            <w:tcBorders>
              <w:top w:val="nil"/>
              <w:left w:val="nil"/>
              <w:bottom w:val="single" w:sz="4" w:space="0" w:color="5A5A5A"/>
              <w:right w:val="single" w:sz="4" w:space="0" w:color="5A5A5A"/>
            </w:tcBorders>
            <w:shd w:val="clear" w:color="auto" w:fill="auto"/>
            <w:vAlign w:val="center"/>
            <w:hideMark/>
          </w:tcPr>
          <w:p w14:paraId="57CEF35D" w14:textId="5E41838B"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Effect of new dentures on satisfaction</w:t>
            </w:r>
          </w:p>
        </w:tc>
        <w:tc>
          <w:tcPr>
            <w:tcW w:w="1261" w:type="dxa"/>
            <w:tcBorders>
              <w:top w:val="nil"/>
              <w:left w:val="nil"/>
              <w:bottom w:val="single" w:sz="4" w:space="0" w:color="5A5A5A"/>
              <w:right w:val="single" w:sz="4" w:space="0" w:color="5A5A5A"/>
            </w:tcBorders>
            <w:shd w:val="clear" w:color="auto" w:fill="auto"/>
            <w:vAlign w:val="center"/>
            <w:hideMark/>
          </w:tcPr>
          <w:p w14:paraId="395B28F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0937ED74" w14:textId="77777777" w:rsidTr="006B4681">
        <w:trPr>
          <w:gridAfter w:val="1"/>
          <w:wAfter w:w="14" w:type="dxa"/>
          <w:trHeight w:val="1529"/>
        </w:trPr>
        <w:tc>
          <w:tcPr>
            <w:tcW w:w="435" w:type="dxa"/>
            <w:tcBorders>
              <w:top w:val="nil"/>
              <w:left w:val="single" w:sz="4" w:space="0" w:color="5A5A5A"/>
              <w:bottom w:val="single" w:sz="4" w:space="0" w:color="5A5A5A"/>
              <w:right w:val="single" w:sz="4" w:space="0" w:color="5A5A5A"/>
            </w:tcBorders>
            <w:shd w:val="clear" w:color="auto" w:fill="auto"/>
            <w:vAlign w:val="center"/>
          </w:tcPr>
          <w:p w14:paraId="205F28F7" w14:textId="3BCDA4B0" w:rsidR="00E56623" w:rsidRPr="00787196" w:rsidRDefault="009411F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47</w:t>
            </w:r>
          </w:p>
        </w:tc>
        <w:tc>
          <w:tcPr>
            <w:tcW w:w="1943" w:type="dxa"/>
            <w:tcBorders>
              <w:top w:val="nil"/>
              <w:left w:val="nil"/>
              <w:bottom w:val="single" w:sz="4" w:space="0" w:color="5A5A5A"/>
              <w:right w:val="single" w:sz="4" w:space="0" w:color="5A5A5A"/>
            </w:tcBorders>
            <w:shd w:val="clear" w:color="auto" w:fill="auto"/>
            <w:vAlign w:val="center"/>
          </w:tcPr>
          <w:p w14:paraId="7DB360C5" w14:textId="78DFAAC0"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Wolfart, Heydecke, Luthardt, Marre, Freesmeyer, Stark, Wostmann, Mundt, Pospiech, Jahn, Gitt, Schadler, Aggstaller, Talepur, Busche and Bell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ExcludeAuth="1"&gt;&lt;Author&gt;Wolfart&lt;/Author&gt;&lt;Year&gt;2005&lt;/Year&gt;&lt;RecNum&gt;0&lt;/RecNum&gt;&lt;IDText&gt;Effects of prosthetic treatment for shortened dental arches on oral health-related quality of life, self-reports of pain and jaw disability: results from the pilot-phase of a randomized multicentre trial&lt;/IDText&gt;&lt;DisplayText&gt;(2005)&lt;/DisplayText&gt;&lt;record&gt;&lt;dates&gt;&lt;pub-dates&gt;&lt;date&gt;Nov&lt;/date&gt;&lt;/pub-dates&gt;&lt;year&gt;2005&lt;/year&gt;&lt;/dates&gt;&lt;isbn&gt;0305-182X (Print)&amp;#xD;0305-182x&lt;/isbn&gt;&lt;titles&gt;&lt;title&gt;Effects of prosthetic treatment for shortened dental arches on oral health-related quality of life, self-reports of pain and jaw disability: results from the pilot-phase of a randomized multicentre trial&lt;/title&gt;&lt;secondary-title&gt;J Oral Rehabil&lt;/secondary-title&gt;&lt;alt-title&gt;Journal of oral rehabilitation&lt;/alt-title&gt;&lt;/titles&gt;&lt;pages&gt;815-22&lt;/pages&gt;&lt;number&gt;11&lt;/number&gt;&lt;contributors&gt;&lt;authors&gt;&lt;author&gt;Wolfart, S.&lt;/author&gt;&lt;author&gt;Heydecke, G.&lt;/author&gt;&lt;author&gt;Luthardt, R. G.&lt;/author&gt;&lt;author&gt;Marre, B.&lt;/author&gt;&lt;author&gt;Freesmeyer, W. B.&lt;/author&gt;&lt;author&gt;Stark, H.&lt;/author&gt;&lt;author&gt;Wostmann, B.&lt;/author&gt;&lt;author&gt;Mundt, T.&lt;/author&gt;&lt;author&gt;Pospiech, P.&lt;/author&gt;&lt;author&gt;Jahn, F.&lt;/author&gt;&lt;author&gt;Gitt, I.&lt;/author&gt;&lt;author&gt;Schadler, M.&lt;/author&gt;&lt;author&gt;Aggstaller, H.&lt;/author&gt;&lt;author&gt;Talebpur, F.&lt;/author&gt;&lt;author&gt;Busche, E.&lt;/author&gt;&lt;author&gt;Bell, M.&lt;/author&gt;&lt;/authors&gt;&lt;/contributors&gt;&lt;edition&gt;2005/10/06&lt;/edition&gt;&lt;language&gt;eng&lt;/language&gt;&lt;added-date format="utc"&gt;1374065288&lt;/added-date&gt;&lt;ref-type name="Journal Article"&gt;17&lt;/ref-type&gt;&lt;auth-address&gt;Department of Prosthodontics, Propaedeutics and Dental Materials, School of Dentistry, Christian-Albrechts-Universitat zu Kiel, Arnold-Heller-Strasse 16, D-24105 Kiel, Germany. swolfart@proth.uni-kiel.de&lt;/auth-address&gt;&lt;remote-database-provider&gt;Nlm&lt;/remote-database-provider&gt;&lt;rec-number&gt;1004&lt;/rec-number&gt;&lt;last-updated-date format="utc"&gt;1374065288&lt;/last-updated-date&gt;&lt;accession-num&gt;16202045&lt;/accession-num&gt;&lt;electronic-resource-num&gt;10.1111/j.1365-2842.2005.01522.x&lt;/electronic-resource-num&gt;&lt;volume&gt;32&lt;/volume&gt;&lt;/record&gt;&lt;/Cite&gt;&lt;/EndNote&gt;</w:instrText>
            </w:r>
            <w:r w:rsidR="007D6B7F" w:rsidRPr="00787196">
              <w:rPr>
                <w:rFonts w:eastAsia="Times New Roman" w:cs="Arial"/>
                <w:color w:val="000000"/>
                <w:sz w:val="17"/>
                <w:szCs w:val="17"/>
              </w:rPr>
              <w:fldChar w:fldCharType="separate"/>
            </w:r>
            <w:r w:rsidRPr="00787196">
              <w:rPr>
                <w:rFonts w:eastAsia="Times New Roman" w:cs="Arial"/>
                <w:color w:val="000000"/>
                <w:sz w:val="17"/>
                <w:szCs w:val="17"/>
              </w:rPr>
              <w:t>(2005)</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65946BFC"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2 groups </w:t>
            </w:r>
          </w:p>
          <w:p w14:paraId="09FF9DA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RPD group</w:t>
            </w:r>
          </w:p>
          <w:p w14:paraId="2E4FFA38"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Premolar occlusion group (PROC)</w:t>
            </w:r>
          </w:p>
        </w:tc>
        <w:tc>
          <w:tcPr>
            <w:tcW w:w="979" w:type="dxa"/>
            <w:tcBorders>
              <w:top w:val="nil"/>
              <w:left w:val="nil"/>
              <w:bottom w:val="single" w:sz="4" w:space="0" w:color="5A5A5A"/>
              <w:right w:val="single" w:sz="4" w:space="0" w:color="5A5A5A"/>
            </w:tcBorders>
            <w:shd w:val="clear" w:color="auto" w:fill="auto"/>
            <w:vAlign w:val="center"/>
            <w:hideMark/>
          </w:tcPr>
          <w:p w14:paraId="4D3EF50F"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21</w:t>
            </w:r>
          </w:p>
        </w:tc>
        <w:tc>
          <w:tcPr>
            <w:tcW w:w="1399" w:type="dxa"/>
            <w:tcBorders>
              <w:top w:val="nil"/>
              <w:left w:val="nil"/>
              <w:bottom w:val="single" w:sz="4" w:space="0" w:color="5A5A5A"/>
              <w:right w:val="single" w:sz="4" w:space="0" w:color="5A5A5A"/>
            </w:tcBorders>
            <w:shd w:val="clear" w:color="auto" w:fill="auto"/>
            <w:vAlign w:val="center"/>
            <w:hideMark/>
          </w:tcPr>
          <w:p w14:paraId="034C1B9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62 (10)</w:t>
            </w:r>
          </w:p>
        </w:tc>
        <w:tc>
          <w:tcPr>
            <w:tcW w:w="1260" w:type="dxa"/>
            <w:tcBorders>
              <w:top w:val="nil"/>
              <w:left w:val="nil"/>
              <w:bottom w:val="single" w:sz="4" w:space="0" w:color="5A5A5A"/>
              <w:right w:val="single" w:sz="4" w:space="0" w:color="5A5A5A"/>
            </w:tcBorders>
            <w:shd w:val="clear" w:color="auto" w:fill="auto"/>
            <w:vAlign w:val="center"/>
            <w:hideMark/>
          </w:tcPr>
          <w:p w14:paraId="19CA385C"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Multi-centre randomized clinical trial (PILOT)</w:t>
            </w:r>
          </w:p>
        </w:tc>
        <w:tc>
          <w:tcPr>
            <w:tcW w:w="1678" w:type="dxa"/>
            <w:tcBorders>
              <w:top w:val="nil"/>
              <w:left w:val="nil"/>
              <w:bottom w:val="single" w:sz="4" w:space="0" w:color="5A5A5A"/>
              <w:right w:val="single" w:sz="4" w:space="0" w:color="5A5A5A"/>
            </w:tcBorders>
            <w:shd w:val="clear" w:color="auto" w:fill="auto"/>
            <w:vAlign w:val="center"/>
            <w:hideMark/>
          </w:tcPr>
          <w:p w14:paraId="7DE0DB1E" w14:textId="277D19A9"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Pre-treatment, 6 weeks, 6 months and 12 months follow-up </w:t>
            </w:r>
          </w:p>
        </w:tc>
        <w:tc>
          <w:tcPr>
            <w:tcW w:w="1819" w:type="dxa"/>
            <w:tcBorders>
              <w:top w:val="nil"/>
              <w:left w:val="nil"/>
              <w:bottom w:val="single" w:sz="4" w:space="0" w:color="5A5A5A"/>
              <w:right w:val="single" w:sz="4" w:space="0" w:color="5A5A5A"/>
            </w:tcBorders>
            <w:shd w:val="clear" w:color="auto" w:fill="auto"/>
            <w:vAlign w:val="center"/>
            <w:hideMark/>
          </w:tcPr>
          <w:p w14:paraId="3642F97F" w14:textId="286A52B1" w:rsidR="00E71151"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OHIP-49</w:t>
            </w:r>
          </w:p>
          <w:p w14:paraId="426A50AF" w14:textId="11DB55BC"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nil"/>
              <w:left w:val="nil"/>
              <w:bottom w:val="single" w:sz="4" w:space="0" w:color="5A5A5A"/>
              <w:right w:val="single" w:sz="4" w:space="0" w:color="5A5A5A"/>
            </w:tcBorders>
            <w:shd w:val="clear" w:color="auto" w:fill="auto"/>
            <w:vAlign w:val="center"/>
            <w:hideMark/>
          </w:tcPr>
          <w:p w14:paraId="54834CDE" w14:textId="77777777" w:rsidR="00E71151" w:rsidRPr="00787196" w:rsidRDefault="00E71151" w:rsidP="009962E6">
            <w:pPr>
              <w:spacing w:before="0" w:after="0" w:line="240" w:lineRule="auto"/>
              <w:ind w:left="193"/>
              <w:jc w:val="left"/>
              <w:rPr>
                <w:rFonts w:eastAsia="Times New Roman" w:cs="Arial"/>
                <w:color w:val="000000"/>
                <w:sz w:val="17"/>
                <w:szCs w:val="17"/>
                <w:lang w:val="it-IT"/>
              </w:rPr>
            </w:pPr>
            <w:r w:rsidRPr="00787196">
              <w:rPr>
                <w:rFonts w:eastAsia="Times New Roman" w:cs="Arial"/>
                <w:color w:val="000000"/>
                <w:sz w:val="17"/>
                <w:szCs w:val="17"/>
                <w:lang w:val="it-IT"/>
              </w:rPr>
              <w:t>Research Diagnostic Criteria</w:t>
            </w:r>
          </w:p>
          <w:p w14:paraId="03A6115C" w14:textId="6F6B8FF0" w:rsidR="00E56623" w:rsidRPr="00787196" w:rsidRDefault="00E71151" w:rsidP="009962E6">
            <w:pPr>
              <w:spacing w:before="0" w:after="0" w:line="240" w:lineRule="auto"/>
              <w:ind w:left="193"/>
              <w:jc w:val="left"/>
              <w:rPr>
                <w:rFonts w:eastAsia="Times New Roman" w:cs="Arial"/>
                <w:color w:val="000000"/>
                <w:sz w:val="17"/>
                <w:szCs w:val="17"/>
                <w:lang w:val="it-IT"/>
              </w:rPr>
            </w:pPr>
            <w:r w:rsidRPr="00787196">
              <w:rPr>
                <w:rFonts w:eastAsia="Times New Roman" w:cs="Arial"/>
                <w:color w:val="000000"/>
                <w:sz w:val="17"/>
                <w:szCs w:val="17"/>
                <w:lang w:val="it-IT"/>
              </w:rPr>
              <w:t>(RDC) questionnaire</w:t>
            </w:r>
          </w:p>
        </w:tc>
        <w:tc>
          <w:tcPr>
            <w:tcW w:w="1261" w:type="dxa"/>
            <w:tcBorders>
              <w:top w:val="nil"/>
              <w:left w:val="nil"/>
              <w:bottom w:val="single" w:sz="4" w:space="0" w:color="5A5A5A"/>
              <w:right w:val="single" w:sz="4" w:space="0" w:color="5A5A5A"/>
            </w:tcBorders>
            <w:shd w:val="clear" w:color="auto" w:fill="auto"/>
            <w:vAlign w:val="center"/>
            <w:hideMark/>
          </w:tcPr>
          <w:p w14:paraId="14F4AA5A"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No</w:t>
            </w:r>
          </w:p>
        </w:tc>
      </w:tr>
      <w:tr w:rsidR="00E56623" w:rsidRPr="00787196" w14:paraId="3D813BD6" w14:textId="77777777" w:rsidTr="006B4681">
        <w:trPr>
          <w:gridAfter w:val="1"/>
          <w:wAfter w:w="14" w:type="dxa"/>
          <w:trHeight w:val="617"/>
        </w:trPr>
        <w:tc>
          <w:tcPr>
            <w:tcW w:w="435" w:type="dxa"/>
            <w:tcBorders>
              <w:top w:val="nil"/>
              <w:left w:val="single" w:sz="4" w:space="0" w:color="5A5A5A"/>
              <w:bottom w:val="single" w:sz="4" w:space="0" w:color="5A5A5A"/>
              <w:right w:val="single" w:sz="4" w:space="0" w:color="5A5A5A"/>
            </w:tcBorders>
            <w:shd w:val="clear" w:color="auto" w:fill="auto"/>
            <w:vAlign w:val="center"/>
          </w:tcPr>
          <w:p w14:paraId="419D3BCE" w14:textId="6EFC8ADB" w:rsidR="00E56623" w:rsidRPr="00787196" w:rsidRDefault="00774EBF"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w:t>
            </w:r>
            <w:r w:rsidR="009411F9" w:rsidRPr="00787196">
              <w:rPr>
                <w:rFonts w:eastAsia="Times New Roman" w:cs="Arial"/>
                <w:color w:val="000000"/>
                <w:sz w:val="17"/>
                <w:szCs w:val="17"/>
              </w:rPr>
              <w:t>8</w:t>
            </w:r>
          </w:p>
        </w:tc>
        <w:tc>
          <w:tcPr>
            <w:tcW w:w="1943" w:type="dxa"/>
            <w:tcBorders>
              <w:top w:val="nil"/>
              <w:left w:val="nil"/>
              <w:bottom w:val="single" w:sz="4" w:space="0" w:color="5A5A5A"/>
              <w:right w:val="single" w:sz="4" w:space="0" w:color="5A5A5A"/>
            </w:tcBorders>
            <w:shd w:val="clear" w:color="auto" w:fill="auto"/>
            <w:vAlign w:val="center"/>
          </w:tcPr>
          <w:p w14:paraId="480C1E4F" w14:textId="65935752" w:rsidR="00E56623" w:rsidRPr="00787196" w:rsidRDefault="00FE5527"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WOSTMANN, BALKENHOL, KOTHE AND FERGER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rPr>
              <w:instrText xml:space="preserve"> ADDIN EN.CITE &lt;EndNote&gt;&lt;Cite ExcludeAuth="1"&gt;&lt;Author&gt;Wostmann&lt;/Author&gt;&lt;Year&gt;2008&lt;/Year&gt;&lt;RecNum&gt;0&lt;/RecNum&gt;&lt;IDText&gt;Dental impact on daily living of telescopic crown-retained partial dentures&lt;/IDText&gt;&lt;DisplayText&gt;(2008a)&lt;/DisplayText&gt;&lt;record&gt;&lt;dates&gt;&lt;pub-dates&gt;&lt;date&gt;Sep-Oct&lt;/date&gt;&lt;/pub-dates&gt;&lt;year&gt;2008&lt;/year&gt;&lt;/dates&gt;&lt;isbn&gt;0893-2174 (Print)&amp;#xD;0893-2174&lt;/isbn&gt;&lt;titles&gt;&lt;title&gt;Dental impact on daily living of telescopic crown-retained partial dentures&lt;/title&gt;&lt;secondary-title&gt;Int J Prosthodont&lt;/secondary-title&gt;&lt;alt-title&gt;The International journal of prosthodontics&lt;/alt-title&gt;&lt;/titles&gt;&lt;pages&gt;419-21&lt;/pages&gt;&lt;number&gt;5&lt;/number&gt;&lt;contributors&gt;&lt;authors&gt;&lt;author&gt;Wostmann, B.&lt;/author&gt;&lt;author&gt;Balkenhol, M.&lt;/author&gt;&lt;author&gt;Kothe, A.&lt;/author&gt;&lt;author&gt;Ferger, P.&lt;/author&gt;&lt;/authors&gt;&lt;/contributors&gt;&lt;edition&gt;2008/10/28&lt;/edition&gt;&lt;language&gt;eng&lt;/language&gt;&lt;added-date format="utc"&gt;1374040090&lt;/added-date&gt;&lt;ref-type name="Journal Article"&gt;17&lt;/ref-type&gt;&lt;auth-address&gt;Department of Prosthodontics, Dental Clinic, Justus-Liebig University, Giessen, Germany. bernd.woestmann@dentist.med.uni-giessen.de&lt;/auth-address&gt;&lt;remote-database-provider&gt;Nlm&lt;/remote-database-provider&gt;&lt;rec-number&gt;948&lt;/rec-number&gt;&lt;last-updated-date format="utc"&gt;1374040090&lt;/last-updated-date&gt;&lt;accession-num&gt;18950064&lt;/accession-num&gt;&lt;volume&gt;21&lt;/volume&gt;&lt;/record&gt;&lt;/Cite&gt;&lt;/EndNote&gt;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rPr>
              <w:t>(2008a)</w:t>
            </w:r>
            <w:r w:rsidR="007D6B7F" w:rsidRPr="00787196">
              <w:rPr>
                <w:rFonts w:eastAsia="Times New Roman" w:cs="Arial"/>
                <w:color w:val="000000"/>
                <w:sz w:val="17"/>
                <w:szCs w:val="17"/>
              </w:rPr>
              <w:fldChar w:fldCharType="end"/>
            </w:r>
          </w:p>
        </w:tc>
        <w:tc>
          <w:tcPr>
            <w:tcW w:w="2099" w:type="dxa"/>
            <w:tcBorders>
              <w:top w:val="nil"/>
              <w:left w:val="nil"/>
              <w:bottom w:val="single" w:sz="4" w:space="0" w:color="5A5A5A"/>
              <w:right w:val="single" w:sz="4" w:space="0" w:color="5A5A5A"/>
            </w:tcBorders>
            <w:shd w:val="clear" w:color="auto" w:fill="auto"/>
            <w:vAlign w:val="center"/>
            <w:hideMark/>
          </w:tcPr>
          <w:p w14:paraId="13F399B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3 groups </w:t>
            </w:r>
          </w:p>
          <w:p w14:paraId="035BB86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 xml:space="preserve">No prosthesis </w:t>
            </w:r>
          </w:p>
          <w:p w14:paraId="70BD00A1"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Non-functioning prosthesis</w:t>
            </w:r>
          </w:p>
          <w:p w14:paraId="1DCE24D0"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Removable partial dentures</w:t>
            </w:r>
          </w:p>
        </w:tc>
        <w:tc>
          <w:tcPr>
            <w:tcW w:w="979" w:type="dxa"/>
            <w:tcBorders>
              <w:top w:val="nil"/>
              <w:left w:val="nil"/>
              <w:bottom w:val="single" w:sz="4" w:space="0" w:color="5A5A5A"/>
              <w:right w:val="single" w:sz="4" w:space="0" w:color="5A5A5A"/>
            </w:tcBorders>
            <w:shd w:val="clear" w:color="auto" w:fill="auto"/>
            <w:vAlign w:val="center"/>
            <w:hideMark/>
          </w:tcPr>
          <w:p w14:paraId="08671103"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98</w:t>
            </w:r>
          </w:p>
        </w:tc>
        <w:tc>
          <w:tcPr>
            <w:tcW w:w="1399" w:type="dxa"/>
            <w:tcBorders>
              <w:top w:val="nil"/>
              <w:left w:val="nil"/>
              <w:bottom w:val="single" w:sz="4" w:space="0" w:color="5A5A5A"/>
              <w:right w:val="single" w:sz="4" w:space="0" w:color="5A5A5A"/>
            </w:tcBorders>
            <w:shd w:val="clear" w:color="auto" w:fill="auto"/>
            <w:vAlign w:val="center"/>
            <w:hideMark/>
          </w:tcPr>
          <w:p w14:paraId="75046492"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60.3 (10)</w:t>
            </w:r>
          </w:p>
        </w:tc>
        <w:tc>
          <w:tcPr>
            <w:tcW w:w="1260" w:type="dxa"/>
            <w:tcBorders>
              <w:top w:val="nil"/>
              <w:left w:val="nil"/>
              <w:bottom w:val="single" w:sz="4" w:space="0" w:color="5A5A5A"/>
              <w:right w:val="single" w:sz="4" w:space="0" w:color="5A5A5A"/>
            </w:tcBorders>
            <w:shd w:val="clear" w:color="auto" w:fill="auto"/>
            <w:vAlign w:val="center"/>
            <w:hideMark/>
          </w:tcPr>
          <w:p w14:paraId="449335FE" w14:textId="77777777" w:rsidR="00E56623" w:rsidRPr="00787196" w:rsidRDefault="001F3E4C"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Longitudinal observational</w:t>
            </w:r>
          </w:p>
        </w:tc>
        <w:tc>
          <w:tcPr>
            <w:tcW w:w="1678" w:type="dxa"/>
            <w:tcBorders>
              <w:top w:val="nil"/>
              <w:left w:val="nil"/>
              <w:bottom w:val="single" w:sz="4" w:space="0" w:color="5A5A5A"/>
              <w:right w:val="single" w:sz="4" w:space="0" w:color="5A5A5A"/>
            </w:tcBorders>
            <w:shd w:val="clear" w:color="auto" w:fill="auto"/>
            <w:vAlign w:val="center"/>
            <w:hideMark/>
          </w:tcPr>
          <w:p w14:paraId="5E8B1BFA" w14:textId="77777777" w:rsidR="00E56623" w:rsidRPr="00787196" w:rsidRDefault="00E56623" w:rsidP="00B560B3">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1 year follow up</w:t>
            </w:r>
          </w:p>
        </w:tc>
        <w:tc>
          <w:tcPr>
            <w:tcW w:w="1819" w:type="dxa"/>
            <w:tcBorders>
              <w:top w:val="nil"/>
              <w:left w:val="nil"/>
              <w:bottom w:val="single" w:sz="4" w:space="0" w:color="5A5A5A"/>
              <w:right w:val="single" w:sz="4" w:space="0" w:color="5A5A5A"/>
            </w:tcBorders>
            <w:shd w:val="clear" w:color="auto" w:fill="auto"/>
            <w:vAlign w:val="center"/>
            <w:hideMark/>
          </w:tcPr>
          <w:p w14:paraId="19BD2355" w14:textId="11D90C8B"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DIDL</w:t>
            </w:r>
          </w:p>
        </w:tc>
        <w:tc>
          <w:tcPr>
            <w:tcW w:w="1577" w:type="dxa"/>
            <w:tcBorders>
              <w:top w:val="nil"/>
              <w:left w:val="nil"/>
              <w:bottom w:val="single" w:sz="4" w:space="0" w:color="5A5A5A"/>
              <w:right w:val="single" w:sz="4" w:space="0" w:color="5A5A5A"/>
            </w:tcBorders>
            <w:shd w:val="clear" w:color="auto" w:fill="auto"/>
            <w:vAlign w:val="center"/>
            <w:hideMark/>
          </w:tcPr>
          <w:p w14:paraId="080141BC" w14:textId="77777777" w:rsidR="00E56623" w:rsidRPr="00787196" w:rsidRDefault="00E56623"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Crown retained RPDs impact on patient’s well being</w:t>
            </w:r>
          </w:p>
        </w:tc>
        <w:tc>
          <w:tcPr>
            <w:tcW w:w="1261" w:type="dxa"/>
            <w:tcBorders>
              <w:top w:val="nil"/>
              <w:left w:val="nil"/>
              <w:bottom w:val="single" w:sz="4" w:space="0" w:color="5A5A5A"/>
              <w:right w:val="single" w:sz="4" w:space="0" w:color="5A5A5A"/>
            </w:tcBorders>
            <w:shd w:val="clear" w:color="auto" w:fill="auto"/>
            <w:vAlign w:val="center"/>
            <w:hideMark/>
          </w:tcPr>
          <w:p w14:paraId="33437235"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Yes</w:t>
            </w:r>
          </w:p>
        </w:tc>
      </w:tr>
      <w:tr w:rsidR="00E56623" w:rsidRPr="00787196" w14:paraId="61F20A18" w14:textId="77777777" w:rsidTr="006B4681">
        <w:trPr>
          <w:gridAfter w:val="1"/>
          <w:wAfter w:w="14" w:type="dxa"/>
          <w:trHeight w:val="1666"/>
        </w:trPr>
        <w:tc>
          <w:tcPr>
            <w:tcW w:w="435" w:type="dxa"/>
            <w:tcBorders>
              <w:top w:val="single" w:sz="4" w:space="0" w:color="5A5A5A"/>
              <w:left w:val="single" w:sz="4" w:space="0" w:color="5A5A5A"/>
              <w:bottom w:val="single" w:sz="4" w:space="0" w:color="5A5A5A"/>
              <w:right w:val="single" w:sz="4" w:space="0" w:color="5A5A5A"/>
            </w:tcBorders>
            <w:shd w:val="clear" w:color="auto" w:fill="auto"/>
            <w:vAlign w:val="center"/>
          </w:tcPr>
          <w:p w14:paraId="21E15FC1" w14:textId="51C306B1" w:rsidR="00E56623" w:rsidRPr="00787196" w:rsidRDefault="009411F9"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49</w:t>
            </w:r>
          </w:p>
        </w:tc>
        <w:tc>
          <w:tcPr>
            <w:tcW w:w="1943" w:type="dxa"/>
            <w:tcBorders>
              <w:top w:val="single" w:sz="4" w:space="0" w:color="5A5A5A"/>
              <w:left w:val="nil"/>
              <w:bottom w:val="single" w:sz="4" w:space="0" w:color="5A5A5A"/>
              <w:right w:val="single" w:sz="4" w:space="0" w:color="5A5A5A"/>
            </w:tcBorders>
            <w:shd w:val="clear" w:color="auto" w:fill="auto"/>
            <w:vAlign w:val="center"/>
          </w:tcPr>
          <w:p w14:paraId="5E232EE0" w14:textId="14AF7F47" w:rsidR="00E56623" w:rsidRPr="00787196" w:rsidRDefault="00FE5527" w:rsidP="00B560B3">
            <w:pPr>
              <w:spacing w:before="0" w:after="0" w:line="240" w:lineRule="auto"/>
              <w:jc w:val="left"/>
              <w:rPr>
                <w:rFonts w:eastAsia="Times New Roman" w:cs="Arial"/>
                <w:color w:val="000000"/>
                <w:sz w:val="17"/>
                <w:szCs w:val="17"/>
                <w:lang w:val="de-DE"/>
              </w:rPr>
            </w:pPr>
            <w:r w:rsidRPr="00787196">
              <w:rPr>
                <w:rFonts w:eastAsia="Times New Roman" w:cs="Arial"/>
                <w:color w:val="000000"/>
                <w:sz w:val="17"/>
                <w:szCs w:val="17"/>
                <w:lang w:val="de-DE"/>
              </w:rPr>
              <w:t xml:space="preserve">Wostmann, Michel, Brinkhert, Weskhott, Rehmann and Balkenhol </w:t>
            </w:r>
            <w:r w:rsidR="007D6B7F" w:rsidRPr="00787196">
              <w:rPr>
                <w:rFonts w:eastAsia="Times New Roman" w:cs="Arial"/>
                <w:color w:val="000000"/>
                <w:sz w:val="17"/>
                <w:szCs w:val="17"/>
              </w:rPr>
              <w:fldChar w:fldCharType="begin"/>
            </w:r>
            <w:r w:rsidR="00223957" w:rsidRPr="00787196">
              <w:rPr>
                <w:rFonts w:eastAsia="Times New Roman" w:cs="Arial"/>
                <w:color w:val="000000"/>
                <w:sz w:val="17"/>
                <w:szCs w:val="17"/>
                <w:lang w:val="de-DE"/>
              </w:rPr>
              <w:instrText xml:space="preserve"> ADDIN EN.CITE &lt;EndNote&gt;&lt;Cite ExcludeAuth="1"&gt;&lt;Author&gt;Wostmann&lt;/Author&gt;&lt;Year&gt;2008&lt;/Year&gt;&lt;RecNum&gt;0&lt;/RecNum&gt;&lt;IDText&gt;Influence of denture improvement on the nutritional status and quality of life of geriatric patients&lt;/IDText&gt;&lt;DisplayText&gt;(2008b)&lt;/DisplayText&gt;&lt;record&gt;&lt;dates&gt;&lt;pub-dates&gt;&lt;date&gt;Oct&lt;/date&gt;&lt;/pub-dates&gt;&lt;year&gt;2008&lt;/year&gt;&lt;/dates&gt;&lt;isbn&gt;0300-5712 (Print)&amp;#xD;0300-5712&lt;/isbn&gt;&lt;titles&gt;&lt;title&gt;Influence of denture improvement on the nutritional status and quality of life of geriatric patients&lt;/title&gt;&lt;secondary-title&gt;J Dent&lt;/secondary-title&gt;&lt;alt-title&gt;Journal of dentistry&lt;/alt-title&gt;&lt;/titles&gt;&lt;pages&gt;816-21&lt;/pages&gt;&lt;number&gt;10&lt;/number&gt;&lt;contributors&gt;&lt;authors&gt;&lt;author&gt;Wostmann, B.&lt;/author&gt;&lt;author&gt;Michel, K.&lt;/author&gt;&lt;author&gt;Brinkert, B.&lt;/author&gt;&lt;author&gt;Melchheier-Weskott, A.&lt;/author&gt;&lt;author&gt;Rehmann, P.&lt;/author&gt;&lt;author&gt;Balkenhol, M.&lt;/author&gt;&lt;/authors&gt;&lt;/contributors&gt;&lt;edition&gt;2008/07/08&lt;/edition&gt;&lt;language&gt;eng&lt;/language&gt;&lt;added-date format="utc"&gt;1374040090&lt;/added-date&gt;&lt;ref-type name="Journal Article"&gt;17&lt;/ref-type&gt;&lt;auth-address&gt;Department of Prosthodontics, Justus-Liebig University, Schlangenzahl 14, D-35392 Giessen, Germany. Bernd.Woestmann@dentist.med.uni-giessen.de&lt;/auth-address&gt;&lt;remote-database-provider&gt;Nlm&lt;/remote-database-provider&gt;&lt;rec-number&gt;956&lt;/rec-number&gt;&lt;last-updated-date format="utc"&gt;1374040090&lt;/last-updated-date&gt;&lt;accession-num&gt;18603344&lt;/accession-num&gt;&lt;electronic-resource-num&gt;10.1016/j.jdent.2008.05.017&lt;/electronic-resource-num&gt;&lt;volume&gt;36&lt;/volume&gt;&lt;/record&gt;&lt;/Cite&gt;&lt;/EndNote&gt;</w:instrText>
            </w:r>
            <w:r w:rsidR="007D6B7F" w:rsidRPr="00787196">
              <w:rPr>
                <w:rFonts w:eastAsia="Times New Roman" w:cs="Arial"/>
                <w:color w:val="000000"/>
                <w:sz w:val="17"/>
                <w:szCs w:val="17"/>
              </w:rPr>
              <w:fldChar w:fldCharType="separate"/>
            </w:r>
            <w:r w:rsidR="00CD68FB" w:rsidRPr="00787196">
              <w:rPr>
                <w:rFonts w:eastAsia="Times New Roman" w:cs="Arial"/>
                <w:color w:val="000000"/>
                <w:sz w:val="17"/>
                <w:szCs w:val="17"/>
                <w:lang w:val="de-DE"/>
              </w:rPr>
              <w:t>(2008b)</w:t>
            </w:r>
            <w:r w:rsidR="007D6B7F" w:rsidRPr="00787196">
              <w:rPr>
                <w:rFonts w:eastAsia="Times New Roman" w:cs="Arial"/>
                <w:color w:val="000000"/>
                <w:sz w:val="17"/>
                <w:szCs w:val="17"/>
              </w:rPr>
              <w:fldChar w:fldCharType="end"/>
            </w:r>
          </w:p>
        </w:tc>
        <w:tc>
          <w:tcPr>
            <w:tcW w:w="2099" w:type="dxa"/>
            <w:tcBorders>
              <w:top w:val="single" w:sz="4" w:space="0" w:color="5A5A5A"/>
              <w:left w:val="nil"/>
              <w:bottom w:val="single" w:sz="4" w:space="0" w:color="5A5A5A"/>
              <w:right w:val="single" w:sz="4" w:space="0" w:color="5A5A5A"/>
            </w:tcBorders>
            <w:shd w:val="clear" w:color="auto" w:fill="auto"/>
            <w:vAlign w:val="center"/>
            <w:hideMark/>
          </w:tcPr>
          <w:p w14:paraId="06CA3752" w14:textId="51C8DE97" w:rsidR="00E56623" w:rsidRPr="00787196" w:rsidRDefault="00E56623" w:rsidP="009962E6">
            <w:pPr>
              <w:spacing w:before="0" w:after="0" w:line="240" w:lineRule="auto"/>
              <w:rPr>
                <w:rFonts w:eastAsia="Times New Roman" w:cs="Arial"/>
                <w:color w:val="000000"/>
                <w:sz w:val="17"/>
                <w:szCs w:val="17"/>
              </w:rPr>
            </w:pPr>
            <w:r w:rsidRPr="00787196">
              <w:rPr>
                <w:rFonts w:eastAsia="Times New Roman" w:cs="Arial"/>
                <w:color w:val="000000"/>
                <w:sz w:val="17"/>
                <w:szCs w:val="17"/>
              </w:rPr>
              <w:t xml:space="preserve">Group of patients capable of self- feeding themselves &gt;60 years, with dentures requiring repair or replacement </w:t>
            </w:r>
          </w:p>
        </w:tc>
        <w:tc>
          <w:tcPr>
            <w:tcW w:w="979" w:type="dxa"/>
            <w:tcBorders>
              <w:top w:val="single" w:sz="4" w:space="0" w:color="5A5A5A"/>
              <w:left w:val="nil"/>
              <w:bottom w:val="single" w:sz="4" w:space="0" w:color="5A5A5A"/>
              <w:right w:val="single" w:sz="4" w:space="0" w:color="5A5A5A"/>
            </w:tcBorders>
            <w:shd w:val="clear" w:color="auto" w:fill="auto"/>
            <w:vAlign w:val="center"/>
            <w:hideMark/>
          </w:tcPr>
          <w:p w14:paraId="16B90681"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47</w:t>
            </w:r>
          </w:p>
        </w:tc>
        <w:tc>
          <w:tcPr>
            <w:tcW w:w="1399" w:type="dxa"/>
            <w:tcBorders>
              <w:top w:val="single" w:sz="4" w:space="0" w:color="5A5A5A"/>
              <w:left w:val="nil"/>
              <w:bottom w:val="single" w:sz="4" w:space="0" w:color="5A5A5A"/>
              <w:right w:val="single" w:sz="4" w:space="0" w:color="5A5A5A"/>
            </w:tcBorders>
            <w:shd w:val="clear" w:color="auto" w:fill="auto"/>
            <w:vAlign w:val="center"/>
            <w:hideMark/>
          </w:tcPr>
          <w:p w14:paraId="533B41CD" w14:textId="77777777" w:rsidR="00E56623" w:rsidRPr="00787196" w:rsidRDefault="00E56623" w:rsidP="00B560B3">
            <w:pPr>
              <w:spacing w:before="0" w:after="0" w:line="240" w:lineRule="auto"/>
              <w:jc w:val="center"/>
              <w:rPr>
                <w:rFonts w:eastAsia="Times New Roman" w:cs="Arial"/>
                <w:color w:val="000000"/>
                <w:sz w:val="17"/>
                <w:szCs w:val="17"/>
              </w:rPr>
            </w:pPr>
            <w:r w:rsidRPr="00787196">
              <w:rPr>
                <w:rFonts w:eastAsia="Times New Roman" w:cs="Arial"/>
                <w:color w:val="000000"/>
                <w:sz w:val="17"/>
                <w:szCs w:val="17"/>
              </w:rPr>
              <w:t>72.6 (6.7)</w:t>
            </w:r>
          </w:p>
        </w:tc>
        <w:tc>
          <w:tcPr>
            <w:tcW w:w="1260" w:type="dxa"/>
            <w:tcBorders>
              <w:top w:val="single" w:sz="4" w:space="0" w:color="5A5A5A"/>
              <w:left w:val="nil"/>
              <w:bottom w:val="single" w:sz="4" w:space="0" w:color="5A5A5A"/>
              <w:right w:val="single" w:sz="4" w:space="0" w:color="5A5A5A"/>
            </w:tcBorders>
            <w:shd w:val="clear" w:color="auto" w:fill="auto"/>
            <w:vAlign w:val="center"/>
            <w:hideMark/>
          </w:tcPr>
          <w:p w14:paraId="2358457E" w14:textId="77777777" w:rsidR="00E56623" w:rsidRPr="00787196" w:rsidRDefault="00E56623" w:rsidP="00B560B3">
            <w:pPr>
              <w:spacing w:before="0" w:after="0" w:line="240" w:lineRule="auto"/>
              <w:rPr>
                <w:rFonts w:eastAsia="Times New Roman" w:cs="Arial"/>
                <w:color w:val="000000"/>
                <w:sz w:val="17"/>
                <w:szCs w:val="17"/>
              </w:rPr>
            </w:pPr>
            <w:r w:rsidRPr="00787196">
              <w:rPr>
                <w:rFonts w:eastAsia="Times New Roman" w:cs="Arial"/>
                <w:color w:val="000000"/>
                <w:sz w:val="17"/>
                <w:szCs w:val="17"/>
              </w:rPr>
              <w:t>L</w:t>
            </w:r>
            <w:r w:rsidR="001F3E4C" w:rsidRPr="00787196">
              <w:rPr>
                <w:rFonts w:eastAsia="Times New Roman" w:cs="Arial"/>
                <w:color w:val="000000"/>
                <w:sz w:val="17"/>
                <w:szCs w:val="17"/>
              </w:rPr>
              <w:t xml:space="preserve">ongitudinal observational </w:t>
            </w:r>
          </w:p>
        </w:tc>
        <w:tc>
          <w:tcPr>
            <w:tcW w:w="1678" w:type="dxa"/>
            <w:tcBorders>
              <w:top w:val="single" w:sz="4" w:space="0" w:color="5A5A5A"/>
              <w:left w:val="nil"/>
              <w:bottom w:val="single" w:sz="4" w:space="0" w:color="5A5A5A"/>
              <w:right w:val="single" w:sz="4" w:space="0" w:color="5A5A5A"/>
            </w:tcBorders>
            <w:shd w:val="clear" w:color="auto" w:fill="auto"/>
            <w:vAlign w:val="center"/>
            <w:hideMark/>
          </w:tcPr>
          <w:p w14:paraId="0C6EBB75" w14:textId="6F886BA8" w:rsidR="00E56623" w:rsidRPr="00787196" w:rsidRDefault="00E56623" w:rsidP="009962E6">
            <w:pPr>
              <w:spacing w:before="0" w:after="0" w:line="240" w:lineRule="auto"/>
              <w:jc w:val="left"/>
              <w:rPr>
                <w:rFonts w:eastAsia="Times New Roman" w:cs="Arial"/>
                <w:color w:val="000000"/>
                <w:sz w:val="17"/>
                <w:szCs w:val="17"/>
              </w:rPr>
            </w:pPr>
            <w:r w:rsidRPr="00787196">
              <w:rPr>
                <w:rFonts w:eastAsia="Times New Roman" w:cs="Arial"/>
                <w:color w:val="000000"/>
                <w:sz w:val="17"/>
                <w:szCs w:val="17"/>
              </w:rPr>
              <w:t>Baseline, 6 month follow up</w:t>
            </w:r>
          </w:p>
        </w:tc>
        <w:tc>
          <w:tcPr>
            <w:tcW w:w="1819" w:type="dxa"/>
            <w:tcBorders>
              <w:top w:val="single" w:sz="4" w:space="0" w:color="5A5A5A"/>
              <w:left w:val="nil"/>
              <w:bottom w:val="single" w:sz="4" w:space="0" w:color="5A5A5A"/>
              <w:right w:val="single" w:sz="4" w:space="0" w:color="5A5A5A"/>
            </w:tcBorders>
            <w:shd w:val="clear" w:color="auto" w:fill="auto"/>
            <w:vAlign w:val="center"/>
            <w:hideMark/>
          </w:tcPr>
          <w:p w14:paraId="7B09642E" w14:textId="188BF02E" w:rsidR="00E56623" w:rsidRPr="00787196" w:rsidRDefault="00E56623" w:rsidP="00B560B3">
            <w:pPr>
              <w:spacing w:before="0" w:after="0" w:line="240" w:lineRule="auto"/>
              <w:ind w:left="310"/>
              <w:jc w:val="left"/>
              <w:rPr>
                <w:rFonts w:eastAsia="Times New Roman" w:cs="Arial"/>
                <w:color w:val="000000"/>
                <w:sz w:val="17"/>
                <w:szCs w:val="17"/>
              </w:rPr>
            </w:pPr>
          </w:p>
          <w:p w14:paraId="3255243C" w14:textId="0018FAD6" w:rsidR="00E56623" w:rsidRPr="00787196" w:rsidRDefault="00E56623" w:rsidP="00B560B3">
            <w:pPr>
              <w:spacing w:before="0" w:after="0" w:line="240" w:lineRule="auto"/>
              <w:ind w:left="310"/>
              <w:jc w:val="left"/>
              <w:rPr>
                <w:rFonts w:eastAsia="Times New Roman" w:cs="Arial"/>
                <w:color w:val="000000"/>
                <w:sz w:val="17"/>
                <w:szCs w:val="17"/>
              </w:rPr>
            </w:pPr>
            <w:r w:rsidRPr="00787196">
              <w:rPr>
                <w:rFonts w:eastAsia="Times New Roman" w:cs="Arial"/>
                <w:color w:val="000000"/>
                <w:sz w:val="17"/>
                <w:szCs w:val="17"/>
              </w:rPr>
              <w:t xml:space="preserve">OHIP-G14 </w:t>
            </w:r>
            <w:r w:rsidR="00F150FC" w:rsidRPr="00787196">
              <w:rPr>
                <w:rFonts w:eastAsia="Times New Roman" w:cs="Arial"/>
                <w:color w:val="000000"/>
                <w:sz w:val="17"/>
                <w:szCs w:val="17"/>
              </w:rPr>
              <w:t>German version</w:t>
            </w:r>
          </w:p>
          <w:p w14:paraId="075BDE74" w14:textId="08A598B8" w:rsidR="00E56623" w:rsidRPr="00787196" w:rsidRDefault="00E56623" w:rsidP="00B560B3">
            <w:pPr>
              <w:spacing w:before="0" w:after="0" w:line="240" w:lineRule="auto"/>
              <w:ind w:left="310"/>
              <w:jc w:val="left"/>
              <w:rPr>
                <w:rFonts w:eastAsia="Times New Roman" w:cs="Arial"/>
                <w:color w:val="000000"/>
                <w:sz w:val="17"/>
                <w:szCs w:val="17"/>
              </w:rPr>
            </w:pPr>
          </w:p>
        </w:tc>
        <w:tc>
          <w:tcPr>
            <w:tcW w:w="1577" w:type="dxa"/>
            <w:tcBorders>
              <w:top w:val="single" w:sz="4" w:space="0" w:color="5A5A5A"/>
              <w:left w:val="nil"/>
              <w:bottom w:val="single" w:sz="4" w:space="0" w:color="5A5A5A"/>
              <w:right w:val="single" w:sz="4" w:space="0" w:color="5A5A5A"/>
            </w:tcBorders>
            <w:shd w:val="clear" w:color="auto" w:fill="auto"/>
            <w:vAlign w:val="center"/>
            <w:hideMark/>
          </w:tcPr>
          <w:p w14:paraId="2746F93A" w14:textId="77777777" w:rsidR="00F150FC" w:rsidRPr="00787196" w:rsidRDefault="00F150FC"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Mini Mental Status (MMS); Mini Nutritional Assessment (MNA);</w:t>
            </w:r>
          </w:p>
          <w:p w14:paraId="6A71B4A5" w14:textId="4F36159F" w:rsidR="00E56623" w:rsidRPr="00787196" w:rsidRDefault="00F150FC" w:rsidP="009962E6">
            <w:pPr>
              <w:spacing w:before="0" w:after="0" w:line="240" w:lineRule="auto"/>
              <w:ind w:left="193"/>
              <w:jc w:val="left"/>
              <w:rPr>
                <w:rFonts w:eastAsia="Times New Roman" w:cs="Arial"/>
                <w:color w:val="000000"/>
                <w:sz w:val="17"/>
                <w:szCs w:val="17"/>
              </w:rPr>
            </w:pPr>
            <w:r w:rsidRPr="00787196">
              <w:rPr>
                <w:rFonts w:eastAsia="Times New Roman" w:cs="Arial"/>
                <w:color w:val="000000"/>
                <w:sz w:val="17"/>
                <w:szCs w:val="17"/>
              </w:rPr>
              <w:t xml:space="preserve">Serum parameters, Masticatory efficiency </w:t>
            </w:r>
            <w:r w:rsidR="00D345C0" w:rsidRPr="00787196">
              <w:rPr>
                <w:rFonts w:eastAsia="Times New Roman" w:cs="Arial"/>
                <w:color w:val="000000"/>
                <w:sz w:val="17"/>
                <w:szCs w:val="17"/>
              </w:rPr>
              <w:t>test</w:t>
            </w:r>
            <w:r w:rsidRPr="00787196">
              <w:rPr>
                <w:rFonts w:eastAsia="Times New Roman" w:cs="Arial"/>
                <w:color w:val="000000"/>
                <w:sz w:val="17"/>
                <w:szCs w:val="17"/>
              </w:rPr>
              <w:t xml:space="preserve"> (MET)</w:t>
            </w:r>
          </w:p>
        </w:tc>
        <w:tc>
          <w:tcPr>
            <w:tcW w:w="1261" w:type="dxa"/>
            <w:tcBorders>
              <w:top w:val="single" w:sz="4" w:space="0" w:color="5A5A5A"/>
              <w:left w:val="nil"/>
              <w:bottom w:val="single" w:sz="4" w:space="0" w:color="5A5A5A"/>
              <w:right w:val="single" w:sz="4" w:space="0" w:color="5A5A5A"/>
            </w:tcBorders>
            <w:shd w:val="clear" w:color="auto" w:fill="auto"/>
            <w:vAlign w:val="center"/>
            <w:hideMark/>
          </w:tcPr>
          <w:p w14:paraId="272C1A19" w14:textId="77777777" w:rsidR="00E56623" w:rsidRPr="00787196" w:rsidRDefault="00FE5527" w:rsidP="00B560B3">
            <w:pPr>
              <w:spacing w:before="0" w:after="0" w:line="240" w:lineRule="auto"/>
              <w:jc w:val="center"/>
              <w:rPr>
                <w:rFonts w:eastAsia="Times New Roman" w:cs="Arial"/>
                <w:sz w:val="17"/>
                <w:szCs w:val="17"/>
              </w:rPr>
            </w:pPr>
            <w:r w:rsidRPr="00787196">
              <w:rPr>
                <w:rFonts w:eastAsia="Times New Roman" w:cs="Arial"/>
                <w:color w:val="000000"/>
                <w:sz w:val="17"/>
                <w:szCs w:val="17"/>
              </w:rPr>
              <w:t>No</w:t>
            </w:r>
          </w:p>
        </w:tc>
      </w:tr>
    </w:tbl>
    <w:p w14:paraId="04722517" w14:textId="79B2B5E1" w:rsidR="00B560B3" w:rsidRPr="00787196" w:rsidRDefault="00151C7A" w:rsidP="00FE0D71">
      <w:pPr>
        <w:pStyle w:val="ListParagraph"/>
        <w:numPr>
          <w:ilvl w:val="0"/>
          <w:numId w:val="41"/>
        </w:numPr>
        <w:spacing w:after="0" w:line="240" w:lineRule="auto"/>
        <w:rPr>
          <w:rFonts w:cs="Arial"/>
          <w:sz w:val="20"/>
          <w:szCs w:val="20"/>
        </w:rPr>
      </w:pPr>
      <w:r w:rsidRPr="00787196">
        <w:rPr>
          <w:rFonts w:cs="Arial"/>
          <w:sz w:val="20"/>
          <w:szCs w:val="20"/>
        </w:rPr>
        <w:t xml:space="preserve">OHIP – Oral health Impact </w:t>
      </w:r>
      <w:r w:rsidR="00B560B3" w:rsidRPr="00787196">
        <w:rPr>
          <w:rFonts w:cs="Arial"/>
          <w:sz w:val="20"/>
          <w:szCs w:val="20"/>
        </w:rPr>
        <w:t>profile</w:t>
      </w:r>
    </w:p>
    <w:p w14:paraId="1647B39C" w14:textId="1814FB20" w:rsidR="00B560B3" w:rsidRPr="00787196" w:rsidRDefault="00151C7A" w:rsidP="00FE0D71">
      <w:pPr>
        <w:pStyle w:val="ListParagraph"/>
        <w:numPr>
          <w:ilvl w:val="0"/>
          <w:numId w:val="41"/>
        </w:numPr>
        <w:spacing w:after="0" w:line="240" w:lineRule="auto"/>
        <w:rPr>
          <w:rFonts w:cs="Arial"/>
          <w:sz w:val="20"/>
          <w:szCs w:val="20"/>
        </w:rPr>
      </w:pPr>
      <w:r w:rsidRPr="00787196">
        <w:rPr>
          <w:rFonts w:cs="Arial"/>
          <w:sz w:val="20"/>
          <w:szCs w:val="20"/>
        </w:rPr>
        <w:t>OIDP – Oral Impacts on Daily performance</w:t>
      </w:r>
    </w:p>
    <w:p w14:paraId="36612168" w14:textId="77777777" w:rsidR="00B560B3" w:rsidRPr="00787196" w:rsidRDefault="00151C7A" w:rsidP="00FE0D71">
      <w:pPr>
        <w:pStyle w:val="ListParagraph"/>
        <w:numPr>
          <w:ilvl w:val="0"/>
          <w:numId w:val="41"/>
        </w:numPr>
        <w:spacing w:after="0" w:line="240" w:lineRule="auto"/>
        <w:rPr>
          <w:rFonts w:cs="Arial"/>
          <w:sz w:val="20"/>
          <w:szCs w:val="20"/>
        </w:rPr>
      </w:pPr>
      <w:r w:rsidRPr="00787196">
        <w:rPr>
          <w:rFonts w:cs="Arial"/>
          <w:sz w:val="20"/>
          <w:szCs w:val="20"/>
        </w:rPr>
        <w:t>SF – Short form</w:t>
      </w:r>
      <w:r w:rsidR="00D014DE" w:rsidRPr="00787196">
        <w:rPr>
          <w:rFonts w:cs="Arial"/>
          <w:sz w:val="20"/>
          <w:szCs w:val="20"/>
        </w:rPr>
        <w:t>;</w:t>
      </w:r>
    </w:p>
    <w:p w14:paraId="4FD0C995" w14:textId="23F23DD3" w:rsidR="00B560B3" w:rsidRPr="00787196" w:rsidRDefault="00386CE2" w:rsidP="00FE0D71">
      <w:pPr>
        <w:pStyle w:val="ListParagraph"/>
        <w:numPr>
          <w:ilvl w:val="0"/>
          <w:numId w:val="41"/>
        </w:numPr>
        <w:spacing w:after="0" w:line="240" w:lineRule="auto"/>
        <w:rPr>
          <w:rFonts w:cs="Arial"/>
          <w:sz w:val="20"/>
          <w:szCs w:val="20"/>
        </w:rPr>
      </w:pPr>
      <w:r w:rsidRPr="00787196">
        <w:rPr>
          <w:rFonts w:cs="Arial"/>
          <w:sz w:val="20"/>
          <w:szCs w:val="20"/>
        </w:rPr>
        <w:t xml:space="preserve">GOHAI – Geriatric </w:t>
      </w:r>
      <w:r w:rsidR="00F254AE" w:rsidRPr="00787196">
        <w:rPr>
          <w:rFonts w:cs="Arial"/>
          <w:sz w:val="20"/>
          <w:szCs w:val="20"/>
        </w:rPr>
        <w:t>Oral Health Assessment Index</w:t>
      </w:r>
    </w:p>
    <w:p w14:paraId="7F027B24" w14:textId="2237C016" w:rsidR="00D014DE" w:rsidRPr="00787196" w:rsidRDefault="00D014DE" w:rsidP="00FE0D71">
      <w:pPr>
        <w:pStyle w:val="ListParagraph"/>
        <w:numPr>
          <w:ilvl w:val="0"/>
          <w:numId w:val="41"/>
        </w:numPr>
        <w:spacing w:after="0" w:line="240" w:lineRule="auto"/>
        <w:rPr>
          <w:rFonts w:cs="Arial"/>
          <w:sz w:val="20"/>
          <w:szCs w:val="20"/>
        </w:rPr>
      </w:pPr>
      <w:r w:rsidRPr="00787196">
        <w:rPr>
          <w:rFonts w:cs="Arial"/>
          <w:color w:val="333333"/>
          <w:sz w:val="20"/>
          <w:szCs w:val="20"/>
          <w:shd w:val="clear" w:color="auto" w:fill="FFFFFF"/>
        </w:rPr>
        <w:t>DIDL – Dental Impact of Daily Living</w:t>
      </w:r>
    </w:p>
    <w:p w14:paraId="73FCCF5F" w14:textId="68A39510" w:rsidR="00324FCF" w:rsidRPr="00787196" w:rsidRDefault="00324FCF" w:rsidP="00532A44">
      <w:pPr>
        <w:framePr w:w="13315" w:h="8226" w:hRule="exact" w:wrap="auto" w:hAnchor="text"/>
        <w:rPr>
          <w:rFonts w:cs="Arial"/>
        </w:rPr>
        <w:sectPr w:rsidR="00324FCF" w:rsidRPr="00787196" w:rsidSect="00B560B3">
          <w:pgSz w:w="16838" w:h="11906" w:orient="landscape" w:code="9"/>
          <w:pgMar w:top="2268" w:right="1134" w:bottom="1134" w:left="1134" w:header="437" w:footer="709" w:gutter="0"/>
          <w:cols w:space="708"/>
          <w:docGrid w:linePitch="360"/>
        </w:sectPr>
      </w:pPr>
    </w:p>
    <w:p w14:paraId="4654017C" w14:textId="5B540ABE" w:rsidR="00E56623" w:rsidRPr="00787196" w:rsidRDefault="0041464E" w:rsidP="00160EA4">
      <w:pPr>
        <w:rPr>
          <w:rFonts w:cs="Arial"/>
          <w:szCs w:val="24"/>
        </w:rPr>
      </w:pPr>
      <w:r w:rsidRPr="00787196">
        <w:lastRenderedPageBreak/>
        <w:t xml:space="preserve">Sample sizes ranged from just 11 participants (Harder et al., 2011) to 1332 (Lee et al., 2012). Participants predominated in the 50-70’s </w:t>
      </w:r>
      <w:r w:rsidR="008D6A8E" w:rsidRPr="00787196">
        <w:t>age group</w:t>
      </w:r>
      <w:r w:rsidRPr="00787196">
        <w:t xml:space="preserve"> (Abuzar et al., 2012, Allen et al., 1999, Ellis et al., 2007)</w:t>
      </w:r>
      <w:r w:rsidR="005509C5" w:rsidRPr="00787196">
        <w:t xml:space="preserve"> with o</w:t>
      </w:r>
      <w:r w:rsidRPr="00787196">
        <w:t xml:space="preserve">verall </w:t>
      </w:r>
      <w:r w:rsidR="005509C5" w:rsidRPr="00787196">
        <w:t>age</w:t>
      </w:r>
      <w:r w:rsidRPr="00787196">
        <w:t xml:space="preserve"> rang</w:t>
      </w:r>
      <w:r w:rsidR="005509C5" w:rsidRPr="00787196">
        <w:t>e</w:t>
      </w:r>
      <w:r w:rsidRPr="00787196">
        <w:t xml:space="preserve"> between 30 to 89 years</w:t>
      </w:r>
      <w:r w:rsidR="005509C5" w:rsidRPr="00787196">
        <w:t>. Most were (</w:t>
      </w:r>
      <w:r w:rsidR="00570703" w:rsidRPr="00787196">
        <w:t>thirty-two</w:t>
      </w:r>
      <w:r w:rsidR="005509C5" w:rsidRPr="00787196">
        <w:t xml:space="preserve">) </w:t>
      </w:r>
      <w:r w:rsidR="0092442E" w:rsidRPr="00787196">
        <w:rPr>
          <w:rFonts w:cs="Arial"/>
          <w:szCs w:val="24"/>
        </w:rPr>
        <w:t>were</w:t>
      </w:r>
      <w:r w:rsidR="00E56623" w:rsidRPr="00787196">
        <w:rPr>
          <w:rFonts w:cs="Arial"/>
          <w:szCs w:val="24"/>
        </w:rPr>
        <w:t xml:space="preserve"> </w:t>
      </w:r>
      <w:r w:rsidR="00B13563" w:rsidRPr="00787196">
        <w:rPr>
          <w:rFonts w:cs="Arial"/>
          <w:szCs w:val="24"/>
        </w:rPr>
        <w:t>either longitudinal</w:t>
      </w:r>
      <w:r w:rsidR="00E56623" w:rsidRPr="00787196">
        <w:rPr>
          <w:rFonts w:cs="Arial"/>
          <w:szCs w:val="24"/>
        </w:rPr>
        <w:t xml:space="preserve"> observational studies or randomised control trial</w:t>
      </w:r>
      <w:r w:rsidR="00695D8B" w:rsidRPr="00787196">
        <w:rPr>
          <w:rFonts w:cs="Arial"/>
          <w:szCs w:val="24"/>
        </w:rPr>
        <w:t>s</w:t>
      </w:r>
      <w:r w:rsidR="00E56623" w:rsidRPr="00787196">
        <w:rPr>
          <w:rFonts w:cs="Arial"/>
          <w:szCs w:val="24"/>
        </w:rPr>
        <w:t xml:space="preserve">. </w:t>
      </w:r>
      <w:r w:rsidR="008D6A8E" w:rsidRPr="00787196">
        <w:rPr>
          <w:rFonts w:cs="Arial"/>
          <w:szCs w:val="24"/>
        </w:rPr>
        <w:t>The s</w:t>
      </w:r>
      <w:r w:rsidR="005509C5" w:rsidRPr="00787196">
        <w:rPr>
          <w:rFonts w:cs="Arial"/>
          <w:szCs w:val="24"/>
        </w:rPr>
        <w:t xml:space="preserve">tudies </w:t>
      </w:r>
      <w:r w:rsidR="008D6A8E" w:rsidRPr="00787196">
        <w:rPr>
          <w:rFonts w:cs="Arial"/>
          <w:szCs w:val="24"/>
        </w:rPr>
        <w:t>included</w:t>
      </w:r>
      <w:r w:rsidR="005509C5" w:rsidRPr="00787196">
        <w:rPr>
          <w:rFonts w:cs="Arial"/>
          <w:szCs w:val="24"/>
        </w:rPr>
        <w:t xml:space="preserve"> involved </w:t>
      </w:r>
      <w:r w:rsidR="00B13563" w:rsidRPr="00787196">
        <w:rPr>
          <w:rFonts w:cs="Arial"/>
          <w:szCs w:val="24"/>
        </w:rPr>
        <w:t>p</w:t>
      </w:r>
      <w:r w:rsidR="00E56623" w:rsidRPr="00787196">
        <w:rPr>
          <w:rFonts w:cs="Arial"/>
          <w:szCs w:val="24"/>
        </w:rPr>
        <w:t xml:space="preserve">atients seeking replacement dentures </w:t>
      </w:r>
      <w:r w:rsidR="007D6B7F" w:rsidRPr="00787196">
        <w:rPr>
          <w:rFonts w:cs="Arial"/>
          <w:szCs w:val="24"/>
        </w:rPr>
        <w:fldChar w:fldCharType="begin"/>
      </w:r>
      <w:r w:rsidR="00223957" w:rsidRPr="00787196">
        <w:rPr>
          <w:rFonts w:cs="Arial"/>
          <w:szCs w:val="24"/>
        </w:rPr>
        <w:instrText xml:space="preserve"> ADDIN EN.CITE &lt;EndNote&gt;&lt;Cite&gt;&lt;Author&gt;Forgie&lt;/Author&gt;&lt;Year&gt;2005&lt;/Year&gt;&lt;RecNum&gt;0&lt;/RecNum&gt;&lt;IDText&gt;A study to compare the oral health impact profile and satisfaction before and after having replacement complete dentures in England and Scotland&lt;/IDText&gt;&lt;DisplayText&gt;(Forgie et al., 2005)&lt;/DisplayText&gt;&lt;record&gt;&lt;dates&gt;&lt;pub-dates&gt;&lt;date&gt;Sep&lt;/date&gt;&lt;/pub-dates&gt;&lt;year&gt;2005&lt;/year&gt;&lt;/dates&gt;&lt;isbn&gt;0734-0664 (Print)&amp;#xD;0734-0664&lt;/isbn&gt;&lt;titles&gt;&lt;title&gt;A study to compare the oral health impact profile and satisfaction before and after having replacement complete dentures in England and Scotland&lt;/title&gt;&lt;secondary-title&gt;Gerodontology&lt;/secondary-title&gt;&lt;alt-title&gt;Gerodontology&lt;/alt-title&gt;&lt;/titles&gt;&lt;pages&gt;137-42&lt;/pages&gt;&lt;number&gt;3&lt;/number&gt;&lt;contributors&gt;&lt;authors&gt;&lt;author&gt;Forgie, A. H.&lt;/author&gt;&lt;author&gt;Scott, B. J.&lt;/author&gt;&lt;author&gt;Davis, D. M.&lt;/author&gt;&lt;/authors&gt;&lt;/contributors&gt;&lt;edition&gt;2005/09/17&lt;/edition&gt;&lt;language&gt;eng&lt;/language&gt;&lt;added-date format="utc"&gt;1374065288&lt;/added-date&gt;&lt;ref-type name="Journal Article"&gt;17&lt;/ref-type&gt;&lt;auth-address&gt;Unit of Restorative Dental Care and Clinical Dental Sciences, Dundee Dental Hospital and School, Park Place, Dundee, UK.&lt;/auth-address&gt;&lt;remote-database-provider&gt;Nlm&lt;/remote-database-provider&gt;&lt;rec-number&gt;1007&lt;/rec-number&gt;&lt;last-updated-date format="utc"&gt;1374065288&lt;/last-updated-date&gt;&lt;accession-num&gt;16163904&lt;/accession-num&gt;&lt;volume&gt;22&lt;/volume&gt;&lt;/record&gt;&lt;/Cite&gt;&lt;/EndNote&gt;</w:instrText>
      </w:r>
      <w:r w:rsidR="007D6B7F" w:rsidRPr="00787196">
        <w:rPr>
          <w:rFonts w:cs="Arial"/>
          <w:szCs w:val="24"/>
        </w:rPr>
        <w:fldChar w:fldCharType="separate"/>
      </w:r>
      <w:r w:rsidR="00E56623" w:rsidRPr="00787196">
        <w:rPr>
          <w:rFonts w:cs="Arial"/>
          <w:szCs w:val="24"/>
        </w:rPr>
        <w:t>(Forgie et al., 2005)</w:t>
      </w:r>
      <w:r w:rsidR="007D6B7F" w:rsidRPr="00787196">
        <w:rPr>
          <w:rFonts w:cs="Arial"/>
          <w:szCs w:val="24"/>
        </w:rPr>
        <w:fldChar w:fldCharType="end"/>
      </w:r>
      <w:r w:rsidR="00E56623" w:rsidRPr="00787196">
        <w:rPr>
          <w:rFonts w:cs="Arial"/>
          <w:szCs w:val="24"/>
        </w:rPr>
        <w:t>, duplicate dentures</w:t>
      </w:r>
      <w:r w:rsidR="00F150FC" w:rsidRPr="00787196">
        <w:rPr>
          <w:rFonts w:cs="Arial"/>
          <w:szCs w:val="24"/>
        </w:rPr>
        <w:t xml:space="preserve"> </w:t>
      </w:r>
      <w:r w:rsidR="007D6B7F" w:rsidRPr="00787196">
        <w:rPr>
          <w:rFonts w:cs="Arial"/>
          <w:szCs w:val="24"/>
        </w:rPr>
        <w:fldChar w:fldCharType="begin"/>
      </w:r>
      <w:r w:rsidR="00223957" w:rsidRPr="00787196">
        <w:rPr>
          <w:rFonts w:cs="Arial"/>
          <w:szCs w:val="24"/>
        </w:rPr>
        <w:instrText xml:space="preserve"> ADDIN EN.CITE &lt;EndNote&gt;&lt;Cite&gt;&lt;Author&gt;Ellis&lt;/Author&gt;&lt;Year&gt;2007&lt;/Year&gt;&lt;RecNum&gt;0&lt;/RecNum&gt;&lt;IDText&gt;Conventional rehabilitation of edentulous patients: the impact on oral health-related quality of life and patient satisfaction&lt;/IDText&gt;&lt;DisplayText&gt;(Ellis et al., 2007)&lt;/DisplayText&gt;&lt;record&gt;&lt;dates&gt;&lt;pub-dates&gt;&lt;date&gt;Jan-Feb&lt;/date&gt;&lt;/pub-dates&gt;&lt;year&gt;2007&lt;/year&gt;&lt;/dates&gt;&lt;isbn&gt;1059-941X (Print)&amp;#xD;1059-941x&lt;/isbn&gt;&lt;titles&gt;&lt;title&gt;Conventional rehabilitation of edentulous patients: the impact on oral health-related quality of life and patient satisfaction&lt;/title&gt;&lt;secondary-title&gt;J Prosthodont&lt;/secondary-title&gt;&lt;alt-title&gt;Journal of prosthodontics : official journal of the American College of Prosthodontists&lt;/alt-title&gt;&lt;/titles&gt;&lt;pages&gt;37-42&lt;/pages&gt;&lt;number&gt;1&lt;/number&gt;&lt;contributors&gt;&lt;authors&gt;&lt;author&gt;Ellis, J. S.&lt;/author&gt;&lt;author&gt;Pelekis, N. D.&lt;/author&gt;&lt;author&gt;Thomason, J. M.&lt;/author&gt;&lt;/authors&gt;&lt;/contributors&gt;&lt;edition&gt;2007/01/25&lt;/edition&gt;&lt;language&gt;eng&lt;/language&gt;&lt;added-date format="utc"&gt;1374065287&lt;/added-date&gt;&lt;ref-type name="Journal Article"&gt;17&lt;/ref-type&gt;&lt;auth-address&gt;School of Dental Sciences, University of Newcastle upon Tyne, UK. j.s.ellis@ncl.ac.uk&lt;/auth-address&gt;&lt;remote-database-provider&gt;Nlm&lt;/remote-database-provider&gt;&lt;rec-number&gt;990&lt;/rec-number&gt;&lt;last-updated-date format="utc"&gt;1374065287&lt;/last-updated-date&gt;&lt;accession-num&gt;17244306&lt;/accession-num&gt;&lt;electronic-resource-num&gt;10.1111/j.1532-849X.2006.00152.x&lt;/electronic-resource-num&gt;&lt;volume&gt;16&lt;/volume&gt;&lt;/record&gt;&lt;/Cite&gt;&lt;/EndNote&gt;</w:instrText>
      </w:r>
      <w:r w:rsidR="007D6B7F" w:rsidRPr="00787196">
        <w:rPr>
          <w:rFonts w:cs="Arial"/>
          <w:szCs w:val="24"/>
        </w:rPr>
        <w:fldChar w:fldCharType="separate"/>
      </w:r>
      <w:r w:rsidR="00E56623" w:rsidRPr="00787196">
        <w:rPr>
          <w:rFonts w:cs="Arial"/>
          <w:szCs w:val="24"/>
        </w:rPr>
        <w:t>(Ellis et al., 2007)</w:t>
      </w:r>
      <w:r w:rsidR="007D6B7F" w:rsidRPr="00787196">
        <w:rPr>
          <w:rFonts w:cs="Arial"/>
          <w:szCs w:val="24"/>
        </w:rPr>
        <w:fldChar w:fldCharType="end"/>
      </w:r>
      <w:r w:rsidR="00E56623" w:rsidRPr="00787196">
        <w:rPr>
          <w:rFonts w:cs="Arial"/>
          <w:szCs w:val="24"/>
        </w:rPr>
        <w:t xml:space="preserve">, dentures </w:t>
      </w:r>
      <w:r w:rsidR="005509C5" w:rsidRPr="00787196">
        <w:rPr>
          <w:rFonts w:cs="Arial"/>
          <w:szCs w:val="24"/>
        </w:rPr>
        <w:t>with</w:t>
      </w:r>
      <w:r w:rsidR="00E56623" w:rsidRPr="00787196">
        <w:rPr>
          <w:rFonts w:cs="Arial"/>
          <w:szCs w:val="24"/>
        </w:rPr>
        <w:t xml:space="preserve"> shortened dental arches (SDA’s) </w:t>
      </w:r>
      <w:r w:rsidR="007D6B7F" w:rsidRPr="00787196">
        <w:rPr>
          <w:rFonts w:cs="Arial"/>
          <w:szCs w:val="24"/>
        </w:rPr>
        <w:fldChar w:fldCharType="begin"/>
      </w:r>
      <w:r w:rsidR="00223957" w:rsidRPr="00787196">
        <w:rPr>
          <w:rFonts w:cs="Arial"/>
          <w:szCs w:val="24"/>
        </w:rPr>
        <w:instrText xml:space="preserve"> ADDIN EN.CITE &lt;EndNote&gt;&lt;Cite&gt;&lt;Author&gt;Armellini&lt;/Author&gt;&lt;Year&gt;2008&lt;/Year&gt;&lt;RecNum&gt;0&lt;/RecNum&gt;&lt;IDText&gt;Effect of removable partial dentures on oral health-related quality of life in subjects with shortened dental arches: a 2-center cross-sectional study&lt;/IDText&gt;&lt;DisplayText&gt;(Armellini et al., 2008)&lt;/DisplayText&gt;&lt;record&gt;&lt;dates&gt;&lt;pub-dates&gt;&lt;date&gt;Nov-Dec&lt;/date&gt;&lt;/pub-dates&gt;&lt;year&gt;2008&lt;/year&gt;&lt;/dates&gt;&lt;isbn&gt;0893-2174 (Print)&amp;#xD;0893-2174&lt;/isbn&gt;&lt;titles&gt;&lt;title&gt;Effect of removable partial dentures on oral health-related quality of life in subjects with shortened dental arches: a 2-center cross-sectional study&lt;/title&gt;&lt;secondary-title&gt;Int J Prosthodont&lt;/secondary-title&gt;&lt;alt-title&gt;The International journal of prosthodontics&lt;/alt-title&gt;&lt;/titles&gt;&lt;pages&gt;524-30&lt;/pages&gt;&lt;number&gt;6&lt;/number&gt;&lt;contributors&gt;&lt;authors&gt;&lt;author&gt;Armellini, D. B.&lt;/author&gt;&lt;author&gt;Heydecke, G.&lt;/author&gt;&lt;author&gt;Witter, D. J.&lt;/author&gt;&lt;author&gt;Creugers, N. H.&lt;/author&gt;&lt;/authors&gt;&lt;/contributors&gt;&lt;edition&gt;2009/01/20&lt;/edition&gt;&lt;language&gt;eng&lt;/language&gt;&lt;added-date format="utc"&gt;1374040090&lt;/added-date&gt;&lt;ref-type name="Journal Article"&gt;17&lt;/ref-type&gt;&lt;auth-address&gt;Department of Restorative Dentistry, Baltimore College of Dental Surgery, University of Maryland, Baltimore, Maryland, USA.&lt;/auth-address&gt;&lt;remote-database-provider&gt;Nlm&lt;/remote-database-provider&gt;&lt;rec-number&gt;939&lt;/rec-number&gt;&lt;last-updated-date format="utc"&gt;1374040090&lt;/last-updated-date&gt;&lt;accession-num&gt;19149071&lt;/accession-num&gt;&lt;volume&gt;21&lt;/volume&gt;&lt;/record&gt;&lt;/Cite&gt;&lt;/EndNote&gt;</w:instrText>
      </w:r>
      <w:r w:rsidR="007D6B7F" w:rsidRPr="00787196">
        <w:rPr>
          <w:rFonts w:cs="Arial"/>
          <w:szCs w:val="24"/>
        </w:rPr>
        <w:fldChar w:fldCharType="separate"/>
      </w:r>
      <w:r w:rsidR="00E56623" w:rsidRPr="00787196">
        <w:rPr>
          <w:rFonts w:cs="Arial"/>
          <w:szCs w:val="24"/>
        </w:rPr>
        <w:t>(Armellini et al., 2008)</w:t>
      </w:r>
      <w:r w:rsidR="007D6B7F" w:rsidRPr="00787196">
        <w:rPr>
          <w:rFonts w:cs="Arial"/>
          <w:szCs w:val="24"/>
        </w:rPr>
        <w:fldChar w:fldCharType="end"/>
      </w:r>
      <w:r w:rsidR="00E56623" w:rsidRPr="00787196">
        <w:rPr>
          <w:rFonts w:cs="Arial"/>
          <w:szCs w:val="24"/>
        </w:rPr>
        <w:t xml:space="preserve">, removable partial dentures and complete dentures </w:t>
      </w:r>
      <w:r w:rsidR="007D6B7F" w:rsidRPr="00787196">
        <w:rPr>
          <w:rFonts w:cs="Arial"/>
          <w:szCs w:val="24"/>
        </w:rPr>
        <w:fldChar w:fldCharType="begin"/>
      </w:r>
      <w:r w:rsidR="00223957" w:rsidRPr="00787196">
        <w:rPr>
          <w:rFonts w:cs="Arial"/>
          <w:szCs w:val="24"/>
        </w:rPr>
        <w:instrText xml:space="preserve"> ADDIN EN.CITE &lt;EndNote&gt;&lt;Cite&gt;&lt;Author&gt;Bae&lt;/Author&gt;&lt;Year&gt;2006&lt;/Year&gt;&lt;RecNum&gt;0&lt;/RecNum&gt;&lt;IDText&gt;A comparison of oral health related quality of life between complete and partial removable denture-wearing older adults in Korea&lt;/IDText&gt;&lt;DisplayText&gt;(Bae et al., 2006)&lt;/DisplayText&gt;&lt;record&gt;&lt;dates&gt;&lt;pub-dates&gt;&lt;date&gt;May&lt;/date&gt;&lt;/pub-dates&gt;&lt;year&gt;2006&lt;/year&gt;&lt;/dates&gt;&lt;isbn&gt;0305-182X (Print)&amp;#xD;0305-182x&lt;/isbn&gt;&lt;titles&gt;&lt;title&gt;A comparison of oral health related quality of life between complete and partial removable denture-wearing older adults in Korea&lt;/title&gt;&lt;secondary-title&gt;J Oral Rehabil&lt;/secondary-title&gt;&lt;alt-title&gt;Journal of oral rehabilitation&lt;/alt-title&gt;&lt;/titles&gt;&lt;pages&gt;317-22&lt;/pages&gt;&lt;number&gt;5&lt;/number&gt;&lt;contributors&gt;&lt;authors&gt;&lt;author&gt;Bae, K. H.&lt;/author&gt;&lt;author&gt;Kim, C.&lt;/author&gt;&lt;author&gt;Paik, D. I.&lt;/author&gt;&lt;author&gt;Kim, J. B.&lt;/author&gt;&lt;/authors&gt;&lt;/contributors&gt;&lt;edition&gt;2006/04/25&lt;/edition&gt;&lt;language&gt;eng&lt;/language&gt;&lt;added-date format="utc"&gt;1374065288&lt;/added-date&gt;&lt;ref-type name="Journal Article"&gt;17&lt;/ref-type&gt;&lt;auth-address&gt;Department of Preventive and Community Dentistry, Dental College, Pusan National University, Busan, South Korea.&lt;/auth-address&gt;&lt;remote-database-provider&gt;Nlm&lt;/remote-database-provider&gt;&lt;rec-number&gt;1000&lt;/rec-number&gt;&lt;last-updated-date format="utc"&gt;1374065288&lt;/last-updated-date&gt;&lt;accession-num&gt;16629888&lt;/accession-num&gt;&lt;electronic-resource-num&gt;10.1111/j.1365-2842.2005.01565.x&lt;/electronic-resource-num&gt;&lt;volume&gt;33&lt;/volume&gt;&lt;/record&gt;&lt;/Cite&gt;&lt;/EndNote&gt;</w:instrText>
      </w:r>
      <w:r w:rsidR="007D6B7F" w:rsidRPr="00787196">
        <w:rPr>
          <w:rFonts w:cs="Arial"/>
          <w:szCs w:val="24"/>
        </w:rPr>
        <w:fldChar w:fldCharType="separate"/>
      </w:r>
      <w:r w:rsidR="00E56623" w:rsidRPr="00787196">
        <w:rPr>
          <w:rFonts w:cs="Arial"/>
          <w:szCs w:val="24"/>
        </w:rPr>
        <w:t>(Bae et al., 2006)</w:t>
      </w:r>
      <w:r w:rsidR="007D6B7F" w:rsidRPr="00787196">
        <w:rPr>
          <w:rFonts w:cs="Arial"/>
          <w:szCs w:val="24"/>
        </w:rPr>
        <w:fldChar w:fldCharType="end"/>
      </w:r>
      <w:r w:rsidR="00E56623" w:rsidRPr="00787196">
        <w:rPr>
          <w:rFonts w:cs="Arial"/>
          <w:szCs w:val="24"/>
        </w:rPr>
        <w:t xml:space="preserve">; people wearing loose complete dentures </w:t>
      </w:r>
      <w:r w:rsidR="007D6B7F" w:rsidRPr="00787196">
        <w:rPr>
          <w:rFonts w:cs="Arial"/>
          <w:szCs w:val="24"/>
        </w:rPr>
        <w:fldChar w:fldCharType="begin"/>
      </w:r>
      <w:r w:rsidR="00223957" w:rsidRPr="00787196">
        <w:rPr>
          <w:rFonts w:cs="Arial"/>
          <w:szCs w:val="24"/>
        </w:rPr>
        <w:instrText xml:space="preserve"> ADDIN EN.CITE &lt;EndNote&gt;&lt;Cite&gt;&lt;Author&gt;Pisani&lt;/Author&gt;&lt;Year&gt;2012&lt;/Year&gt;&lt;RecNum&gt;0&lt;/RecNum&gt;&lt;IDText&gt;Oral health related quality of life of edentulous patients after denture relining with a silicone-based soft liner&lt;/IDText&gt;&lt;DisplayText&gt;(Pisani et al., 2012)&lt;/DisplayText&gt;&lt;record&gt;&lt;dates&gt;&lt;pub-dates&gt;&lt;date&gt;Jun&lt;/date&gt;&lt;/pub-dates&gt;&lt;year&gt;2012&lt;/year&gt;&lt;/dates&gt;&lt;isbn&gt;0734-0664&lt;/isbn&gt;&lt;titles&gt;&lt;title&gt;Oral health related quality of life of edentulous patients after denture relining with a silicone-based soft liner&lt;/title&gt;&lt;secondary-title&gt;Gerodontology&lt;/secondary-title&gt;&lt;alt-title&gt;Gerodontology&lt;/alt-title&gt;&lt;/titles&gt;&lt;pages&gt;e474-80&lt;/pages&gt;&lt;number&gt;2&lt;/number&gt;&lt;contributors&gt;&lt;authors&gt;&lt;author&gt;Pisani, M. X.&lt;/author&gt;&lt;author&gt;Malheiros-Segundo Ade, L.&lt;/author&gt;&lt;author&gt;Balbino, K. L.&lt;/author&gt;&lt;author&gt;de Souza, R. F.&lt;/author&gt;&lt;author&gt;Paranhos Hde, F.&lt;/author&gt;&lt;author&gt;da Silva, C. H.&lt;/author&gt;&lt;/authors&gt;&lt;/contributors&gt;&lt;edition&gt;2011/06/24&lt;/edition&gt;&lt;language&gt;eng&lt;/language&gt;&lt;added-date format="utc"&gt;1374040089&lt;/added-date&gt;&lt;ref-type name="Journal Article"&gt;17&lt;/ref-type&gt;&lt;auth-address&gt;Department of Dental Materials and Prosthodontics, Ribeirao Preto Dental School, University of Sao Paulo, Ribeirao Preto, SP, Brazil.&lt;/auth-address&gt;&lt;remote-database-provider&gt;Nlm&lt;/remote-database-provider&gt;&lt;rec-number&gt;869&lt;/rec-number&gt;&lt;last-updated-date format="utc"&gt;1374040089&lt;/last-updated-date&gt;&lt;accession-num&gt;21696442&lt;/accession-num&gt;&lt;electronic-resource-num&gt;10.1111/j.1741-2358.2011.00503.x&lt;/electronic-resource-num&gt;&lt;volume&gt;29&lt;/volume&gt;&lt;/record&gt;&lt;/Cite&gt;&lt;/EndNote&gt;</w:instrText>
      </w:r>
      <w:r w:rsidR="007D6B7F" w:rsidRPr="00787196">
        <w:rPr>
          <w:rFonts w:cs="Arial"/>
          <w:szCs w:val="24"/>
        </w:rPr>
        <w:fldChar w:fldCharType="separate"/>
      </w:r>
      <w:r w:rsidR="00E56623" w:rsidRPr="00787196">
        <w:rPr>
          <w:rFonts w:cs="Arial"/>
          <w:szCs w:val="24"/>
        </w:rPr>
        <w:t>(Pisani et al., 2012)</w:t>
      </w:r>
      <w:r w:rsidR="007D6B7F" w:rsidRPr="00787196">
        <w:rPr>
          <w:rFonts w:cs="Arial"/>
          <w:szCs w:val="24"/>
        </w:rPr>
        <w:fldChar w:fldCharType="end"/>
      </w:r>
      <w:r w:rsidR="00E56623" w:rsidRPr="00787196">
        <w:rPr>
          <w:rFonts w:cs="Arial"/>
          <w:szCs w:val="24"/>
        </w:rPr>
        <w:t>.</w:t>
      </w:r>
      <w:r w:rsidR="004029C5" w:rsidRPr="00787196">
        <w:rPr>
          <w:rFonts w:cs="Arial"/>
          <w:szCs w:val="24"/>
        </w:rPr>
        <w:t xml:space="preserve"> </w:t>
      </w:r>
      <w:r w:rsidR="005509C5" w:rsidRPr="00787196">
        <w:rPr>
          <w:rFonts w:cs="Arial"/>
          <w:szCs w:val="24"/>
        </w:rPr>
        <w:t>Although, f</w:t>
      </w:r>
      <w:r w:rsidR="00E56623" w:rsidRPr="00787196">
        <w:rPr>
          <w:rFonts w:cs="Arial"/>
          <w:szCs w:val="24"/>
        </w:rPr>
        <w:t>ew studies involved surveying elderly population</w:t>
      </w:r>
      <w:r w:rsidR="00601B9E" w:rsidRPr="00787196">
        <w:rPr>
          <w:rFonts w:cs="Arial"/>
          <w:szCs w:val="24"/>
        </w:rPr>
        <w:t>s</w:t>
      </w:r>
      <w:r w:rsidR="00E56623" w:rsidRPr="00787196">
        <w:rPr>
          <w:rFonts w:cs="Arial"/>
          <w:szCs w:val="24"/>
        </w:rPr>
        <w:t xml:space="preserve"> </w:t>
      </w:r>
      <w:r w:rsidR="007D6B7F" w:rsidRPr="00787196">
        <w:rPr>
          <w:rFonts w:cs="Arial"/>
          <w:szCs w:val="24"/>
        </w:rPr>
        <w:fldChar w:fldCharType="begin">
          <w:fldData xml:space="preserve">PEVuZE5vdGU+PENpdGU+PEF1dGhvcj5IYTwvQXV0aG9yPjxZZWFyPjIwMTI8L1llYXI+PFJlY051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=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PEVuZE5vdGU+PENpdGU+PEF1dGhvcj5IYTwvQXV0aG9yPjxZZWFyPjIwMTI8L1llYXI+PFJlY051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=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007D6B7F" w:rsidRPr="00787196">
        <w:rPr>
          <w:rFonts w:cs="Arial"/>
          <w:szCs w:val="24"/>
        </w:rPr>
      </w:r>
      <w:r w:rsidR="007D6B7F" w:rsidRPr="00787196">
        <w:rPr>
          <w:rFonts w:cs="Arial"/>
          <w:szCs w:val="24"/>
        </w:rPr>
        <w:fldChar w:fldCharType="separate"/>
      </w:r>
      <w:r w:rsidR="00934550" w:rsidRPr="00787196">
        <w:rPr>
          <w:rFonts w:cs="Arial"/>
          <w:szCs w:val="24"/>
        </w:rPr>
        <w:t>(Ha et al., 2012, Hwang et al., 2012, Locker et al., 2001, Lee et al., 2012, Locker and Allen, 2002, Ryu et al., 2008, Tsakos et al., 2009, Wostmann et al., 2008b)</w:t>
      </w:r>
      <w:r w:rsidR="007D6B7F" w:rsidRPr="00787196">
        <w:rPr>
          <w:rFonts w:cs="Arial"/>
          <w:szCs w:val="24"/>
        </w:rPr>
        <w:fldChar w:fldCharType="end"/>
      </w:r>
      <w:r w:rsidR="007653BF" w:rsidRPr="00787196">
        <w:rPr>
          <w:rFonts w:cs="Arial"/>
          <w:szCs w:val="24"/>
        </w:rPr>
        <w:t>.</w:t>
      </w:r>
    </w:p>
    <w:p w14:paraId="4547B6B8" w14:textId="2F1F571D" w:rsidR="00E56623" w:rsidRPr="00787196" w:rsidRDefault="00E56623" w:rsidP="006B4681">
      <w:pPr>
        <w:spacing w:after="0"/>
        <w:rPr>
          <w:rFonts w:cs="Arial"/>
          <w:b/>
          <w:bCs/>
        </w:rPr>
      </w:pPr>
      <w:bookmarkStart w:id="68" w:name="_Ref366042768"/>
      <w:bookmarkStart w:id="69" w:name="_Toc366260669"/>
      <w:bookmarkStart w:id="70" w:name="_Toc461641223"/>
      <w:bookmarkStart w:id="71" w:name="_Toc488655526"/>
      <w:r w:rsidRPr="00787196">
        <w:rPr>
          <w:rFonts w:cs="Arial"/>
          <w:b/>
          <w:bCs/>
        </w:rPr>
        <w:t xml:space="preserve">Table </w:t>
      </w:r>
      <w:r w:rsidR="000332A1" w:rsidRPr="00787196">
        <w:rPr>
          <w:rFonts w:cs="Arial"/>
          <w:b/>
          <w:bCs/>
        </w:rPr>
        <w:fldChar w:fldCharType="begin"/>
      </w:r>
      <w:r w:rsidR="000332A1" w:rsidRPr="00787196">
        <w:rPr>
          <w:rFonts w:cs="Arial"/>
          <w:b/>
          <w:bCs/>
        </w:rPr>
        <w:instrText xml:space="preserve"> STYLEREF 1 \s </w:instrText>
      </w:r>
      <w:r w:rsidR="000332A1" w:rsidRPr="00787196">
        <w:rPr>
          <w:rFonts w:cs="Arial"/>
          <w:b/>
          <w:bCs/>
        </w:rPr>
        <w:fldChar w:fldCharType="separate"/>
      </w:r>
      <w:r w:rsidR="00C069BC" w:rsidRPr="00787196">
        <w:rPr>
          <w:rFonts w:cs="Arial"/>
          <w:b/>
          <w:bCs/>
          <w:noProof/>
        </w:rPr>
        <w:t>2</w:t>
      </w:r>
      <w:r w:rsidR="000332A1" w:rsidRPr="00787196">
        <w:rPr>
          <w:rFonts w:cs="Arial"/>
          <w:b/>
          <w:bCs/>
        </w:rPr>
        <w:fldChar w:fldCharType="end"/>
      </w:r>
      <w:r w:rsidR="000332A1" w:rsidRPr="00787196">
        <w:rPr>
          <w:rFonts w:cs="Arial"/>
          <w:b/>
          <w:bCs/>
        </w:rPr>
        <w:noBreakHyphen/>
      </w:r>
      <w:r w:rsidR="000332A1" w:rsidRPr="00787196">
        <w:rPr>
          <w:rFonts w:cs="Arial"/>
          <w:b/>
          <w:bCs/>
        </w:rPr>
        <w:fldChar w:fldCharType="begin"/>
      </w:r>
      <w:r w:rsidR="000332A1" w:rsidRPr="00787196">
        <w:rPr>
          <w:rFonts w:cs="Arial"/>
          <w:b/>
          <w:bCs/>
        </w:rPr>
        <w:instrText xml:space="preserve"> SEQ Table \* ARABIC \s 1 </w:instrText>
      </w:r>
      <w:r w:rsidR="000332A1" w:rsidRPr="00787196">
        <w:rPr>
          <w:rFonts w:cs="Arial"/>
          <w:b/>
          <w:bCs/>
        </w:rPr>
        <w:fldChar w:fldCharType="separate"/>
      </w:r>
      <w:r w:rsidR="00C069BC" w:rsidRPr="00787196">
        <w:rPr>
          <w:rFonts w:cs="Arial"/>
          <w:b/>
          <w:bCs/>
          <w:noProof/>
        </w:rPr>
        <w:t>3</w:t>
      </w:r>
      <w:r w:rsidR="000332A1" w:rsidRPr="00787196">
        <w:rPr>
          <w:rFonts w:cs="Arial"/>
          <w:b/>
          <w:bCs/>
        </w:rPr>
        <w:fldChar w:fldCharType="end"/>
      </w:r>
      <w:bookmarkEnd w:id="68"/>
      <w:r w:rsidR="006B4681" w:rsidRPr="00787196">
        <w:rPr>
          <w:rFonts w:cs="Arial"/>
          <w:b/>
          <w:bCs/>
        </w:rPr>
        <w:t>.</w:t>
      </w:r>
      <w:r w:rsidRPr="00787196">
        <w:rPr>
          <w:rFonts w:cs="Arial"/>
          <w:b/>
          <w:bCs/>
        </w:rPr>
        <w:t xml:space="preserve"> </w:t>
      </w:r>
      <w:r w:rsidR="004A69E8" w:rsidRPr="00787196">
        <w:rPr>
          <w:rFonts w:cs="Arial"/>
          <w:b/>
          <w:bCs/>
        </w:rPr>
        <w:t>OHQoL</w:t>
      </w:r>
      <w:r w:rsidRPr="00787196">
        <w:rPr>
          <w:rFonts w:cs="Arial"/>
          <w:b/>
          <w:bCs/>
        </w:rPr>
        <w:t xml:space="preserve"> measure</w:t>
      </w:r>
      <w:r w:rsidR="00A76073" w:rsidRPr="00787196">
        <w:rPr>
          <w:rFonts w:cs="Arial"/>
          <w:b/>
          <w:bCs/>
        </w:rPr>
        <w:t>s</w:t>
      </w:r>
      <w:r w:rsidRPr="00787196">
        <w:rPr>
          <w:rFonts w:cs="Arial"/>
          <w:b/>
          <w:bCs/>
        </w:rPr>
        <w:t xml:space="preserve"> used in studies used in the systematic review</w:t>
      </w:r>
      <w:bookmarkEnd w:id="69"/>
      <w:bookmarkEnd w:id="70"/>
      <w:bookmarkEnd w:id="71"/>
    </w:p>
    <w:tbl>
      <w:tblPr>
        <w:tblpPr w:leftFromText="180" w:rightFromText="180" w:vertAnchor="text" w:horzAnchor="margin" w:tblpY="187"/>
        <w:tblW w:w="8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101"/>
      </w:tblGrid>
      <w:tr w:rsidR="000B4298" w:rsidRPr="00787196" w14:paraId="56CC9B28" w14:textId="77777777" w:rsidTr="00642CE3">
        <w:trPr>
          <w:trHeight w:val="584"/>
        </w:trPr>
        <w:tc>
          <w:tcPr>
            <w:tcW w:w="2093" w:type="dxa"/>
            <w:shd w:val="clear" w:color="auto" w:fill="auto"/>
            <w:vAlign w:val="center"/>
          </w:tcPr>
          <w:p w14:paraId="6B3999E4" w14:textId="77777777" w:rsidR="000B4298" w:rsidRPr="00787196" w:rsidRDefault="004A69E8" w:rsidP="005C2A75">
            <w:pPr>
              <w:spacing w:before="0" w:after="0"/>
              <w:rPr>
                <w:rFonts w:eastAsia="Calibri" w:cs="Arial"/>
                <w:b/>
                <w:sz w:val="20"/>
                <w:szCs w:val="16"/>
                <w:lang w:eastAsia="en-US" w:bidi="ar-SA"/>
              </w:rPr>
            </w:pPr>
            <w:r w:rsidRPr="00787196">
              <w:rPr>
                <w:rFonts w:eastAsia="Calibri" w:cs="Arial"/>
                <w:b/>
                <w:sz w:val="20"/>
                <w:szCs w:val="16"/>
                <w:lang w:eastAsia="en-US" w:bidi="ar-SA"/>
              </w:rPr>
              <w:t>OHQoL</w:t>
            </w:r>
            <w:r w:rsidR="000B4298" w:rsidRPr="00787196">
              <w:rPr>
                <w:rFonts w:eastAsia="Calibri" w:cs="Arial"/>
                <w:b/>
                <w:sz w:val="20"/>
                <w:szCs w:val="16"/>
                <w:lang w:eastAsia="en-US" w:bidi="ar-SA"/>
              </w:rPr>
              <w:t xml:space="preserve"> measure</w:t>
            </w:r>
          </w:p>
        </w:tc>
        <w:tc>
          <w:tcPr>
            <w:tcW w:w="6101" w:type="dxa"/>
            <w:shd w:val="clear" w:color="auto" w:fill="auto"/>
            <w:vAlign w:val="center"/>
          </w:tcPr>
          <w:p w14:paraId="1BD1B2FF" w14:textId="77777777" w:rsidR="000B4298" w:rsidRPr="00787196" w:rsidRDefault="000B4298" w:rsidP="005C2A75">
            <w:pPr>
              <w:spacing w:before="0" w:after="0"/>
              <w:rPr>
                <w:rFonts w:eastAsia="Calibri" w:cs="Arial"/>
                <w:b/>
                <w:sz w:val="20"/>
                <w:szCs w:val="16"/>
                <w:lang w:eastAsia="en-US" w:bidi="ar-SA"/>
              </w:rPr>
            </w:pPr>
            <w:r w:rsidRPr="00787196">
              <w:rPr>
                <w:rFonts w:eastAsia="Calibri" w:cs="Arial"/>
                <w:b/>
                <w:sz w:val="20"/>
                <w:szCs w:val="16"/>
                <w:lang w:eastAsia="en-US" w:bidi="ar-SA"/>
              </w:rPr>
              <w:t>Studies (Authors, Date)</w:t>
            </w:r>
          </w:p>
        </w:tc>
      </w:tr>
      <w:tr w:rsidR="000B4298" w:rsidRPr="00787196" w14:paraId="01CF3B3C" w14:textId="77777777" w:rsidTr="00642CE3">
        <w:trPr>
          <w:trHeight w:val="921"/>
        </w:trPr>
        <w:tc>
          <w:tcPr>
            <w:tcW w:w="2093" w:type="dxa"/>
            <w:shd w:val="clear" w:color="auto" w:fill="auto"/>
            <w:vAlign w:val="center"/>
          </w:tcPr>
          <w:p w14:paraId="0269220E" w14:textId="0E617718" w:rsidR="000B4298" w:rsidRPr="00787196" w:rsidRDefault="000B4298" w:rsidP="00642CE3">
            <w:pPr>
              <w:spacing w:before="0" w:after="0" w:line="240" w:lineRule="auto"/>
              <w:jc w:val="left"/>
              <w:rPr>
                <w:rFonts w:eastAsia="Calibri" w:cs="Arial"/>
                <w:sz w:val="18"/>
                <w:szCs w:val="14"/>
                <w:lang w:eastAsia="en-US" w:bidi="ar-SA"/>
              </w:rPr>
            </w:pPr>
            <w:r w:rsidRPr="00787196">
              <w:rPr>
                <w:rFonts w:eastAsia="Calibri" w:cs="Arial"/>
                <w:sz w:val="18"/>
                <w:szCs w:val="14"/>
                <w:lang w:eastAsia="en-US" w:bidi="ar-SA"/>
              </w:rPr>
              <w:t>Oral Health Impact Profile - 49</w:t>
            </w:r>
          </w:p>
        </w:tc>
        <w:tc>
          <w:tcPr>
            <w:tcW w:w="6101" w:type="dxa"/>
            <w:shd w:val="clear" w:color="auto" w:fill="auto"/>
            <w:vAlign w:val="center"/>
          </w:tcPr>
          <w:p w14:paraId="164C225E"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Allen et al., 1999, Allen et al., 2006, Armellini et al., 2008, Awad et al., 2000, Awad et al., 2003, Heydecke et al., 2005b, Locker and Allen, 2002, Ozhayat et al., 2010a, Ozhayat and Gotfredsen, 2012, Reissmann et al., 2011, Ring et al., 2005, Wolfart et al., 2005</w:t>
            </w:r>
          </w:p>
        </w:tc>
      </w:tr>
      <w:tr w:rsidR="000B4298" w:rsidRPr="00787196" w14:paraId="5D45B106" w14:textId="77777777" w:rsidTr="00642CE3">
        <w:trPr>
          <w:trHeight w:val="858"/>
        </w:trPr>
        <w:tc>
          <w:tcPr>
            <w:tcW w:w="2093" w:type="dxa"/>
            <w:shd w:val="clear" w:color="auto" w:fill="auto"/>
            <w:vAlign w:val="center"/>
          </w:tcPr>
          <w:p w14:paraId="06201111" w14:textId="003F9B1E" w:rsidR="000B4298" w:rsidRPr="00787196" w:rsidRDefault="000B4298" w:rsidP="00642CE3">
            <w:pPr>
              <w:spacing w:before="0" w:after="0" w:line="240" w:lineRule="auto"/>
              <w:jc w:val="left"/>
              <w:rPr>
                <w:rFonts w:cs="Arial"/>
                <w:color w:val="4F81BD"/>
                <w:sz w:val="18"/>
                <w:szCs w:val="14"/>
                <w:lang w:eastAsia="en-US" w:bidi="ar-SA"/>
              </w:rPr>
            </w:pPr>
            <w:r w:rsidRPr="00787196">
              <w:rPr>
                <w:rFonts w:eastAsia="Calibri" w:cs="Arial"/>
                <w:sz w:val="18"/>
                <w:szCs w:val="14"/>
                <w:lang w:eastAsia="en-US" w:bidi="ar-SA"/>
              </w:rPr>
              <w:t xml:space="preserve">Oral Health Impact Profile </w:t>
            </w:r>
            <w:r w:rsidR="00F70249" w:rsidRPr="00787196">
              <w:rPr>
                <w:rFonts w:eastAsia="Calibri" w:cs="Arial"/>
                <w:sz w:val="18"/>
                <w:szCs w:val="14"/>
                <w:lang w:eastAsia="en-US" w:bidi="ar-SA"/>
              </w:rPr>
              <w:t>–</w:t>
            </w:r>
            <w:r w:rsidRPr="00787196">
              <w:rPr>
                <w:rFonts w:eastAsia="Calibri" w:cs="Arial"/>
                <w:sz w:val="18"/>
                <w:szCs w:val="14"/>
                <w:lang w:eastAsia="en-US" w:bidi="ar-SA"/>
              </w:rPr>
              <w:t xml:space="preserve"> 14</w:t>
            </w:r>
          </w:p>
        </w:tc>
        <w:tc>
          <w:tcPr>
            <w:tcW w:w="6101" w:type="dxa"/>
            <w:shd w:val="clear" w:color="auto" w:fill="auto"/>
            <w:vAlign w:val="center"/>
          </w:tcPr>
          <w:p w14:paraId="173B695C"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Abuzar et al., 2012, Forgie et al., 2005, Locker et al., 2001, Locker and Allen, 2002, Torres et al., 2011</w:t>
            </w:r>
          </w:p>
        </w:tc>
      </w:tr>
      <w:tr w:rsidR="000B4298" w:rsidRPr="00787196" w14:paraId="1F2F1133" w14:textId="77777777" w:rsidTr="00642CE3">
        <w:trPr>
          <w:trHeight w:val="739"/>
        </w:trPr>
        <w:tc>
          <w:tcPr>
            <w:tcW w:w="2093" w:type="dxa"/>
            <w:shd w:val="clear" w:color="auto" w:fill="auto"/>
            <w:vAlign w:val="center"/>
          </w:tcPr>
          <w:p w14:paraId="55A51021" w14:textId="4A26118C" w:rsidR="000B4298" w:rsidRPr="00787196" w:rsidRDefault="000B4298" w:rsidP="00642CE3">
            <w:pPr>
              <w:spacing w:before="0" w:after="0" w:line="240" w:lineRule="auto"/>
              <w:jc w:val="left"/>
              <w:rPr>
                <w:rFonts w:cs="Arial"/>
                <w:color w:val="4F81BD"/>
                <w:sz w:val="18"/>
                <w:szCs w:val="14"/>
                <w:lang w:eastAsia="en-US" w:bidi="ar-SA"/>
              </w:rPr>
            </w:pPr>
            <w:r w:rsidRPr="00787196">
              <w:rPr>
                <w:rFonts w:eastAsia="Calibri" w:cs="Arial"/>
                <w:sz w:val="18"/>
                <w:szCs w:val="14"/>
                <w:lang w:eastAsia="en-US" w:bidi="ar-SA"/>
              </w:rPr>
              <w:t xml:space="preserve">Oral Health Impact Profile </w:t>
            </w:r>
            <w:r w:rsidR="00F70249" w:rsidRPr="00787196">
              <w:rPr>
                <w:rFonts w:eastAsia="Calibri" w:cs="Arial"/>
                <w:sz w:val="18"/>
                <w:szCs w:val="14"/>
                <w:lang w:eastAsia="en-US" w:bidi="ar-SA"/>
              </w:rPr>
              <w:t>–</w:t>
            </w:r>
            <w:r w:rsidRPr="00787196">
              <w:rPr>
                <w:rFonts w:eastAsia="Calibri" w:cs="Arial"/>
                <w:sz w:val="18"/>
                <w:szCs w:val="14"/>
                <w:lang w:eastAsia="en-US" w:bidi="ar-SA"/>
              </w:rPr>
              <w:t xml:space="preserve"> 36</w:t>
            </w:r>
          </w:p>
        </w:tc>
        <w:tc>
          <w:tcPr>
            <w:tcW w:w="6101" w:type="dxa"/>
            <w:shd w:val="clear" w:color="auto" w:fill="auto"/>
            <w:vAlign w:val="center"/>
          </w:tcPr>
          <w:p w14:paraId="38689529"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Allen and McMillan, 2003</w:t>
            </w:r>
          </w:p>
        </w:tc>
      </w:tr>
      <w:tr w:rsidR="000B4298" w:rsidRPr="00787196" w14:paraId="3B02F303" w14:textId="77777777" w:rsidTr="00642CE3">
        <w:trPr>
          <w:trHeight w:val="778"/>
        </w:trPr>
        <w:tc>
          <w:tcPr>
            <w:tcW w:w="2093" w:type="dxa"/>
            <w:shd w:val="clear" w:color="auto" w:fill="auto"/>
            <w:vAlign w:val="center"/>
          </w:tcPr>
          <w:p w14:paraId="6BB39A0E" w14:textId="77777777" w:rsidR="000B4298" w:rsidRPr="00787196" w:rsidRDefault="000B4298" w:rsidP="00642CE3">
            <w:pPr>
              <w:spacing w:before="0" w:after="0" w:line="240" w:lineRule="auto"/>
              <w:jc w:val="left"/>
              <w:rPr>
                <w:rFonts w:cs="Arial"/>
                <w:color w:val="4F81BD"/>
                <w:sz w:val="18"/>
                <w:szCs w:val="14"/>
                <w:lang w:eastAsia="en-US" w:bidi="ar-SA"/>
              </w:rPr>
            </w:pPr>
            <w:r w:rsidRPr="00787196">
              <w:rPr>
                <w:rFonts w:eastAsia="Calibri" w:cs="Arial"/>
                <w:sz w:val="18"/>
                <w:szCs w:val="14"/>
                <w:lang w:eastAsia="en-US" w:bidi="ar-SA"/>
              </w:rPr>
              <w:t>Oral Health Impact Profile – 20 (EDENT)</w:t>
            </w:r>
          </w:p>
        </w:tc>
        <w:tc>
          <w:tcPr>
            <w:tcW w:w="6101" w:type="dxa"/>
            <w:shd w:val="clear" w:color="auto" w:fill="auto"/>
            <w:vAlign w:val="center"/>
          </w:tcPr>
          <w:p w14:paraId="642A04B1" w14:textId="58DDD933" w:rsidR="000B4298" w:rsidRPr="00787196" w:rsidRDefault="000B4298" w:rsidP="000C296F">
            <w:pPr>
              <w:spacing w:before="0" w:after="0"/>
              <w:jc w:val="left"/>
              <w:rPr>
                <w:rFonts w:eastAsia="Calibri" w:cs="Arial"/>
                <w:sz w:val="18"/>
                <w:szCs w:val="14"/>
                <w:lang w:val="fr-FR" w:eastAsia="en-US" w:bidi="ar-SA"/>
              </w:rPr>
            </w:pPr>
            <w:r w:rsidRPr="00787196">
              <w:rPr>
                <w:rFonts w:eastAsia="Calibri" w:cs="Arial"/>
                <w:sz w:val="18"/>
                <w:szCs w:val="14"/>
                <w:lang w:val="fr-FR" w:eastAsia="en-US" w:bidi="ar-SA"/>
              </w:rPr>
              <w:t xml:space="preserve">Emami et </w:t>
            </w:r>
            <w:r w:rsidR="007263E6" w:rsidRPr="00787196">
              <w:rPr>
                <w:rFonts w:eastAsia="Calibri" w:cs="Arial"/>
                <w:sz w:val="18"/>
                <w:szCs w:val="14"/>
                <w:lang w:val="fr-FR" w:eastAsia="en-US" w:bidi="ar-SA"/>
              </w:rPr>
              <w:t>al.</w:t>
            </w:r>
            <w:r w:rsidRPr="00787196">
              <w:rPr>
                <w:rFonts w:eastAsia="Calibri" w:cs="Arial"/>
                <w:sz w:val="18"/>
                <w:szCs w:val="14"/>
                <w:lang w:val="fr-FR" w:eastAsia="en-US" w:bidi="ar-SA"/>
              </w:rPr>
              <w:t xml:space="preserve"> 2010, Heydecke et al., 2003b, Jabbour et al., 2012, Michaud et al., 2012</w:t>
            </w:r>
          </w:p>
        </w:tc>
      </w:tr>
      <w:tr w:rsidR="000B4298" w:rsidRPr="00787196" w14:paraId="0B7493EC" w14:textId="77777777" w:rsidTr="00642CE3">
        <w:trPr>
          <w:trHeight w:val="663"/>
        </w:trPr>
        <w:tc>
          <w:tcPr>
            <w:tcW w:w="2093" w:type="dxa"/>
            <w:shd w:val="clear" w:color="auto" w:fill="auto"/>
            <w:vAlign w:val="center"/>
          </w:tcPr>
          <w:p w14:paraId="7B318577" w14:textId="77777777" w:rsidR="000B4298" w:rsidRPr="00787196" w:rsidRDefault="000B4298" w:rsidP="00642CE3">
            <w:pPr>
              <w:spacing w:before="0" w:after="0" w:line="240" w:lineRule="auto"/>
              <w:jc w:val="left"/>
              <w:rPr>
                <w:rFonts w:cs="Arial"/>
                <w:color w:val="4F81BD"/>
                <w:sz w:val="18"/>
                <w:szCs w:val="14"/>
                <w:lang w:eastAsia="en-US" w:bidi="ar-SA"/>
              </w:rPr>
            </w:pPr>
            <w:r w:rsidRPr="00787196">
              <w:rPr>
                <w:rFonts w:eastAsia="Calibri" w:cs="Arial"/>
                <w:sz w:val="18"/>
                <w:szCs w:val="14"/>
                <w:lang w:eastAsia="en-US" w:bidi="ar-SA"/>
              </w:rPr>
              <w:t>Geriatric Oral Health Assessment Index (GOHAI)</w:t>
            </w:r>
          </w:p>
        </w:tc>
        <w:tc>
          <w:tcPr>
            <w:tcW w:w="6101" w:type="dxa"/>
            <w:shd w:val="clear" w:color="auto" w:fill="auto"/>
            <w:vAlign w:val="center"/>
          </w:tcPr>
          <w:p w14:paraId="35DA1C18"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Locker and Allen, 2007, Tsakos et al., 2009</w:t>
            </w:r>
          </w:p>
        </w:tc>
      </w:tr>
      <w:tr w:rsidR="000B4298" w:rsidRPr="00787196" w14:paraId="3ADC8F9A" w14:textId="77777777" w:rsidTr="00642CE3">
        <w:trPr>
          <w:trHeight w:val="769"/>
        </w:trPr>
        <w:tc>
          <w:tcPr>
            <w:tcW w:w="2093" w:type="dxa"/>
            <w:shd w:val="clear" w:color="auto" w:fill="auto"/>
            <w:vAlign w:val="center"/>
          </w:tcPr>
          <w:p w14:paraId="125B77FD" w14:textId="77777777" w:rsidR="000B4298" w:rsidRPr="00787196" w:rsidRDefault="000B4298" w:rsidP="00642CE3">
            <w:pPr>
              <w:spacing w:before="0" w:after="0" w:line="240" w:lineRule="auto"/>
              <w:jc w:val="left"/>
              <w:rPr>
                <w:rFonts w:eastAsia="Calibri" w:cs="Arial"/>
                <w:sz w:val="18"/>
                <w:szCs w:val="14"/>
                <w:lang w:eastAsia="en-US" w:bidi="ar-SA"/>
              </w:rPr>
            </w:pPr>
            <w:r w:rsidRPr="00787196">
              <w:rPr>
                <w:rFonts w:eastAsia="Calibri" w:cs="Arial"/>
                <w:sz w:val="18"/>
                <w:szCs w:val="14"/>
                <w:lang w:eastAsia="en-US" w:bidi="ar-SA"/>
              </w:rPr>
              <w:t>Oral impacts on daily performances (OIDP)</w:t>
            </w:r>
          </w:p>
        </w:tc>
        <w:tc>
          <w:tcPr>
            <w:tcW w:w="6101" w:type="dxa"/>
            <w:shd w:val="clear" w:color="auto" w:fill="auto"/>
            <w:vAlign w:val="center"/>
          </w:tcPr>
          <w:p w14:paraId="5A16E1AD" w14:textId="770BDC1F" w:rsidR="000B4298" w:rsidRPr="00787196" w:rsidRDefault="000B4298" w:rsidP="000C296F">
            <w:pPr>
              <w:spacing w:before="0" w:after="0"/>
              <w:jc w:val="left"/>
              <w:rPr>
                <w:rFonts w:eastAsia="Calibri" w:cs="Arial"/>
                <w:sz w:val="18"/>
                <w:szCs w:val="14"/>
                <w:lang w:val="fr-FR" w:eastAsia="en-US" w:bidi="ar-SA"/>
              </w:rPr>
            </w:pPr>
            <w:r w:rsidRPr="00787196">
              <w:rPr>
                <w:rFonts w:eastAsia="Calibri" w:cs="Arial"/>
                <w:sz w:val="18"/>
                <w:szCs w:val="14"/>
                <w:lang w:val="fr-FR" w:eastAsia="en-US" w:bidi="ar-SA"/>
              </w:rPr>
              <w:t xml:space="preserve">Montero et </w:t>
            </w:r>
            <w:r w:rsidR="007263E6" w:rsidRPr="00787196">
              <w:rPr>
                <w:rFonts w:eastAsia="Calibri" w:cs="Arial"/>
                <w:sz w:val="18"/>
                <w:szCs w:val="14"/>
                <w:lang w:val="fr-FR" w:eastAsia="en-US" w:bidi="ar-SA"/>
              </w:rPr>
              <w:t>al.</w:t>
            </w:r>
            <w:r w:rsidRPr="00787196">
              <w:rPr>
                <w:rFonts w:eastAsia="Calibri" w:cs="Arial"/>
                <w:sz w:val="18"/>
                <w:szCs w:val="14"/>
                <w:lang w:val="fr-FR" w:eastAsia="en-US" w:bidi="ar-SA"/>
              </w:rPr>
              <w:t xml:space="preserve"> 2009, Pearson et al., 2007, Ryu et al., 2008</w:t>
            </w:r>
          </w:p>
        </w:tc>
      </w:tr>
      <w:tr w:rsidR="000B4298" w:rsidRPr="00787196" w14:paraId="533D650E" w14:textId="77777777" w:rsidTr="00642CE3">
        <w:trPr>
          <w:trHeight w:val="666"/>
        </w:trPr>
        <w:tc>
          <w:tcPr>
            <w:tcW w:w="2093" w:type="dxa"/>
            <w:shd w:val="clear" w:color="auto" w:fill="auto"/>
            <w:vAlign w:val="center"/>
          </w:tcPr>
          <w:p w14:paraId="3A7DD40C" w14:textId="77777777" w:rsidR="000B4298" w:rsidRPr="00787196" w:rsidRDefault="000B4298" w:rsidP="00642CE3">
            <w:pPr>
              <w:spacing w:before="0" w:after="0" w:line="240" w:lineRule="auto"/>
              <w:jc w:val="left"/>
              <w:rPr>
                <w:rFonts w:cs="Arial"/>
                <w:color w:val="4F81BD"/>
                <w:sz w:val="18"/>
                <w:szCs w:val="14"/>
                <w:lang w:eastAsia="en-US" w:bidi="ar-SA"/>
              </w:rPr>
            </w:pPr>
            <w:r w:rsidRPr="00787196">
              <w:rPr>
                <w:rFonts w:eastAsia="Times New Roman" w:cs="Arial"/>
                <w:color w:val="000000"/>
                <w:sz w:val="18"/>
                <w:szCs w:val="14"/>
                <w:lang w:eastAsia="en-US" w:bidi="ar-SA"/>
              </w:rPr>
              <w:t>Dental Impact on Daily living (DIDL)</w:t>
            </w:r>
          </w:p>
        </w:tc>
        <w:tc>
          <w:tcPr>
            <w:tcW w:w="6101" w:type="dxa"/>
            <w:shd w:val="clear" w:color="auto" w:fill="auto"/>
            <w:vAlign w:val="center"/>
          </w:tcPr>
          <w:p w14:paraId="083CA6AE"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Wostmann et al., 2008b</w:t>
            </w:r>
          </w:p>
          <w:p w14:paraId="19D31E48" w14:textId="77777777" w:rsidR="000B4298" w:rsidRPr="00787196" w:rsidRDefault="000B4298" w:rsidP="000C296F">
            <w:pPr>
              <w:spacing w:before="0" w:after="0"/>
              <w:jc w:val="left"/>
              <w:rPr>
                <w:rFonts w:eastAsia="Calibri" w:cs="Arial"/>
                <w:sz w:val="18"/>
                <w:szCs w:val="14"/>
                <w:lang w:eastAsia="en-US" w:bidi="ar-SA"/>
              </w:rPr>
            </w:pPr>
          </w:p>
        </w:tc>
      </w:tr>
      <w:tr w:rsidR="000B4298" w:rsidRPr="00787196" w14:paraId="3BB8CFF8" w14:textId="77777777" w:rsidTr="00642CE3">
        <w:trPr>
          <w:trHeight w:val="921"/>
        </w:trPr>
        <w:tc>
          <w:tcPr>
            <w:tcW w:w="2093" w:type="dxa"/>
            <w:shd w:val="clear" w:color="auto" w:fill="auto"/>
            <w:vAlign w:val="center"/>
          </w:tcPr>
          <w:p w14:paraId="755AAD10" w14:textId="77777777" w:rsidR="000B4298" w:rsidRPr="00787196" w:rsidRDefault="000B4298" w:rsidP="00642CE3">
            <w:pPr>
              <w:spacing w:before="0" w:after="0" w:line="240" w:lineRule="auto"/>
              <w:jc w:val="left"/>
              <w:rPr>
                <w:rFonts w:eastAsia="Times New Roman" w:cs="Arial"/>
                <w:color w:val="000000"/>
                <w:sz w:val="18"/>
                <w:szCs w:val="14"/>
                <w:lang w:eastAsia="en-US" w:bidi="ar-SA"/>
              </w:rPr>
            </w:pPr>
          </w:p>
          <w:p w14:paraId="32AE3CFE" w14:textId="77777777" w:rsidR="000B4298" w:rsidRPr="00787196" w:rsidRDefault="000B4298" w:rsidP="00642CE3">
            <w:pPr>
              <w:spacing w:before="0" w:after="0" w:line="240" w:lineRule="auto"/>
              <w:jc w:val="left"/>
              <w:rPr>
                <w:rFonts w:eastAsia="Times New Roman" w:cs="Arial"/>
                <w:color w:val="000000"/>
                <w:sz w:val="18"/>
                <w:szCs w:val="14"/>
                <w:lang w:eastAsia="en-US" w:bidi="ar-SA"/>
              </w:rPr>
            </w:pPr>
            <w:r w:rsidRPr="00787196">
              <w:rPr>
                <w:rFonts w:eastAsia="Times New Roman" w:cs="Arial"/>
                <w:color w:val="000000"/>
                <w:sz w:val="18"/>
                <w:szCs w:val="14"/>
                <w:lang w:eastAsia="en-US" w:bidi="ar-SA"/>
              </w:rPr>
              <w:t>Other language versions of OHIP – 49, 14; OIDP</w:t>
            </w:r>
          </w:p>
        </w:tc>
        <w:tc>
          <w:tcPr>
            <w:tcW w:w="6101" w:type="dxa"/>
            <w:shd w:val="clear" w:color="auto" w:fill="auto"/>
            <w:vAlign w:val="center"/>
          </w:tcPr>
          <w:p w14:paraId="6166B19D" w14:textId="77777777" w:rsidR="000B4298" w:rsidRPr="00787196" w:rsidRDefault="000B4298" w:rsidP="000C296F">
            <w:pPr>
              <w:spacing w:before="0" w:after="0"/>
              <w:jc w:val="left"/>
              <w:rPr>
                <w:rFonts w:eastAsia="Calibri" w:cs="Arial"/>
                <w:sz w:val="18"/>
                <w:szCs w:val="14"/>
                <w:lang w:eastAsia="en-US" w:bidi="ar-SA"/>
              </w:rPr>
            </w:pPr>
            <w:r w:rsidRPr="00787196">
              <w:rPr>
                <w:rFonts w:eastAsia="Calibri" w:cs="Arial"/>
                <w:sz w:val="18"/>
                <w:szCs w:val="14"/>
                <w:lang w:eastAsia="en-US" w:bidi="ar-SA"/>
              </w:rPr>
              <w:t>Bae et al., 2006, Baran and Nalcaci, 2011, Furuyama et al., 2012, Geckili et al., 2011, Ha et al., 2012, John et al., 2004, Kuboki et al., 2012, Lee et al., 2012, Montero et al., 2009, Pisani et al., 2012, Souza et al., 2007, Veyrune et al., 2005, Wostmann et al., 2008b</w:t>
            </w:r>
          </w:p>
        </w:tc>
      </w:tr>
    </w:tbl>
    <w:p w14:paraId="59359C45" w14:textId="77777777" w:rsidR="00EE5B11" w:rsidRPr="00787196" w:rsidRDefault="00EE5B11" w:rsidP="00F10F7B">
      <w:pPr>
        <w:spacing w:before="0" w:after="240"/>
        <w:rPr>
          <w:rFonts w:cs="Arial"/>
          <w:szCs w:val="24"/>
        </w:rPr>
      </w:pPr>
    </w:p>
    <w:p w14:paraId="030657F7" w14:textId="53CEDC36" w:rsidR="00F3231E" w:rsidRPr="00787196" w:rsidRDefault="00F10F7B" w:rsidP="00142DF5">
      <w:pPr>
        <w:spacing w:before="0" w:after="240"/>
        <w:rPr>
          <w:rFonts w:cs="Arial"/>
          <w:szCs w:val="24"/>
        </w:rPr>
      </w:pPr>
      <w:r w:rsidRPr="00787196">
        <w:rPr>
          <w:rFonts w:cs="Arial"/>
          <w:szCs w:val="24"/>
        </w:rPr>
        <w:t xml:space="preserve">In all except one study </w:t>
      </w:r>
      <w:r w:rsidRPr="00787196">
        <w:rPr>
          <w:rFonts w:cs="Arial"/>
          <w:szCs w:val="24"/>
        </w:rPr>
        <w:fldChar w:fldCharType="begin"/>
      </w:r>
      <w:r w:rsidRPr="00787196">
        <w:rPr>
          <w:rFonts w:cs="Arial"/>
          <w:szCs w:val="24"/>
        </w:rPr>
        <w:instrText xml:space="preserve"> ADDIN EN.CITE &lt;EndNote&gt;&lt;Cite&gt;&lt;Author&gt;Assuncao&lt;/Author&gt;&lt;Year&gt;2007&lt;/Year&gt;&lt;RecNum&gt;0&lt;/RecNum&gt;&lt;IDText&gt;Comparing the efficacy of mandibular implant-retained overdentures and conventional dentures among elderly edentulous patients: satisfaction and quality of life&lt;/IDText&gt;&lt;DisplayText&gt;(Assuncao et al., 2007)&lt;/DisplayText&gt;&lt;record&gt;&lt;dates&gt;&lt;pub-dates&gt;&lt;date&gt;Dec&lt;/date&gt;&lt;/pub-dates&gt;&lt;year&gt;2007&lt;/year&gt;&lt;/dates&gt;&lt;isbn&gt;0734-0664 (Print)&amp;#xD;0734-0664&lt;/isbn&gt;&lt;titles&gt;&lt;title&gt;Comparing the efficacy of mandibular implant-retained overdentures and conventional dentures among elderly edentulous patients: satisfaction and quality of life&lt;/title&gt;&lt;secondary-title&gt;Gerodontology&lt;/secondary-title&gt;&lt;alt-title&gt;Gerodontology&lt;/alt-title&gt;&lt;/titles&gt;&lt;pages&gt;235-8&lt;/pages&gt;&lt;number&gt;4&lt;/number&gt;&lt;contributors&gt;&lt;authors&gt;&lt;author&gt;Assuncao, W. G.&lt;/author&gt;&lt;author&gt;Zardo, G. G.&lt;/author&gt;&lt;author&gt;Delben, J. A.&lt;/author&gt;&lt;author&gt;Barao, V. A.&lt;/author&gt;&lt;/authors&gt;&lt;/contributors&gt;&lt;edition&gt;2007/11/15&lt;/edition&gt;&lt;language&gt;eng&lt;/language&gt;&lt;added-date format="utc"&gt;1374040090&lt;/added-date&gt;&lt;ref-type name="Journal Article"&gt;17&lt;/ref-type&gt;&lt;auth-address&gt;Department of Dental Materials and Prosthodontics, Aracatuba Dental School, Sao Paulo, Brazil. wirley@foa.unesp.br&lt;/auth-address&gt;&lt;remote-database-provider&gt;Nlm&lt;/remote-database-provider&gt;&lt;rec-number&gt;967&lt;/rec-number&gt;&lt;last-updated-date format="utc"&gt;1374040090&lt;/last-updated-date&gt;&lt;accession-num&gt;17999736&lt;/accession-num&gt;&lt;electronic-resource-num&gt;10.1111/j.1741-2358.2007.00173.x&lt;/electronic-resource-num&gt;&lt;volume&gt;24&lt;/volume&gt;&lt;/record&gt;&lt;/Cite&gt;&lt;/EndNote&gt;</w:instrText>
      </w:r>
      <w:r w:rsidRPr="00787196">
        <w:rPr>
          <w:rFonts w:cs="Arial"/>
          <w:szCs w:val="24"/>
        </w:rPr>
        <w:fldChar w:fldCharType="separate"/>
      </w:r>
      <w:r w:rsidRPr="00787196">
        <w:rPr>
          <w:rFonts w:cs="Arial"/>
          <w:szCs w:val="24"/>
        </w:rPr>
        <w:t>(Assuncao et al., 2007)</w:t>
      </w:r>
      <w:r w:rsidRPr="00787196">
        <w:rPr>
          <w:rFonts w:cs="Arial"/>
          <w:szCs w:val="24"/>
        </w:rPr>
        <w:fldChar w:fldCharType="end"/>
      </w:r>
      <w:r w:rsidRPr="00787196">
        <w:rPr>
          <w:rFonts w:cs="Arial"/>
          <w:szCs w:val="24"/>
        </w:rPr>
        <w:t xml:space="preserve">, OHQoL was used as </w:t>
      </w:r>
      <w:r w:rsidR="00160EA4" w:rsidRPr="00787196">
        <w:rPr>
          <w:rFonts w:cs="Arial"/>
          <w:szCs w:val="24"/>
        </w:rPr>
        <w:t xml:space="preserve">the </w:t>
      </w:r>
      <w:r w:rsidRPr="00787196">
        <w:rPr>
          <w:rFonts w:cs="Arial"/>
          <w:szCs w:val="24"/>
        </w:rPr>
        <w:t xml:space="preserve">primary </w:t>
      </w:r>
      <w:r w:rsidR="00160EA4" w:rsidRPr="00787196">
        <w:rPr>
          <w:rFonts w:cs="Arial"/>
          <w:szCs w:val="24"/>
        </w:rPr>
        <w:t xml:space="preserve">outcome </w:t>
      </w:r>
      <w:r w:rsidRPr="00787196">
        <w:rPr>
          <w:rFonts w:cs="Arial"/>
          <w:szCs w:val="24"/>
        </w:rPr>
        <w:t xml:space="preserve">measure using standardised OHQoL measures (Table 2-2). </w:t>
      </w:r>
      <w:r w:rsidR="00CF7262" w:rsidRPr="00787196">
        <w:rPr>
          <w:rFonts w:cs="Arial"/>
          <w:szCs w:val="24"/>
        </w:rPr>
        <w:t xml:space="preserve">Nineteen </w:t>
      </w:r>
      <w:r w:rsidRPr="00787196">
        <w:rPr>
          <w:rFonts w:cs="Arial"/>
          <w:szCs w:val="24"/>
        </w:rPr>
        <w:t xml:space="preserve">of the </w:t>
      </w:r>
      <w:r w:rsidR="00CF7262" w:rsidRPr="00787196">
        <w:rPr>
          <w:rFonts w:cs="Arial"/>
          <w:szCs w:val="24"/>
        </w:rPr>
        <w:t xml:space="preserve">studies also measured denture satisfaction alongside OHQoL </w:t>
      </w:r>
      <w:r w:rsidR="00CF7262" w:rsidRPr="00787196">
        <w:rPr>
          <w:rFonts w:cs="Arial"/>
          <w:szCs w:val="20"/>
        </w:rPr>
        <w:fldChar w:fldCharType="begin">
          <w:fldData xml:space="preserve">PEVuZE5vdGU+PENpdGU+PEF1dGhvcj5BYnV6YXI8L0F1dGhvcj48WWVhcj4yMDEyPC9ZZWFyPjxS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==
</w:fldData>
        </w:fldChar>
      </w:r>
      <w:r w:rsidR="00142DF5" w:rsidRPr="00787196">
        <w:rPr>
          <w:rFonts w:cs="Arial"/>
          <w:szCs w:val="20"/>
        </w:rPr>
        <w:instrText xml:space="preserve"> ADDIN EN.CITE </w:instrText>
      </w:r>
      <w:r w:rsidR="00142DF5" w:rsidRPr="00787196">
        <w:rPr>
          <w:rFonts w:cs="Arial"/>
          <w:szCs w:val="20"/>
        </w:rPr>
        <w:fldChar w:fldCharType="begin">
          <w:fldData xml:space="preserve">PEVuZE5vdGU+PENpdGU+PEF1dGhvcj5BYnV6YXI8L0F1dGhvcj48WWVhcj4yMDEyPC9ZZWFyPjxS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==
</w:fldData>
        </w:fldChar>
      </w:r>
      <w:r w:rsidR="00142DF5" w:rsidRPr="00787196">
        <w:rPr>
          <w:rFonts w:cs="Arial"/>
          <w:szCs w:val="20"/>
        </w:rPr>
        <w:instrText xml:space="preserve"> ADDIN EN.CITE.DATA </w:instrText>
      </w:r>
      <w:r w:rsidR="00142DF5" w:rsidRPr="00787196">
        <w:rPr>
          <w:rFonts w:cs="Arial"/>
          <w:szCs w:val="20"/>
        </w:rPr>
      </w:r>
      <w:r w:rsidR="00142DF5" w:rsidRPr="00787196">
        <w:rPr>
          <w:rFonts w:cs="Arial"/>
          <w:szCs w:val="20"/>
        </w:rPr>
        <w:fldChar w:fldCharType="end"/>
      </w:r>
      <w:r w:rsidR="00CF7262" w:rsidRPr="00787196">
        <w:rPr>
          <w:rFonts w:cs="Arial"/>
          <w:szCs w:val="20"/>
        </w:rPr>
      </w:r>
      <w:r w:rsidR="00CF7262" w:rsidRPr="00787196">
        <w:rPr>
          <w:rFonts w:cs="Arial"/>
          <w:szCs w:val="20"/>
        </w:rPr>
        <w:fldChar w:fldCharType="separate"/>
      </w:r>
      <w:r w:rsidR="00142DF5" w:rsidRPr="00787196">
        <w:rPr>
          <w:rFonts w:cs="Arial"/>
          <w:noProof/>
          <w:szCs w:val="20"/>
        </w:rPr>
        <w:t>(Abuzar et al., 2012, Allen et al., 1999, Allen et al., 2001, Allen and McMillan, 2003, Allen et al., 2006, Assuncao et al., 2007, Ellis et al., 2007, Forgie et al., 2005, Ha et al., 2012, Jabbour et al., 2012, Lee et al., 2012, Locker and Allen, 2002, Ozhayat et al., 2010b, Michaud et al., 2012, Montero et al., 2009, Wostmann et al., 2008b, Veyrune et al., 2005)</w:t>
      </w:r>
      <w:r w:rsidR="00CF7262" w:rsidRPr="00787196">
        <w:rPr>
          <w:rFonts w:cs="Arial"/>
          <w:szCs w:val="20"/>
        </w:rPr>
        <w:fldChar w:fldCharType="end"/>
      </w:r>
      <w:r w:rsidR="00CF7262" w:rsidRPr="00787196">
        <w:rPr>
          <w:rFonts w:cs="Arial"/>
          <w:szCs w:val="20"/>
        </w:rPr>
        <w:t xml:space="preserve">. </w:t>
      </w:r>
      <w:r w:rsidR="0026257A" w:rsidRPr="00787196">
        <w:rPr>
          <w:rFonts w:cs="Arial"/>
          <w:szCs w:val="24"/>
        </w:rPr>
        <w:t>O</w:t>
      </w:r>
      <w:r w:rsidR="00D677A9" w:rsidRPr="00787196">
        <w:rPr>
          <w:rFonts w:cs="Arial"/>
          <w:szCs w:val="24"/>
        </w:rPr>
        <w:t>f</w:t>
      </w:r>
      <w:r w:rsidR="0026257A" w:rsidRPr="00787196">
        <w:rPr>
          <w:rFonts w:cs="Arial"/>
          <w:szCs w:val="24"/>
        </w:rPr>
        <w:t xml:space="preserve"> th</w:t>
      </w:r>
      <w:r w:rsidR="00CF7262" w:rsidRPr="00787196">
        <w:rPr>
          <w:rFonts w:cs="Arial"/>
          <w:szCs w:val="24"/>
        </w:rPr>
        <w:t>e 19 studies</w:t>
      </w:r>
      <w:r w:rsidR="0026257A" w:rsidRPr="00787196">
        <w:rPr>
          <w:rFonts w:cs="Arial"/>
          <w:szCs w:val="24"/>
        </w:rPr>
        <w:t>,</w:t>
      </w:r>
      <w:r w:rsidRPr="00787196">
        <w:rPr>
          <w:rFonts w:cs="Arial"/>
          <w:szCs w:val="24"/>
        </w:rPr>
        <w:t xml:space="preserve"> </w:t>
      </w:r>
      <w:r w:rsidR="0026257A" w:rsidRPr="00787196">
        <w:rPr>
          <w:rFonts w:cs="Arial"/>
          <w:szCs w:val="24"/>
        </w:rPr>
        <w:t xml:space="preserve">11 </w:t>
      </w:r>
      <w:r w:rsidRPr="00787196">
        <w:rPr>
          <w:rFonts w:cs="Arial"/>
          <w:szCs w:val="24"/>
        </w:rPr>
        <w:t>of them</w:t>
      </w:r>
      <w:r w:rsidR="0026257A" w:rsidRPr="00787196">
        <w:rPr>
          <w:rFonts w:cs="Arial"/>
          <w:szCs w:val="24"/>
        </w:rPr>
        <w:t xml:space="preserve"> showed significant associations between denture satisfaction and </w:t>
      </w:r>
      <w:r w:rsidR="004A69E8" w:rsidRPr="00787196">
        <w:rPr>
          <w:rFonts w:cs="Arial"/>
          <w:szCs w:val="24"/>
        </w:rPr>
        <w:t>OHQoL</w:t>
      </w:r>
      <w:r w:rsidR="0026257A" w:rsidRPr="00787196">
        <w:rPr>
          <w:rFonts w:cs="Arial"/>
          <w:szCs w:val="24"/>
        </w:rPr>
        <w:t xml:space="preserve"> (Allen et al., </w:t>
      </w:r>
      <w:r w:rsidR="006B4681" w:rsidRPr="00787196">
        <w:rPr>
          <w:rFonts w:cs="Arial"/>
          <w:szCs w:val="24"/>
        </w:rPr>
        <w:t xml:space="preserve">2001, </w:t>
      </w:r>
      <w:r w:rsidR="0026257A" w:rsidRPr="00787196">
        <w:rPr>
          <w:rFonts w:cs="Arial"/>
          <w:szCs w:val="24"/>
        </w:rPr>
        <w:t xml:space="preserve">Locker et al. 2001, Locker and Allen, 2002, Allen and McMillan 2003, Awad et al., 2003, Forgie et al., 2005, Veyrune et al., 2005, Allen et al. 2006, Jabbour et al., 2012, Ha et al., 2012, Montero et al., 2009). </w:t>
      </w:r>
      <w:bookmarkStart w:id="72" w:name="_Ref366049744"/>
      <w:bookmarkStart w:id="73" w:name="_Toc366260670"/>
    </w:p>
    <w:bookmarkEnd w:id="72"/>
    <w:bookmarkEnd w:id="73"/>
    <w:p w14:paraId="4D9A7836" w14:textId="2D4CD36F" w:rsidR="00232C36" w:rsidRPr="00787196" w:rsidRDefault="00CF7262" w:rsidP="00160EA4">
      <w:pPr>
        <w:spacing w:before="0" w:after="0"/>
        <w:rPr>
          <w:rFonts w:cs="Arial"/>
          <w:szCs w:val="20"/>
        </w:rPr>
      </w:pPr>
      <w:r w:rsidRPr="00787196">
        <w:rPr>
          <w:rFonts w:cs="Arial"/>
          <w:szCs w:val="20"/>
        </w:rPr>
        <w:t>Other p</w:t>
      </w:r>
      <w:r w:rsidR="005251F3" w:rsidRPr="00787196">
        <w:rPr>
          <w:rFonts w:cs="Arial"/>
          <w:szCs w:val="20"/>
        </w:rPr>
        <w:t xml:space="preserve">atient reported outcomes </w:t>
      </w:r>
      <w:r w:rsidR="00D677A9" w:rsidRPr="00787196">
        <w:rPr>
          <w:rFonts w:cs="Arial"/>
          <w:szCs w:val="20"/>
        </w:rPr>
        <w:t xml:space="preserve">such as denture </w:t>
      </w:r>
      <w:r w:rsidR="005251F3" w:rsidRPr="00787196">
        <w:rPr>
          <w:rFonts w:cs="Arial"/>
          <w:szCs w:val="20"/>
        </w:rPr>
        <w:t>comfort, pain, chewing ability and stability</w:t>
      </w:r>
      <w:r w:rsidR="00934848" w:rsidRPr="00787196">
        <w:rPr>
          <w:rFonts w:cs="Arial"/>
          <w:szCs w:val="20"/>
        </w:rPr>
        <w:t xml:space="preserve"> </w:t>
      </w:r>
      <w:r w:rsidR="00D677A9" w:rsidRPr="00787196">
        <w:rPr>
          <w:rFonts w:cs="Arial"/>
          <w:szCs w:val="20"/>
        </w:rPr>
        <w:t xml:space="preserve">were </w:t>
      </w:r>
      <w:r w:rsidR="00160EA4" w:rsidRPr="00787196">
        <w:rPr>
          <w:rFonts w:cs="Arial"/>
          <w:szCs w:val="20"/>
        </w:rPr>
        <w:t xml:space="preserve">investigated </w:t>
      </w:r>
      <w:r w:rsidR="00D677A9" w:rsidRPr="00787196">
        <w:rPr>
          <w:rFonts w:cs="Arial"/>
          <w:szCs w:val="20"/>
        </w:rPr>
        <w:t>in</w:t>
      </w:r>
      <w:r w:rsidRPr="00787196">
        <w:rPr>
          <w:rFonts w:cs="Arial"/>
          <w:szCs w:val="20"/>
        </w:rPr>
        <w:t xml:space="preserve"> </w:t>
      </w:r>
      <w:r w:rsidR="006D11F7" w:rsidRPr="00787196">
        <w:rPr>
          <w:rFonts w:cs="Arial"/>
          <w:szCs w:val="20"/>
        </w:rPr>
        <w:t>13</w:t>
      </w:r>
      <w:r w:rsidR="00934848" w:rsidRPr="00787196">
        <w:rPr>
          <w:rFonts w:cs="Arial"/>
          <w:szCs w:val="20"/>
        </w:rPr>
        <w:t xml:space="preserve"> </w:t>
      </w:r>
      <w:r w:rsidR="006B4681" w:rsidRPr="00787196">
        <w:rPr>
          <w:rFonts w:cs="Arial"/>
          <w:szCs w:val="20"/>
        </w:rPr>
        <w:t>studies (</w:t>
      </w:r>
      <w:r w:rsidR="00934848" w:rsidRPr="00787196">
        <w:rPr>
          <w:rFonts w:cs="Arial"/>
          <w:szCs w:val="20"/>
        </w:rPr>
        <w:t xml:space="preserve">Locker and Allen, 2002, Heydecke et al., 2003b, Bae et al., 2006, Assuncao et al., 2007, Michaud et al., 2008 Emami et al., 2010, Baran and Nalcaci, 2011, Geckili et al., 2011, Hwang et al., 2012, Jabbour et al., 2012, Kuboki et al., 2012, Lee et al., 2012, McKenna et al., 2012). </w:t>
      </w:r>
    </w:p>
    <w:p w14:paraId="0D23ED68" w14:textId="77777777" w:rsidR="00232C36" w:rsidRPr="00787196" w:rsidRDefault="00232C36" w:rsidP="00232C36">
      <w:pPr>
        <w:spacing w:before="0" w:after="0"/>
        <w:rPr>
          <w:rFonts w:cs="Arial"/>
          <w:szCs w:val="20"/>
        </w:rPr>
      </w:pPr>
    </w:p>
    <w:p w14:paraId="5BA41912" w14:textId="79DE7BBC" w:rsidR="00F10F7B" w:rsidRPr="00787196" w:rsidRDefault="008D5AB8" w:rsidP="00D9694A">
      <w:pPr>
        <w:pStyle w:val="Heading3"/>
      </w:pPr>
      <w:r w:rsidRPr="00787196">
        <w:t xml:space="preserve"> </w:t>
      </w:r>
      <w:bookmarkStart w:id="74" w:name="_Toc488655622"/>
      <w:r w:rsidR="00F10F7B" w:rsidRPr="00787196">
        <w:t>Variables identified</w:t>
      </w:r>
      <w:bookmarkEnd w:id="74"/>
      <w:r w:rsidR="00F10F7B" w:rsidRPr="00787196">
        <w:t xml:space="preserve"> </w:t>
      </w:r>
    </w:p>
    <w:p w14:paraId="00EEEFC2" w14:textId="42812EA8" w:rsidR="00AF28EB" w:rsidRPr="00787196" w:rsidRDefault="00F3231E" w:rsidP="00160EA4">
      <w:r w:rsidRPr="00787196">
        <w:t>T</w:t>
      </w:r>
      <w:r w:rsidR="006D11F7" w:rsidRPr="00787196">
        <w:t>h</w:t>
      </w:r>
      <w:r w:rsidR="00CF7262" w:rsidRPr="00787196">
        <w:t>is</w:t>
      </w:r>
      <w:r w:rsidR="005251F3" w:rsidRPr="00787196">
        <w:t xml:space="preserve"> review </w:t>
      </w:r>
      <w:r w:rsidR="00CF7262" w:rsidRPr="00787196">
        <w:t xml:space="preserve">aimed </w:t>
      </w:r>
      <w:r w:rsidR="005251F3" w:rsidRPr="00787196">
        <w:t xml:space="preserve">to identify factors that </w:t>
      </w:r>
      <w:r w:rsidRPr="00787196">
        <w:t>predict</w:t>
      </w:r>
      <w:r w:rsidR="005251F3" w:rsidRPr="00787196">
        <w:t xml:space="preserve"> </w:t>
      </w:r>
      <w:r w:rsidR="004A69E8" w:rsidRPr="00787196">
        <w:t>OHQoL</w:t>
      </w:r>
      <w:r w:rsidR="005251F3" w:rsidRPr="00787196">
        <w:t xml:space="preserve"> in denture wearers. </w:t>
      </w:r>
      <w:r w:rsidR="00AF28EB" w:rsidRPr="00787196">
        <w:t xml:space="preserve">Based on the Wilson and Cleary </w:t>
      </w:r>
      <w:r w:rsidR="007D6B7F" w:rsidRPr="00787196">
        <w:fldChar w:fldCharType="begin"/>
      </w:r>
      <w:r w:rsidR="00223957" w:rsidRPr="00787196">
        <w:instrText xml:space="preserve"> ADDIN EN.CITE &lt;EndNote&gt;&lt;Cite ExcludeAuth="1"&gt;&lt;Author&gt;Wilson&lt;/Author&gt;&lt;Year&gt;1995&lt;/Year&gt;&lt;RecNum&gt;0&lt;/RecNum&gt;&lt;IDText&gt;Linking clinical variables with health-related quality of life: A conceptual model of patient outcomes&lt;/IDText&gt;&lt;DisplayText&gt;(1995)&lt;/DisplayText&gt;&lt;record&gt;&lt;urls&gt;&lt;related-urls&gt;&lt;url&gt;http://dx.doi.org/10.1001/jama.1995.03520250075037&lt;/url&gt;&lt;/related-urls&gt;&lt;/urls&gt;&lt;isbn&gt;0098-7484&lt;/isbn&gt;&lt;titles&gt;&lt;title&gt;Linking clinical variables with health-related quality of life: A conceptual model of patient outcomes&lt;/title&gt;&lt;secondary-title&gt;JAMA&lt;/secondary-title&gt;&lt;/titles&gt;&lt;pages&gt;59-65&lt;/pages&gt;&lt;number&gt;1&lt;/number&gt;&lt;contributors&gt;&lt;authors&gt;&lt;author&gt;Wilson, IB,&lt;/author&gt;&lt;author&gt;Cleary, PD,&lt;/author&gt;&lt;/authors&gt;&lt;/contributors&gt;&lt;added-date format="utc"&gt;1370047124&lt;/added-date&gt;&lt;ref-type name="Journal Article"&gt;17&lt;/ref-type&gt;&lt;dates&gt;&lt;year&gt;1995&lt;/year&gt;&lt;/dates&gt;&lt;rec-number&gt;744&lt;/rec-number&gt;&lt;last-updated-date format="utc"&gt;1385713712&lt;/last-updated-date&gt;&lt;electronic-resource-num&gt;10.1001/jama.1995.03520250075037&lt;/electronic-resource-num&gt;&lt;volume&gt;273&lt;/volume&gt;&lt;/record&gt;&lt;/Cite&gt;&lt;/EndNote&gt;</w:instrText>
      </w:r>
      <w:r w:rsidR="007D6B7F" w:rsidRPr="00787196">
        <w:fldChar w:fldCharType="separate"/>
      </w:r>
      <w:r w:rsidR="00AF28EB" w:rsidRPr="00787196">
        <w:t>(1995)</w:t>
      </w:r>
      <w:r w:rsidR="007D6B7F" w:rsidRPr="00787196">
        <w:fldChar w:fldCharType="end"/>
      </w:r>
      <w:r w:rsidR="00AF28EB" w:rsidRPr="00787196">
        <w:t xml:space="preserve"> model, the individual and environmental factors </w:t>
      </w:r>
      <w:r w:rsidR="00F91BD8" w:rsidRPr="00787196">
        <w:t>were identified</w:t>
      </w:r>
      <w:r w:rsidRPr="00787196">
        <w:t xml:space="preserve"> and have been tabulated in </w:t>
      </w:r>
      <w:r w:rsidR="00CF7262" w:rsidRPr="00787196">
        <w:t xml:space="preserve">the </w:t>
      </w:r>
      <w:r w:rsidRPr="00787196">
        <w:t>Table</w:t>
      </w:r>
      <w:r w:rsidR="00160EA4" w:rsidRPr="00787196">
        <w:t>s</w:t>
      </w:r>
      <w:r w:rsidRPr="00787196">
        <w:t xml:space="preserve"> </w:t>
      </w:r>
      <w:r w:rsidR="00CF7262" w:rsidRPr="00787196">
        <w:t>2.3 and 2.4</w:t>
      </w:r>
      <w:r w:rsidR="00F91BD8" w:rsidRPr="00787196">
        <w:t xml:space="preserve"> </w:t>
      </w:r>
    </w:p>
    <w:p w14:paraId="69708AA4" w14:textId="317C0FA3" w:rsidR="002F72FF" w:rsidRPr="00787196" w:rsidRDefault="002F72FF" w:rsidP="00532A44">
      <w:pPr>
        <w:rPr>
          <w:rFonts w:cs="Arial"/>
          <w:szCs w:val="24"/>
        </w:rPr>
      </w:pPr>
      <w:bookmarkStart w:id="75" w:name="_Toc366260709"/>
      <w:r w:rsidRPr="00787196">
        <w:rPr>
          <w:rFonts w:cs="Arial"/>
          <w:szCs w:val="24"/>
        </w:rPr>
        <w:br w:type="page"/>
      </w:r>
    </w:p>
    <w:p w14:paraId="30C259D5" w14:textId="3DF41C3D" w:rsidR="0001543E" w:rsidRPr="00787196" w:rsidRDefault="0001543E" w:rsidP="00532A44">
      <w:pPr>
        <w:rPr>
          <w:rFonts w:cs="Arial"/>
          <w:b/>
          <w:bCs/>
          <w:i/>
          <w:iCs/>
          <w:sz w:val="28"/>
          <w:szCs w:val="28"/>
        </w:rPr>
        <w:sectPr w:rsidR="0001543E" w:rsidRPr="00787196" w:rsidSect="00FE0D71">
          <w:pgSz w:w="11906" w:h="16838"/>
          <w:pgMar w:top="1134" w:right="1134" w:bottom="1134" w:left="2268" w:header="708" w:footer="1552" w:gutter="0"/>
          <w:cols w:space="708"/>
          <w:docGrid w:linePitch="360"/>
        </w:sectPr>
      </w:pPr>
    </w:p>
    <w:tbl>
      <w:tblPr>
        <w:tblpPr w:leftFromText="180" w:rightFromText="180" w:vertAnchor="page" w:horzAnchor="margin" w:tblpY="1978"/>
        <w:tblW w:w="1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714"/>
        <w:gridCol w:w="4430"/>
        <w:gridCol w:w="2430"/>
        <w:gridCol w:w="2573"/>
        <w:gridCol w:w="2143"/>
      </w:tblGrid>
      <w:tr w:rsidR="0001543E" w:rsidRPr="00787196" w14:paraId="6DCFA21E" w14:textId="77777777" w:rsidTr="00B560B3">
        <w:trPr>
          <w:cantSplit/>
          <w:trHeight w:val="754"/>
        </w:trPr>
        <w:tc>
          <w:tcPr>
            <w:tcW w:w="1252" w:type="dxa"/>
            <w:shd w:val="clear" w:color="auto" w:fill="auto"/>
            <w:vAlign w:val="center"/>
          </w:tcPr>
          <w:p w14:paraId="2AFD0038" w14:textId="77777777" w:rsidR="0001543E" w:rsidRPr="00787196" w:rsidRDefault="0001543E" w:rsidP="00EB789A">
            <w:pPr>
              <w:spacing w:before="0" w:after="0"/>
              <w:jc w:val="center"/>
              <w:rPr>
                <w:rFonts w:eastAsia="Calibri" w:cs="Arial"/>
                <w:b/>
                <w:sz w:val="16"/>
                <w:szCs w:val="16"/>
                <w:lang w:eastAsia="en-US" w:bidi="ar-SA"/>
              </w:rPr>
            </w:pPr>
            <w:r w:rsidRPr="00787196">
              <w:rPr>
                <w:rFonts w:eastAsia="Calibri" w:cs="Arial"/>
                <w:b/>
                <w:sz w:val="16"/>
                <w:szCs w:val="16"/>
                <w:lang w:eastAsia="en-US" w:bidi="ar-SA"/>
              </w:rPr>
              <w:lastRenderedPageBreak/>
              <w:t>Individual factors</w:t>
            </w:r>
          </w:p>
        </w:tc>
        <w:tc>
          <w:tcPr>
            <w:tcW w:w="714" w:type="dxa"/>
            <w:tcBorders>
              <w:bottom w:val="single" w:sz="4" w:space="0" w:color="auto"/>
            </w:tcBorders>
            <w:shd w:val="clear" w:color="auto" w:fill="auto"/>
            <w:vAlign w:val="center"/>
          </w:tcPr>
          <w:p w14:paraId="46FE34E4" w14:textId="77777777" w:rsidR="0001543E" w:rsidRPr="00787196" w:rsidRDefault="0001543E" w:rsidP="00EB789A">
            <w:pPr>
              <w:spacing w:before="0" w:after="0"/>
              <w:jc w:val="center"/>
              <w:rPr>
                <w:rFonts w:eastAsia="Calibri" w:cs="Arial"/>
                <w:b/>
                <w:sz w:val="16"/>
                <w:szCs w:val="16"/>
                <w:lang w:eastAsia="en-US" w:bidi="ar-SA"/>
              </w:rPr>
            </w:pPr>
            <w:r w:rsidRPr="00787196">
              <w:rPr>
                <w:rFonts w:eastAsia="Calibri" w:cs="Arial"/>
                <w:b/>
                <w:sz w:val="16"/>
                <w:szCs w:val="16"/>
                <w:lang w:eastAsia="en-US" w:bidi="ar-SA"/>
              </w:rPr>
              <w:t>No of studies</w:t>
            </w:r>
          </w:p>
        </w:tc>
        <w:tc>
          <w:tcPr>
            <w:tcW w:w="4430" w:type="dxa"/>
            <w:tcBorders>
              <w:bottom w:val="single" w:sz="4" w:space="0" w:color="auto"/>
            </w:tcBorders>
            <w:shd w:val="clear" w:color="auto" w:fill="auto"/>
            <w:vAlign w:val="center"/>
          </w:tcPr>
          <w:p w14:paraId="213FF2C9" w14:textId="77777777" w:rsidR="0001543E" w:rsidRPr="00787196" w:rsidRDefault="0001543E" w:rsidP="00EB789A">
            <w:pPr>
              <w:spacing w:before="0" w:after="0"/>
              <w:jc w:val="center"/>
              <w:rPr>
                <w:rFonts w:eastAsia="Calibri" w:cs="Arial"/>
                <w:b/>
                <w:sz w:val="16"/>
                <w:szCs w:val="16"/>
                <w:lang w:eastAsia="en-US" w:bidi="ar-SA"/>
              </w:rPr>
            </w:pPr>
            <w:r w:rsidRPr="00787196">
              <w:rPr>
                <w:rFonts w:eastAsia="Calibri" w:cs="Arial"/>
                <w:b/>
                <w:sz w:val="16"/>
                <w:szCs w:val="16"/>
                <w:lang w:eastAsia="en-US" w:bidi="ar-SA"/>
              </w:rPr>
              <w:t>Authors &amp; Date</w:t>
            </w:r>
          </w:p>
        </w:tc>
        <w:tc>
          <w:tcPr>
            <w:tcW w:w="2430" w:type="dxa"/>
            <w:shd w:val="clear" w:color="auto" w:fill="auto"/>
            <w:vAlign w:val="center"/>
          </w:tcPr>
          <w:p w14:paraId="2D51C856" w14:textId="77777777" w:rsidR="0001543E" w:rsidRPr="00787196" w:rsidRDefault="0001543E" w:rsidP="00EB789A">
            <w:pPr>
              <w:spacing w:before="0" w:after="0"/>
              <w:jc w:val="center"/>
              <w:rPr>
                <w:rFonts w:eastAsia="Calibri" w:cs="Arial"/>
                <w:b/>
                <w:sz w:val="16"/>
                <w:szCs w:val="16"/>
                <w:lang w:eastAsia="en-US" w:bidi="ar-SA"/>
              </w:rPr>
            </w:pPr>
            <w:r w:rsidRPr="00787196">
              <w:rPr>
                <w:rFonts w:eastAsia="Calibri" w:cs="Arial"/>
                <w:b/>
                <w:sz w:val="16"/>
                <w:szCs w:val="16"/>
                <w:lang w:eastAsia="en-US" w:bidi="ar-SA"/>
              </w:rPr>
              <w:t>Study design</w:t>
            </w:r>
          </w:p>
        </w:tc>
        <w:tc>
          <w:tcPr>
            <w:tcW w:w="2573" w:type="dxa"/>
            <w:shd w:val="clear" w:color="auto" w:fill="auto"/>
            <w:vAlign w:val="center"/>
          </w:tcPr>
          <w:p w14:paraId="357F5160" w14:textId="77777777" w:rsidR="0001543E" w:rsidRPr="00787196" w:rsidRDefault="0001543E" w:rsidP="00EB789A">
            <w:pPr>
              <w:spacing w:before="0" w:after="0"/>
              <w:jc w:val="center"/>
              <w:rPr>
                <w:rFonts w:eastAsia="Calibri" w:cs="Arial"/>
                <w:b/>
                <w:sz w:val="16"/>
                <w:szCs w:val="16"/>
                <w:lang w:eastAsia="en-US" w:bidi="ar-SA"/>
              </w:rPr>
            </w:pPr>
            <w:r w:rsidRPr="00787196">
              <w:rPr>
                <w:rFonts w:eastAsia="Calibri" w:cs="Arial"/>
                <w:b/>
                <w:sz w:val="16"/>
                <w:szCs w:val="16"/>
                <w:lang w:eastAsia="en-US" w:bidi="ar-SA"/>
              </w:rPr>
              <w:t>Measure</w:t>
            </w:r>
          </w:p>
        </w:tc>
        <w:tc>
          <w:tcPr>
            <w:tcW w:w="2143" w:type="dxa"/>
            <w:shd w:val="clear" w:color="auto" w:fill="auto"/>
            <w:vAlign w:val="center"/>
          </w:tcPr>
          <w:p w14:paraId="7061AA50" w14:textId="77777777" w:rsidR="0001543E" w:rsidRPr="00787196" w:rsidRDefault="0001543E" w:rsidP="00EB789A">
            <w:pPr>
              <w:tabs>
                <w:tab w:val="right" w:pos="4105"/>
              </w:tabs>
              <w:spacing w:before="0" w:after="0"/>
              <w:ind w:right="613"/>
              <w:jc w:val="center"/>
              <w:rPr>
                <w:rFonts w:eastAsia="Calibri" w:cs="Arial"/>
                <w:b/>
                <w:sz w:val="16"/>
                <w:szCs w:val="16"/>
                <w:lang w:eastAsia="en-US" w:bidi="ar-SA"/>
              </w:rPr>
            </w:pPr>
            <w:r w:rsidRPr="00787196">
              <w:rPr>
                <w:rFonts w:eastAsia="Calibri" w:cs="Arial"/>
                <w:b/>
                <w:sz w:val="16"/>
                <w:szCs w:val="16"/>
                <w:lang w:eastAsia="en-US" w:bidi="ar-SA"/>
              </w:rPr>
              <w:t>Result positive or negative</w:t>
            </w:r>
          </w:p>
        </w:tc>
      </w:tr>
      <w:tr w:rsidR="0001543E" w:rsidRPr="00787196" w14:paraId="1C054401" w14:textId="77777777" w:rsidTr="00B560B3">
        <w:trPr>
          <w:cantSplit/>
          <w:trHeight w:val="1432"/>
        </w:trPr>
        <w:tc>
          <w:tcPr>
            <w:tcW w:w="1252" w:type="dxa"/>
            <w:vMerge w:val="restart"/>
            <w:shd w:val="clear" w:color="auto" w:fill="auto"/>
            <w:vAlign w:val="center"/>
          </w:tcPr>
          <w:p w14:paraId="518B37D5" w14:textId="77777777" w:rsidR="0001543E" w:rsidRPr="00787196" w:rsidRDefault="0001543E" w:rsidP="005C2A75">
            <w:pPr>
              <w:spacing w:before="0" w:after="0"/>
              <w:rPr>
                <w:rFonts w:eastAsia="Calibri" w:cs="Arial"/>
                <w:sz w:val="14"/>
                <w:szCs w:val="14"/>
                <w:lang w:eastAsia="en-US" w:bidi="ar-SA"/>
              </w:rPr>
            </w:pPr>
            <w:r w:rsidRPr="00787196">
              <w:rPr>
                <w:rFonts w:eastAsia="Calibri" w:cs="Arial"/>
                <w:b/>
                <w:sz w:val="14"/>
                <w:szCs w:val="14"/>
                <w:lang w:eastAsia="en-US" w:bidi="ar-SA"/>
              </w:rPr>
              <w:t>Age</w:t>
            </w:r>
          </w:p>
        </w:tc>
        <w:tc>
          <w:tcPr>
            <w:tcW w:w="714" w:type="dxa"/>
            <w:shd w:val="clear" w:color="auto" w:fill="auto"/>
            <w:vAlign w:val="center"/>
          </w:tcPr>
          <w:p w14:paraId="64E9C59C"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11</w:t>
            </w:r>
          </w:p>
        </w:tc>
        <w:tc>
          <w:tcPr>
            <w:tcW w:w="4430" w:type="dxa"/>
            <w:shd w:val="clear" w:color="auto" w:fill="auto"/>
            <w:vAlign w:val="center"/>
          </w:tcPr>
          <w:p w14:paraId="774EECB3" w14:textId="061564EC" w:rsidR="0001543E" w:rsidRPr="00787196" w:rsidRDefault="0001543E" w:rsidP="00223957">
            <w:pPr>
              <w:spacing w:before="0" w:after="0"/>
              <w:rPr>
                <w:rFonts w:eastAsia="Calibri" w:cs="Arial"/>
                <w:sz w:val="14"/>
                <w:szCs w:val="14"/>
                <w:lang w:val="fr-FR" w:eastAsia="en-US" w:bidi="ar-SA"/>
              </w:rPr>
            </w:pPr>
            <w:r w:rsidRPr="00787196">
              <w:rPr>
                <w:rFonts w:eastAsia="Calibri" w:cs="Arial"/>
                <w:sz w:val="14"/>
                <w:szCs w:val="14"/>
                <w:lang w:eastAsia="en-US" w:bidi="ar-SA"/>
              </w:rPr>
              <w:fldChar w:fldCharType="begin">
                <w:fldData xml:space="preserve">PEVuZE5vdGU+PENpdGU+PEF1dGhvcj5Bd2FkPC9BdXRob3I+PFllYXI+MjAwMDwvWWVhcj48UmVj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</w:fldData>
              </w:fldChar>
            </w:r>
            <w:r w:rsidR="00223957" w:rsidRPr="00787196">
              <w:rPr>
                <w:rFonts w:eastAsia="Calibri" w:cs="Arial"/>
                <w:sz w:val="14"/>
                <w:szCs w:val="14"/>
                <w:lang w:val="fr-FR"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PEVuZE5vdGU+PENpdGU+PEF1dGhvcj5Bd2FkPC9BdXRob3I+PFllYXI+MjAwMDwvWWVhcj48UmVj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</w:fldData>
              </w:fldChar>
            </w:r>
            <w:r w:rsidR="00223957" w:rsidRPr="00787196">
              <w:rPr>
                <w:rFonts w:eastAsia="Calibri" w:cs="Arial"/>
                <w:sz w:val="14"/>
                <w:szCs w:val="14"/>
                <w:lang w:val="fr-FR"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Pr="00787196">
              <w:rPr>
                <w:rFonts w:eastAsia="Calibri" w:cs="Arial"/>
                <w:sz w:val="14"/>
                <w:szCs w:val="14"/>
                <w:lang w:val="fr-FR" w:eastAsia="en-US" w:bidi="ar-SA"/>
              </w:rPr>
              <w:t>(Awad et al., 2000, Heydecke et al., 2003b, Forgie et al., 2005, Bae et al., 2006, Ellis et al., 2007, Michaud et al., 2008, Emami et al., 2010, Torres et al., 2011, Abuzar et al., 2012, Hwang et al., 2012, Jabbour et al., 2012)</w:t>
            </w:r>
            <w:r w:rsidRPr="00787196">
              <w:rPr>
                <w:rFonts w:eastAsia="Calibri" w:cs="Arial"/>
                <w:sz w:val="14"/>
                <w:szCs w:val="14"/>
                <w:lang w:eastAsia="en-US" w:bidi="ar-SA"/>
              </w:rPr>
              <w:fldChar w:fldCharType="end"/>
            </w:r>
            <w:r w:rsidRPr="00787196">
              <w:rPr>
                <w:rFonts w:eastAsia="Calibri" w:cs="Arial"/>
                <w:sz w:val="14"/>
                <w:szCs w:val="14"/>
                <w:lang w:val="fr-FR" w:eastAsia="en-US" w:bidi="ar-SA"/>
              </w:rPr>
              <w:t xml:space="preserve"> </w:t>
            </w:r>
          </w:p>
        </w:tc>
        <w:tc>
          <w:tcPr>
            <w:tcW w:w="2430" w:type="dxa"/>
            <w:shd w:val="clear" w:color="auto" w:fill="auto"/>
            <w:vAlign w:val="center"/>
          </w:tcPr>
          <w:p w14:paraId="29DB98F9" w14:textId="0B4E5B69" w:rsidR="0001543E" w:rsidRPr="00787196" w:rsidRDefault="0001543E" w:rsidP="00EA4C57">
            <w:pPr>
              <w:spacing w:before="0" w:after="0"/>
              <w:jc w:val="left"/>
              <w:rPr>
                <w:rFonts w:eastAsia="Calibri" w:cs="Arial"/>
                <w:sz w:val="14"/>
                <w:szCs w:val="14"/>
                <w:lang w:eastAsia="en-US" w:bidi="ar-SA"/>
              </w:rPr>
            </w:pPr>
            <w:r w:rsidRPr="00787196">
              <w:rPr>
                <w:rFonts w:eastAsia="Calibri" w:cs="Arial"/>
                <w:sz w:val="14"/>
                <w:szCs w:val="14"/>
                <w:lang w:eastAsia="en-US" w:bidi="ar-SA"/>
              </w:rPr>
              <w:t>Cross-sectional, Randomised control trial, Longitudinal study, Survey</w:t>
            </w:r>
          </w:p>
        </w:tc>
        <w:tc>
          <w:tcPr>
            <w:tcW w:w="2573" w:type="dxa"/>
            <w:shd w:val="clear" w:color="auto" w:fill="auto"/>
            <w:vAlign w:val="center"/>
          </w:tcPr>
          <w:p w14:paraId="68884B5E" w14:textId="66F8205D" w:rsidR="0001543E" w:rsidRPr="00787196" w:rsidRDefault="0001543E" w:rsidP="00EA4C57">
            <w:pPr>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OHIP 14, OHIP 49, OHIP-20, OIDP (Korean), </w:t>
            </w:r>
          </w:p>
        </w:tc>
        <w:tc>
          <w:tcPr>
            <w:tcW w:w="2143" w:type="dxa"/>
            <w:shd w:val="clear" w:color="auto" w:fill="auto"/>
            <w:vAlign w:val="center"/>
          </w:tcPr>
          <w:p w14:paraId="4FC036DB" w14:textId="77777777"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Non-significant or no association</w:t>
            </w:r>
          </w:p>
        </w:tc>
      </w:tr>
      <w:tr w:rsidR="0001543E" w:rsidRPr="00787196" w14:paraId="349D0A50" w14:textId="77777777" w:rsidTr="00B560B3">
        <w:trPr>
          <w:cantSplit/>
          <w:trHeight w:val="1000"/>
        </w:trPr>
        <w:tc>
          <w:tcPr>
            <w:tcW w:w="1252" w:type="dxa"/>
            <w:vMerge/>
            <w:shd w:val="clear" w:color="auto" w:fill="auto"/>
            <w:vAlign w:val="center"/>
          </w:tcPr>
          <w:p w14:paraId="110EA90B" w14:textId="77777777" w:rsidR="0001543E" w:rsidRPr="00787196" w:rsidRDefault="0001543E" w:rsidP="005C2A75">
            <w:pPr>
              <w:spacing w:before="0" w:after="0"/>
              <w:rPr>
                <w:rFonts w:eastAsia="Calibri" w:cs="Arial"/>
                <w:sz w:val="14"/>
                <w:szCs w:val="14"/>
                <w:lang w:eastAsia="en-US" w:bidi="ar-SA"/>
              </w:rPr>
            </w:pPr>
          </w:p>
        </w:tc>
        <w:tc>
          <w:tcPr>
            <w:tcW w:w="714" w:type="dxa"/>
            <w:shd w:val="clear" w:color="auto" w:fill="auto"/>
            <w:vAlign w:val="center"/>
          </w:tcPr>
          <w:p w14:paraId="7A77B3D4"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8</w:t>
            </w:r>
          </w:p>
        </w:tc>
        <w:tc>
          <w:tcPr>
            <w:tcW w:w="4430" w:type="dxa"/>
            <w:shd w:val="clear" w:color="auto" w:fill="auto"/>
            <w:vAlign w:val="center"/>
          </w:tcPr>
          <w:p w14:paraId="5D3ACBFE" w14:textId="6591A90E" w:rsidR="0001543E" w:rsidRPr="00787196" w:rsidRDefault="0001543E" w:rsidP="00223957">
            <w:pPr>
              <w:spacing w:before="0" w:after="0"/>
              <w:rPr>
                <w:rFonts w:eastAsia="Calibri" w:cs="Arial"/>
                <w:sz w:val="14"/>
                <w:szCs w:val="14"/>
                <w:lang w:eastAsia="en-US" w:bidi="ar-SA"/>
              </w:rPr>
            </w:pPr>
            <w:r w:rsidRPr="00787196">
              <w:rPr>
                <w:rFonts w:eastAsia="Calibri" w:cs="Arial"/>
                <w:sz w:val="14"/>
                <w:szCs w:val="14"/>
                <w:lang w:eastAsia="en-US" w:bidi="ar-SA"/>
              </w:rPr>
              <w:fldChar w:fldCharType="begin">
                <w:fldData xml:space="preserve">PEVuZE5vdGU+PENpdGU+PEF1dGhvcj5BbGxlbjwvQXV0aG9yPjxZZWFyPjIwMDY8L1llYXI+PFJl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</w:fldData>
              </w:fldChar>
            </w:r>
            <w:r w:rsidR="00223957" w:rsidRPr="00787196">
              <w:rPr>
                <w:rFonts w:eastAsia="Calibri" w:cs="Arial"/>
                <w:sz w:val="14"/>
                <w:szCs w:val="14"/>
                <w:lang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PEVuZE5vdGU+PENpdGU+PEF1dGhvcj5BbGxlbjwvQXV0aG9yPjxZZWFyPjIwMDY8L1llYXI+PFJl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</w:fldData>
              </w:fldChar>
            </w:r>
            <w:r w:rsidR="00223957" w:rsidRPr="00787196">
              <w:rPr>
                <w:rFonts w:eastAsia="Calibri" w:cs="Arial"/>
                <w:sz w:val="14"/>
                <w:szCs w:val="14"/>
                <w:lang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00C1301A" w:rsidRPr="00787196">
              <w:rPr>
                <w:rFonts w:eastAsia="Calibri" w:cs="Arial"/>
                <w:sz w:val="14"/>
                <w:szCs w:val="14"/>
                <w:lang w:eastAsia="en-US" w:bidi="ar-SA"/>
              </w:rPr>
              <w:t>(Allen et al., 2006, Armellini et al., 2008, Tsakos et al., 2009, Furuyama et al., 2012, Ha et al., 2012, Lee et al., 2012, Ozhayat and Gotfredsen, 2012)</w:t>
            </w:r>
            <w:r w:rsidRPr="00787196">
              <w:rPr>
                <w:rFonts w:eastAsia="Calibri" w:cs="Arial"/>
                <w:sz w:val="14"/>
                <w:szCs w:val="14"/>
                <w:lang w:eastAsia="en-US" w:bidi="ar-SA"/>
              </w:rPr>
              <w:fldChar w:fldCharType="end"/>
            </w:r>
            <w:r w:rsidRPr="00787196">
              <w:rPr>
                <w:rFonts w:eastAsia="Calibri" w:cs="Arial"/>
                <w:sz w:val="14"/>
                <w:szCs w:val="14"/>
                <w:lang w:eastAsia="en-US" w:bidi="ar-SA"/>
              </w:rPr>
              <w:t xml:space="preserve"> </w:t>
            </w:r>
          </w:p>
        </w:tc>
        <w:tc>
          <w:tcPr>
            <w:tcW w:w="2430" w:type="dxa"/>
            <w:shd w:val="clear" w:color="auto" w:fill="auto"/>
            <w:vAlign w:val="center"/>
          </w:tcPr>
          <w:p w14:paraId="33B0B268"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Randomised control trial, Cross-sectional study, Longitudinal study </w:t>
            </w:r>
          </w:p>
        </w:tc>
        <w:tc>
          <w:tcPr>
            <w:tcW w:w="2573" w:type="dxa"/>
            <w:shd w:val="clear" w:color="auto" w:fill="auto"/>
            <w:vAlign w:val="center"/>
          </w:tcPr>
          <w:p w14:paraId="1CB8FF2C" w14:textId="0DF00530" w:rsidR="0001543E" w:rsidRPr="00787196" w:rsidRDefault="0001543E" w:rsidP="00F62C28">
            <w:pPr>
              <w:spacing w:before="0" w:after="0"/>
              <w:jc w:val="left"/>
              <w:rPr>
                <w:rFonts w:eastAsia="Calibri" w:cs="Arial"/>
                <w:sz w:val="14"/>
                <w:szCs w:val="14"/>
                <w:lang w:eastAsia="en-US" w:bidi="ar-SA"/>
              </w:rPr>
            </w:pPr>
            <w:r w:rsidRPr="00787196">
              <w:rPr>
                <w:rFonts w:eastAsia="Calibri" w:cs="Arial"/>
                <w:sz w:val="14"/>
                <w:szCs w:val="14"/>
                <w:lang w:eastAsia="en-US" w:bidi="ar-SA"/>
              </w:rPr>
              <w:t>OHIP 49, OHIP – J 49 (Japanese), OHIP-14 K (Korean), OHIP Chinese, GOHAI</w:t>
            </w:r>
          </w:p>
        </w:tc>
        <w:tc>
          <w:tcPr>
            <w:tcW w:w="2143" w:type="dxa"/>
            <w:shd w:val="clear" w:color="auto" w:fill="auto"/>
            <w:vAlign w:val="center"/>
          </w:tcPr>
          <w:p w14:paraId="00220817" w14:textId="77777777"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Significant association</w:t>
            </w:r>
          </w:p>
        </w:tc>
      </w:tr>
      <w:tr w:rsidR="0001543E" w:rsidRPr="00787196" w14:paraId="2E687988" w14:textId="77777777" w:rsidTr="00B560B3">
        <w:trPr>
          <w:cantSplit/>
          <w:trHeight w:val="1207"/>
        </w:trPr>
        <w:tc>
          <w:tcPr>
            <w:tcW w:w="1252" w:type="dxa"/>
            <w:vMerge w:val="restart"/>
            <w:shd w:val="clear" w:color="auto" w:fill="auto"/>
            <w:vAlign w:val="center"/>
          </w:tcPr>
          <w:p w14:paraId="07A15C22" w14:textId="77777777" w:rsidR="0001543E" w:rsidRPr="00787196" w:rsidRDefault="0001543E" w:rsidP="005C2A75">
            <w:pPr>
              <w:spacing w:before="0" w:after="0"/>
              <w:rPr>
                <w:rFonts w:eastAsia="Calibri" w:cs="Arial"/>
                <w:b/>
                <w:sz w:val="14"/>
                <w:szCs w:val="14"/>
                <w:lang w:eastAsia="en-US" w:bidi="ar-SA"/>
              </w:rPr>
            </w:pPr>
            <w:r w:rsidRPr="00787196">
              <w:rPr>
                <w:rFonts w:eastAsia="Calibri" w:cs="Arial"/>
                <w:b/>
                <w:sz w:val="14"/>
                <w:szCs w:val="14"/>
                <w:lang w:eastAsia="en-US" w:bidi="ar-SA"/>
              </w:rPr>
              <w:t>Gender</w:t>
            </w:r>
          </w:p>
        </w:tc>
        <w:tc>
          <w:tcPr>
            <w:tcW w:w="714" w:type="dxa"/>
            <w:shd w:val="clear" w:color="auto" w:fill="auto"/>
            <w:vAlign w:val="center"/>
          </w:tcPr>
          <w:p w14:paraId="545847A3"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9</w:t>
            </w:r>
          </w:p>
        </w:tc>
        <w:tc>
          <w:tcPr>
            <w:tcW w:w="4430" w:type="dxa"/>
            <w:shd w:val="clear" w:color="auto" w:fill="auto"/>
            <w:vAlign w:val="center"/>
          </w:tcPr>
          <w:p w14:paraId="59C11666" w14:textId="6C0F1BFE" w:rsidR="0001543E" w:rsidRPr="00787196" w:rsidRDefault="0001543E" w:rsidP="00223957">
            <w:pPr>
              <w:spacing w:before="0" w:after="0"/>
              <w:rPr>
                <w:rFonts w:eastAsia="Calibri" w:cs="Arial"/>
                <w:sz w:val="14"/>
                <w:szCs w:val="14"/>
                <w:lang w:val="fr-FR" w:eastAsia="en-US" w:bidi="ar-SA"/>
              </w:rPr>
            </w:pPr>
            <w:r w:rsidRPr="00787196">
              <w:rPr>
                <w:rFonts w:eastAsia="Calibri" w:cs="Arial"/>
                <w:sz w:val="14"/>
                <w:szCs w:val="14"/>
                <w:lang w:eastAsia="en-US" w:bidi="ar-SA"/>
              </w:rPr>
              <w:fldChar w:fldCharType="begin">
                <w:fldData xml:space="preserve">PEVuZE5vdGU+PENpdGU+PEF1dGhvcj5Bd2FkPC9BdXRob3I+PFllYXI+MjAwMDwvWWVhcj48UmVj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</w:fldData>
              </w:fldChar>
            </w:r>
            <w:r w:rsidR="00223957" w:rsidRPr="00787196">
              <w:rPr>
                <w:rFonts w:eastAsia="Calibri" w:cs="Arial"/>
                <w:sz w:val="14"/>
                <w:szCs w:val="14"/>
                <w:lang w:val="fr-FR"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PEVuZE5vdGU+PENpdGU+PEF1dGhvcj5Bd2FkPC9BdXRob3I+PFllYXI+MjAwMDwvWWVhcj48UmVj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</w:fldData>
              </w:fldChar>
            </w:r>
            <w:r w:rsidR="00223957" w:rsidRPr="00787196">
              <w:rPr>
                <w:rFonts w:eastAsia="Calibri" w:cs="Arial"/>
                <w:sz w:val="14"/>
                <w:szCs w:val="14"/>
                <w:lang w:val="fr-FR"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Pr="00787196">
              <w:rPr>
                <w:rFonts w:eastAsia="Calibri" w:cs="Arial"/>
                <w:sz w:val="14"/>
                <w:szCs w:val="14"/>
                <w:lang w:val="fr-FR" w:eastAsia="en-US" w:bidi="ar-SA"/>
              </w:rPr>
              <w:t xml:space="preserve">(Awad et </w:t>
            </w:r>
            <w:r w:rsidR="007263E6" w:rsidRPr="00787196">
              <w:rPr>
                <w:rFonts w:eastAsia="Calibri" w:cs="Arial"/>
                <w:sz w:val="14"/>
                <w:szCs w:val="14"/>
                <w:lang w:val="fr-FR" w:eastAsia="en-US" w:bidi="ar-SA"/>
              </w:rPr>
              <w:t>al.</w:t>
            </w:r>
            <w:r w:rsidRPr="00787196">
              <w:rPr>
                <w:rFonts w:eastAsia="Calibri" w:cs="Arial"/>
                <w:sz w:val="14"/>
                <w:szCs w:val="14"/>
                <w:lang w:val="fr-FR" w:eastAsia="en-US" w:bidi="ar-SA"/>
              </w:rPr>
              <w:t xml:space="preserve"> 2000)</w:t>
            </w:r>
            <w:r w:rsidRPr="00787196">
              <w:rPr>
                <w:rFonts w:eastAsia="Calibri" w:cs="Arial"/>
                <w:sz w:val="14"/>
                <w:szCs w:val="14"/>
                <w:lang w:eastAsia="en-US" w:bidi="ar-SA"/>
              </w:rPr>
              <w:fldChar w:fldCharType="end"/>
            </w:r>
            <w:r w:rsidRPr="00787196">
              <w:rPr>
                <w:rFonts w:eastAsia="Calibri" w:cs="Arial"/>
                <w:sz w:val="14"/>
                <w:szCs w:val="14"/>
                <w:lang w:val="fr-FR" w:eastAsia="en-US" w:bidi="ar-SA"/>
              </w:rPr>
              <w:t xml:space="preserve"> </w:t>
            </w:r>
            <w:r w:rsidRPr="00787196">
              <w:rPr>
                <w:rFonts w:eastAsia="Calibri" w:cs="Arial"/>
                <w:sz w:val="14"/>
                <w:szCs w:val="14"/>
                <w:lang w:eastAsia="en-US" w:bidi="ar-SA"/>
              </w:rPr>
              <w:fldChar w:fldCharType="begin">
                <w:fldData xml:space="preserve">PEVuZE5vdGU+PENpdGU+PEF1dGhvcj5FbGxpczwvQXV0aG9yPjxZZWFyPjIwMDc8L1llYXI+PFJl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</w:fldData>
              </w:fldChar>
            </w:r>
            <w:r w:rsidR="00223957" w:rsidRPr="00787196">
              <w:rPr>
                <w:rFonts w:eastAsia="Calibri" w:cs="Arial"/>
                <w:sz w:val="14"/>
                <w:szCs w:val="14"/>
                <w:lang w:val="fr-FR"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PEVuZE5vdGU+PENpdGU+PEF1dGhvcj5FbGxpczwvQXV0aG9yPjxZZWFyPjIwMDc8L1llYXI+PFJl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</w:fldData>
              </w:fldChar>
            </w:r>
            <w:r w:rsidR="00223957" w:rsidRPr="00787196">
              <w:rPr>
                <w:rFonts w:eastAsia="Calibri" w:cs="Arial"/>
                <w:sz w:val="14"/>
                <w:szCs w:val="14"/>
                <w:lang w:val="fr-FR"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Pr="00787196">
              <w:rPr>
                <w:rFonts w:eastAsia="Calibri" w:cs="Arial"/>
                <w:sz w:val="14"/>
                <w:szCs w:val="14"/>
                <w:lang w:val="fr-FR" w:eastAsia="en-US" w:bidi="ar-SA"/>
              </w:rPr>
              <w:t>(Ellis et al., 2007, Michaud et al., 2008, Torres et al., 2011, Abuzar et al., 2012, Ha et al., 2012, Hwang et al., 2012, Jabbour et al., 2012, Lee et al., 2012)</w:t>
            </w:r>
            <w:r w:rsidRPr="00787196">
              <w:rPr>
                <w:rFonts w:eastAsia="Calibri" w:cs="Arial"/>
                <w:sz w:val="14"/>
                <w:szCs w:val="14"/>
                <w:lang w:eastAsia="en-US" w:bidi="ar-SA"/>
              </w:rPr>
              <w:fldChar w:fldCharType="end"/>
            </w:r>
          </w:p>
        </w:tc>
        <w:tc>
          <w:tcPr>
            <w:tcW w:w="2430" w:type="dxa"/>
            <w:shd w:val="clear" w:color="auto" w:fill="auto"/>
            <w:vAlign w:val="center"/>
          </w:tcPr>
          <w:p w14:paraId="5F852D41" w14:textId="2DD8EAB3" w:rsidR="0001543E" w:rsidRPr="00787196" w:rsidRDefault="0001543E" w:rsidP="00EA4C57">
            <w:pPr>
              <w:spacing w:before="0" w:after="0"/>
              <w:jc w:val="left"/>
              <w:rPr>
                <w:rFonts w:eastAsia="Calibri" w:cs="Arial"/>
                <w:sz w:val="14"/>
                <w:szCs w:val="14"/>
                <w:lang w:eastAsia="en-US" w:bidi="ar-SA"/>
              </w:rPr>
            </w:pPr>
            <w:r w:rsidRPr="00787196">
              <w:rPr>
                <w:rFonts w:eastAsia="Calibri" w:cs="Arial"/>
                <w:sz w:val="14"/>
                <w:szCs w:val="14"/>
                <w:lang w:eastAsia="en-US" w:bidi="ar-SA"/>
              </w:rPr>
              <w:t>Longitudinal study, Cross-sectional study</w:t>
            </w:r>
          </w:p>
        </w:tc>
        <w:tc>
          <w:tcPr>
            <w:tcW w:w="2573" w:type="dxa"/>
            <w:shd w:val="clear" w:color="auto" w:fill="auto"/>
            <w:vAlign w:val="center"/>
          </w:tcPr>
          <w:p w14:paraId="13260D87" w14:textId="59411EC8" w:rsidR="0001543E" w:rsidRPr="00787196" w:rsidRDefault="0001543E" w:rsidP="00F62C28">
            <w:pPr>
              <w:spacing w:before="0" w:after="0"/>
              <w:jc w:val="left"/>
              <w:rPr>
                <w:rFonts w:eastAsia="Calibri" w:cs="Arial"/>
                <w:sz w:val="14"/>
                <w:szCs w:val="14"/>
                <w:lang w:eastAsia="en-US" w:bidi="ar-SA"/>
              </w:rPr>
            </w:pPr>
            <w:r w:rsidRPr="00787196">
              <w:rPr>
                <w:rFonts w:eastAsia="Calibri" w:cs="Arial"/>
                <w:sz w:val="14"/>
                <w:szCs w:val="14"/>
                <w:lang w:eastAsia="en-US" w:bidi="ar-SA"/>
              </w:rPr>
              <w:t>OHIP, OHIP-20, OHIP-14 K (Korean), OIDP (Korean), OHIP Chinese, OHIP-14</w:t>
            </w:r>
          </w:p>
        </w:tc>
        <w:tc>
          <w:tcPr>
            <w:tcW w:w="2143" w:type="dxa"/>
            <w:shd w:val="clear" w:color="auto" w:fill="auto"/>
            <w:vAlign w:val="center"/>
          </w:tcPr>
          <w:p w14:paraId="35E1B1A3" w14:textId="77777777"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Non-significant or no association</w:t>
            </w:r>
          </w:p>
        </w:tc>
      </w:tr>
      <w:tr w:rsidR="0001543E" w:rsidRPr="00787196" w14:paraId="6E285D24" w14:textId="77777777" w:rsidTr="00B560B3">
        <w:trPr>
          <w:cantSplit/>
          <w:trHeight w:val="592"/>
        </w:trPr>
        <w:tc>
          <w:tcPr>
            <w:tcW w:w="1252" w:type="dxa"/>
            <w:vMerge/>
            <w:shd w:val="clear" w:color="auto" w:fill="auto"/>
            <w:vAlign w:val="center"/>
          </w:tcPr>
          <w:p w14:paraId="790B1C89" w14:textId="77777777" w:rsidR="0001543E" w:rsidRPr="00787196" w:rsidRDefault="0001543E" w:rsidP="005C2A75">
            <w:pPr>
              <w:spacing w:before="0" w:after="0"/>
              <w:rPr>
                <w:rFonts w:eastAsia="Calibri" w:cs="Arial"/>
                <w:b/>
                <w:sz w:val="14"/>
                <w:szCs w:val="14"/>
                <w:lang w:eastAsia="en-US" w:bidi="ar-SA"/>
              </w:rPr>
            </w:pPr>
          </w:p>
        </w:tc>
        <w:tc>
          <w:tcPr>
            <w:tcW w:w="714" w:type="dxa"/>
            <w:shd w:val="clear" w:color="auto" w:fill="auto"/>
            <w:vAlign w:val="center"/>
          </w:tcPr>
          <w:p w14:paraId="3A52B492"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2</w:t>
            </w:r>
          </w:p>
        </w:tc>
        <w:tc>
          <w:tcPr>
            <w:tcW w:w="4430" w:type="dxa"/>
            <w:shd w:val="clear" w:color="auto" w:fill="auto"/>
            <w:vAlign w:val="center"/>
          </w:tcPr>
          <w:p w14:paraId="11E6282C" w14:textId="1198B5B7" w:rsidR="0001543E" w:rsidRPr="00787196" w:rsidRDefault="0001543E" w:rsidP="00223957">
            <w:pPr>
              <w:spacing w:before="0" w:after="0"/>
              <w:rPr>
                <w:rFonts w:eastAsia="Calibri" w:cs="Arial"/>
                <w:sz w:val="14"/>
                <w:szCs w:val="14"/>
                <w:lang w:val="fr-FR" w:eastAsia="en-US" w:bidi="ar-SA"/>
              </w:rPr>
            </w:pPr>
            <w:r w:rsidRPr="00787196">
              <w:rPr>
                <w:rFonts w:eastAsia="Calibri" w:cs="Arial"/>
                <w:sz w:val="14"/>
                <w:szCs w:val="14"/>
                <w:lang w:eastAsia="en-US" w:bidi="ar-SA"/>
              </w:rPr>
              <w:fldChar w:fldCharType="begin">
                <w:fldData xml:space="preserve">PEVuZE5vdGU+PENpdGU+PEF1dGhvcj5Bcm1lbGxpbmk8L0F1dGhvcj48WWVhcj4yMDA4PC9ZZWFy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</w:fldData>
              </w:fldChar>
            </w:r>
            <w:r w:rsidR="00223957" w:rsidRPr="00787196">
              <w:rPr>
                <w:rFonts w:eastAsia="Calibri" w:cs="Arial"/>
                <w:sz w:val="14"/>
                <w:szCs w:val="14"/>
                <w:lang w:val="fr-FR"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PEVuZE5vdGU+PENpdGU+PEF1dGhvcj5Bcm1lbGxpbmk8L0F1dGhvcj48WWVhcj4yMDA4PC9ZZWFy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</w:fldData>
              </w:fldChar>
            </w:r>
            <w:r w:rsidR="00223957" w:rsidRPr="00787196">
              <w:rPr>
                <w:rFonts w:eastAsia="Calibri" w:cs="Arial"/>
                <w:sz w:val="14"/>
                <w:szCs w:val="14"/>
                <w:lang w:val="fr-FR"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Pr="00787196">
              <w:rPr>
                <w:rFonts w:eastAsia="Calibri" w:cs="Arial"/>
                <w:sz w:val="14"/>
                <w:szCs w:val="14"/>
                <w:lang w:val="fr-FR" w:eastAsia="en-US" w:bidi="ar-SA"/>
              </w:rPr>
              <w:t>(Armellini et al., 2008, Tsakos et al., 2009)</w:t>
            </w:r>
            <w:r w:rsidRPr="00787196">
              <w:rPr>
                <w:rFonts w:eastAsia="Calibri" w:cs="Arial"/>
                <w:sz w:val="14"/>
                <w:szCs w:val="14"/>
                <w:lang w:eastAsia="en-US" w:bidi="ar-SA"/>
              </w:rPr>
              <w:fldChar w:fldCharType="end"/>
            </w:r>
          </w:p>
        </w:tc>
        <w:tc>
          <w:tcPr>
            <w:tcW w:w="2430" w:type="dxa"/>
            <w:shd w:val="clear" w:color="auto" w:fill="auto"/>
            <w:vAlign w:val="center"/>
          </w:tcPr>
          <w:p w14:paraId="459FDF60"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Cross-sectional study, Randomised control trial </w:t>
            </w:r>
          </w:p>
        </w:tc>
        <w:tc>
          <w:tcPr>
            <w:tcW w:w="2573" w:type="dxa"/>
            <w:shd w:val="clear" w:color="auto" w:fill="auto"/>
            <w:vAlign w:val="center"/>
          </w:tcPr>
          <w:p w14:paraId="214932FA"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GOHAI</w:t>
            </w:r>
          </w:p>
        </w:tc>
        <w:tc>
          <w:tcPr>
            <w:tcW w:w="2143" w:type="dxa"/>
            <w:shd w:val="clear" w:color="auto" w:fill="auto"/>
            <w:vAlign w:val="center"/>
          </w:tcPr>
          <w:p w14:paraId="10357724" w14:textId="6891734C"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Significant negative gender effect (Women )</w:t>
            </w:r>
          </w:p>
        </w:tc>
      </w:tr>
      <w:tr w:rsidR="0001543E" w:rsidRPr="00787196" w14:paraId="72AAD606" w14:textId="77777777" w:rsidTr="00B560B3">
        <w:trPr>
          <w:cantSplit/>
          <w:trHeight w:val="639"/>
        </w:trPr>
        <w:tc>
          <w:tcPr>
            <w:tcW w:w="1252" w:type="dxa"/>
            <w:vMerge/>
            <w:shd w:val="clear" w:color="auto" w:fill="auto"/>
            <w:vAlign w:val="center"/>
          </w:tcPr>
          <w:p w14:paraId="1D8A2FB5" w14:textId="77777777" w:rsidR="0001543E" w:rsidRPr="00787196" w:rsidRDefault="0001543E" w:rsidP="005C2A75">
            <w:pPr>
              <w:spacing w:before="0" w:after="0"/>
              <w:rPr>
                <w:rFonts w:eastAsia="Calibri" w:cs="Arial"/>
                <w:b/>
                <w:sz w:val="14"/>
                <w:szCs w:val="14"/>
                <w:lang w:eastAsia="en-US" w:bidi="ar-SA"/>
              </w:rPr>
            </w:pPr>
          </w:p>
        </w:tc>
        <w:tc>
          <w:tcPr>
            <w:tcW w:w="714" w:type="dxa"/>
            <w:shd w:val="clear" w:color="auto" w:fill="auto"/>
            <w:vAlign w:val="center"/>
          </w:tcPr>
          <w:p w14:paraId="5954EF85"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3</w:t>
            </w:r>
          </w:p>
        </w:tc>
        <w:tc>
          <w:tcPr>
            <w:tcW w:w="4430" w:type="dxa"/>
            <w:shd w:val="clear" w:color="auto" w:fill="auto"/>
            <w:vAlign w:val="center"/>
          </w:tcPr>
          <w:p w14:paraId="2A75A712" w14:textId="57FD43E9" w:rsidR="0001543E" w:rsidRPr="00787196" w:rsidRDefault="0001543E" w:rsidP="00223957">
            <w:pPr>
              <w:spacing w:before="0" w:after="0"/>
              <w:rPr>
                <w:rFonts w:eastAsia="Calibri" w:cs="Arial"/>
                <w:sz w:val="14"/>
                <w:szCs w:val="14"/>
                <w:lang w:eastAsia="en-US" w:bidi="ar-SA"/>
              </w:rPr>
            </w:pPr>
            <w:r w:rsidRPr="00787196">
              <w:rPr>
                <w:rFonts w:eastAsia="Calibri" w:cs="Arial"/>
                <w:sz w:val="14"/>
                <w:szCs w:val="14"/>
                <w:lang w:eastAsia="en-US" w:bidi="ar-SA"/>
              </w:rPr>
              <w:fldChar w:fldCharType="begin">
                <w:fldData xml:space="preserve">PEVuZE5vdGU+PENpdGU+PEF1dGhvcj5CYXJhbjwvQXV0aG9yPjxZZWFyPjIwMDc8L1llYXI+PFJl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</w:fldData>
              </w:fldChar>
            </w:r>
            <w:r w:rsidR="00223957" w:rsidRPr="00787196">
              <w:rPr>
                <w:rFonts w:eastAsia="Calibri" w:cs="Arial"/>
                <w:sz w:val="14"/>
                <w:szCs w:val="14"/>
                <w:lang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PEVuZE5vdGU+PENpdGU+PEF1dGhvcj5CYXJhbjwvQXV0aG9yPjxZZWFyPjIwMDc8L1llYXI+PFJl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</w:fldData>
              </w:fldChar>
            </w:r>
            <w:r w:rsidR="00223957" w:rsidRPr="00787196">
              <w:rPr>
                <w:rFonts w:eastAsia="Calibri" w:cs="Arial"/>
                <w:sz w:val="14"/>
                <w:szCs w:val="14"/>
                <w:lang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Pr="00787196">
              <w:rPr>
                <w:rFonts w:eastAsia="Calibri" w:cs="Arial"/>
                <w:sz w:val="14"/>
                <w:szCs w:val="14"/>
                <w:lang w:eastAsia="en-US" w:bidi="ar-SA"/>
              </w:rPr>
              <w:t>(Baran et al., 2007, Emami et al., 2010, Geckili et al., 2011)</w:t>
            </w:r>
            <w:r w:rsidRPr="00787196">
              <w:rPr>
                <w:rFonts w:eastAsia="Calibri" w:cs="Arial"/>
                <w:sz w:val="14"/>
                <w:szCs w:val="14"/>
                <w:lang w:eastAsia="en-US" w:bidi="ar-SA"/>
              </w:rPr>
              <w:fldChar w:fldCharType="end"/>
            </w:r>
          </w:p>
        </w:tc>
        <w:tc>
          <w:tcPr>
            <w:tcW w:w="2430" w:type="dxa"/>
            <w:shd w:val="clear" w:color="auto" w:fill="auto"/>
            <w:vAlign w:val="center"/>
          </w:tcPr>
          <w:p w14:paraId="7E972AA3"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Longitudinal, Cross sectional, Crossover trial</w:t>
            </w:r>
          </w:p>
        </w:tc>
        <w:tc>
          <w:tcPr>
            <w:tcW w:w="2573" w:type="dxa"/>
            <w:shd w:val="clear" w:color="auto" w:fill="auto"/>
            <w:vAlign w:val="center"/>
          </w:tcPr>
          <w:p w14:paraId="084BABE6"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OHIP (Turkish), OHIP 20, OHIP-14,OHQoL- UK</w:t>
            </w:r>
          </w:p>
        </w:tc>
        <w:tc>
          <w:tcPr>
            <w:tcW w:w="2143" w:type="dxa"/>
            <w:shd w:val="clear" w:color="auto" w:fill="auto"/>
            <w:vAlign w:val="center"/>
          </w:tcPr>
          <w:p w14:paraId="5A0E539F" w14:textId="20E662DD"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Significant negative gender effect (Men)</w:t>
            </w:r>
          </w:p>
        </w:tc>
      </w:tr>
      <w:tr w:rsidR="0001543E" w:rsidRPr="00787196" w14:paraId="4B1F3C8F" w14:textId="77777777" w:rsidTr="00B560B3">
        <w:trPr>
          <w:cantSplit/>
          <w:trHeight w:val="448"/>
        </w:trPr>
        <w:tc>
          <w:tcPr>
            <w:tcW w:w="1252" w:type="dxa"/>
            <w:shd w:val="clear" w:color="auto" w:fill="auto"/>
            <w:vAlign w:val="center"/>
          </w:tcPr>
          <w:p w14:paraId="1EE1872A" w14:textId="77777777" w:rsidR="0001543E" w:rsidRPr="00787196" w:rsidRDefault="0001543E" w:rsidP="005C2A75">
            <w:pPr>
              <w:spacing w:before="0" w:after="0"/>
              <w:rPr>
                <w:rFonts w:eastAsia="Calibri" w:cs="Arial"/>
                <w:b/>
                <w:sz w:val="14"/>
                <w:szCs w:val="14"/>
                <w:lang w:eastAsia="en-US" w:bidi="ar-SA"/>
              </w:rPr>
            </w:pPr>
            <w:r w:rsidRPr="00787196">
              <w:rPr>
                <w:rFonts w:eastAsia="Calibri" w:cs="Arial"/>
                <w:b/>
                <w:sz w:val="14"/>
                <w:szCs w:val="14"/>
                <w:lang w:eastAsia="en-US" w:bidi="ar-SA"/>
              </w:rPr>
              <w:t>Subjective SES</w:t>
            </w:r>
          </w:p>
        </w:tc>
        <w:tc>
          <w:tcPr>
            <w:tcW w:w="714" w:type="dxa"/>
            <w:shd w:val="clear" w:color="auto" w:fill="auto"/>
            <w:vAlign w:val="center"/>
          </w:tcPr>
          <w:p w14:paraId="4D0B07C9"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0</w:t>
            </w:r>
          </w:p>
        </w:tc>
        <w:tc>
          <w:tcPr>
            <w:tcW w:w="4430" w:type="dxa"/>
            <w:shd w:val="clear" w:color="auto" w:fill="auto"/>
            <w:vAlign w:val="center"/>
          </w:tcPr>
          <w:p w14:paraId="3B368655" w14:textId="77777777" w:rsidR="0001543E" w:rsidRPr="00787196" w:rsidRDefault="0001543E" w:rsidP="005C2A75">
            <w:pPr>
              <w:spacing w:before="0" w:after="0"/>
              <w:rPr>
                <w:rFonts w:eastAsia="Calibri" w:cs="Arial"/>
                <w:sz w:val="14"/>
                <w:szCs w:val="14"/>
                <w:lang w:eastAsia="en-US" w:bidi="ar-SA"/>
              </w:rPr>
            </w:pPr>
          </w:p>
        </w:tc>
        <w:tc>
          <w:tcPr>
            <w:tcW w:w="2430" w:type="dxa"/>
            <w:shd w:val="clear" w:color="auto" w:fill="auto"/>
            <w:vAlign w:val="center"/>
          </w:tcPr>
          <w:p w14:paraId="35CC3C54" w14:textId="77777777" w:rsidR="0001543E" w:rsidRPr="00787196" w:rsidRDefault="0001543E" w:rsidP="00B560B3">
            <w:pPr>
              <w:spacing w:before="0" w:after="0"/>
              <w:jc w:val="left"/>
              <w:rPr>
                <w:rFonts w:eastAsia="Calibri" w:cs="Arial"/>
                <w:sz w:val="14"/>
                <w:szCs w:val="14"/>
                <w:lang w:eastAsia="en-US" w:bidi="ar-SA"/>
              </w:rPr>
            </w:pPr>
          </w:p>
        </w:tc>
        <w:tc>
          <w:tcPr>
            <w:tcW w:w="2573" w:type="dxa"/>
            <w:shd w:val="clear" w:color="auto" w:fill="auto"/>
            <w:vAlign w:val="center"/>
          </w:tcPr>
          <w:p w14:paraId="773326FF" w14:textId="77777777" w:rsidR="0001543E" w:rsidRPr="00787196" w:rsidRDefault="0001543E" w:rsidP="00B560B3">
            <w:pPr>
              <w:spacing w:before="0" w:after="0"/>
              <w:jc w:val="left"/>
              <w:rPr>
                <w:rFonts w:eastAsia="Calibri" w:cs="Arial"/>
                <w:sz w:val="14"/>
                <w:szCs w:val="14"/>
                <w:lang w:eastAsia="en-US" w:bidi="ar-SA"/>
              </w:rPr>
            </w:pPr>
          </w:p>
        </w:tc>
        <w:tc>
          <w:tcPr>
            <w:tcW w:w="2143" w:type="dxa"/>
            <w:shd w:val="clear" w:color="auto" w:fill="auto"/>
            <w:vAlign w:val="center"/>
          </w:tcPr>
          <w:p w14:paraId="006C0598" w14:textId="77777777" w:rsidR="0001543E" w:rsidRPr="00787196" w:rsidRDefault="0001543E" w:rsidP="00FF60C6">
            <w:pPr>
              <w:spacing w:before="0" w:after="0"/>
              <w:jc w:val="left"/>
              <w:rPr>
                <w:rFonts w:eastAsia="Calibri" w:cs="Arial"/>
                <w:sz w:val="14"/>
                <w:szCs w:val="14"/>
                <w:lang w:eastAsia="en-US" w:bidi="ar-SA"/>
              </w:rPr>
            </w:pPr>
          </w:p>
        </w:tc>
      </w:tr>
      <w:tr w:rsidR="0001543E" w:rsidRPr="00787196" w14:paraId="119CDB3B" w14:textId="77777777" w:rsidTr="00B560B3">
        <w:trPr>
          <w:trHeight w:val="533"/>
        </w:trPr>
        <w:tc>
          <w:tcPr>
            <w:tcW w:w="1252" w:type="dxa"/>
            <w:shd w:val="clear" w:color="auto" w:fill="auto"/>
            <w:vAlign w:val="center"/>
          </w:tcPr>
          <w:p w14:paraId="08631777" w14:textId="77777777" w:rsidR="0001543E" w:rsidRPr="00787196" w:rsidRDefault="0001543E" w:rsidP="005C2A75">
            <w:pPr>
              <w:spacing w:before="0" w:after="0"/>
              <w:rPr>
                <w:rFonts w:eastAsia="Calibri" w:cs="Arial"/>
                <w:b/>
                <w:sz w:val="14"/>
                <w:szCs w:val="14"/>
                <w:lang w:eastAsia="en-US" w:bidi="ar-SA"/>
              </w:rPr>
            </w:pPr>
            <w:r w:rsidRPr="00787196">
              <w:rPr>
                <w:rFonts w:eastAsia="Calibri" w:cs="Arial"/>
                <w:b/>
                <w:sz w:val="14"/>
                <w:szCs w:val="14"/>
                <w:lang w:eastAsia="en-US" w:bidi="ar-SA"/>
              </w:rPr>
              <w:t>Perceived stress</w:t>
            </w:r>
          </w:p>
        </w:tc>
        <w:tc>
          <w:tcPr>
            <w:tcW w:w="714" w:type="dxa"/>
            <w:shd w:val="clear" w:color="auto" w:fill="auto"/>
            <w:vAlign w:val="center"/>
          </w:tcPr>
          <w:p w14:paraId="5C87E32E" w14:textId="77777777" w:rsidR="0001543E" w:rsidRPr="00787196" w:rsidRDefault="0001543E"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2</w:t>
            </w:r>
          </w:p>
        </w:tc>
        <w:tc>
          <w:tcPr>
            <w:tcW w:w="4430" w:type="dxa"/>
            <w:shd w:val="clear" w:color="auto" w:fill="auto"/>
            <w:vAlign w:val="center"/>
          </w:tcPr>
          <w:p w14:paraId="64234954" w14:textId="09746BDB" w:rsidR="0001543E" w:rsidRPr="00787196" w:rsidRDefault="0001543E" w:rsidP="00F62C28">
            <w:pPr>
              <w:spacing w:before="0" w:after="0"/>
              <w:rPr>
                <w:rFonts w:eastAsia="Calibri" w:cs="Arial"/>
                <w:sz w:val="14"/>
                <w:szCs w:val="14"/>
                <w:lang w:eastAsia="en-US" w:bidi="ar-SA"/>
              </w:rPr>
            </w:pPr>
            <w:r w:rsidRPr="00787196">
              <w:rPr>
                <w:rFonts w:eastAsia="Calibri" w:cs="Arial"/>
                <w:sz w:val="14"/>
                <w:szCs w:val="14"/>
                <w:lang w:eastAsia="en-US" w:bidi="ar-SA"/>
              </w:rPr>
              <w:fldChar w:fldCharType="begin"/>
            </w:r>
            <w:r w:rsidR="00223957" w:rsidRPr="00787196">
              <w:rPr>
                <w:rFonts w:eastAsia="Calibri" w:cs="Arial"/>
                <w:sz w:val="14"/>
                <w:szCs w:val="14"/>
                <w:lang w:eastAsia="en-US" w:bidi="ar-SA"/>
              </w:rPr>
              <w:instrText xml:space="preserve"> ADDIN EN.CITE &lt;EndNote&gt;&lt;Cite&gt;&lt;Author&gt;Locker&lt;/Author&gt;&lt;Year&gt;2001&lt;/Year&gt;&lt;RecNum&gt;0&lt;/RecNum&gt;&lt;IDText&gt;Comparison of the GOHAI and OHIP-14 as measures of the oral health-related quality of life of the elderly&lt;/IDText&gt;&lt;DisplayText&gt;(Locker et al., 2001)&lt;/DisplayText&gt;&lt;record&gt;&lt;dates&gt;&lt;pub-dates&gt;&lt;date&gt;Oct&lt;/date&gt;&lt;/pub-dates&gt;&lt;year&gt;2001&lt;/year&gt;&lt;/dates&gt;&lt;isbn&gt;0301-5661 (Print)&amp;#xD;0301-5661&lt;/isbn&gt;&lt;titles&gt;&lt;title&gt;Comparison of the GOHAI and OHIP-14 as measures of the oral health-related quality of life of the elderly&lt;/title&gt;&lt;secondary-title&gt;Community Dent Oral Epidemiol&lt;/secondary-title&gt;&lt;alt-title&gt;Community dentistry and oral epidemiology&lt;/alt-title&gt;&lt;/titles&gt;&lt;pages&gt;373-81&lt;/pages&gt;&lt;number&gt;5&lt;/number&gt;&lt;contributors&gt;&lt;authors&gt;&lt;author&gt;Locker, D.&lt;/author&gt;&lt;author&gt;Matear, D.&lt;/author&gt;&lt;author&gt;Stephens, M.&lt;/author&gt;&lt;author&gt;Lawrence, H.&lt;/author&gt;&lt;author&gt;Payne, B.&lt;/author&gt;&lt;/authors&gt;&lt;/contributors&gt;&lt;edition&gt;2001/09/13&lt;/edition&gt;&lt;language&gt;eng&lt;/language&gt;&lt;added-date format="utc"&gt;1374065288&lt;/added-date&gt;&lt;ref-type name="Journal Article"&gt;17&lt;/ref-type&gt;&lt;auth-address&gt;Community Dental Health Services Research Unit, Faculty of Dentistry, University of Toronto, Ontario, Canada. david.locker@utoronto.ca&lt;/auth-address&gt;&lt;remote-database-provider&gt;Nlm&lt;/remote-database-provider&gt;&lt;rec-number&gt;1068&lt;/rec-number&gt;&lt;last-updated-date format="utc"&gt;1374065288&lt;/last-updated-date&gt;&lt;accession-num&gt;11553110&lt;/accession-num&gt;&lt;volume&gt;29&lt;/volume&gt;&lt;/record&gt;&lt;/Cite&gt;&lt;/EndNote&gt;</w:instrText>
            </w:r>
            <w:r w:rsidRPr="00787196">
              <w:rPr>
                <w:rFonts w:eastAsia="Calibri" w:cs="Arial"/>
                <w:sz w:val="14"/>
                <w:szCs w:val="14"/>
                <w:lang w:eastAsia="en-US" w:bidi="ar-SA"/>
              </w:rPr>
              <w:fldChar w:fldCharType="separate"/>
            </w:r>
            <w:r w:rsidRPr="00787196">
              <w:rPr>
                <w:rFonts w:eastAsia="Calibri" w:cs="Arial"/>
                <w:sz w:val="14"/>
                <w:szCs w:val="14"/>
                <w:lang w:eastAsia="en-US" w:bidi="ar-SA"/>
              </w:rPr>
              <w:t>(Locker et al., 2001)</w:t>
            </w:r>
            <w:r w:rsidRPr="00787196">
              <w:rPr>
                <w:rFonts w:eastAsia="Calibri" w:cs="Arial"/>
                <w:sz w:val="14"/>
                <w:szCs w:val="14"/>
                <w:lang w:eastAsia="en-US" w:bidi="ar-SA"/>
              </w:rPr>
              <w:fldChar w:fldCharType="end"/>
            </w:r>
            <w:r w:rsidRPr="00787196">
              <w:rPr>
                <w:rFonts w:eastAsia="Calibri" w:cs="Arial"/>
                <w:sz w:val="14"/>
                <w:szCs w:val="14"/>
                <w:lang w:eastAsia="en-US" w:bidi="ar-SA"/>
              </w:rPr>
              <w:t>, Locker &amp; Allen, 2002</w:t>
            </w:r>
          </w:p>
        </w:tc>
        <w:tc>
          <w:tcPr>
            <w:tcW w:w="2430" w:type="dxa"/>
            <w:shd w:val="clear" w:color="auto" w:fill="auto"/>
            <w:vAlign w:val="center"/>
          </w:tcPr>
          <w:p w14:paraId="38C111C1"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Cross-sectional, Survey</w:t>
            </w:r>
          </w:p>
        </w:tc>
        <w:tc>
          <w:tcPr>
            <w:tcW w:w="2573" w:type="dxa"/>
            <w:shd w:val="clear" w:color="auto" w:fill="auto"/>
            <w:vAlign w:val="center"/>
          </w:tcPr>
          <w:p w14:paraId="61D2E4B7"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OHIP, OHIP-14, GOHAI</w:t>
            </w:r>
          </w:p>
        </w:tc>
        <w:tc>
          <w:tcPr>
            <w:tcW w:w="2143" w:type="dxa"/>
            <w:shd w:val="clear" w:color="auto" w:fill="auto"/>
            <w:vAlign w:val="center"/>
          </w:tcPr>
          <w:p w14:paraId="729D24E2" w14:textId="77777777" w:rsidR="0001543E" w:rsidRPr="00787196" w:rsidRDefault="0001543E" w:rsidP="00FF60C6">
            <w:pPr>
              <w:spacing w:before="0" w:after="0"/>
              <w:jc w:val="left"/>
              <w:rPr>
                <w:rFonts w:eastAsia="Calibri" w:cs="Arial"/>
                <w:sz w:val="14"/>
                <w:szCs w:val="14"/>
                <w:lang w:eastAsia="en-US" w:bidi="ar-SA"/>
              </w:rPr>
            </w:pPr>
            <w:r w:rsidRPr="00787196">
              <w:rPr>
                <w:rFonts w:eastAsia="Calibri" w:cs="Arial"/>
                <w:sz w:val="14"/>
                <w:szCs w:val="14"/>
                <w:lang w:eastAsia="en-US" w:bidi="ar-SA"/>
              </w:rPr>
              <w:t>Strong association</w:t>
            </w:r>
          </w:p>
        </w:tc>
      </w:tr>
      <w:tr w:rsidR="0001543E" w:rsidRPr="00787196" w14:paraId="0BD1B384" w14:textId="77777777" w:rsidTr="00B560B3">
        <w:trPr>
          <w:trHeight w:val="603"/>
        </w:trPr>
        <w:tc>
          <w:tcPr>
            <w:tcW w:w="1252" w:type="dxa"/>
            <w:shd w:val="clear" w:color="auto" w:fill="auto"/>
            <w:vAlign w:val="center"/>
          </w:tcPr>
          <w:p w14:paraId="499313EA" w14:textId="77777777" w:rsidR="0001543E" w:rsidRPr="00787196" w:rsidRDefault="0001543E" w:rsidP="005C2A75">
            <w:pPr>
              <w:spacing w:before="0" w:after="0"/>
              <w:rPr>
                <w:rFonts w:eastAsia="Calibri" w:cs="Arial"/>
                <w:b/>
                <w:sz w:val="14"/>
                <w:szCs w:val="14"/>
                <w:lang w:eastAsia="en-US" w:bidi="ar-SA"/>
              </w:rPr>
            </w:pPr>
            <w:r w:rsidRPr="00787196">
              <w:rPr>
                <w:rFonts w:eastAsia="Calibri" w:cs="Arial"/>
                <w:b/>
                <w:sz w:val="14"/>
                <w:szCs w:val="14"/>
                <w:lang w:eastAsia="en-US" w:bidi="ar-SA"/>
              </w:rPr>
              <w:t>Concern about oral health</w:t>
            </w:r>
          </w:p>
        </w:tc>
        <w:tc>
          <w:tcPr>
            <w:tcW w:w="714" w:type="dxa"/>
            <w:shd w:val="clear" w:color="auto" w:fill="auto"/>
            <w:vAlign w:val="center"/>
          </w:tcPr>
          <w:p w14:paraId="2A6FDBAA" w14:textId="77777777" w:rsidR="0001543E" w:rsidRPr="00787196" w:rsidRDefault="00934206"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2</w:t>
            </w:r>
          </w:p>
        </w:tc>
        <w:tc>
          <w:tcPr>
            <w:tcW w:w="4430" w:type="dxa"/>
            <w:shd w:val="clear" w:color="auto" w:fill="auto"/>
            <w:vAlign w:val="center"/>
          </w:tcPr>
          <w:p w14:paraId="204AD290" w14:textId="6924DD75" w:rsidR="0001543E" w:rsidRPr="00787196" w:rsidRDefault="0001543E" w:rsidP="00223957">
            <w:pPr>
              <w:spacing w:before="0" w:after="0"/>
              <w:rPr>
                <w:rFonts w:eastAsia="Calibri" w:cs="Arial"/>
                <w:sz w:val="14"/>
                <w:szCs w:val="14"/>
                <w:lang w:eastAsia="en-US" w:bidi="ar-SA"/>
              </w:rPr>
            </w:pPr>
            <w:r w:rsidRPr="00787196">
              <w:rPr>
                <w:rFonts w:eastAsia="Calibri" w:cs="Arial"/>
                <w:sz w:val="14"/>
                <w:szCs w:val="14"/>
                <w:lang w:eastAsia="en-US" w:bidi="ar-SA"/>
              </w:rPr>
              <w:fldChar w:fldCharType="begin">
                <w:fldData xml:space="preserve">PEVuZE5vdGU+PENpdGU+PEF1dGhvcj5Mb2NrZXI8L0F1dGhvcj48WWVhcj4yMDAyPC9ZZWFyPjxS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</w:fldData>
              </w:fldChar>
            </w:r>
            <w:r w:rsidR="00223957" w:rsidRPr="00787196">
              <w:rPr>
                <w:rFonts w:eastAsia="Calibri" w:cs="Arial"/>
                <w:sz w:val="14"/>
                <w:szCs w:val="14"/>
                <w:lang w:eastAsia="en-US" w:bidi="ar-SA"/>
              </w:rPr>
              <w:instrText xml:space="preserve"> ADDIN EN.CITE </w:instrText>
            </w:r>
            <w:r w:rsidR="00223957" w:rsidRPr="00787196">
              <w:rPr>
                <w:rFonts w:eastAsia="Calibri" w:cs="Arial"/>
                <w:sz w:val="14"/>
                <w:szCs w:val="14"/>
                <w:lang w:eastAsia="en-US" w:bidi="ar-SA"/>
              </w:rPr>
              <w:fldChar w:fldCharType="begin">
                <w:fldData xml:space="preserve">PEVuZE5vdGU+PENpdGU+PEF1dGhvcj5Mb2NrZXI8L0F1dGhvcj48WWVhcj4yMDAyPC9ZZWFyPjxS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</w:fldData>
              </w:fldChar>
            </w:r>
            <w:r w:rsidR="00223957" w:rsidRPr="00787196">
              <w:rPr>
                <w:rFonts w:eastAsia="Calibri" w:cs="Arial"/>
                <w:sz w:val="14"/>
                <w:szCs w:val="14"/>
                <w:lang w:eastAsia="en-US" w:bidi="ar-SA"/>
              </w:rPr>
              <w:instrText xml:space="preserve"> ADDIN EN.CITE.DATA </w:instrText>
            </w:r>
            <w:r w:rsidR="00223957" w:rsidRPr="00787196">
              <w:rPr>
                <w:rFonts w:eastAsia="Calibri" w:cs="Arial"/>
                <w:sz w:val="14"/>
                <w:szCs w:val="14"/>
                <w:lang w:eastAsia="en-US" w:bidi="ar-SA"/>
              </w:rPr>
            </w:r>
            <w:r w:rsidR="00223957" w:rsidRPr="00787196">
              <w:rPr>
                <w:rFonts w:eastAsia="Calibri" w:cs="Arial"/>
                <w:sz w:val="14"/>
                <w:szCs w:val="14"/>
                <w:lang w:eastAsia="en-US" w:bidi="ar-SA"/>
              </w:rPr>
              <w:fldChar w:fldCharType="end"/>
            </w:r>
            <w:r w:rsidRPr="00787196">
              <w:rPr>
                <w:rFonts w:eastAsia="Calibri" w:cs="Arial"/>
                <w:sz w:val="14"/>
                <w:szCs w:val="14"/>
                <w:lang w:eastAsia="en-US" w:bidi="ar-SA"/>
              </w:rPr>
            </w:r>
            <w:r w:rsidRPr="00787196">
              <w:rPr>
                <w:rFonts w:eastAsia="Calibri" w:cs="Arial"/>
                <w:sz w:val="14"/>
                <w:szCs w:val="14"/>
                <w:lang w:eastAsia="en-US" w:bidi="ar-SA"/>
              </w:rPr>
              <w:fldChar w:fldCharType="separate"/>
            </w:r>
            <w:r w:rsidR="00934206" w:rsidRPr="00787196">
              <w:rPr>
                <w:rFonts w:eastAsia="Calibri" w:cs="Arial"/>
                <w:sz w:val="14"/>
                <w:szCs w:val="14"/>
                <w:lang w:eastAsia="en-US" w:bidi="ar-SA"/>
              </w:rPr>
              <w:t>(Locker and Allen, 2002, Kuboki et al., 2012)</w:t>
            </w:r>
            <w:r w:rsidRPr="00787196">
              <w:rPr>
                <w:rFonts w:eastAsia="Calibri" w:cs="Arial"/>
                <w:sz w:val="14"/>
                <w:szCs w:val="14"/>
                <w:lang w:eastAsia="en-US" w:bidi="ar-SA"/>
              </w:rPr>
              <w:fldChar w:fldCharType="end"/>
            </w:r>
          </w:p>
        </w:tc>
        <w:tc>
          <w:tcPr>
            <w:tcW w:w="2430" w:type="dxa"/>
            <w:shd w:val="clear" w:color="auto" w:fill="auto"/>
            <w:vAlign w:val="center"/>
          </w:tcPr>
          <w:p w14:paraId="717CB4ED"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Cross sectional, Multi-axis longitudinal study </w:t>
            </w:r>
          </w:p>
        </w:tc>
        <w:tc>
          <w:tcPr>
            <w:tcW w:w="2573" w:type="dxa"/>
            <w:shd w:val="clear" w:color="auto" w:fill="auto"/>
            <w:vAlign w:val="center"/>
          </w:tcPr>
          <w:p w14:paraId="5835E766" w14:textId="77777777" w:rsidR="0001543E" w:rsidRPr="00787196" w:rsidRDefault="0001543E"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OIDP (Korean), OHIP Chinese, OHIP</w:t>
            </w:r>
          </w:p>
        </w:tc>
        <w:tc>
          <w:tcPr>
            <w:tcW w:w="2143" w:type="dxa"/>
            <w:shd w:val="clear" w:color="auto" w:fill="auto"/>
            <w:vAlign w:val="center"/>
          </w:tcPr>
          <w:p w14:paraId="26FB2546" w14:textId="77777777" w:rsidR="0001543E" w:rsidRPr="00787196" w:rsidRDefault="0001543E" w:rsidP="00FF60C6">
            <w:pPr>
              <w:keepNext/>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Significant association </w:t>
            </w:r>
          </w:p>
        </w:tc>
      </w:tr>
      <w:tr w:rsidR="008535E9" w:rsidRPr="00787196" w14:paraId="09C91A93" w14:textId="77777777" w:rsidTr="00B560B3">
        <w:trPr>
          <w:trHeight w:val="603"/>
        </w:trPr>
        <w:tc>
          <w:tcPr>
            <w:tcW w:w="1252" w:type="dxa"/>
            <w:shd w:val="clear" w:color="auto" w:fill="auto"/>
            <w:vAlign w:val="center"/>
          </w:tcPr>
          <w:p w14:paraId="06E09491" w14:textId="77777777" w:rsidR="008535E9" w:rsidRPr="00787196" w:rsidRDefault="008535E9" w:rsidP="005C2A75">
            <w:pPr>
              <w:spacing w:before="0" w:after="0"/>
              <w:rPr>
                <w:rFonts w:eastAsia="Calibri" w:cs="Arial"/>
                <w:b/>
                <w:sz w:val="14"/>
                <w:szCs w:val="14"/>
                <w:lang w:eastAsia="en-US" w:bidi="ar-SA"/>
              </w:rPr>
            </w:pPr>
            <w:r w:rsidRPr="00787196">
              <w:rPr>
                <w:rFonts w:eastAsia="Calibri" w:cs="Arial"/>
                <w:b/>
                <w:sz w:val="14"/>
                <w:szCs w:val="14"/>
                <w:lang w:eastAsia="en-US" w:bidi="ar-SA"/>
              </w:rPr>
              <w:t>Coping strategies</w:t>
            </w:r>
          </w:p>
        </w:tc>
        <w:tc>
          <w:tcPr>
            <w:tcW w:w="714" w:type="dxa"/>
            <w:shd w:val="clear" w:color="auto" w:fill="auto"/>
            <w:vAlign w:val="center"/>
          </w:tcPr>
          <w:p w14:paraId="70B02855" w14:textId="6DABC800" w:rsidR="008535E9" w:rsidRPr="00787196" w:rsidRDefault="008535E9" w:rsidP="00EB789A">
            <w:pPr>
              <w:spacing w:before="0" w:after="0"/>
              <w:jc w:val="center"/>
              <w:rPr>
                <w:rFonts w:eastAsia="Calibri" w:cs="Arial"/>
                <w:sz w:val="14"/>
                <w:szCs w:val="14"/>
                <w:lang w:eastAsia="en-US" w:bidi="ar-SA"/>
              </w:rPr>
            </w:pPr>
            <w:r w:rsidRPr="00787196">
              <w:rPr>
                <w:rFonts w:eastAsia="Calibri" w:cs="Arial"/>
                <w:sz w:val="14"/>
                <w:szCs w:val="14"/>
                <w:lang w:eastAsia="en-US" w:bidi="ar-SA"/>
              </w:rPr>
              <w:t>1</w:t>
            </w:r>
          </w:p>
        </w:tc>
        <w:tc>
          <w:tcPr>
            <w:tcW w:w="4430" w:type="dxa"/>
            <w:shd w:val="clear" w:color="auto" w:fill="auto"/>
            <w:vAlign w:val="center"/>
          </w:tcPr>
          <w:p w14:paraId="310844C8" w14:textId="77777777" w:rsidR="008535E9" w:rsidRPr="00787196" w:rsidRDefault="008535E9" w:rsidP="005C2A75">
            <w:pPr>
              <w:spacing w:before="0" w:after="0"/>
              <w:rPr>
                <w:rFonts w:eastAsia="Calibri" w:cs="Arial"/>
                <w:sz w:val="14"/>
                <w:szCs w:val="14"/>
                <w:lang w:eastAsia="en-US" w:bidi="ar-SA"/>
              </w:rPr>
            </w:pPr>
            <w:r w:rsidRPr="00787196">
              <w:rPr>
                <w:rFonts w:eastAsia="Calibri" w:cs="Arial"/>
                <w:sz w:val="14"/>
                <w:szCs w:val="14"/>
                <w:lang w:eastAsia="en-US" w:bidi="ar-SA"/>
              </w:rPr>
              <w:t>Heydecke et al (2004)</w:t>
            </w:r>
          </w:p>
        </w:tc>
        <w:tc>
          <w:tcPr>
            <w:tcW w:w="2430" w:type="dxa"/>
            <w:shd w:val="clear" w:color="auto" w:fill="auto"/>
            <w:vAlign w:val="center"/>
          </w:tcPr>
          <w:p w14:paraId="254388E5" w14:textId="77777777" w:rsidR="008535E9" w:rsidRPr="00787196" w:rsidRDefault="008535E9"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Cross-sectional survey</w:t>
            </w:r>
          </w:p>
        </w:tc>
        <w:tc>
          <w:tcPr>
            <w:tcW w:w="2573" w:type="dxa"/>
            <w:shd w:val="clear" w:color="auto" w:fill="auto"/>
            <w:vAlign w:val="center"/>
          </w:tcPr>
          <w:p w14:paraId="2AE783AC" w14:textId="77777777" w:rsidR="008535E9" w:rsidRPr="00787196" w:rsidRDefault="008535E9" w:rsidP="00B560B3">
            <w:pPr>
              <w:spacing w:before="0" w:after="0"/>
              <w:jc w:val="left"/>
              <w:rPr>
                <w:rFonts w:eastAsia="Calibri" w:cs="Arial"/>
                <w:sz w:val="14"/>
                <w:szCs w:val="14"/>
                <w:lang w:eastAsia="en-US" w:bidi="ar-SA"/>
              </w:rPr>
            </w:pPr>
            <w:r w:rsidRPr="00787196">
              <w:rPr>
                <w:rFonts w:eastAsia="Calibri" w:cs="Arial"/>
                <w:sz w:val="14"/>
                <w:szCs w:val="14"/>
                <w:lang w:eastAsia="en-US" w:bidi="ar-SA"/>
              </w:rPr>
              <w:t>OHIP-14</w:t>
            </w:r>
          </w:p>
        </w:tc>
        <w:tc>
          <w:tcPr>
            <w:tcW w:w="2143" w:type="dxa"/>
            <w:shd w:val="clear" w:color="auto" w:fill="auto"/>
            <w:vAlign w:val="center"/>
          </w:tcPr>
          <w:p w14:paraId="0EB32618" w14:textId="77777777" w:rsidR="008535E9" w:rsidRPr="00787196" w:rsidRDefault="007B2ED5" w:rsidP="00FF60C6">
            <w:pPr>
              <w:keepNext/>
              <w:spacing w:before="0" w:after="0"/>
              <w:jc w:val="left"/>
              <w:rPr>
                <w:rFonts w:eastAsia="Calibri" w:cs="Arial"/>
                <w:sz w:val="14"/>
                <w:szCs w:val="14"/>
                <w:lang w:eastAsia="en-US" w:bidi="ar-SA"/>
              </w:rPr>
            </w:pPr>
            <w:r w:rsidRPr="00787196">
              <w:rPr>
                <w:rFonts w:eastAsia="Calibri" w:cs="Arial"/>
                <w:sz w:val="14"/>
                <w:szCs w:val="14"/>
                <w:lang w:eastAsia="en-US" w:bidi="ar-SA"/>
              </w:rPr>
              <w:t xml:space="preserve">Certain association present </w:t>
            </w:r>
          </w:p>
        </w:tc>
      </w:tr>
    </w:tbl>
    <w:p w14:paraId="030D2131" w14:textId="2CCCED82" w:rsidR="0001543E" w:rsidRPr="00787196" w:rsidRDefault="0001543E" w:rsidP="00C12EF9">
      <w:pPr>
        <w:pStyle w:val="Caption"/>
        <w:framePr w:w="10183" w:h="431" w:hRule="exact" w:hSpace="180" w:wrap="around" w:vAnchor="page" w:hAnchor="page" w:x="3238" w:y="1570"/>
        <w:spacing w:before="0" w:after="0"/>
        <w:jc w:val="center"/>
        <w:rPr>
          <w:rFonts w:cs="Arial"/>
          <w:b/>
          <w:bCs/>
          <w:i w:val="0"/>
          <w:iCs w:val="0"/>
          <w:color w:val="auto"/>
          <w:sz w:val="24"/>
          <w:szCs w:val="24"/>
        </w:rPr>
      </w:pPr>
      <w:bookmarkStart w:id="76" w:name="_Ref373884846"/>
      <w:bookmarkStart w:id="77" w:name="_Ref373884841"/>
      <w:bookmarkStart w:id="78" w:name="_Toc461641225"/>
      <w:bookmarkStart w:id="79" w:name="_Toc488655527"/>
      <w:r w:rsidRPr="00787196">
        <w:rPr>
          <w:rFonts w:cs="Arial"/>
          <w:b/>
          <w:bCs/>
          <w:i w:val="0"/>
          <w:iCs w:val="0"/>
          <w:color w:val="auto"/>
          <w:sz w:val="24"/>
          <w:szCs w:val="24"/>
        </w:rPr>
        <w:t xml:space="preserve">Table </w:t>
      </w:r>
      <w:r w:rsidR="000332A1" w:rsidRPr="00787196">
        <w:rPr>
          <w:rFonts w:cs="Arial"/>
          <w:b/>
          <w:bCs/>
          <w:i w:val="0"/>
          <w:iCs w:val="0"/>
          <w:color w:val="auto"/>
          <w:sz w:val="24"/>
          <w:szCs w:val="24"/>
        </w:rPr>
        <w:fldChar w:fldCharType="begin"/>
      </w:r>
      <w:r w:rsidR="000332A1" w:rsidRPr="00787196">
        <w:rPr>
          <w:rFonts w:cs="Arial"/>
          <w:b/>
          <w:bCs/>
          <w:i w:val="0"/>
          <w:iCs w:val="0"/>
          <w:color w:val="auto"/>
          <w:sz w:val="24"/>
          <w:szCs w:val="24"/>
        </w:rPr>
        <w:instrText xml:space="preserve"> STYLEREF 1 \s </w:instrText>
      </w:r>
      <w:r w:rsidR="000332A1" w:rsidRPr="00787196">
        <w:rPr>
          <w:rFonts w:cs="Arial"/>
          <w:b/>
          <w:bCs/>
          <w:i w:val="0"/>
          <w:iCs w:val="0"/>
          <w:color w:val="auto"/>
          <w:sz w:val="24"/>
          <w:szCs w:val="24"/>
        </w:rPr>
        <w:fldChar w:fldCharType="separate"/>
      </w:r>
      <w:r w:rsidR="00C069BC" w:rsidRPr="00787196">
        <w:rPr>
          <w:rFonts w:cs="Arial"/>
          <w:b/>
          <w:bCs/>
          <w:i w:val="0"/>
          <w:iCs w:val="0"/>
          <w:noProof/>
          <w:color w:val="auto"/>
          <w:sz w:val="24"/>
          <w:szCs w:val="24"/>
        </w:rPr>
        <w:t>2</w:t>
      </w:r>
      <w:r w:rsidR="000332A1" w:rsidRPr="00787196">
        <w:rPr>
          <w:rFonts w:cs="Arial"/>
          <w:b/>
          <w:bCs/>
          <w:i w:val="0"/>
          <w:iCs w:val="0"/>
          <w:color w:val="auto"/>
          <w:sz w:val="24"/>
          <w:szCs w:val="24"/>
        </w:rPr>
        <w:fldChar w:fldCharType="end"/>
      </w:r>
      <w:r w:rsidR="000332A1" w:rsidRPr="00787196">
        <w:rPr>
          <w:rFonts w:cs="Arial"/>
          <w:b/>
          <w:bCs/>
          <w:i w:val="0"/>
          <w:iCs w:val="0"/>
          <w:color w:val="auto"/>
          <w:sz w:val="24"/>
          <w:szCs w:val="24"/>
        </w:rPr>
        <w:noBreakHyphen/>
      </w:r>
      <w:r w:rsidR="000332A1" w:rsidRPr="00787196">
        <w:rPr>
          <w:rFonts w:cs="Arial"/>
          <w:b/>
          <w:bCs/>
          <w:i w:val="0"/>
          <w:iCs w:val="0"/>
          <w:color w:val="auto"/>
          <w:sz w:val="24"/>
          <w:szCs w:val="24"/>
        </w:rPr>
        <w:fldChar w:fldCharType="begin"/>
      </w:r>
      <w:r w:rsidR="000332A1" w:rsidRPr="00787196">
        <w:rPr>
          <w:rFonts w:cs="Arial"/>
          <w:b/>
          <w:bCs/>
          <w:i w:val="0"/>
          <w:iCs w:val="0"/>
          <w:color w:val="auto"/>
          <w:sz w:val="24"/>
          <w:szCs w:val="24"/>
        </w:rPr>
        <w:instrText xml:space="preserve"> SEQ Table \* ARABIC \s 1 </w:instrText>
      </w:r>
      <w:r w:rsidR="000332A1" w:rsidRPr="00787196">
        <w:rPr>
          <w:rFonts w:cs="Arial"/>
          <w:b/>
          <w:bCs/>
          <w:i w:val="0"/>
          <w:iCs w:val="0"/>
          <w:color w:val="auto"/>
          <w:sz w:val="24"/>
          <w:szCs w:val="24"/>
        </w:rPr>
        <w:fldChar w:fldCharType="separate"/>
      </w:r>
      <w:r w:rsidR="00C069BC" w:rsidRPr="00787196">
        <w:rPr>
          <w:rFonts w:cs="Arial"/>
          <w:b/>
          <w:bCs/>
          <w:i w:val="0"/>
          <w:iCs w:val="0"/>
          <w:noProof/>
          <w:color w:val="auto"/>
          <w:sz w:val="24"/>
          <w:szCs w:val="24"/>
        </w:rPr>
        <w:t>4</w:t>
      </w:r>
      <w:r w:rsidR="000332A1" w:rsidRPr="00787196">
        <w:rPr>
          <w:rFonts w:cs="Arial"/>
          <w:b/>
          <w:bCs/>
          <w:i w:val="0"/>
          <w:iCs w:val="0"/>
          <w:color w:val="auto"/>
          <w:sz w:val="24"/>
          <w:szCs w:val="24"/>
        </w:rPr>
        <w:fldChar w:fldCharType="end"/>
      </w:r>
      <w:bookmarkEnd w:id="76"/>
      <w:r w:rsidR="00FC7334" w:rsidRPr="00787196">
        <w:rPr>
          <w:rFonts w:cs="Arial"/>
          <w:b/>
          <w:bCs/>
          <w:i w:val="0"/>
          <w:iCs w:val="0"/>
          <w:color w:val="auto"/>
          <w:sz w:val="24"/>
          <w:szCs w:val="24"/>
        </w:rPr>
        <w:t>.</w:t>
      </w:r>
      <w:r w:rsidRPr="00787196">
        <w:rPr>
          <w:rFonts w:cs="Arial"/>
          <w:b/>
          <w:bCs/>
          <w:i w:val="0"/>
          <w:iCs w:val="0"/>
          <w:color w:val="auto"/>
          <w:sz w:val="24"/>
          <w:szCs w:val="24"/>
        </w:rPr>
        <w:t xml:space="preserve"> Individual factors associated with OHQoL in denture wearers</w:t>
      </w:r>
      <w:bookmarkEnd w:id="77"/>
      <w:bookmarkEnd w:id="78"/>
      <w:bookmarkEnd w:id="79"/>
    </w:p>
    <w:p w14:paraId="29BF1996" w14:textId="77777777" w:rsidR="0001543E" w:rsidRPr="00787196" w:rsidRDefault="0001543E" w:rsidP="00532A44">
      <w:pPr>
        <w:rPr>
          <w:rFonts w:cs="Arial"/>
          <w:szCs w:val="24"/>
        </w:rPr>
        <w:sectPr w:rsidR="0001543E" w:rsidRPr="00787196" w:rsidSect="00B560B3">
          <w:pgSz w:w="16838" w:h="11906" w:orient="landscape"/>
          <w:pgMar w:top="2268" w:right="1134" w:bottom="1134" w:left="1134" w:header="709" w:footer="709" w:gutter="0"/>
          <w:cols w:space="708"/>
          <w:docGrid w:linePitch="360"/>
        </w:sectPr>
      </w:pPr>
    </w:p>
    <w:p w14:paraId="2FA28757" w14:textId="712974EB" w:rsidR="00FC396B" w:rsidRPr="00787196" w:rsidRDefault="00FC396B" w:rsidP="00B560B3">
      <w:pPr>
        <w:spacing w:before="0" w:after="0"/>
        <w:jc w:val="center"/>
        <w:rPr>
          <w:rFonts w:cs="Arial"/>
          <w:b/>
          <w:iCs/>
          <w:szCs w:val="24"/>
        </w:rPr>
      </w:pPr>
      <w:bookmarkStart w:id="80" w:name="_Ref374070276"/>
      <w:bookmarkStart w:id="81" w:name="_Toc461641224"/>
      <w:bookmarkStart w:id="82" w:name="_Toc488655528"/>
      <w:r w:rsidRPr="00787196">
        <w:rPr>
          <w:rFonts w:cs="Arial"/>
          <w:b/>
          <w:iCs/>
          <w:szCs w:val="24"/>
        </w:rPr>
        <w:lastRenderedPageBreak/>
        <w:t xml:space="preserve">Table </w:t>
      </w:r>
      <w:r w:rsidR="000332A1" w:rsidRPr="00787196">
        <w:rPr>
          <w:rFonts w:cs="Arial"/>
          <w:b/>
          <w:iCs/>
          <w:szCs w:val="24"/>
        </w:rPr>
        <w:fldChar w:fldCharType="begin"/>
      </w:r>
      <w:r w:rsidR="000332A1" w:rsidRPr="00787196">
        <w:rPr>
          <w:rFonts w:cs="Arial"/>
          <w:b/>
          <w:iCs/>
          <w:szCs w:val="24"/>
        </w:rPr>
        <w:instrText xml:space="preserve"> STYLEREF 1 \s </w:instrText>
      </w:r>
      <w:r w:rsidR="000332A1" w:rsidRPr="00787196">
        <w:rPr>
          <w:rFonts w:cs="Arial"/>
          <w:b/>
          <w:iCs/>
          <w:szCs w:val="24"/>
        </w:rPr>
        <w:fldChar w:fldCharType="separate"/>
      </w:r>
      <w:r w:rsidR="00C069BC" w:rsidRPr="00787196">
        <w:rPr>
          <w:rFonts w:cs="Arial"/>
          <w:b/>
          <w:iCs/>
          <w:noProof/>
          <w:szCs w:val="24"/>
        </w:rPr>
        <w:t>2</w:t>
      </w:r>
      <w:r w:rsidR="000332A1" w:rsidRPr="00787196">
        <w:rPr>
          <w:rFonts w:cs="Arial"/>
          <w:b/>
          <w:iCs/>
          <w:szCs w:val="24"/>
        </w:rPr>
        <w:fldChar w:fldCharType="end"/>
      </w:r>
      <w:r w:rsidR="000332A1" w:rsidRPr="00787196">
        <w:rPr>
          <w:rFonts w:cs="Arial"/>
          <w:b/>
          <w:iCs/>
          <w:szCs w:val="24"/>
        </w:rPr>
        <w:noBreakHyphen/>
      </w:r>
      <w:r w:rsidR="000332A1" w:rsidRPr="00787196">
        <w:rPr>
          <w:rFonts w:cs="Arial"/>
          <w:b/>
          <w:iCs/>
          <w:szCs w:val="24"/>
        </w:rPr>
        <w:fldChar w:fldCharType="begin"/>
      </w:r>
      <w:r w:rsidR="000332A1" w:rsidRPr="00787196">
        <w:rPr>
          <w:rFonts w:cs="Arial"/>
          <w:b/>
          <w:iCs/>
          <w:szCs w:val="24"/>
        </w:rPr>
        <w:instrText xml:space="preserve"> SEQ Table \* ARABIC \s 1 </w:instrText>
      </w:r>
      <w:r w:rsidR="000332A1" w:rsidRPr="00787196">
        <w:rPr>
          <w:rFonts w:cs="Arial"/>
          <w:b/>
          <w:iCs/>
          <w:szCs w:val="24"/>
        </w:rPr>
        <w:fldChar w:fldCharType="separate"/>
      </w:r>
      <w:r w:rsidR="00C069BC" w:rsidRPr="00787196">
        <w:rPr>
          <w:rFonts w:cs="Arial"/>
          <w:b/>
          <w:iCs/>
          <w:noProof/>
          <w:szCs w:val="24"/>
        </w:rPr>
        <w:t>5</w:t>
      </w:r>
      <w:r w:rsidR="000332A1" w:rsidRPr="00787196">
        <w:rPr>
          <w:rFonts w:cs="Arial"/>
          <w:b/>
          <w:iCs/>
          <w:szCs w:val="24"/>
        </w:rPr>
        <w:fldChar w:fldCharType="end"/>
      </w:r>
      <w:bookmarkEnd w:id="80"/>
      <w:r w:rsidR="00FC7334" w:rsidRPr="00787196">
        <w:rPr>
          <w:rFonts w:cs="Arial"/>
          <w:b/>
          <w:iCs/>
          <w:szCs w:val="24"/>
        </w:rPr>
        <w:t>.</w:t>
      </w:r>
      <w:r w:rsidRPr="00787196">
        <w:rPr>
          <w:rFonts w:cs="Arial"/>
          <w:b/>
          <w:iCs/>
          <w:szCs w:val="24"/>
        </w:rPr>
        <w:t xml:space="preserve"> Environmental factors associated with OHQoL wearing dentures identified from the review</w:t>
      </w:r>
      <w:bookmarkEnd w:id="81"/>
      <w:bookmarkEnd w:id="82"/>
    </w:p>
    <w:tbl>
      <w:tblPr>
        <w:tblpPr w:leftFromText="180" w:rightFromText="180" w:vertAnchor="page" w:horzAnchor="margin" w:tblpY="2881"/>
        <w:tblW w:w="13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248"/>
        <w:gridCol w:w="2919"/>
        <w:gridCol w:w="2439"/>
        <w:gridCol w:w="2032"/>
        <w:gridCol w:w="3523"/>
      </w:tblGrid>
      <w:tr w:rsidR="00FC396B" w:rsidRPr="00787196" w14:paraId="6B14C12F" w14:textId="77777777" w:rsidTr="00B560B3">
        <w:trPr>
          <w:trHeight w:val="635"/>
        </w:trPr>
        <w:tc>
          <w:tcPr>
            <w:tcW w:w="1492" w:type="dxa"/>
            <w:shd w:val="clear" w:color="auto" w:fill="auto"/>
            <w:vAlign w:val="center"/>
          </w:tcPr>
          <w:p w14:paraId="092ED712" w14:textId="77777777" w:rsidR="00FC396B" w:rsidRPr="00787196" w:rsidRDefault="00FC396B" w:rsidP="00B560B3">
            <w:pPr>
              <w:spacing w:before="0" w:after="0"/>
              <w:jc w:val="center"/>
              <w:rPr>
                <w:rFonts w:cs="Arial"/>
                <w:b/>
                <w:sz w:val="20"/>
                <w:szCs w:val="20"/>
              </w:rPr>
            </w:pPr>
            <w:r w:rsidRPr="00787196">
              <w:rPr>
                <w:rFonts w:cs="Arial"/>
                <w:b/>
                <w:sz w:val="20"/>
                <w:szCs w:val="20"/>
              </w:rPr>
              <w:t>Factors</w:t>
            </w:r>
          </w:p>
        </w:tc>
        <w:tc>
          <w:tcPr>
            <w:tcW w:w="1248" w:type="dxa"/>
            <w:shd w:val="clear" w:color="auto" w:fill="auto"/>
            <w:vAlign w:val="center"/>
          </w:tcPr>
          <w:p w14:paraId="64FD856F" w14:textId="77777777" w:rsidR="00FC396B" w:rsidRPr="00787196" w:rsidRDefault="00FC396B" w:rsidP="00B560B3">
            <w:pPr>
              <w:spacing w:before="0" w:after="0"/>
              <w:jc w:val="center"/>
              <w:rPr>
                <w:rFonts w:cs="Arial"/>
                <w:b/>
                <w:sz w:val="20"/>
                <w:szCs w:val="20"/>
              </w:rPr>
            </w:pPr>
            <w:r w:rsidRPr="00787196">
              <w:rPr>
                <w:rFonts w:cs="Arial"/>
                <w:b/>
                <w:sz w:val="20"/>
                <w:szCs w:val="20"/>
              </w:rPr>
              <w:t>No of studies</w:t>
            </w:r>
          </w:p>
        </w:tc>
        <w:tc>
          <w:tcPr>
            <w:tcW w:w="2919" w:type="dxa"/>
            <w:shd w:val="clear" w:color="auto" w:fill="auto"/>
            <w:vAlign w:val="center"/>
          </w:tcPr>
          <w:p w14:paraId="6CF4E07E" w14:textId="77777777" w:rsidR="00FC396B" w:rsidRPr="00787196" w:rsidRDefault="00FC396B" w:rsidP="00B560B3">
            <w:pPr>
              <w:spacing w:before="0" w:after="0"/>
              <w:jc w:val="center"/>
              <w:rPr>
                <w:rFonts w:cs="Arial"/>
                <w:b/>
                <w:sz w:val="20"/>
                <w:szCs w:val="20"/>
              </w:rPr>
            </w:pPr>
            <w:r w:rsidRPr="00787196">
              <w:rPr>
                <w:rFonts w:cs="Arial"/>
                <w:b/>
                <w:sz w:val="20"/>
                <w:szCs w:val="20"/>
              </w:rPr>
              <w:t>Authors &amp; Date</w:t>
            </w:r>
          </w:p>
        </w:tc>
        <w:tc>
          <w:tcPr>
            <w:tcW w:w="2439" w:type="dxa"/>
            <w:shd w:val="clear" w:color="auto" w:fill="auto"/>
            <w:vAlign w:val="center"/>
          </w:tcPr>
          <w:p w14:paraId="09553491" w14:textId="77777777" w:rsidR="00FC396B" w:rsidRPr="00787196" w:rsidRDefault="00FC396B" w:rsidP="00B560B3">
            <w:pPr>
              <w:spacing w:before="0" w:after="0"/>
              <w:jc w:val="center"/>
              <w:rPr>
                <w:rFonts w:cs="Arial"/>
                <w:b/>
                <w:sz w:val="20"/>
                <w:szCs w:val="20"/>
              </w:rPr>
            </w:pPr>
            <w:r w:rsidRPr="00787196">
              <w:rPr>
                <w:rFonts w:cs="Arial"/>
                <w:b/>
                <w:sz w:val="20"/>
                <w:szCs w:val="20"/>
              </w:rPr>
              <w:t>Study design</w:t>
            </w:r>
          </w:p>
        </w:tc>
        <w:tc>
          <w:tcPr>
            <w:tcW w:w="2032" w:type="dxa"/>
            <w:shd w:val="clear" w:color="auto" w:fill="auto"/>
            <w:vAlign w:val="center"/>
          </w:tcPr>
          <w:p w14:paraId="24CE5CA5" w14:textId="77777777" w:rsidR="00FC396B" w:rsidRPr="00787196" w:rsidRDefault="00FC396B" w:rsidP="00B560B3">
            <w:pPr>
              <w:spacing w:before="0" w:after="0"/>
              <w:jc w:val="center"/>
              <w:rPr>
                <w:rFonts w:cs="Arial"/>
                <w:b/>
                <w:sz w:val="20"/>
                <w:szCs w:val="20"/>
              </w:rPr>
            </w:pPr>
            <w:r w:rsidRPr="00787196">
              <w:rPr>
                <w:rFonts w:cs="Arial"/>
                <w:b/>
                <w:sz w:val="20"/>
                <w:szCs w:val="20"/>
              </w:rPr>
              <w:t>Measure</w:t>
            </w:r>
          </w:p>
        </w:tc>
        <w:tc>
          <w:tcPr>
            <w:tcW w:w="3523" w:type="dxa"/>
            <w:shd w:val="clear" w:color="auto" w:fill="auto"/>
            <w:vAlign w:val="center"/>
          </w:tcPr>
          <w:p w14:paraId="1BC4E1BD" w14:textId="77777777" w:rsidR="00FC396B" w:rsidRPr="00787196" w:rsidRDefault="00FC396B" w:rsidP="00FC7334">
            <w:pPr>
              <w:spacing w:before="0" w:after="0"/>
              <w:rPr>
                <w:rFonts w:cs="Arial"/>
                <w:b/>
                <w:sz w:val="20"/>
                <w:szCs w:val="20"/>
              </w:rPr>
            </w:pPr>
            <w:r w:rsidRPr="00787196">
              <w:rPr>
                <w:rFonts w:cs="Arial"/>
                <w:b/>
                <w:sz w:val="20"/>
                <w:szCs w:val="20"/>
              </w:rPr>
              <w:t>Relationship between variable and OHQoL</w:t>
            </w:r>
          </w:p>
        </w:tc>
      </w:tr>
      <w:tr w:rsidR="00FC396B" w:rsidRPr="00787196" w14:paraId="17C46C47" w14:textId="77777777" w:rsidTr="00B560B3">
        <w:trPr>
          <w:trHeight w:val="1276"/>
        </w:trPr>
        <w:tc>
          <w:tcPr>
            <w:tcW w:w="1492" w:type="dxa"/>
            <w:vMerge w:val="restart"/>
            <w:shd w:val="clear" w:color="auto" w:fill="auto"/>
            <w:vAlign w:val="center"/>
          </w:tcPr>
          <w:p w14:paraId="16442AC1" w14:textId="77777777" w:rsidR="00FC396B" w:rsidRPr="00787196" w:rsidRDefault="00FC396B" w:rsidP="00B560B3">
            <w:pPr>
              <w:spacing w:before="0" w:after="0"/>
              <w:jc w:val="left"/>
              <w:rPr>
                <w:rFonts w:cs="Arial"/>
                <w:b/>
                <w:sz w:val="20"/>
                <w:szCs w:val="20"/>
              </w:rPr>
            </w:pPr>
            <w:r w:rsidRPr="00787196">
              <w:rPr>
                <w:rFonts w:cs="Arial"/>
                <w:b/>
                <w:sz w:val="20"/>
                <w:szCs w:val="20"/>
              </w:rPr>
              <w:t>Education</w:t>
            </w:r>
          </w:p>
        </w:tc>
        <w:tc>
          <w:tcPr>
            <w:tcW w:w="1248" w:type="dxa"/>
            <w:shd w:val="clear" w:color="auto" w:fill="auto"/>
            <w:vAlign w:val="center"/>
          </w:tcPr>
          <w:p w14:paraId="5028D932" w14:textId="77777777" w:rsidR="00FC396B" w:rsidRPr="00787196" w:rsidRDefault="00FC396B" w:rsidP="00B560B3">
            <w:pPr>
              <w:spacing w:before="0" w:after="0"/>
              <w:jc w:val="center"/>
              <w:rPr>
                <w:rFonts w:cs="Arial"/>
                <w:sz w:val="20"/>
                <w:szCs w:val="20"/>
              </w:rPr>
            </w:pPr>
            <w:r w:rsidRPr="00787196">
              <w:rPr>
                <w:rFonts w:cs="Arial"/>
                <w:sz w:val="20"/>
                <w:szCs w:val="20"/>
              </w:rPr>
              <w:t>5</w:t>
            </w:r>
          </w:p>
        </w:tc>
        <w:tc>
          <w:tcPr>
            <w:tcW w:w="2919" w:type="dxa"/>
            <w:shd w:val="clear" w:color="auto" w:fill="auto"/>
            <w:vAlign w:val="center"/>
          </w:tcPr>
          <w:p w14:paraId="4A213E03" w14:textId="77777777" w:rsidR="00FC396B" w:rsidRPr="00787196" w:rsidRDefault="00FC396B" w:rsidP="00B560B3">
            <w:pPr>
              <w:spacing w:before="0" w:after="0"/>
              <w:rPr>
                <w:rFonts w:cs="Arial"/>
                <w:sz w:val="20"/>
                <w:szCs w:val="20"/>
                <w:lang w:val="fr-FR"/>
              </w:rPr>
            </w:pPr>
            <w:r w:rsidRPr="00787196">
              <w:rPr>
                <w:rFonts w:eastAsia="Calibri" w:cs="Arial"/>
                <w:sz w:val="20"/>
                <w:szCs w:val="20"/>
                <w:lang w:eastAsia="en-US" w:bidi="ar-SA"/>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TG9uZG9uPC9JRFRleHQ+PERpc3BsYXlUZXh0PihUc2Frb3MgZXQgYWwuLCAyMDA5LCBFbWFtaSBl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</w:fldData>
              </w:fldChar>
            </w:r>
            <w:r w:rsidRPr="00787196">
              <w:rPr>
                <w:rFonts w:eastAsia="Calibri" w:cs="Arial"/>
                <w:sz w:val="20"/>
                <w:szCs w:val="20"/>
                <w:lang w:val="fr-FR" w:eastAsia="en-US" w:bidi="ar-SA"/>
              </w:rPr>
              <w:instrText xml:space="preserve"> ADDIN EN.CITE </w:instrText>
            </w:r>
            <w:r w:rsidRPr="00787196">
              <w:rPr>
                <w:rFonts w:eastAsia="Calibri" w:cs="Arial"/>
                <w:sz w:val="20"/>
                <w:szCs w:val="20"/>
                <w:lang w:eastAsia="en-US" w:bidi="ar-SA"/>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TG9uZG9uPC9JRFRleHQ+PERpc3BsYXlUZXh0PihUc2Frb3MgZXQgYWwuLCAyMDA5LCBFbWFtaSBl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</w:fldData>
              </w:fldChar>
            </w:r>
            <w:r w:rsidRPr="00787196">
              <w:rPr>
                <w:rFonts w:eastAsia="Calibri" w:cs="Arial"/>
                <w:sz w:val="20"/>
                <w:szCs w:val="20"/>
                <w:lang w:val="fr-FR" w:eastAsia="en-US" w:bidi="ar-SA"/>
              </w:rPr>
              <w:instrText xml:space="preserve"> ADDIN EN.CITE.DATA </w:instrText>
            </w:r>
            <w:r w:rsidRPr="00787196">
              <w:rPr>
                <w:rFonts w:eastAsia="Calibri" w:cs="Arial"/>
                <w:sz w:val="20"/>
                <w:szCs w:val="20"/>
                <w:lang w:eastAsia="en-US" w:bidi="ar-SA"/>
              </w:rPr>
            </w:r>
            <w:r w:rsidRPr="00787196">
              <w:rPr>
                <w:rFonts w:eastAsia="Calibri" w:cs="Arial"/>
                <w:sz w:val="20"/>
                <w:szCs w:val="20"/>
                <w:lang w:eastAsia="en-US" w:bidi="ar-SA"/>
              </w:rPr>
              <w:fldChar w:fldCharType="end"/>
            </w:r>
            <w:r w:rsidRPr="00787196">
              <w:rPr>
                <w:rFonts w:eastAsia="Calibri" w:cs="Arial"/>
                <w:sz w:val="20"/>
                <w:szCs w:val="20"/>
                <w:lang w:eastAsia="en-US" w:bidi="ar-SA"/>
              </w:rPr>
            </w:r>
            <w:r w:rsidRPr="00787196">
              <w:rPr>
                <w:rFonts w:eastAsia="Calibri" w:cs="Arial"/>
                <w:sz w:val="20"/>
                <w:szCs w:val="20"/>
                <w:lang w:eastAsia="en-US" w:bidi="ar-SA"/>
              </w:rPr>
              <w:fldChar w:fldCharType="separate"/>
            </w:r>
            <w:r w:rsidRPr="00787196">
              <w:rPr>
                <w:rFonts w:cs="Arial"/>
                <w:sz w:val="20"/>
                <w:szCs w:val="20"/>
                <w:lang w:val="fr-FR"/>
              </w:rPr>
              <w:t>(</w:t>
            </w:r>
            <w:r w:rsidRPr="00787196">
              <w:rPr>
                <w:rFonts w:eastAsia="Calibri" w:cs="Arial"/>
                <w:sz w:val="20"/>
                <w:szCs w:val="20"/>
                <w:lang w:val="fr-FR"/>
              </w:rPr>
              <w:t>Tsakos et al., 2009</w:t>
            </w:r>
            <w:r w:rsidRPr="00787196">
              <w:rPr>
                <w:rFonts w:cs="Arial"/>
                <w:sz w:val="20"/>
                <w:szCs w:val="20"/>
                <w:lang w:val="fr-FR"/>
              </w:rPr>
              <w:t xml:space="preserve">, </w:t>
            </w:r>
            <w:r w:rsidRPr="00787196">
              <w:rPr>
                <w:rFonts w:eastAsia="Calibri" w:cs="Arial"/>
                <w:sz w:val="20"/>
                <w:szCs w:val="20"/>
                <w:lang w:val="fr-FR"/>
              </w:rPr>
              <w:t>Emami et al., 2010</w:t>
            </w:r>
            <w:r w:rsidRPr="00787196">
              <w:rPr>
                <w:rFonts w:cs="Arial"/>
                <w:sz w:val="20"/>
                <w:szCs w:val="20"/>
                <w:lang w:val="fr-FR"/>
              </w:rPr>
              <w:t xml:space="preserve">, </w:t>
            </w:r>
            <w:r w:rsidRPr="00787196">
              <w:rPr>
                <w:rFonts w:eastAsia="Calibri" w:cs="Arial"/>
                <w:sz w:val="20"/>
                <w:szCs w:val="20"/>
                <w:lang w:val="fr-FR"/>
              </w:rPr>
              <w:t>Torres et al., 2011</w:t>
            </w:r>
            <w:r w:rsidRPr="00787196">
              <w:rPr>
                <w:rFonts w:cs="Arial"/>
                <w:sz w:val="20"/>
                <w:szCs w:val="20"/>
                <w:lang w:val="fr-FR"/>
              </w:rPr>
              <w:t xml:space="preserve">, </w:t>
            </w:r>
            <w:r w:rsidRPr="00787196">
              <w:rPr>
                <w:rFonts w:eastAsia="Calibri" w:cs="Arial"/>
                <w:sz w:val="20"/>
                <w:szCs w:val="20"/>
                <w:lang w:val="fr-FR"/>
              </w:rPr>
              <w:t>Abuzar et al., 2012</w:t>
            </w:r>
            <w:r w:rsidRPr="00787196">
              <w:rPr>
                <w:rFonts w:cs="Arial"/>
                <w:sz w:val="20"/>
                <w:szCs w:val="20"/>
                <w:lang w:val="fr-FR"/>
              </w:rPr>
              <w:t xml:space="preserve">, </w:t>
            </w:r>
            <w:r w:rsidRPr="00787196">
              <w:rPr>
                <w:rFonts w:eastAsia="Calibri" w:cs="Arial"/>
                <w:sz w:val="20"/>
                <w:szCs w:val="20"/>
                <w:lang w:val="fr-FR"/>
              </w:rPr>
              <w:t>Lee et al., 2012</w:t>
            </w:r>
            <w:r w:rsidRPr="00787196">
              <w:rPr>
                <w:rFonts w:cs="Arial"/>
                <w:sz w:val="20"/>
                <w:szCs w:val="20"/>
                <w:lang w:val="fr-FR"/>
              </w:rPr>
              <w:t>)</w:t>
            </w:r>
            <w:r w:rsidRPr="00787196">
              <w:rPr>
                <w:rFonts w:eastAsia="Calibri" w:cs="Arial"/>
                <w:sz w:val="20"/>
                <w:szCs w:val="20"/>
                <w:lang w:eastAsia="en-US" w:bidi="ar-SA"/>
              </w:rPr>
              <w:fldChar w:fldCharType="end"/>
            </w:r>
          </w:p>
        </w:tc>
        <w:tc>
          <w:tcPr>
            <w:tcW w:w="2439" w:type="dxa"/>
            <w:shd w:val="clear" w:color="auto" w:fill="auto"/>
            <w:vAlign w:val="center"/>
          </w:tcPr>
          <w:p w14:paraId="7854D3AD" w14:textId="1553683C" w:rsidR="00FC396B" w:rsidRPr="00787196" w:rsidRDefault="00FC396B" w:rsidP="00F62C28">
            <w:pPr>
              <w:spacing w:before="0" w:after="0"/>
              <w:rPr>
                <w:rFonts w:cs="Arial"/>
                <w:sz w:val="20"/>
                <w:szCs w:val="20"/>
              </w:rPr>
            </w:pPr>
            <w:r w:rsidRPr="00787196">
              <w:rPr>
                <w:rFonts w:cs="Arial"/>
                <w:sz w:val="20"/>
                <w:szCs w:val="20"/>
              </w:rPr>
              <w:t>Cross-sectional, Longitudinal, Randomised control trial</w:t>
            </w:r>
          </w:p>
        </w:tc>
        <w:tc>
          <w:tcPr>
            <w:tcW w:w="2032" w:type="dxa"/>
            <w:shd w:val="clear" w:color="auto" w:fill="auto"/>
            <w:vAlign w:val="center"/>
          </w:tcPr>
          <w:p w14:paraId="694984D6" w14:textId="743F1E09" w:rsidR="00FC396B" w:rsidRPr="00787196" w:rsidRDefault="00FC396B" w:rsidP="00F62C28">
            <w:pPr>
              <w:spacing w:before="0" w:after="0"/>
              <w:jc w:val="left"/>
              <w:rPr>
                <w:rFonts w:cs="Arial"/>
                <w:sz w:val="20"/>
                <w:szCs w:val="20"/>
              </w:rPr>
            </w:pPr>
            <w:r w:rsidRPr="00787196">
              <w:rPr>
                <w:rFonts w:cs="Arial"/>
                <w:sz w:val="20"/>
                <w:szCs w:val="20"/>
              </w:rPr>
              <w:t>OHIP Chinese, OHIP-14, GOHAI</w:t>
            </w:r>
          </w:p>
        </w:tc>
        <w:tc>
          <w:tcPr>
            <w:tcW w:w="3523" w:type="dxa"/>
            <w:shd w:val="clear" w:color="auto" w:fill="auto"/>
            <w:vAlign w:val="center"/>
          </w:tcPr>
          <w:p w14:paraId="447A02A6" w14:textId="77777777" w:rsidR="00FC396B" w:rsidRPr="00787196" w:rsidRDefault="00FC396B" w:rsidP="00B560B3">
            <w:pPr>
              <w:spacing w:before="0" w:after="0"/>
              <w:rPr>
                <w:rFonts w:cs="Arial"/>
                <w:sz w:val="20"/>
                <w:szCs w:val="20"/>
              </w:rPr>
            </w:pPr>
            <w:r w:rsidRPr="00787196">
              <w:rPr>
                <w:rFonts w:cs="Arial"/>
                <w:sz w:val="20"/>
                <w:szCs w:val="20"/>
              </w:rPr>
              <w:t>Significant association – Higher education better OHQoL</w:t>
            </w:r>
          </w:p>
        </w:tc>
      </w:tr>
      <w:tr w:rsidR="00FC396B" w:rsidRPr="00787196" w14:paraId="22F73284" w14:textId="77777777" w:rsidTr="00B560B3">
        <w:trPr>
          <w:trHeight w:val="477"/>
        </w:trPr>
        <w:tc>
          <w:tcPr>
            <w:tcW w:w="1492" w:type="dxa"/>
            <w:vMerge/>
            <w:shd w:val="clear" w:color="auto" w:fill="auto"/>
            <w:vAlign w:val="center"/>
          </w:tcPr>
          <w:p w14:paraId="657AAEB1" w14:textId="77777777" w:rsidR="00FC396B" w:rsidRPr="00787196" w:rsidRDefault="00FC396B" w:rsidP="00B560B3">
            <w:pPr>
              <w:spacing w:before="0" w:after="0"/>
              <w:jc w:val="left"/>
              <w:rPr>
                <w:rFonts w:cs="Arial"/>
                <w:sz w:val="20"/>
                <w:szCs w:val="20"/>
              </w:rPr>
            </w:pPr>
          </w:p>
        </w:tc>
        <w:tc>
          <w:tcPr>
            <w:tcW w:w="1248" w:type="dxa"/>
            <w:shd w:val="clear" w:color="auto" w:fill="auto"/>
            <w:vAlign w:val="center"/>
          </w:tcPr>
          <w:p w14:paraId="2E8CA068" w14:textId="77777777" w:rsidR="00FC396B" w:rsidRPr="00787196" w:rsidRDefault="00FC396B" w:rsidP="00B560B3">
            <w:pPr>
              <w:spacing w:before="0" w:after="0"/>
              <w:jc w:val="center"/>
              <w:rPr>
                <w:rFonts w:cs="Arial"/>
                <w:sz w:val="20"/>
                <w:szCs w:val="20"/>
              </w:rPr>
            </w:pPr>
            <w:r w:rsidRPr="00787196">
              <w:rPr>
                <w:rFonts w:cs="Arial"/>
                <w:sz w:val="20"/>
                <w:szCs w:val="20"/>
              </w:rPr>
              <w:t>1</w:t>
            </w:r>
          </w:p>
        </w:tc>
        <w:tc>
          <w:tcPr>
            <w:tcW w:w="2919" w:type="dxa"/>
            <w:shd w:val="clear" w:color="auto" w:fill="auto"/>
            <w:vAlign w:val="center"/>
          </w:tcPr>
          <w:p w14:paraId="63F28308" w14:textId="77777777" w:rsidR="00FC396B" w:rsidRPr="00787196" w:rsidRDefault="00FC396B" w:rsidP="00B560B3">
            <w:pPr>
              <w:spacing w:before="0" w:after="0"/>
              <w:rPr>
                <w:rFonts w:cs="Arial"/>
                <w:sz w:val="20"/>
                <w:szCs w:val="20"/>
              </w:rPr>
            </w:pPr>
            <w:r w:rsidRPr="00787196">
              <w:rPr>
                <w:rFonts w:eastAsia="Calibri" w:cs="Arial"/>
                <w:sz w:val="20"/>
                <w:szCs w:val="20"/>
                <w:lang w:eastAsia="en-US" w:bidi="ar-SA"/>
              </w:rPr>
              <w:fldChar w:fldCharType="begin"/>
            </w:r>
            <w:r w:rsidRPr="00787196">
              <w:rPr>
                <w:rFonts w:eastAsia="Calibri" w:cs="Arial"/>
                <w:sz w:val="20"/>
                <w:szCs w:val="20"/>
                <w:lang w:eastAsia="en-US" w:bidi="ar-SA"/>
              </w:rPr>
              <w:instrText xml:space="preserve"> ADDIN EN.CITE &lt;EndNote&gt;&lt;Cite&gt;&lt;Author&gt;Jabbour&lt;/Author&gt;&lt;Year&gt;2012&lt;/Year&gt;&lt;RecNum&gt;0&lt;/RecNum&gt;&lt;IDText&gt;Is oral health-related quality of life stable following rehabilitation with mandibular two-implant overdentures?&lt;/IDText&gt;&lt;DisplayText&gt;(Jabbour et al., 2012)&lt;/DisplayText&gt;&lt;record&gt;&lt;dates&gt;&lt;pub-dates&gt;&lt;date&gt;Oct&lt;/date&gt;&lt;/pub-dates&gt;&lt;year&gt;2012&lt;/year&gt;&lt;/dates&gt;&lt;isbn&gt;0905-7161&lt;/isbn&gt;&lt;titles&gt;&lt;title&gt;Is oral health-related quality of life stable following rehabilitation with mandibular two-implant overdentures?&lt;/title&gt;&lt;secondary-title&gt;Clin Oral Implants Res&lt;/secondary-title&gt;&lt;alt-title&gt;Clinical oral implants research&lt;/alt-title&gt;&lt;/titles&gt;&lt;pages&gt;1205-9&lt;/pages&gt;&lt;number&gt;10&lt;/number&gt;&lt;contributors&gt;&lt;authors&gt;&lt;author&gt;Jabbour, Z.&lt;/author&gt;&lt;author&gt;Emami, E.&lt;/author&gt;&lt;author&gt;de Grandmont, P.&lt;/author&gt;&lt;author&gt;Rompre, P. H.&lt;/author&gt;&lt;author&gt;Feine, J. S.&lt;/author&gt;&lt;/authors&gt;&lt;/contributors&gt;&lt;edition&gt;2011/11/19&lt;/edition&gt;&lt;language&gt;eng&lt;/language&gt;&lt;added-date format="utc"&gt;1374040089&lt;/added-date&gt;&lt;ref-type name="Journal Article"&gt;17&lt;/ref-type&gt;&lt;auth-address&gt;Oral Health and Rehabilitation Research Unit, Faculte de Medecine Dentaire, Universite de Montreal, Montreal, Canada.&lt;/auth-address&gt;&lt;remote-database-provider&gt;Nlm&lt;/remote-database-provider&gt;&lt;rec-number&gt;855&lt;/rec-number&gt;&lt;last-updated-date format="utc"&gt;1374040089&lt;/last-updated-date&gt;&lt;accession-num&gt;22092512&lt;/accession-num&gt;&lt;electronic-resource-num&gt;10.1111/j.1600-0501.2011.02289.x&lt;/electronic-resource-num&gt;&lt;volume&gt;23&lt;/volume&gt;&lt;/record&gt;&lt;/Cite&gt;&lt;/EndNote&gt;</w:instrText>
            </w:r>
            <w:r w:rsidRPr="00787196">
              <w:rPr>
                <w:rFonts w:eastAsia="Calibri" w:cs="Arial"/>
                <w:sz w:val="20"/>
                <w:szCs w:val="20"/>
                <w:lang w:eastAsia="en-US" w:bidi="ar-SA"/>
              </w:rPr>
              <w:fldChar w:fldCharType="separate"/>
            </w:r>
            <w:r w:rsidRPr="00787196">
              <w:rPr>
                <w:rFonts w:eastAsia="Calibri" w:cs="Arial"/>
                <w:sz w:val="20"/>
                <w:szCs w:val="20"/>
                <w:lang w:eastAsia="en-US" w:bidi="ar-SA"/>
              </w:rPr>
              <w:t>(Jabbour et al., 2012)</w:t>
            </w:r>
            <w:r w:rsidRPr="00787196">
              <w:rPr>
                <w:rFonts w:eastAsia="Calibri" w:cs="Arial"/>
                <w:sz w:val="20"/>
                <w:szCs w:val="20"/>
                <w:lang w:eastAsia="en-US" w:bidi="ar-SA"/>
              </w:rPr>
              <w:fldChar w:fldCharType="end"/>
            </w:r>
          </w:p>
        </w:tc>
        <w:tc>
          <w:tcPr>
            <w:tcW w:w="2439" w:type="dxa"/>
            <w:shd w:val="clear" w:color="auto" w:fill="auto"/>
            <w:vAlign w:val="center"/>
          </w:tcPr>
          <w:p w14:paraId="6999AE28" w14:textId="77777777" w:rsidR="00FC396B" w:rsidRPr="00787196" w:rsidRDefault="00FC396B" w:rsidP="00B560B3">
            <w:pPr>
              <w:spacing w:before="0" w:after="0"/>
              <w:rPr>
                <w:rFonts w:cs="Arial"/>
                <w:sz w:val="20"/>
                <w:szCs w:val="20"/>
              </w:rPr>
            </w:pPr>
            <w:r w:rsidRPr="00787196">
              <w:rPr>
                <w:rFonts w:cs="Arial"/>
                <w:sz w:val="20"/>
                <w:szCs w:val="20"/>
              </w:rPr>
              <w:t>Longitudinal</w:t>
            </w:r>
          </w:p>
        </w:tc>
        <w:tc>
          <w:tcPr>
            <w:tcW w:w="2032" w:type="dxa"/>
            <w:shd w:val="clear" w:color="auto" w:fill="auto"/>
            <w:vAlign w:val="center"/>
          </w:tcPr>
          <w:p w14:paraId="47BB3615" w14:textId="77777777" w:rsidR="00FC396B" w:rsidRPr="00787196" w:rsidRDefault="00FC396B" w:rsidP="00B560B3">
            <w:pPr>
              <w:spacing w:before="0" w:after="0"/>
              <w:jc w:val="left"/>
              <w:rPr>
                <w:rFonts w:cs="Arial"/>
                <w:sz w:val="20"/>
                <w:szCs w:val="20"/>
              </w:rPr>
            </w:pPr>
            <w:r w:rsidRPr="00787196">
              <w:rPr>
                <w:rFonts w:cs="Arial"/>
                <w:sz w:val="20"/>
                <w:szCs w:val="20"/>
              </w:rPr>
              <w:t>OHIP Turkish version OHIP-20</w:t>
            </w:r>
          </w:p>
        </w:tc>
        <w:tc>
          <w:tcPr>
            <w:tcW w:w="3523" w:type="dxa"/>
            <w:shd w:val="clear" w:color="auto" w:fill="auto"/>
            <w:vAlign w:val="center"/>
          </w:tcPr>
          <w:p w14:paraId="74169FA3" w14:textId="77777777" w:rsidR="00FC396B" w:rsidRPr="00787196" w:rsidRDefault="00FC396B" w:rsidP="00B560B3">
            <w:pPr>
              <w:spacing w:before="0" w:after="0"/>
              <w:rPr>
                <w:rFonts w:cs="Arial"/>
                <w:sz w:val="20"/>
                <w:szCs w:val="20"/>
              </w:rPr>
            </w:pPr>
            <w:r w:rsidRPr="00787196">
              <w:rPr>
                <w:rFonts w:cs="Arial"/>
                <w:sz w:val="20"/>
                <w:szCs w:val="20"/>
              </w:rPr>
              <w:t>Non-significant or no association</w:t>
            </w:r>
          </w:p>
        </w:tc>
      </w:tr>
      <w:tr w:rsidR="00FC396B" w:rsidRPr="00787196" w14:paraId="7D6E8289" w14:textId="77777777" w:rsidTr="00B560B3">
        <w:trPr>
          <w:trHeight w:val="711"/>
        </w:trPr>
        <w:tc>
          <w:tcPr>
            <w:tcW w:w="1492" w:type="dxa"/>
            <w:vMerge w:val="restart"/>
            <w:shd w:val="clear" w:color="auto" w:fill="auto"/>
            <w:vAlign w:val="center"/>
          </w:tcPr>
          <w:p w14:paraId="0059C700" w14:textId="77777777" w:rsidR="00FC396B" w:rsidRPr="00787196" w:rsidRDefault="00FC396B" w:rsidP="00B560B3">
            <w:pPr>
              <w:spacing w:before="0" w:after="0"/>
              <w:jc w:val="left"/>
              <w:rPr>
                <w:rFonts w:cs="Arial"/>
                <w:b/>
                <w:sz w:val="20"/>
                <w:szCs w:val="20"/>
              </w:rPr>
            </w:pPr>
            <w:r w:rsidRPr="00787196">
              <w:rPr>
                <w:rFonts w:cs="Arial"/>
                <w:b/>
                <w:sz w:val="20"/>
                <w:szCs w:val="20"/>
              </w:rPr>
              <w:t>Employment</w:t>
            </w:r>
          </w:p>
        </w:tc>
        <w:tc>
          <w:tcPr>
            <w:tcW w:w="1248" w:type="dxa"/>
            <w:shd w:val="clear" w:color="auto" w:fill="auto"/>
            <w:vAlign w:val="center"/>
          </w:tcPr>
          <w:p w14:paraId="0F3404B3" w14:textId="77777777" w:rsidR="00FC396B" w:rsidRPr="00787196" w:rsidRDefault="00FC396B" w:rsidP="00B560B3">
            <w:pPr>
              <w:spacing w:before="0" w:after="0"/>
              <w:jc w:val="center"/>
              <w:rPr>
                <w:rFonts w:cs="Arial"/>
                <w:sz w:val="20"/>
                <w:szCs w:val="20"/>
              </w:rPr>
            </w:pPr>
            <w:r w:rsidRPr="00787196">
              <w:rPr>
                <w:rFonts w:cs="Arial"/>
                <w:sz w:val="20"/>
                <w:szCs w:val="20"/>
              </w:rPr>
              <w:t>1</w:t>
            </w:r>
          </w:p>
        </w:tc>
        <w:tc>
          <w:tcPr>
            <w:tcW w:w="2919" w:type="dxa"/>
            <w:shd w:val="clear" w:color="auto" w:fill="auto"/>
            <w:vAlign w:val="center"/>
          </w:tcPr>
          <w:p w14:paraId="59A4F542" w14:textId="77777777" w:rsidR="00FC396B" w:rsidRPr="00787196" w:rsidRDefault="00FC396B" w:rsidP="00B560B3">
            <w:pPr>
              <w:spacing w:before="0" w:after="0"/>
              <w:rPr>
                <w:rFonts w:cs="Arial"/>
                <w:sz w:val="20"/>
                <w:szCs w:val="20"/>
              </w:rPr>
            </w:pPr>
            <w:r w:rsidRPr="00787196">
              <w:rPr>
                <w:rFonts w:eastAsia="Calibri" w:cs="Arial"/>
                <w:sz w:val="20"/>
                <w:szCs w:val="20"/>
                <w:lang w:eastAsia="en-US" w:bidi="ar-SA"/>
              </w:rPr>
              <w:fldChar w:fldCharType="begin"/>
            </w:r>
            <w:r w:rsidRPr="00787196">
              <w:rPr>
                <w:rFonts w:eastAsia="Calibri" w:cs="Arial"/>
                <w:sz w:val="20"/>
                <w:szCs w:val="20"/>
                <w:lang w:eastAsia="en-US" w:bidi="ar-SA"/>
              </w:rPr>
              <w:instrText xml:space="preserve"> ADDIN EN.CITE &lt;EndNote&gt;&lt;Cite&gt;&lt;Author&gt;Baran&lt;/Author&gt;&lt;Year&gt;2011&lt;/Year&gt;&lt;RecNum&gt;0&lt;/RecNum&gt;&lt;IDText&gt;Self-reported problems before and after prosthodontic treatments according to newly created Turkish version of oral health impact profile&lt;/IDText&gt;&lt;DisplayText&gt;(Baran and Nalcaci, 2011)&lt;/DisplayText&gt;&lt;record&gt;&lt;dates&gt;&lt;pub-dates&gt;&lt;date&gt;Sep-Oct&lt;/date&gt;&lt;/pub-dates&gt;&lt;year&gt;2011&lt;/year&gt;&lt;/dates&gt;&lt;isbn&gt;0167-4943&lt;/isbn&gt;&lt;titles&gt;&lt;title&gt;Self-reported problems before and after prosthodontic treatments according to newly created Turkish version of oral health impact profile&lt;/title&gt;&lt;secondary-title&gt;Arch Gerontol Geriatr&lt;/secondary-title&gt;&lt;alt-title&gt;Archives of gerontology and geriatrics&lt;/alt-title&gt;&lt;/titles&gt;&lt;pages&gt;e99-105&lt;/pages&gt;&lt;number&gt;2&lt;/number&gt;&lt;contributors&gt;&lt;authors&gt;&lt;author&gt;Baran, I.&lt;/author&gt;&lt;author&gt;Nalcaci, R.&lt;/author&gt;&lt;/authors&gt;&lt;/contributors&gt;&lt;edition&gt;2010/08/14&lt;/edition&gt;&lt;language&gt;eng&lt;/language&gt;&lt;added-date format="utc"&gt;1374040090&lt;/added-date&gt;&lt;ref-type name="Journal Article"&gt;17&lt;/ref-type&gt;&lt;auth-address&gt;Department of Prosthodontics, Faculty of Dentistry, University of Kirikkale, 71100 Kirikkale, Turkey. ilgiee@hotmail.com&lt;/auth-address&gt;&lt;remote-database-provider&gt;Nlm&lt;/remote-database-provider&gt;&lt;rec-number&gt;907&lt;/rec-number&gt;&lt;last-updated-date format="utc"&gt;1374040090&lt;/last-updated-date&gt;&lt;accession-num&gt;20705349&lt;/accession-num&gt;&lt;electronic-resource-num&gt;10.1016/j.archger.2010.07.002&lt;/electronic-resource-num&gt;&lt;volume&gt;53&lt;/volume&gt;&lt;/record&gt;&lt;/Cite&gt;&lt;/EndNote&gt;</w:instrText>
            </w:r>
            <w:r w:rsidRPr="00787196">
              <w:rPr>
                <w:rFonts w:eastAsia="Calibri" w:cs="Arial"/>
                <w:sz w:val="20"/>
                <w:szCs w:val="20"/>
                <w:lang w:eastAsia="en-US" w:bidi="ar-SA"/>
              </w:rPr>
              <w:fldChar w:fldCharType="separate"/>
            </w:r>
            <w:r w:rsidRPr="00787196">
              <w:rPr>
                <w:rFonts w:cs="Arial"/>
                <w:sz w:val="20"/>
                <w:szCs w:val="20"/>
              </w:rPr>
              <w:t>(</w:t>
            </w:r>
            <w:r w:rsidRPr="00787196">
              <w:rPr>
                <w:rFonts w:eastAsia="Calibri" w:cs="Arial"/>
                <w:sz w:val="20"/>
                <w:szCs w:val="20"/>
              </w:rPr>
              <w:t>Baran and Nalcaci, 2011</w:t>
            </w:r>
            <w:r w:rsidRPr="00787196">
              <w:rPr>
                <w:rFonts w:cs="Arial"/>
                <w:sz w:val="20"/>
                <w:szCs w:val="20"/>
              </w:rPr>
              <w:t>)</w:t>
            </w:r>
            <w:r w:rsidRPr="00787196">
              <w:rPr>
                <w:rFonts w:eastAsia="Calibri" w:cs="Arial"/>
                <w:sz w:val="20"/>
                <w:szCs w:val="20"/>
                <w:lang w:eastAsia="en-US" w:bidi="ar-SA"/>
              </w:rPr>
              <w:fldChar w:fldCharType="end"/>
            </w:r>
          </w:p>
        </w:tc>
        <w:tc>
          <w:tcPr>
            <w:tcW w:w="2439" w:type="dxa"/>
            <w:shd w:val="clear" w:color="auto" w:fill="auto"/>
            <w:vAlign w:val="center"/>
          </w:tcPr>
          <w:p w14:paraId="2861CFF5" w14:textId="77777777" w:rsidR="00FC396B" w:rsidRPr="00787196" w:rsidRDefault="00FC396B" w:rsidP="00B560B3">
            <w:pPr>
              <w:spacing w:before="0" w:after="0"/>
              <w:rPr>
                <w:rFonts w:cs="Arial"/>
                <w:sz w:val="20"/>
                <w:szCs w:val="20"/>
              </w:rPr>
            </w:pPr>
            <w:r w:rsidRPr="00787196">
              <w:rPr>
                <w:rFonts w:cs="Arial"/>
                <w:sz w:val="20"/>
                <w:szCs w:val="20"/>
              </w:rPr>
              <w:t>Longitudinal</w:t>
            </w:r>
          </w:p>
        </w:tc>
        <w:tc>
          <w:tcPr>
            <w:tcW w:w="2032" w:type="dxa"/>
            <w:shd w:val="clear" w:color="auto" w:fill="auto"/>
            <w:vAlign w:val="center"/>
          </w:tcPr>
          <w:p w14:paraId="4B73B408" w14:textId="77777777" w:rsidR="00FC396B" w:rsidRPr="00787196" w:rsidRDefault="00FC396B" w:rsidP="00B560B3">
            <w:pPr>
              <w:spacing w:before="0" w:after="0"/>
              <w:jc w:val="left"/>
              <w:rPr>
                <w:rFonts w:cs="Arial"/>
                <w:sz w:val="20"/>
                <w:szCs w:val="20"/>
              </w:rPr>
            </w:pPr>
            <w:r w:rsidRPr="00787196">
              <w:rPr>
                <w:rFonts w:cs="Arial"/>
                <w:sz w:val="20"/>
                <w:szCs w:val="20"/>
              </w:rPr>
              <w:t>OHIP (Turkish)</w:t>
            </w:r>
          </w:p>
        </w:tc>
        <w:tc>
          <w:tcPr>
            <w:tcW w:w="3523" w:type="dxa"/>
            <w:shd w:val="clear" w:color="auto" w:fill="auto"/>
            <w:vAlign w:val="center"/>
          </w:tcPr>
          <w:p w14:paraId="30CE826E" w14:textId="77777777" w:rsidR="00FC396B" w:rsidRPr="00787196" w:rsidRDefault="00FC396B" w:rsidP="00B560B3">
            <w:pPr>
              <w:spacing w:before="0" w:after="0"/>
              <w:rPr>
                <w:rFonts w:cs="Arial"/>
                <w:sz w:val="20"/>
                <w:szCs w:val="20"/>
              </w:rPr>
            </w:pPr>
            <w:r w:rsidRPr="00787196">
              <w:rPr>
                <w:rFonts w:cs="Arial"/>
                <w:sz w:val="20"/>
                <w:szCs w:val="20"/>
              </w:rPr>
              <w:t>Significant association – Employed better OHQoL</w:t>
            </w:r>
          </w:p>
        </w:tc>
      </w:tr>
      <w:tr w:rsidR="00FC396B" w:rsidRPr="00787196" w14:paraId="6071EFD0" w14:textId="77777777" w:rsidTr="00B560B3">
        <w:trPr>
          <w:trHeight w:val="711"/>
        </w:trPr>
        <w:tc>
          <w:tcPr>
            <w:tcW w:w="1492" w:type="dxa"/>
            <w:vMerge/>
            <w:shd w:val="clear" w:color="auto" w:fill="auto"/>
            <w:vAlign w:val="center"/>
          </w:tcPr>
          <w:p w14:paraId="1392B40A" w14:textId="77777777" w:rsidR="00FC396B" w:rsidRPr="00787196" w:rsidRDefault="00FC396B" w:rsidP="00B560B3">
            <w:pPr>
              <w:spacing w:before="0" w:after="0"/>
              <w:jc w:val="left"/>
              <w:rPr>
                <w:rFonts w:cs="Arial"/>
                <w:b/>
                <w:sz w:val="20"/>
                <w:szCs w:val="20"/>
              </w:rPr>
            </w:pPr>
          </w:p>
        </w:tc>
        <w:tc>
          <w:tcPr>
            <w:tcW w:w="1248" w:type="dxa"/>
            <w:shd w:val="clear" w:color="auto" w:fill="auto"/>
            <w:vAlign w:val="center"/>
          </w:tcPr>
          <w:p w14:paraId="7E119741" w14:textId="77777777" w:rsidR="00FC396B" w:rsidRPr="00787196" w:rsidRDefault="00FC396B" w:rsidP="00B560B3">
            <w:pPr>
              <w:spacing w:before="0" w:after="0"/>
              <w:jc w:val="center"/>
              <w:rPr>
                <w:rFonts w:cs="Arial"/>
                <w:sz w:val="20"/>
                <w:szCs w:val="20"/>
              </w:rPr>
            </w:pPr>
            <w:r w:rsidRPr="00787196">
              <w:rPr>
                <w:rFonts w:cs="Arial"/>
                <w:sz w:val="20"/>
                <w:szCs w:val="20"/>
              </w:rPr>
              <w:t>2</w:t>
            </w:r>
          </w:p>
        </w:tc>
        <w:tc>
          <w:tcPr>
            <w:tcW w:w="2919" w:type="dxa"/>
            <w:shd w:val="clear" w:color="auto" w:fill="auto"/>
            <w:vAlign w:val="center"/>
          </w:tcPr>
          <w:p w14:paraId="03E49E97" w14:textId="77777777" w:rsidR="00FC396B" w:rsidRPr="00787196" w:rsidRDefault="00FC396B" w:rsidP="00B560B3">
            <w:pPr>
              <w:spacing w:before="0" w:after="0"/>
              <w:rPr>
                <w:rFonts w:cs="Arial"/>
                <w:sz w:val="20"/>
                <w:szCs w:val="20"/>
                <w:lang w:val="fr-FR"/>
              </w:rPr>
            </w:pPr>
            <w:r w:rsidRPr="00787196">
              <w:rPr>
                <w:rFonts w:eastAsia="Calibri" w:cs="Arial"/>
                <w:sz w:val="20"/>
                <w:szCs w:val="20"/>
                <w:lang w:eastAsia="en-US" w:bidi="ar-SA"/>
              </w:rPr>
              <w:fldChar w:fldCharType="begin">
                <w:fldData xml:space="preserve">PEVuZE5vdGU+PENpdGU+PEF1dGhvcj5FbWFtaTwvQXV0aG9yPjxZZWFyPjIwMTA8L1llYXI+PFJl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=
</w:fldData>
              </w:fldChar>
            </w:r>
            <w:r w:rsidRPr="00787196">
              <w:rPr>
                <w:rFonts w:eastAsia="Calibri" w:cs="Arial"/>
                <w:sz w:val="20"/>
                <w:szCs w:val="20"/>
                <w:lang w:val="fr-FR" w:eastAsia="en-US" w:bidi="ar-SA"/>
              </w:rPr>
              <w:instrText xml:space="preserve"> ADDIN EN.CITE </w:instrText>
            </w:r>
            <w:r w:rsidRPr="00787196">
              <w:rPr>
                <w:rFonts w:eastAsia="Calibri" w:cs="Arial"/>
                <w:sz w:val="20"/>
                <w:szCs w:val="20"/>
                <w:lang w:eastAsia="en-US" w:bidi="ar-SA"/>
              </w:rPr>
              <w:fldChar w:fldCharType="begin">
                <w:fldData xml:space="preserve">PEVuZE5vdGU+PENpdGU+PEF1dGhvcj5FbWFtaTwvQXV0aG9yPjxZZWFyPjIwMTA8L1llYXI+PFJl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=
</w:fldData>
              </w:fldChar>
            </w:r>
            <w:r w:rsidRPr="00787196">
              <w:rPr>
                <w:rFonts w:eastAsia="Calibri" w:cs="Arial"/>
                <w:sz w:val="20"/>
                <w:szCs w:val="20"/>
                <w:lang w:val="fr-FR" w:eastAsia="en-US" w:bidi="ar-SA"/>
              </w:rPr>
              <w:instrText xml:space="preserve"> ADDIN EN.CITE.DATA </w:instrText>
            </w:r>
            <w:r w:rsidRPr="00787196">
              <w:rPr>
                <w:rFonts w:eastAsia="Calibri" w:cs="Arial"/>
                <w:sz w:val="20"/>
                <w:szCs w:val="20"/>
                <w:lang w:eastAsia="en-US" w:bidi="ar-SA"/>
              </w:rPr>
            </w:r>
            <w:r w:rsidRPr="00787196">
              <w:rPr>
                <w:rFonts w:eastAsia="Calibri" w:cs="Arial"/>
                <w:sz w:val="20"/>
                <w:szCs w:val="20"/>
                <w:lang w:eastAsia="en-US" w:bidi="ar-SA"/>
              </w:rPr>
              <w:fldChar w:fldCharType="end"/>
            </w:r>
            <w:r w:rsidRPr="00787196">
              <w:rPr>
                <w:rFonts w:eastAsia="Calibri" w:cs="Arial"/>
                <w:sz w:val="20"/>
                <w:szCs w:val="20"/>
                <w:lang w:eastAsia="en-US" w:bidi="ar-SA"/>
              </w:rPr>
            </w:r>
            <w:r w:rsidRPr="00787196">
              <w:rPr>
                <w:rFonts w:eastAsia="Calibri" w:cs="Arial"/>
                <w:sz w:val="20"/>
                <w:szCs w:val="20"/>
                <w:lang w:eastAsia="en-US" w:bidi="ar-SA"/>
              </w:rPr>
              <w:fldChar w:fldCharType="separate"/>
            </w:r>
            <w:r w:rsidRPr="00787196">
              <w:rPr>
                <w:rFonts w:cs="Arial"/>
                <w:sz w:val="20"/>
                <w:szCs w:val="20"/>
                <w:lang w:val="fr-FR"/>
              </w:rPr>
              <w:t>(</w:t>
            </w:r>
            <w:r w:rsidRPr="00787196">
              <w:rPr>
                <w:rFonts w:eastAsia="Calibri" w:cs="Arial"/>
                <w:sz w:val="20"/>
                <w:szCs w:val="20"/>
                <w:lang w:val="fr-FR"/>
              </w:rPr>
              <w:t>Emami et al., 2010</w:t>
            </w:r>
            <w:r w:rsidRPr="00787196">
              <w:rPr>
                <w:rFonts w:cs="Arial"/>
                <w:sz w:val="20"/>
                <w:szCs w:val="20"/>
                <w:lang w:val="fr-FR"/>
              </w:rPr>
              <w:t xml:space="preserve">, </w:t>
            </w:r>
            <w:r w:rsidRPr="00787196">
              <w:rPr>
                <w:rFonts w:eastAsia="Calibri" w:cs="Arial"/>
                <w:sz w:val="20"/>
                <w:szCs w:val="20"/>
                <w:lang w:val="fr-FR"/>
              </w:rPr>
              <w:t>Jabbour et al., 2012</w:t>
            </w:r>
            <w:r w:rsidRPr="00787196">
              <w:rPr>
                <w:rFonts w:cs="Arial"/>
                <w:sz w:val="20"/>
                <w:szCs w:val="20"/>
                <w:lang w:val="fr-FR"/>
              </w:rPr>
              <w:t>)</w:t>
            </w:r>
            <w:r w:rsidRPr="00787196">
              <w:rPr>
                <w:rFonts w:eastAsia="Calibri" w:cs="Arial"/>
                <w:sz w:val="20"/>
                <w:szCs w:val="20"/>
                <w:lang w:eastAsia="en-US" w:bidi="ar-SA"/>
              </w:rPr>
              <w:fldChar w:fldCharType="end"/>
            </w:r>
          </w:p>
        </w:tc>
        <w:tc>
          <w:tcPr>
            <w:tcW w:w="2439" w:type="dxa"/>
            <w:shd w:val="clear" w:color="auto" w:fill="auto"/>
            <w:vAlign w:val="center"/>
          </w:tcPr>
          <w:p w14:paraId="74A4B1A3" w14:textId="77777777" w:rsidR="00FC396B" w:rsidRPr="00787196" w:rsidRDefault="00FC396B" w:rsidP="00B560B3">
            <w:pPr>
              <w:spacing w:before="0" w:after="0"/>
              <w:rPr>
                <w:rFonts w:cs="Arial"/>
                <w:sz w:val="20"/>
                <w:szCs w:val="20"/>
              </w:rPr>
            </w:pPr>
            <w:r w:rsidRPr="00787196">
              <w:rPr>
                <w:rFonts w:cs="Arial"/>
                <w:sz w:val="20"/>
                <w:szCs w:val="20"/>
              </w:rPr>
              <w:t>Cross-sectional ,Longitudinal</w:t>
            </w:r>
          </w:p>
        </w:tc>
        <w:tc>
          <w:tcPr>
            <w:tcW w:w="2032" w:type="dxa"/>
            <w:shd w:val="clear" w:color="auto" w:fill="auto"/>
            <w:vAlign w:val="center"/>
          </w:tcPr>
          <w:p w14:paraId="6D3FAF8D" w14:textId="77777777" w:rsidR="00FC396B" w:rsidRPr="00787196" w:rsidRDefault="00FC396B" w:rsidP="00B560B3">
            <w:pPr>
              <w:spacing w:before="0" w:after="0"/>
              <w:jc w:val="left"/>
              <w:rPr>
                <w:rFonts w:cs="Arial"/>
                <w:sz w:val="20"/>
                <w:szCs w:val="20"/>
              </w:rPr>
            </w:pPr>
            <w:r w:rsidRPr="00787196">
              <w:rPr>
                <w:rFonts w:cs="Arial"/>
                <w:sz w:val="20"/>
                <w:szCs w:val="20"/>
              </w:rPr>
              <w:t>OHIP-20</w:t>
            </w:r>
          </w:p>
        </w:tc>
        <w:tc>
          <w:tcPr>
            <w:tcW w:w="3523" w:type="dxa"/>
            <w:shd w:val="clear" w:color="auto" w:fill="auto"/>
            <w:vAlign w:val="center"/>
          </w:tcPr>
          <w:p w14:paraId="3F3E9F4C" w14:textId="77777777" w:rsidR="00FC396B" w:rsidRPr="00787196" w:rsidRDefault="00FC396B" w:rsidP="00B560B3">
            <w:pPr>
              <w:spacing w:before="0" w:after="0"/>
              <w:rPr>
                <w:rFonts w:cs="Arial"/>
                <w:sz w:val="20"/>
                <w:szCs w:val="20"/>
              </w:rPr>
            </w:pPr>
            <w:r w:rsidRPr="00787196">
              <w:rPr>
                <w:rFonts w:cs="Arial"/>
                <w:sz w:val="20"/>
                <w:szCs w:val="20"/>
              </w:rPr>
              <w:t>No significance or no association</w:t>
            </w:r>
          </w:p>
        </w:tc>
      </w:tr>
      <w:tr w:rsidR="00FC396B" w:rsidRPr="00787196" w14:paraId="53A2835C" w14:textId="77777777" w:rsidTr="00B560B3">
        <w:trPr>
          <w:trHeight w:val="1186"/>
        </w:trPr>
        <w:tc>
          <w:tcPr>
            <w:tcW w:w="1492" w:type="dxa"/>
            <w:vMerge w:val="restart"/>
            <w:shd w:val="clear" w:color="auto" w:fill="auto"/>
            <w:vAlign w:val="center"/>
          </w:tcPr>
          <w:p w14:paraId="0E09EA2A" w14:textId="77777777" w:rsidR="00FC396B" w:rsidRPr="00787196" w:rsidRDefault="00FC396B" w:rsidP="00B560B3">
            <w:pPr>
              <w:spacing w:before="0" w:after="0"/>
              <w:jc w:val="left"/>
              <w:rPr>
                <w:rFonts w:cs="Arial"/>
                <w:b/>
                <w:sz w:val="20"/>
                <w:szCs w:val="20"/>
              </w:rPr>
            </w:pPr>
            <w:r w:rsidRPr="00787196">
              <w:rPr>
                <w:rFonts w:cs="Arial"/>
                <w:b/>
                <w:sz w:val="20"/>
                <w:szCs w:val="20"/>
              </w:rPr>
              <w:t>Income</w:t>
            </w:r>
          </w:p>
          <w:p w14:paraId="2D68FA71" w14:textId="77777777" w:rsidR="00FC396B" w:rsidRPr="00787196" w:rsidRDefault="00FC396B" w:rsidP="00B560B3">
            <w:pPr>
              <w:spacing w:before="0" w:after="0"/>
              <w:jc w:val="left"/>
              <w:rPr>
                <w:rFonts w:cs="Arial"/>
                <w:b/>
                <w:sz w:val="20"/>
                <w:szCs w:val="20"/>
              </w:rPr>
            </w:pPr>
          </w:p>
          <w:p w14:paraId="2F5C88D5" w14:textId="77777777" w:rsidR="00FC396B" w:rsidRPr="00787196" w:rsidRDefault="00FC396B" w:rsidP="00B560B3">
            <w:pPr>
              <w:spacing w:before="0" w:after="0"/>
              <w:jc w:val="left"/>
              <w:rPr>
                <w:rFonts w:cs="Arial"/>
                <w:b/>
                <w:sz w:val="20"/>
                <w:szCs w:val="20"/>
              </w:rPr>
            </w:pPr>
          </w:p>
        </w:tc>
        <w:tc>
          <w:tcPr>
            <w:tcW w:w="1248" w:type="dxa"/>
            <w:shd w:val="clear" w:color="auto" w:fill="auto"/>
            <w:vAlign w:val="center"/>
          </w:tcPr>
          <w:p w14:paraId="0BFA2DAC" w14:textId="77777777" w:rsidR="00FC396B" w:rsidRPr="00787196" w:rsidRDefault="00FC396B" w:rsidP="00B560B3">
            <w:pPr>
              <w:spacing w:before="0" w:after="0"/>
              <w:jc w:val="center"/>
              <w:rPr>
                <w:rFonts w:cs="Arial"/>
                <w:sz w:val="20"/>
                <w:szCs w:val="20"/>
              </w:rPr>
            </w:pPr>
            <w:r w:rsidRPr="00787196">
              <w:rPr>
                <w:rFonts w:cs="Arial"/>
                <w:sz w:val="20"/>
                <w:szCs w:val="20"/>
              </w:rPr>
              <w:t>4</w:t>
            </w:r>
          </w:p>
        </w:tc>
        <w:tc>
          <w:tcPr>
            <w:tcW w:w="2919" w:type="dxa"/>
            <w:shd w:val="clear" w:color="auto" w:fill="auto"/>
            <w:vAlign w:val="center"/>
          </w:tcPr>
          <w:p w14:paraId="17B6CE3E" w14:textId="332A6441" w:rsidR="00FC396B" w:rsidRPr="00787196" w:rsidRDefault="00FC396B" w:rsidP="00B560B3">
            <w:pPr>
              <w:spacing w:before="0" w:after="0"/>
              <w:rPr>
                <w:rFonts w:cs="Arial"/>
                <w:sz w:val="20"/>
                <w:szCs w:val="20"/>
                <w:lang w:val="fr-FR"/>
              </w:rPr>
            </w:pPr>
            <w:r w:rsidRPr="00787196">
              <w:rPr>
                <w:rFonts w:eastAsia="Calibri" w:cs="Arial"/>
                <w:sz w:val="20"/>
                <w:szCs w:val="20"/>
                <w:lang w:eastAsia="en-US" w:bidi="ar-SA"/>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TG9uZG9uPC9JRFRleHQ+PERpc3BsYXlUZXh0PihUc2Frb3MgZXQgYWwuLCAyMDA5LCBUb3JyZXMg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</w:fldData>
              </w:fldChar>
            </w:r>
            <w:r w:rsidRPr="00787196">
              <w:rPr>
                <w:rFonts w:eastAsia="Calibri" w:cs="Arial"/>
                <w:sz w:val="20"/>
                <w:szCs w:val="20"/>
                <w:lang w:val="fr-FR" w:eastAsia="en-US" w:bidi="ar-SA"/>
              </w:rPr>
              <w:instrText xml:space="preserve"> ADDIN EN.CITE </w:instrText>
            </w:r>
            <w:r w:rsidRPr="00787196">
              <w:rPr>
                <w:rFonts w:eastAsia="Calibri" w:cs="Arial"/>
                <w:sz w:val="20"/>
                <w:szCs w:val="20"/>
                <w:lang w:eastAsia="en-US" w:bidi="ar-SA"/>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TG9uZG9uPC9JRFRleHQ+PERpc3BsYXlUZXh0PihUc2Frb3MgZXQgYWwuLCAyMDA5LCBUb3JyZXMg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</w:fldData>
              </w:fldChar>
            </w:r>
            <w:r w:rsidRPr="00787196">
              <w:rPr>
                <w:rFonts w:eastAsia="Calibri" w:cs="Arial"/>
                <w:sz w:val="20"/>
                <w:szCs w:val="20"/>
                <w:lang w:val="fr-FR" w:eastAsia="en-US" w:bidi="ar-SA"/>
              </w:rPr>
              <w:instrText xml:space="preserve"> ADDIN EN.CITE.DATA </w:instrText>
            </w:r>
            <w:r w:rsidRPr="00787196">
              <w:rPr>
                <w:rFonts w:eastAsia="Calibri" w:cs="Arial"/>
                <w:sz w:val="20"/>
                <w:szCs w:val="20"/>
                <w:lang w:eastAsia="en-US" w:bidi="ar-SA"/>
              </w:rPr>
            </w:r>
            <w:r w:rsidRPr="00787196">
              <w:rPr>
                <w:rFonts w:eastAsia="Calibri" w:cs="Arial"/>
                <w:sz w:val="20"/>
                <w:szCs w:val="20"/>
                <w:lang w:eastAsia="en-US" w:bidi="ar-SA"/>
              </w:rPr>
              <w:fldChar w:fldCharType="end"/>
            </w:r>
            <w:r w:rsidRPr="00787196">
              <w:rPr>
                <w:rFonts w:eastAsia="Calibri" w:cs="Arial"/>
                <w:sz w:val="20"/>
                <w:szCs w:val="20"/>
                <w:lang w:eastAsia="en-US" w:bidi="ar-SA"/>
              </w:rPr>
            </w:r>
            <w:r w:rsidRPr="00787196">
              <w:rPr>
                <w:rFonts w:eastAsia="Calibri" w:cs="Arial"/>
                <w:sz w:val="20"/>
                <w:szCs w:val="20"/>
                <w:lang w:eastAsia="en-US" w:bidi="ar-SA"/>
              </w:rPr>
              <w:fldChar w:fldCharType="separate"/>
            </w:r>
            <w:r w:rsidRPr="00787196">
              <w:rPr>
                <w:rFonts w:cs="Arial"/>
                <w:sz w:val="20"/>
                <w:szCs w:val="20"/>
                <w:lang w:val="fr-FR"/>
              </w:rPr>
              <w:t>(</w:t>
            </w:r>
            <w:r w:rsidRPr="00787196">
              <w:rPr>
                <w:rFonts w:eastAsia="Calibri" w:cs="Arial"/>
                <w:sz w:val="20"/>
                <w:szCs w:val="20"/>
                <w:lang w:val="fr-FR"/>
              </w:rPr>
              <w:t xml:space="preserve">Tsakos et </w:t>
            </w:r>
            <w:r w:rsidR="007263E6" w:rsidRPr="00787196">
              <w:rPr>
                <w:rFonts w:eastAsia="Calibri" w:cs="Arial"/>
                <w:sz w:val="20"/>
                <w:szCs w:val="20"/>
                <w:lang w:val="fr-FR"/>
              </w:rPr>
              <w:t>al.</w:t>
            </w:r>
            <w:r w:rsidRPr="00787196">
              <w:rPr>
                <w:rFonts w:eastAsia="Calibri" w:cs="Arial"/>
                <w:sz w:val="20"/>
                <w:szCs w:val="20"/>
                <w:lang w:val="fr-FR"/>
              </w:rPr>
              <w:t xml:space="preserve"> 2009</w:t>
            </w:r>
            <w:r w:rsidRPr="00787196">
              <w:rPr>
                <w:rFonts w:cs="Arial"/>
                <w:sz w:val="20"/>
                <w:szCs w:val="20"/>
                <w:lang w:val="fr-FR"/>
              </w:rPr>
              <w:t xml:space="preserve">, </w:t>
            </w:r>
            <w:r w:rsidRPr="00787196">
              <w:rPr>
                <w:rFonts w:eastAsia="Calibri" w:cs="Arial"/>
                <w:sz w:val="20"/>
                <w:szCs w:val="20"/>
                <w:lang w:val="fr-FR"/>
              </w:rPr>
              <w:t xml:space="preserve">Torres et </w:t>
            </w:r>
            <w:r w:rsidR="007263E6" w:rsidRPr="00787196">
              <w:rPr>
                <w:rFonts w:eastAsia="Calibri" w:cs="Arial"/>
                <w:sz w:val="20"/>
                <w:szCs w:val="20"/>
                <w:lang w:val="fr-FR"/>
              </w:rPr>
              <w:t>al.</w:t>
            </w:r>
            <w:r w:rsidRPr="00787196">
              <w:rPr>
                <w:rFonts w:eastAsia="Calibri" w:cs="Arial"/>
                <w:sz w:val="20"/>
                <w:szCs w:val="20"/>
                <w:lang w:val="fr-FR"/>
              </w:rPr>
              <w:t xml:space="preserve"> 2011</w:t>
            </w:r>
            <w:r w:rsidRPr="00787196">
              <w:rPr>
                <w:rFonts w:cs="Arial"/>
                <w:sz w:val="20"/>
                <w:szCs w:val="20"/>
                <w:lang w:val="fr-FR"/>
              </w:rPr>
              <w:t xml:space="preserve">, </w:t>
            </w:r>
            <w:r w:rsidRPr="00787196">
              <w:rPr>
                <w:rFonts w:eastAsia="Calibri" w:cs="Arial"/>
                <w:sz w:val="20"/>
                <w:szCs w:val="20"/>
                <w:lang w:val="fr-FR"/>
              </w:rPr>
              <w:t xml:space="preserve">Abuzar et </w:t>
            </w:r>
            <w:r w:rsidR="007263E6" w:rsidRPr="00787196">
              <w:rPr>
                <w:rFonts w:eastAsia="Calibri" w:cs="Arial"/>
                <w:sz w:val="20"/>
                <w:szCs w:val="20"/>
                <w:lang w:val="fr-FR"/>
              </w:rPr>
              <w:t>al.</w:t>
            </w:r>
            <w:r w:rsidRPr="00787196">
              <w:rPr>
                <w:rFonts w:eastAsia="Calibri" w:cs="Arial"/>
                <w:sz w:val="20"/>
                <w:szCs w:val="20"/>
                <w:lang w:val="fr-FR"/>
              </w:rPr>
              <w:t xml:space="preserve"> 2012</w:t>
            </w:r>
            <w:r w:rsidRPr="00787196">
              <w:rPr>
                <w:rFonts w:cs="Arial"/>
                <w:sz w:val="20"/>
                <w:szCs w:val="20"/>
                <w:lang w:val="fr-FR"/>
              </w:rPr>
              <w:t xml:space="preserve">, </w:t>
            </w:r>
            <w:r w:rsidRPr="00787196">
              <w:rPr>
                <w:rFonts w:eastAsia="Calibri" w:cs="Arial"/>
                <w:sz w:val="20"/>
                <w:szCs w:val="20"/>
                <w:lang w:val="fr-FR"/>
              </w:rPr>
              <w:t xml:space="preserve">Lee et </w:t>
            </w:r>
            <w:r w:rsidR="007263E6" w:rsidRPr="00787196">
              <w:rPr>
                <w:rFonts w:eastAsia="Calibri" w:cs="Arial"/>
                <w:sz w:val="20"/>
                <w:szCs w:val="20"/>
                <w:lang w:val="fr-FR"/>
              </w:rPr>
              <w:t>al.</w:t>
            </w:r>
            <w:r w:rsidRPr="00787196">
              <w:rPr>
                <w:rFonts w:eastAsia="Calibri" w:cs="Arial"/>
                <w:sz w:val="20"/>
                <w:szCs w:val="20"/>
                <w:lang w:val="fr-FR"/>
              </w:rPr>
              <w:t xml:space="preserve"> 2012</w:t>
            </w:r>
            <w:r w:rsidRPr="00787196">
              <w:rPr>
                <w:rFonts w:cs="Arial"/>
                <w:sz w:val="20"/>
                <w:szCs w:val="20"/>
                <w:lang w:val="fr-FR"/>
              </w:rPr>
              <w:t>)</w:t>
            </w:r>
            <w:r w:rsidRPr="00787196">
              <w:rPr>
                <w:rFonts w:eastAsia="Calibri" w:cs="Arial"/>
                <w:sz w:val="20"/>
                <w:szCs w:val="20"/>
                <w:lang w:eastAsia="en-US" w:bidi="ar-SA"/>
              </w:rPr>
              <w:fldChar w:fldCharType="end"/>
            </w:r>
            <w:r w:rsidRPr="00787196">
              <w:rPr>
                <w:rFonts w:cs="Arial"/>
                <w:sz w:val="20"/>
                <w:szCs w:val="20"/>
                <w:lang w:val="fr-FR"/>
              </w:rPr>
              <w:t xml:space="preserve"> </w:t>
            </w:r>
          </w:p>
        </w:tc>
        <w:tc>
          <w:tcPr>
            <w:tcW w:w="2439" w:type="dxa"/>
            <w:shd w:val="clear" w:color="auto" w:fill="auto"/>
            <w:vAlign w:val="center"/>
          </w:tcPr>
          <w:p w14:paraId="5B12E12F" w14:textId="77777777" w:rsidR="00FC396B" w:rsidRPr="00787196" w:rsidRDefault="00FC396B" w:rsidP="00B560B3">
            <w:pPr>
              <w:spacing w:before="0" w:after="0"/>
              <w:rPr>
                <w:rFonts w:cs="Arial"/>
                <w:sz w:val="20"/>
                <w:szCs w:val="20"/>
              </w:rPr>
            </w:pPr>
            <w:r w:rsidRPr="00787196">
              <w:rPr>
                <w:rFonts w:cs="Arial"/>
                <w:sz w:val="20"/>
                <w:szCs w:val="20"/>
              </w:rPr>
              <w:t>Cross-sectional, L:ongitudinal study, Randomised control trail</w:t>
            </w:r>
          </w:p>
        </w:tc>
        <w:tc>
          <w:tcPr>
            <w:tcW w:w="2032" w:type="dxa"/>
            <w:shd w:val="clear" w:color="auto" w:fill="auto"/>
            <w:vAlign w:val="center"/>
          </w:tcPr>
          <w:p w14:paraId="7E55BEE8" w14:textId="4890F929" w:rsidR="00FC396B" w:rsidRPr="00787196" w:rsidRDefault="00F62C28" w:rsidP="00B560B3">
            <w:pPr>
              <w:spacing w:before="0" w:after="0"/>
              <w:jc w:val="left"/>
              <w:rPr>
                <w:rFonts w:cs="Arial"/>
                <w:sz w:val="20"/>
                <w:szCs w:val="20"/>
              </w:rPr>
            </w:pPr>
            <w:r w:rsidRPr="00787196">
              <w:rPr>
                <w:rFonts w:cs="Arial"/>
                <w:sz w:val="20"/>
                <w:szCs w:val="20"/>
              </w:rPr>
              <w:t xml:space="preserve">OHIP , </w:t>
            </w:r>
            <w:r w:rsidR="00FC396B" w:rsidRPr="00787196">
              <w:rPr>
                <w:rFonts w:cs="Arial"/>
                <w:sz w:val="20"/>
                <w:szCs w:val="20"/>
              </w:rPr>
              <w:t>OHIP Chinese, OHIP 14, GOHAI</w:t>
            </w:r>
          </w:p>
        </w:tc>
        <w:tc>
          <w:tcPr>
            <w:tcW w:w="3523" w:type="dxa"/>
            <w:shd w:val="clear" w:color="auto" w:fill="auto"/>
            <w:vAlign w:val="center"/>
          </w:tcPr>
          <w:p w14:paraId="3A89CDA2" w14:textId="77777777" w:rsidR="00FC396B" w:rsidRPr="00787196" w:rsidRDefault="00FC396B" w:rsidP="00B560B3">
            <w:pPr>
              <w:spacing w:before="0" w:after="0"/>
              <w:rPr>
                <w:rFonts w:cs="Arial"/>
                <w:sz w:val="20"/>
                <w:szCs w:val="20"/>
              </w:rPr>
            </w:pPr>
            <w:r w:rsidRPr="00787196">
              <w:rPr>
                <w:rFonts w:cs="Arial"/>
                <w:sz w:val="20"/>
                <w:szCs w:val="20"/>
              </w:rPr>
              <w:t>Higher income better OHQoL</w:t>
            </w:r>
          </w:p>
        </w:tc>
      </w:tr>
      <w:tr w:rsidR="00FC396B" w:rsidRPr="00787196" w14:paraId="34F51CD7" w14:textId="77777777" w:rsidTr="00B560B3">
        <w:trPr>
          <w:trHeight w:val="696"/>
        </w:trPr>
        <w:tc>
          <w:tcPr>
            <w:tcW w:w="1492" w:type="dxa"/>
            <w:vMerge/>
            <w:shd w:val="clear" w:color="auto" w:fill="auto"/>
            <w:vAlign w:val="center"/>
          </w:tcPr>
          <w:p w14:paraId="1C965384" w14:textId="77777777" w:rsidR="00FC396B" w:rsidRPr="00787196" w:rsidRDefault="00FC396B" w:rsidP="00B560B3">
            <w:pPr>
              <w:spacing w:before="0" w:after="0"/>
              <w:rPr>
                <w:rFonts w:cs="Arial"/>
                <w:sz w:val="20"/>
                <w:szCs w:val="20"/>
              </w:rPr>
            </w:pPr>
          </w:p>
        </w:tc>
        <w:tc>
          <w:tcPr>
            <w:tcW w:w="1248" w:type="dxa"/>
            <w:shd w:val="clear" w:color="auto" w:fill="auto"/>
            <w:vAlign w:val="center"/>
          </w:tcPr>
          <w:p w14:paraId="4E0EA26E" w14:textId="77777777" w:rsidR="00FC396B" w:rsidRPr="00787196" w:rsidRDefault="00FC396B" w:rsidP="00B560B3">
            <w:pPr>
              <w:spacing w:before="0" w:after="0"/>
              <w:jc w:val="center"/>
              <w:rPr>
                <w:rFonts w:cs="Arial"/>
                <w:sz w:val="20"/>
                <w:szCs w:val="20"/>
              </w:rPr>
            </w:pPr>
            <w:r w:rsidRPr="00787196">
              <w:rPr>
                <w:rFonts w:cs="Arial"/>
                <w:sz w:val="20"/>
                <w:szCs w:val="20"/>
              </w:rPr>
              <w:t>2</w:t>
            </w:r>
          </w:p>
        </w:tc>
        <w:tc>
          <w:tcPr>
            <w:tcW w:w="2919" w:type="dxa"/>
            <w:shd w:val="clear" w:color="auto" w:fill="auto"/>
            <w:vAlign w:val="center"/>
          </w:tcPr>
          <w:p w14:paraId="227A27A3" w14:textId="77777777" w:rsidR="00FC396B" w:rsidRPr="00787196" w:rsidRDefault="00FC396B" w:rsidP="00B560B3">
            <w:pPr>
              <w:spacing w:before="0" w:after="0"/>
              <w:rPr>
                <w:rFonts w:cs="Arial"/>
                <w:sz w:val="20"/>
                <w:szCs w:val="20"/>
                <w:lang w:val="fr-FR"/>
              </w:rPr>
            </w:pPr>
            <w:r w:rsidRPr="00787196">
              <w:rPr>
                <w:rFonts w:eastAsia="Calibri" w:cs="Arial"/>
                <w:sz w:val="20"/>
                <w:szCs w:val="20"/>
                <w:lang w:eastAsia="en-US" w:bidi="ar-SA"/>
              </w:rPr>
              <w:fldChar w:fldCharType="begin">
                <w:fldData xml:space="preserve">PEVuZE5vdGU+PENpdGU+PEF1dGhvcj5FbWFtaTwvQXV0aG9yPjxZZWFyPjIwMTA8L1llYXI+PFJl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=
</w:fldData>
              </w:fldChar>
            </w:r>
            <w:r w:rsidRPr="00787196">
              <w:rPr>
                <w:rFonts w:eastAsia="Calibri" w:cs="Arial"/>
                <w:sz w:val="20"/>
                <w:szCs w:val="20"/>
                <w:lang w:val="fr-FR" w:eastAsia="en-US" w:bidi="ar-SA"/>
              </w:rPr>
              <w:instrText xml:space="preserve"> ADDIN EN.CITE </w:instrText>
            </w:r>
            <w:r w:rsidRPr="00787196">
              <w:rPr>
                <w:rFonts w:eastAsia="Calibri" w:cs="Arial"/>
                <w:sz w:val="20"/>
                <w:szCs w:val="20"/>
                <w:lang w:eastAsia="en-US" w:bidi="ar-SA"/>
              </w:rPr>
              <w:fldChar w:fldCharType="begin">
                <w:fldData xml:space="preserve">PEVuZE5vdGU+PENpdGU+PEF1dGhvcj5FbWFtaTwvQXV0aG9yPjxZZWFyPjIwMTA8L1llYXI+PFJl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=
</w:fldData>
              </w:fldChar>
            </w:r>
            <w:r w:rsidRPr="00787196">
              <w:rPr>
                <w:rFonts w:eastAsia="Calibri" w:cs="Arial"/>
                <w:sz w:val="20"/>
                <w:szCs w:val="20"/>
                <w:lang w:val="fr-FR" w:eastAsia="en-US" w:bidi="ar-SA"/>
              </w:rPr>
              <w:instrText xml:space="preserve"> ADDIN EN.CITE.DATA </w:instrText>
            </w:r>
            <w:r w:rsidRPr="00787196">
              <w:rPr>
                <w:rFonts w:eastAsia="Calibri" w:cs="Arial"/>
                <w:sz w:val="20"/>
                <w:szCs w:val="20"/>
                <w:lang w:eastAsia="en-US" w:bidi="ar-SA"/>
              </w:rPr>
            </w:r>
            <w:r w:rsidRPr="00787196">
              <w:rPr>
                <w:rFonts w:eastAsia="Calibri" w:cs="Arial"/>
                <w:sz w:val="20"/>
                <w:szCs w:val="20"/>
                <w:lang w:eastAsia="en-US" w:bidi="ar-SA"/>
              </w:rPr>
              <w:fldChar w:fldCharType="end"/>
            </w:r>
            <w:r w:rsidRPr="00787196">
              <w:rPr>
                <w:rFonts w:eastAsia="Calibri" w:cs="Arial"/>
                <w:sz w:val="20"/>
                <w:szCs w:val="20"/>
                <w:lang w:eastAsia="en-US" w:bidi="ar-SA"/>
              </w:rPr>
            </w:r>
            <w:r w:rsidRPr="00787196">
              <w:rPr>
                <w:rFonts w:eastAsia="Calibri" w:cs="Arial"/>
                <w:sz w:val="20"/>
                <w:szCs w:val="20"/>
                <w:lang w:eastAsia="en-US" w:bidi="ar-SA"/>
              </w:rPr>
              <w:fldChar w:fldCharType="separate"/>
            </w:r>
            <w:r w:rsidRPr="00787196">
              <w:rPr>
                <w:rFonts w:eastAsia="Calibri" w:cs="Arial"/>
                <w:sz w:val="20"/>
                <w:szCs w:val="20"/>
                <w:lang w:val="fr-FR" w:eastAsia="en-US" w:bidi="ar-SA"/>
              </w:rPr>
              <w:t>(Emami et al., 2010, Jabbour et al., 2012)</w:t>
            </w:r>
            <w:r w:rsidRPr="00787196">
              <w:rPr>
                <w:rFonts w:eastAsia="Calibri" w:cs="Arial"/>
                <w:sz w:val="20"/>
                <w:szCs w:val="20"/>
                <w:lang w:eastAsia="en-US" w:bidi="ar-SA"/>
              </w:rPr>
              <w:fldChar w:fldCharType="end"/>
            </w:r>
          </w:p>
        </w:tc>
        <w:tc>
          <w:tcPr>
            <w:tcW w:w="2439" w:type="dxa"/>
            <w:shd w:val="clear" w:color="auto" w:fill="auto"/>
            <w:vAlign w:val="center"/>
          </w:tcPr>
          <w:p w14:paraId="434F4B3E" w14:textId="77777777" w:rsidR="00FC396B" w:rsidRPr="00787196" w:rsidRDefault="00FC396B" w:rsidP="00B560B3">
            <w:pPr>
              <w:spacing w:before="0" w:after="0"/>
              <w:rPr>
                <w:rFonts w:cs="Arial"/>
                <w:sz w:val="20"/>
                <w:szCs w:val="20"/>
              </w:rPr>
            </w:pPr>
            <w:r w:rsidRPr="00787196">
              <w:rPr>
                <w:rFonts w:cs="Arial"/>
                <w:sz w:val="20"/>
                <w:szCs w:val="20"/>
              </w:rPr>
              <w:t>Cross-sectional, Longitudinal</w:t>
            </w:r>
          </w:p>
        </w:tc>
        <w:tc>
          <w:tcPr>
            <w:tcW w:w="2032" w:type="dxa"/>
            <w:shd w:val="clear" w:color="auto" w:fill="auto"/>
            <w:vAlign w:val="center"/>
          </w:tcPr>
          <w:p w14:paraId="540657BF" w14:textId="77777777" w:rsidR="00FC396B" w:rsidRPr="00787196" w:rsidRDefault="00FC396B" w:rsidP="00B560B3">
            <w:pPr>
              <w:spacing w:before="0" w:after="0"/>
              <w:jc w:val="left"/>
              <w:rPr>
                <w:rFonts w:cs="Arial"/>
                <w:sz w:val="20"/>
                <w:szCs w:val="20"/>
              </w:rPr>
            </w:pPr>
            <w:r w:rsidRPr="00787196">
              <w:rPr>
                <w:rFonts w:cs="Arial"/>
                <w:sz w:val="20"/>
                <w:szCs w:val="20"/>
              </w:rPr>
              <w:t>OHIP-20</w:t>
            </w:r>
          </w:p>
        </w:tc>
        <w:tc>
          <w:tcPr>
            <w:tcW w:w="3523" w:type="dxa"/>
            <w:shd w:val="clear" w:color="auto" w:fill="auto"/>
            <w:vAlign w:val="center"/>
          </w:tcPr>
          <w:p w14:paraId="12612C81" w14:textId="77777777" w:rsidR="00FC396B" w:rsidRPr="00787196" w:rsidRDefault="00FC396B" w:rsidP="00B560B3">
            <w:pPr>
              <w:spacing w:before="0" w:after="0"/>
              <w:rPr>
                <w:rFonts w:cs="Arial"/>
                <w:sz w:val="20"/>
                <w:szCs w:val="20"/>
              </w:rPr>
            </w:pPr>
            <w:r w:rsidRPr="00787196">
              <w:rPr>
                <w:rFonts w:cs="Arial"/>
                <w:sz w:val="20"/>
                <w:szCs w:val="20"/>
              </w:rPr>
              <w:t>Not significant or no association</w:t>
            </w:r>
          </w:p>
        </w:tc>
      </w:tr>
    </w:tbl>
    <w:p w14:paraId="3A6044FD" w14:textId="77777777" w:rsidR="00FC396B" w:rsidRPr="00787196" w:rsidRDefault="00FC396B" w:rsidP="00FC396B">
      <w:pPr>
        <w:rPr>
          <w:rFonts w:cs="Arial"/>
          <w:szCs w:val="24"/>
        </w:rPr>
        <w:sectPr w:rsidR="00FC396B" w:rsidRPr="00787196" w:rsidSect="00B560B3">
          <w:headerReference w:type="default" r:id="rId17"/>
          <w:footerReference w:type="default" r:id="rId18"/>
          <w:type w:val="nextColumn"/>
          <w:pgSz w:w="16838" w:h="11906" w:orient="landscape"/>
          <w:pgMar w:top="2268" w:right="1134" w:bottom="1134" w:left="1134" w:header="709" w:footer="709" w:gutter="0"/>
          <w:cols w:space="708"/>
          <w:docGrid w:linePitch="360"/>
        </w:sectPr>
      </w:pPr>
    </w:p>
    <w:p w14:paraId="5283D2C2" w14:textId="2ACD0935" w:rsidR="00AA2A5B" w:rsidRPr="00787196" w:rsidRDefault="00705358" w:rsidP="00222B42">
      <w:pPr>
        <w:pStyle w:val="Heading2"/>
      </w:pPr>
      <w:bookmarkStart w:id="83" w:name="_Toc488655623"/>
      <w:r w:rsidRPr="00787196">
        <w:lastRenderedPageBreak/>
        <w:t>Individual factors and OHQoL in denture wearers</w:t>
      </w:r>
      <w:bookmarkEnd w:id="83"/>
      <w:r w:rsidRPr="00787196">
        <w:t xml:space="preserve"> </w:t>
      </w:r>
    </w:p>
    <w:p w14:paraId="26393D36" w14:textId="54279EDC" w:rsidR="00AA2A5B" w:rsidRPr="00787196" w:rsidRDefault="00AA2A5B" w:rsidP="00AA2A5B">
      <w:pPr>
        <w:rPr>
          <w:rFonts w:cs="Arial"/>
          <w:szCs w:val="24"/>
        </w:rPr>
      </w:pPr>
      <w:r w:rsidRPr="00787196">
        <w:rPr>
          <w:rFonts w:cs="Arial"/>
          <w:szCs w:val="24"/>
        </w:rPr>
        <w:t xml:space="preserve">As tabulated in Table 2-3, various individual factors were associated with OHQoL in denture wearers in the review. </w:t>
      </w:r>
      <w:r w:rsidR="0065049E" w:rsidRPr="00787196">
        <w:rPr>
          <w:rFonts w:cs="Arial"/>
          <w:szCs w:val="24"/>
        </w:rPr>
        <w:t>Th</w:t>
      </w:r>
      <w:r w:rsidRPr="00787196">
        <w:rPr>
          <w:rFonts w:cs="Arial"/>
          <w:szCs w:val="24"/>
        </w:rPr>
        <w:t xml:space="preserve">e following factors: Coping strategies, subjective socio-economic status, perceived stress, ageing expectations, </w:t>
      </w:r>
      <w:r w:rsidR="0065049E" w:rsidRPr="00787196">
        <w:rPr>
          <w:rFonts w:cs="Arial"/>
          <w:szCs w:val="24"/>
        </w:rPr>
        <w:t xml:space="preserve">and </w:t>
      </w:r>
      <w:r w:rsidRPr="00787196">
        <w:rPr>
          <w:rFonts w:cs="Arial"/>
          <w:szCs w:val="24"/>
        </w:rPr>
        <w:t>concern about oral health</w:t>
      </w:r>
      <w:r w:rsidR="0065049E" w:rsidRPr="00787196">
        <w:rPr>
          <w:rFonts w:cs="Arial"/>
          <w:szCs w:val="24"/>
        </w:rPr>
        <w:t xml:space="preserve"> and their association with OHQoL are explored in depth in this section</w:t>
      </w:r>
    </w:p>
    <w:p w14:paraId="2BF26255" w14:textId="23F8862E" w:rsidR="0065049E" w:rsidRPr="00787196" w:rsidRDefault="0065049E" w:rsidP="00D9694A">
      <w:pPr>
        <w:pStyle w:val="Heading3"/>
      </w:pPr>
      <w:bookmarkStart w:id="84" w:name="_Toc488655624"/>
      <w:r w:rsidRPr="00787196">
        <w:t>C</w:t>
      </w:r>
      <w:r w:rsidR="00705358" w:rsidRPr="00787196">
        <w:t>oping strategies</w:t>
      </w:r>
      <w:bookmarkEnd w:id="84"/>
    </w:p>
    <w:p w14:paraId="0CB32F26" w14:textId="79F9DC45" w:rsidR="0065049E" w:rsidRPr="00787196" w:rsidRDefault="0065049E" w:rsidP="0065049E">
      <w:pPr>
        <w:rPr>
          <w:rFonts w:cs="Arial"/>
          <w:szCs w:val="24"/>
        </w:rPr>
      </w:pPr>
      <w:r w:rsidRPr="00787196">
        <w:rPr>
          <w:rFonts w:cs="Arial"/>
          <w:szCs w:val="24"/>
        </w:rPr>
        <w:t>Appropriate coping strategies have been shown to reduce</w:t>
      </w:r>
      <w:r w:rsidR="00650C0E" w:rsidRPr="00787196">
        <w:rPr>
          <w:rFonts w:cs="Arial"/>
          <w:szCs w:val="24"/>
        </w:rPr>
        <w:t xml:space="preserve"> the</w:t>
      </w:r>
      <w:r w:rsidRPr="00787196">
        <w:rPr>
          <w:rFonts w:cs="Arial"/>
          <w:szCs w:val="24"/>
        </w:rPr>
        <w:t xml:space="preserve"> risk of oral diseases </w:t>
      </w:r>
      <w:r w:rsidRPr="00787196">
        <w:rPr>
          <w:rFonts w:cs="Arial"/>
          <w:szCs w:val="24"/>
        </w:rPr>
        <w:fldChar w:fldCharType="begin"/>
      </w:r>
      <w:r w:rsidRPr="00787196">
        <w:rPr>
          <w:rFonts w:cs="Arial"/>
          <w:szCs w:val="24"/>
        </w:rPr>
        <w:instrText xml:space="preserve"> ADDIN EN.CITE &lt;EndNote&gt;&lt;Cite&gt;&lt;Author&gt;Genco&lt;/Author&gt;&lt;Year&gt;1999&lt;/Year&gt;&lt;RecNum&gt;0&lt;/RecNum&gt;&lt;IDText&gt;Relationship of stress, distress and inadequate coping behaviors to periodontal disease&lt;/IDText&gt;&lt;DisplayText&gt;(Genco et al., 1999)&lt;/DisplayText&gt;&lt;record&gt;&lt;dates&gt;&lt;pub-dates&gt;&lt;date&gt;Jul&lt;/date&gt;&lt;/pub-dates&gt;&lt;year&gt;1999&lt;/year&gt;&lt;/dates&gt;&lt;isbn&gt;0022-3492 (Print)&amp;#xD;0022-3492&lt;/isbn&gt;&lt;titles&gt;&lt;title&gt;Relationship of stress, distress and inadequate coping behaviors to periodontal disease&lt;/title&gt;&lt;secondary-title&gt;J Periodontol&lt;/secondary-title&gt;&lt;alt-title&gt;Journal of periodontology&lt;/alt-title&gt;&lt;/titles&gt;&lt;pages&gt;711-23&lt;/pages&gt;&lt;number&gt;7&lt;/number&gt;&lt;contributors&gt;&lt;authors&gt;&lt;author&gt;Genco, R. J.&lt;/author&gt;&lt;author&gt;Ho, A. W.&lt;/author&gt;&lt;author&gt;Grossi, S. G.&lt;/author&gt;&lt;author&gt;Dunford, R. G.&lt;/author&gt;&lt;author&gt;Tedesco, L. A.&lt;/author&gt;&lt;/authors&gt;&lt;/contributors&gt;&lt;edition&gt;1999/08/10&lt;/edition&gt;&lt;language&gt;eng&lt;/language&gt;&lt;added-date format="utc"&gt;1370044589&lt;/added-date&gt;&lt;ref-type name="Journal Article"&gt;17&lt;/ref-type&gt;&lt;auth-address&gt;State University of New York at Buffalo, School of Dental Medicine, Department of Oral Biology, Periodontal Disease Research Center, 14214-3092, USA. rjgenco@acsu.buffalo.edu&lt;/auth-address&gt;&lt;remote-database-provider&gt;Nlm&lt;/remote-database-provider&gt;&lt;rec-number&gt;739&lt;/rec-number&gt;&lt;last-updated-date format="utc"&gt;1385713712&lt;/last-updated-date&gt;&lt;accession-num&gt;10440631&lt;/accession-num&gt;&lt;electronic-resource-num&gt;10.1902/jop.1999.70.1.100&lt;/electronic-resource-num&gt;&lt;volume&gt;70&lt;/volume&gt;&lt;/record&gt;&lt;/Cite&gt;&lt;/EndNote&gt;</w:instrText>
      </w:r>
      <w:r w:rsidRPr="00787196">
        <w:rPr>
          <w:rFonts w:cs="Arial"/>
          <w:szCs w:val="24"/>
        </w:rPr>
        <w:fldChar w:fldCharType="separate"/>
      </w:r>
      <w:r w:rsidRPr="00787196">
        <w:rPr>
          <w:rFonts w:cs="Arial"/>
          <w:szCs w:val="24"/>
        </w:rPr>
        <w:t>(Genco et al., 1999)</w:t>
      </w:r>
      <w:r w:rsidRPr="00787196">
        <w:rPr>
          <w:rFonts w:cs="Arial"/>
          <w:szCs w:val="24"/>
        </w:rPr>
        <w:fldChar w:fldCharType="end"/>
      </w:r>
      <w:r w:rsidRPr="00787196">
        <w:rPr>
          <w:rFonts w:cs="Arial"/>
          <w:szCs w:val="24"/>
        </w:rPr>
        <w:t xml:space="preserve"> and </w:t>
      </w:r>
      <w:r w:rsidR="00650C0E" w:rsidRPr="00787196">
        <w:rPr>
          <w:rFonts w:cs="Arial"/>
          <w:szCs w:val="24"/>
        </w:rPr>
        <w:t>have been associated</w:t>
      </w:r>
      <w:r w:rsidRPr="00787196">
        <w:rPr>
          <w:rFonts w:cs="Arial"/>
          <w:szCs w:val="24"/>
        </w:rPr>
        <w:t xml:space="preserve"> with OHQoL in denture wearers </w:t>
      </w:r>
      <w:r w:rsidR="00650C0E" w:rsidRPr="00787196">
        <w:rPr>
          <w:rFonts w:cs="Arial"/>
          <w:szCs w:val="24"/>
        </w:rPr>
        <w:t xml:space="preserve">as identified in this review </w:t>
      </w:r>
      <w:r w:rsidRPr="00787196">
        <w:rPr>
          <w:rFonts w:cs="Arial"/>
          <w:szCs w:val="24"/>
        </w:rPr>
        <w:fldChar w:fldCharType="begin"/>
      </w:r>
      <w:r w:rsidRPr="00787196">
        <w:rPr>
          <w:rFonts w:cs="Arial"/>
          <w:szCs w:val="24"/>
        </w:rPr>
        <w:instrText xml:space="preserve"> ADDIN EN.CITE &lt;EndNote&gt;&lt;Cite&gt;&lt;Author&gt;Heydecke&lt;/Author&gt;&lt;Year&gt;2004&lt;/Year&gt;&lt;RecNum&gt;0&lt;/RecNum&gt;&lt;IDText&gt;Complete dentures and oral health-related quality of life – do coping styles matter?&lt;/IDText&gt;&lt;DisplayText&gt;(Heydecke et al., 2004)&lt;/DisplayText&gt;&lt;record&gt;&lt;urls&gt;&lt;related-urls&gt;&lt;url&gt;http://dx.doi.org/10.1111/j.1600-0528.2004.00169.x&lt;/url&gt;&lt;/related-urls&gt;&lt;/urls&gt;&lt;isbn&gt;1600-0528&lt;/isbn&gt;&lt;titles&gt;&lt;title&gt;Complete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Pr="00787196">
        <w:rPr>
          <w:rFonts w:cs="Arial"/>
          <w:szCs w:val="24"/>
        </w:rPr>
        <w:fldChar w:fldCharType="separate"/>
      </w:r>
      <w:r w:rsidRPr="00787196">
        <w:rPr>
          <w:rFonts w:cs="Arial"/>
          <w:szCs w:val="24"/>
        </w:rPr>
        <w:t>(Heydecke et al., 2004)</w:t>
      </w:r>
      <w:r w:rsidRPr="00787196">
        <w:rPr>
          <w:rFonts w:cs="Arial"/>
          <w:szCs w:val="24"/>
        </w:rPr>
        <w:fldChar w:fldCharType="end"/>
      </w:r>
      <w:r w:rsidRPr="00787196">
        <w:rPr>
          <w:rFonts w:cs="Arial"/>
          <w:szCs w:val="24"/>
        </w:rPr>
        <w:t xml:space="preserve">. </w:t>
      </w:r>
    </w:p>
    <w:p w14:paraId="5124773B" w14:textId="108FF254" w:rsidR="0065049E" w:rsidRPr="00787196" w:rsidRDefault="00160EA4" w:rsidP="00226A04">
      <w:pPr>
        <w:pStyle w:val="Heading4"/>
      </w:pPr>
      <w:r w:rsidRPr="00787196">
        <w:t>The c</w:t>
      </w:r>
      <w:r w:rsidR="0065049E" w:rsidRPr="00787196">
        <w:t>oncept of coping</w:t>
      </w:r>
    </w:p>
    <w:p w14:paraId="16225AF0" w14:textId="43F4E02D" w:rsidR="0065049E" w:rsidRPr="00787196" w:rsidRDefault="0065049E" w:rsidP="00F62C28">
      <w:pPr>
        <w:rPr>
          <w:rFonts w:cs="Arial"/>
        </w:rPr>
      </w:pPr>
      <w:r w:rsidRPr="00787196">
        <w:rPr>
          <w:rFonts w:cs="Arial"/>
          <w:szCs w:val="24"/>
        </w:rPr>
        <w:t xml:space="preserve">Traditionally, coping was discussed under two types of literature. Firstly, </w:t>
      </w:r>
      <w:r w:rsidR="00650C0E" w:rsidRPr="00787196">
        <w:rPr>
          <w:rFonts w:cs="Arial"/>
          <w:szCs w:val="24"/>
        </w:rPr>
        <w:t>in</w:t>
      </w:r>
      <w:r w:rsidRPr="00787196">
        <w:rPr>
          <w:rFonts w:cs="Arial"/>
          <w:szCs w:val="24"/>
        </w:rPr>
        <w:t xml:space="preserve"> animal experiment</w:t>
      </w:r>
      <w:r w:rsidR="0037620A" w:rsidRPr="00787196">
        <w:rPr>
          <w:rFonts w:cs="Arial"/>
          <w:szCs w:val="24"/>
        </w:rPr>
        <w:t>s</w:t>
      </w:r>
      <w:r w:rsidRPr="00787196">
        <w:rPr>
          <w:rFonts w:cs="Arial"/>
          <w:szCs w:val="24"/>
        </w:rPr>
        <w:t xml:space="preserve"> as a survival mechanism of an organism to escape, avoid and overcome noxious agents </w:t>
      </w:r>
      <w:r w:rsidRPr="00787196">
        <w:rPr>
          <w:rFonts w:cs="Arial"/>
          <w:szCs w:val="24"/>
        </w:rPr>
        <w:fldChar w:fldCharType="begin"/>
      </w:r>
      <w:r w:rsidRPr="00787196">
        <w:rPr>
          <w:rFonts w:cs="Arial"/>
          <w:szCs w:val="24"/>
        </w:rPr>
        <w:instrText xml:space="preserve"> ADDIN EN.CITE &lt;EndNote&gt;&lt;Cite&gt;&lt;Author&gt;Miller&lt;/Author&gt;&lt;Year&gt;1980&lt;/Year&gt;&lt;RecNum&gt;0&lt;/RecNum&gt;&lt;IDText&gt;A perspective on the effects of stress and coping on disease and health&lt;/IDText&gt;&lt;DisplayText&gt;(Miller, 1980a, Ursin, 1980)&lt;/DisplayText&gt;&lt;record&gt;&lt;isbn&gt;146841044X&lt;/isbn&gt;&lt;titles&gt;&lt;title&gt;A perspective on the effects of stress and coping on disease and health&lt;/title&gt;&lt;secondary-title&gt;Coping and health&lt;/secondary-title&gt;&lt;/titles&gt;&lt;pages&gt;323-353&lt;/pages&gt;&lt;contributors&gt;&lt;authors&gt;&lt;author&gt;Miller, Neal E.&lt;/author&gt;&lt;/authors&gt;&lt;/contributors&gt;&lt;added-date format="utc"&gt;1377747242&lt;/added-date&gt;&lt;ref-type name="Book Section"&gt;5&lt;/ref-type&gt;&lt;dates&gt;&lt;year&gt;1980&lt;/year&gt;&lt;/dates&gt;&lt;rec-number&gt;1152&lt;/rec-number&gt;&lt;publisher&gt;Springer&lt;/publisher&gt;&lt;last-updated-date format="utc"&gt;1385713712&lt;/last-updated-date&gt;&lt;/record&gt;&lt;/Cite&gt;&lt;Cite&gt;&lt;Author&gt;Ursin&lt;/Author&gt;&lt;Year&gt;1980&lt;/Year&gt;&lt;RecNum&gt;0&lt;/RecNum&gt;&lt;IDText&gt;Personality, activation and somatic health a new psychosomatic theory&lt;/IDText&gt;&lt;record&gt;&lt;isbn&gt;146841044X&lt;/isbn&gt;&lt;titles&gt;&lt;title&gt;Personality, activation and somatic health a new psychosomatic theory&lt;/title&gt;&lt;secondary-title&gt;Coping and health&lt;/secondary-title&gt;&lt;/titles&gt;&lt;pages&gt;259-279&lt;/pages&gt;&lt;contributors&gt;&lt;authors&gt;&lt;author&gt;Ursin, Holger&lt;/author&gt;&lt;/authors&gt;&lt;/contributors&gt;&lt;added-date format="utc"&gt;1377747602&lt;/added-date&gt;&lt;ref-type name="Book Section"&gt;5&lt;/ref-type&gt;&lt;dates&gt;&lt;year&gt;1980&lt;/year&gt;&lt;/dates&gt;&lt;rec-number&gt;1153&lt;/rec-number&gt;&lt;publisher&gt;Springer&lt;/publisher&gt;&lt;last-updated-date format="utc"&gt;1385713712&lt;/last-updated-date&gt;&lt;/record&gt;&lt;/Cite&gt;&lt;/EndNote&gt;</w:instrText>
      </w:r>
      <w:r w:rsidRPr="00787196">
        <w:rPr>
          <w:rFonts w:cs="Arial"/>
          <w:szCs w:val="24"/>
        </w:rPr>
        <w:fldChar w:fldCharType="separate"/>
      </w:r>
      <w:r w:rsidRPr="00787196">
        <w:rPr>
          <w:rFonts w:cs="Arial"/>
          <w:szCs w:val="24"/>
        </w:rPr>
        <w:t>(Miller, 1980a, Ursin, 1980)</w:t>
      </w:r>
      <w:r w:rsidRPr="00787196">
        <w:rPr>
          <w:rFonts w:cs="Arial"/>
          <w:szCs w:val="24"/>
        </w:rPr>
        <w:fldChar w:fldCharType="end"/>
      </w:r>
      <w:r w:rsidRPr="00787196">
        <w:rPr>
          <w:rFonts w:cs="Arial"/>
          <w:szCs w:val="24"/>
        </w:rPr>
        <w:t xml:space="preserve">. </w:t>
      </w:r>
      <w:r w:rsidR="0037620A" w:rsidRPr="00787196">
        <w:rPr>
          <w:rFonts w:cs="Arial"/>
          <w:szCs w:val="24"/>
        </w:rPr>
        <w:t xml:space="preserve">A second </w:t>
      </w:r>
      <w:r w:rsidRPr="00787196">
        <w:rPr>
          <w:rFonts w:cs="Arial"/>
          <w:szCs w:val="24"/>
        </w:rPr>
        <w:t>type was based on psychoanalytical psychology</w:t>
      </w:r>
      <w:r w:rsidR="0037620A" w:rsidRPr="00787196">
        <w:rPr>
          <w:rFonts w:cs="Arial"/>
          <w:szCs w:val="24"/>
        </w:rPr>
        <w:t>,</w:t>
      </w:r>
      <w:r w:rsidRPr="00787196">
        <w:rPr>
          <w:rFonts w:cs="Arial"/>
          <w:szCs w:val="24"/>
        </w:rPr>
        <w:t xml:space="preserve"> </w:t>
      </w:r>
      <w:r w:rsidR="00F62C28" w:rsidRPr="00787196">
        <w:rPr>
          <w:rFonts w:cs="Arial"/>
          <w:szCs w:val="24"/>
        </w:rPr>
        <w:t xml:space="preserve">also </w:t>
      </w:r>
      <w:r w:rsidRPr="00787196">
        <w:rPr>
          <w:rFonts w:cs="Arial"/>
          <w:szCs w:val="24"/>
        </w:rPr>
        <w:t xml:space="preserve">known as </w:t>
      </w:r>
      <w:r w:rsidR="0037620A" w:rsidRPr="00787196">
        <w:rPr>
          <w:rFonts w:cs="Arial"/>
          <w:szCs w:val="24"/>
        </w:rPr>
        <w:t xml:space="preserve">the </w:t>
      </w:r>
      <w:r w:rsidRPr="00787196">
        <w:rPr>
          <w:rFonts w:cs="Arial"/>
          <w:szCs w:val="24"/>
        </w:rPr>
        <w:t xml:space="preserve">psychoanalytical- ego approach with a realistic, flexible thought process to solve problems and reduce stress </w:t>
      </w:r>
      <w:r w:rsidRPr="00787196">
        <w:rPr>
          <w:rFonts w:cs="Arial"/>
          <w:szCs w:val="24"/>
        </w:rPr>
        <w:fldChar w:fldCharType="begin"/>
      </w:r>
      <w:r w:rsidRPr="00787196">
        <w:rPr>
          <w:rFonts w:cs="Arial"/>
          <w:szCs w:val="24"/>
        </w:rPr>
        <w:instrText xml:space="preserve"> ADDIN EN.CITE &lt;EndNote&gt;&lt;Cite&gt;&lt;Author&gt;Aldwin&lt;/Author&gt;&lt;Year&gt;2007&lt;/Year&gt;&lt;RecNum&gt;0&lt;/RecNum&gt;&lt;IDText&gt;Stress, coping, and development: An integrative perspective&lt;/IDText&gt;&lt;DisplayText&gt;(Aldwin, 2007)&lt;/DisplayText&gt;&lt;record&gt;&lt;isbn&gt;1572308400&lt;/isbn&gt;&lt;titles&gt;&lt;title&gt;Stress, coping, and development: An integrative perspective&lt;/title&gt;&lt;/titles&gt;&lt;contributors&gt;&lt;authors&gt;&lt;author&gt;Aldwin, Carolyn M.&lt;/author&gt;&lt;/authors&gt;&lt;/contributors&gt;&lt;added-date format="utc"&gt;1377745575&lt;/added-date&gt;&lt;ref-type name="Book"&gt;6&lt;/ref-type&gt;&lt;dates&gt;&lt;year&gt;2007&lt;/year&gt;&lt;/dates&gt;&lt;rec-number&gt;1151&lt;/rec-number&gt;&lt;publisher&gt;Guilford Press&lt;/publisher&gt;&lt;last-updated-date format="utc"&gt;1385713712&lt;/last-updated-date&gt;&lt;/record&gt;&lt;/Cite&gt;&lt;/EndNote&gt;</w:instrText>
      </w:r>
      <w:r w:rsidRPr="00787196">
        <w:rPr>
          <w:rFonts w:cs="Arial"/>
          <w:szCs w:val="24"/>
        </w:rPr>
        <w:fldChar w:fldCharType="separate"/>
      </w:r>
      <w:r w:rsidRPr="00787196">
        <w:rPr>
          <w:rFonts w:cs="Arial"/>
          <w:szCs w:val="24"/>
        </w:rPr>
        <w:t>(Aldwin, 2007)</w:t>
      </w:r>
      <w:r w:rsidRPr="00787196">
        <w:rPr>
          <w:rFonts w:cs="Arial"/>
          <w:szCs w:val="24"/>
        </w:rPr>
        <w:fldChar w:fldCharType="end"/>
      </w:r>
      <w:r w:rsidRPr="00787196">
        <w:rPr>
          <w:rFonts w:cs="Arial"/>
          <w:szCs w:val="24"/>
        </w:rPr>
        <w:t xml:space="preserve">. </w:t>
      </w:r>
      <w:r w:rsidR="0037620A" w:rsidRPr="00787196">
        <w:rPr>
          <w:rFonts w:cs="Arial"/>
          <w:szCs w:val="24"/>
        </w:rPr>
        <w:t xml:space="preserve">Within this type of literature, </w:t>
      </w:r>
      <w:r w:rsidRPr="00787196">
        <w:rPr>
          <w:rFonts w:cs="Arial"/>
          <w:szCs w:val="24"/>
        </w:rPr>
        <w:t xml:space="preserve">Lazarus </w:t>
      </w:r>
      <w:r w:rsidRPr="00787196">
        <w:rPr>
          <w:rFonts w:cs="Arial"/>
          <w:szCs w:val="24"/>
        </w:rPr>
        <w:fldChar w:fldCharType="begin"/>
      </w:r>
      <w:r w:rsidRPr="00787196">
        <w:rPr>
          <w:rFonts w:cs="Arial"/>
          <w:szCs w:val="24"/>
        </w:rPr>
        <w:instrText xml:space="preserve"> ADDIN EN.CITE &lt;EndNote&gt;&lt;Cite ExcludeAuth="1"&gt;&lt;Author&gt;Lazarus&lt;/Author&gt;&lt;Year&gt;1993&lt;/Year&gt;&lt;RecNum&gt;0&lt;/RecNum&gt;&lt;IDText&gt;Coping theory and research: past, present, and future&lt;/IDText&gt;&lt;DisplayText&gt;(1993)&lt;/DisplayText&gt;&lt;record&gt;&lt;dates&gt;&lt;pub-dates&gt;&lt;date&gt;May-Jun&lt;/date&gt;&lt;/pub-dates&gt;&lt;year&gt;1993&lt;/year&gt;&lt;/dates&gt;&lt;keywords&gt;&lt;keyword&gt;Adaptation, Psychological&lt;/keyword&gt;&lt;keyword&gt;Female&lt;/keyword&gt;&lt;keyword&gt;Forecasting&lt;/keyword&gt;&lt;keyword&gt;Humans&lt;/keyword&gt;&lt;keyword&gt;Life Change Events&lt;/keyword&gt;&lt;keyword&gt;Male&lt;/keyword&gt;&lt;keyword&gt;Models, Psychological&lt;/keyword&gt;&lt;keyword&gt;Psychometrics&lt;/keyword&gt;&lt;keyword&gt;Research/trends&lt;/keyword&gt;&lt;keyword&gt;Stress, Psychological/ psychology&lt;/keyword&gt;&lt;keyword&gt;Terminology as Topic&lt;/keyword&gt;&lt;/keywords&gt;&lt;isbn&gt;0033-3174 (Print)&amp;#xD;0033-3174 (Linking)&lt;/isbn&gt;&lt;titles&gt;&lt;title&gt;Coping theory and research: past, present, and future&lt;/title&gt;&lt;secondary-title&gt;Psychosom Med&lt;/secondary-title&gt;&lt;alt-title&gt;Psychosomatic medicine&lt;/alt-title&gt;&lt;/titles&gt;&lt;pages&gt;234-47&lt;/pages&gt;&lt;number&gt;3&lt;/number&gt;&lt;contributors&gt;&lt;authors&gt;&lt;author&gt;Lazarus, R. S.&lt;/author&gt;&lt;/authors&gt;&lt;/contributors&gt;&lt;edition&gt;1993/05/01&lt;/edition&gt;&lt;language&gt;eng&lt;/language&gt;&lt;added-date format="utc"&gt;1361750855&lt;/added-date&gt;&lt;ref-type name="Journal Article"&gt;17&lt;/ref-type&gt;&lt;remote-database-provider&gt;NLM&lt;/remote-database-provider&gt;&lt;rec-number&gt;540&lt;/rec-number&gt;&lt;last-updated-date format="utc"&gt;1385713712&lt;/last-updated-date&gt;&lt;accession-num&gt;8346332&lt;/accession-num&gt;&lt;volume&gt;55&lt;/volume&gt;&lt;/record&gt;&lt;/Cite&gt;&lt;/EndNote&gt;</w:instrText>
      </w:r>
      <w:r w:rsidRPr="00787196">
        <w:rPr>
          <w:rFonts w:cs="Arial"/>
          <w:szCs w:val="24"/>
        </w:rPr>
        <w:fldChar w:fldCharType="separate"/>
      </w:r>
      <w:r w:rsidRPr="00787196">
        <w:rPr>
          <w:rFonts w:cs="Arial"/>
          <w:szCs w:val="24"/>
        </w:rPr>
        <w:t>(1993)</w:t>
      </w:r>
      <w:r w:rsidRPr="00787196">
        <w:rPr>
          <w:rFonts w:cs="Arial"/>
          <w:szCs w:val="24"/>
        </w:rPr>
        <w:fldChar w:fldCharType="end"/>
      </w:r>
      <w:r w:rsidRPr="00787196">
        <w:rPr>
          <w:rFonts w:cs="Arial"/>
          <w:szCs w:val="24"/>
        </w:rPr>
        <w:t xml:space="preserve"> contrasted two </w:t>
      </w:r>
      <w:r w:rsidR="0037620A" w:rsidRPr="00787196">
        <w:rPr>
          <w:rFonts w:cs="Arial"/>
          <w:szCs w:val="24"/>
        </w:rPr>
        <w:t xml:space="preserve">different </w:t>
      </w:r>
      <w:r w:rsidRPr="00787196">
        <w:rPr>
          <w:rFonts w:cs="Arial"/>
          <w:szCs w:val="24"/>
        </w:rPr>
        <w:t>approaches</w:t>
      </w:r>
      <w:r w:rsidR="0037620A" w:rsidRPr="00787196">
        <w:rPr>
          <w:rFonts w:cs="Arial"/>
          <w:szCs w:val="24"/>
        </w:rPr>
        <w:t xml:space="preserve"> </w:t>
      </w:r>
      <w:r w:rsidR="00AE2C43" w:rsidRPr="00787196">
        <w:rPr>
          <w:rFonts w:cs="Arial"/>
          <w:szCs w:val="24"/>
        </w:rPr>
        <w:t xml:space="preserve">towards </w:t>
      </w:r>
      <w:r w:rsidR="0037620A" w:rsidRPr="00787196">
        <w:rPr>
          <w:rFonts w:cs="Arial"/>
          <w:szCs w:val="24"/>
        </w:rPr>
        <w:t>conceptualising coping</w:t>
      </w:r>
      <w:r w:rsidRPr="00787196">
        <w:rPr>
          <w:rFonts w:cs="Arial"/>
          <w:szCs w:val="24"/>
        </w:rPr>
        <w:t xml:space="preserve"> (i) as a style, personality characteristic or trait </w:t>
      </w:r>
      <w:r w:rsidR="00160EA4" w:rsidRPr="00787196">
        <w:rPr>
          <w:rFonts w:cs="Arial"/>
          <w:szCs w:val="24"/>
        </w:rPr>
        <w:t xml:space="preserve">and </w:t>
      </w:r>
      <w:r w:rsidRPr="00787196">
        <w:rPr>
          <w:rFonts w:cs="Arial"/>
          <w:szCs w:val="24"/>
        </w:rPr>
        <w:t xml:space="preserve">(ii) </w:t>
      </w:r>
      <w:r w:rsidR="00160EA4" w:rsidRPr="00787196">
        <w:rPr>
          <w:rFonts w:cs="Arial"/>
          <w:szCs w:val="24"/>
        </w:rPr>
        <w:t xml:space="preserve">as </w:t>
      </w:r>
      <w:r w:rsidRPr="00787196">
        <w:rPr>
          <w:rFonts w:cs="Arial"/>
          <w:szCs w:val="24"/>
        </w:rPr>
        <w:t xml:space="preserve">a </w:t>
      </w:r>
      <w:r w:rsidR="0037620A" w:rsidRPr="00787196">
        <w:rPr>
          <w:rFonts w:cs="Arial"/>
          <w:szCs w:val="24"/>
        </w:rPr>
        <w:t xml:space="preserve">context specific </w:t>
      </w:r>
      <w:r w:rsidRPr="00787196">
        <w:rPr>
          <w:rFonts w:cs="Arial"/>
          <w:szCs w:val="24"/>
        </w:rPr>
        <w:t>process or a strategy</w:t>
      </w:r>
      <w:r w:rsidRPr="00787196">
        <w:rPr>
          <w:rFonts w:cs="Arial"/>
        </w:rPr>
        <w:t xml:space="preserve">. </w:t>
      </w:r>
    </w:p>
    <w:p w14:paraId="3F07723E" w14:textId="1F911BB5" w:rsidR="0065049E" w:rsidRPr="00787196" w:rsidRDefault="0065049E" w:rsidP="00226A04">
      <w:pPr>
        <w:pStyle w:val="Heading4"/>
      </w:pPr>
      <w:r w:rsidRPr="00787196">
        <w:t>Coping as a trait</w:t>
      </w:r>
      <w:r w:rsidR="0037620A" w:rsidRPr="00787196">
        <w:t xml:space="preserve"> or</w:t>
      </w:r>
      <w:r w:rsidRPr="00787196">
        <w:t xml:space="preserve"> style </w:t>
      </w:r>
    </w:p>
    <w:p w14:paraId="7D153143" w14:textId="77777777" w:rsidR="00AE2C43" w:rsidRPr="00787196" w:rsidRDefault="00AE2C43" w:rsidP="0065049E">
      <w:pPr>
        <w:spacing w:after="120"/>
        <w:rPr>
          <w:rFonts w:cs="Arial"/>
          <w:szCs w:val="24"/>
        </w:rPr>
      </w:pPr>
      <w:r w:rsidRPr="00787196">
        <w:rPr>
          <w:rFonts w:cs="Arial"/>
          <w:szCs w:val="24"/>
        </w:rPr>
        <w:t>T</w:t>
      </w:r>
      <w:r w:rsidR="0065049E" w:rsidRPr="00787196">
        <w:rPr>
          <w:rFonts w:cs="Arial"/>
          <w:szCs w:val="24"/>
        </w:rPr>
        <w:t xml:space="preserve">raits are properties </w:t>
      </w:r>
      <w:r w:rsidRPr="00787196">
        <w:rPr>
          <w:rFonts w:cs="Arial"/>
          <w:szCs w:val="24"/>
        </w:rPr>
        <w:t xml:space="preserve">or characteristics within an individual, under a given class or pattern of situations comes out as </w:t>
      </w:r>
      <w:r w:rsidR="0065049E" w:rsidRPr="00787196">
        <w:rPr>
          <w:rFonts w:cs="Arial"/>
          <w:szCs w:val="24"/>
        </w:rPr>
        <w:t>react</w:t>
      </w:r>
      <w:r w:rsidRPr="00787196">
        <w:rPr>
          <w:rFonts w:cs="Arial"/>
          <w:szCs w:val="24"/>
        </w:rPr>
        <w:t>ions</w:t>
      </w:r>
      <w:r w:rsidR="0065049E" w:rsidRPr="00787196">
        <w:rPr>
          <w:rFonts w:cs="Arial"/>
          <w:szCs w:val="24"/>
        </w:rPr>
        <w:t xml:space="preserve"> in a particular </w:t>
      </w:r>
      <w:r w:rsidRPr="00787196">
        <w:rPr>
          <w:rFonts w:cs="Arial"/>
          <w:szCs w:val="24"/>
        </w:rPr>
        <w:t>at their own disposal (</w:t>
      </w:r>
      <w:r w:rsidR="0065049E" w:rsidRPr="00787196">
        <w:rPr>
          <w:rFonts w:cs="Arial"/>
          <w:szCs w:val="24"/>
        </w:rPr>
        <w:t>e.g.) repression-sensitisation, anger-in and anger-out</w:t>
      </w:r>
      <w:r w:rsidRPr="00787196">
        <w:rPr>
          <w:rFonts w:cs="Arial"/>
          <w:szCs w:val="24"/>
        </w:rPr>
        <w:t>,</w:t>
      </w:r>
      <w:r w:rsidR="0065049E" w:rsidRPr="00787196">
        <w:rPr>
          <w:rFonts w:cs="Arial"/>
          <w:szCs w:val="24"/>
        </w:rPr>
        <w:t xml:space="preserve"> coping-avoiding monitoring-blunting </w:t>
      </w:r>
      <w:r w:rsidR="0065049E" w:rsidRPr="00787196">
        <w:rPr>
          <w:rFonts w:cs="Arial"/>
          <w:szCs w:val="24"/>
        </w:rPr>
        <w:fldChar w:fldCharType="begin">
          <w:fldData xml:space="preserve">PEVuZE5vdGU+PENpdGU+PEF1dGhvcj5GdW5rZW5zdGVpbjwvQXV0aG9yPjxZZWFyPjE5NTc8L1ll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</w:fldData>
        </w:fldChar>
      </w:r>
      <w:r w:rsidR="0065049E" w:rsidRPr="00787196">
        <w:rPr>
          <w:rFonts w:cs="Arial"/>
          <w:szCs w:val="24"/>
        </w:rPr>
        <w:instrText xml:space="preserve"> ADDIN EN.CITE </w:instrText>
      </w:r>
      <w:r w:rsidR="0065049E" w:rsidRPr="00787196">
        <w:rPr>
          <w:rFonts w:cs="Arial"/>
          <w:szCs w:val="24"/>
        </w:rPr>
        <w:fldChar w:fldCharType="begin">
          <w:fldData xml:space="preserve">PEVuZE5vdGU+PENpdGU+PEF1dGhvcj5GdW5rZW5zdGVpbjwvQXV0aG9yPjxZZWFyPjE5NTc8L1ll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</w:fldData>
        </w:fldChar>
      </w:r>
      <w:r w:rsidR="0065049E" w:rsidRPr="00787196">
        <w:rPr>
          <w:rFonts w:cs="Arial"/>
          <w:szCs w:val="24"/>
        </w:rPr>
        <w:instrText xml:space="preserve"> ADDIN EN.CITE.DATA </w:instrText>
      </w:r>
      <w:r w:rsidR="0065049E" w:rsidRPr="00787196">
        <w:rPr>
          <w:rFonts w:cs="Arial"/>
          <w:szCs w:val="24"/>
        </w:rPr>
      </w:r>
      <w:r w:rsidR="0065049E" w:rsidRPr="00787196">
        <w:rPr>
          <w:rFonts w:cs="Arial"/>
          <w:szCs w:val="24"/>
        </w:rPr>
        <w:fldChar w:fldCharType="end"/>
      </w:r>
      <w:r w:rsidR="0065049E" w:rsidRPr="00787196">
        <w:rPr>
          <w:rFonts w:cs="Arial"/>
          <w:szCs w:val="24"/>
        </w:rPr>
      </w:r>
      <w:r w:rsidR="0065049E" w:rsidRPr="00787196">
        <w:rPr>
          <w:rFonts w:cs="Arial"/>
          <w:szCs w:val="24"/>
        </w:rPr>
        <w:fldChar w:fldCharType="separate"/>
      </w:r>
      <w:r w:rsidR="0065049E" w:rsidRPr="00787196">
        <w:rPr>
          <w:rFonts w:cs="Arial"/>
          <w:szCs w:val="24"/>
        </w:rPr>
        <w:t>(Funkenstein et al., 1957, Goldstein, 1959, Goldstein, 1973, Shipley et al., 1978, Harburg et al., 1979, Shipley et al., 1979, Miller, 1980b, Krohne and Rogner, 1982, Miller, 1987)</w:t>
      </w:r>
      <w:r w:rsidR="0065049E" w:rsidRPr="00787196">
        <w:rPr>
          <w:rFonts w:cs="Arial"/>
          <w:szCs w:val="24"/>
        </w:rPr>
        <w:fldChar w:fldCharType="end"/>
      </w:r>
      <w:r w:rsidR="0065049E" w:rsidRPr="00787196">
        <w:rPr>
          <w:rFonts w:cs="Arial"/>
          <w:szCs w:val="24"/>
        </w:rPr>
        <w:t xml:space="preserve">. </w:t>
      </w:r>
    </w:p>
    <w:p w14:paraId="7B1E9A2C" w14:textId="27BBB713" w:rsidR="00B675AB" w:rsidRPr="00787196" w:rsidRDefault="00AE2C43" w:rsidP="00B675AB">
      <w:pPr>
        <w:spacing w:after="120"/>
        <w:rPr>
          <w:rFonts w:cs="Arial"/>
          <w:szCs w:val="24"/>
        </w:rPr>
      </w:pPr>
      <w:r w:rsidRPr="00787196">
        <w:rPr>
          <w:rFonts w:cs="Arial"/>
          <w:szCs w:val="24"/>
        </w:rPr>
        <w:lastRenderedPageBreak/>
        <w:t>Thus c</w:t>
      </w:r>
      <w:r w:rsidR="0065049E" w:rsidRPr="00787196">
        <w:rPr>
          <w:rFonts w:cs="Arial"/>
          <w:szCs w:val="24"/>
        </w:rPr>
        <w:t xml:space="preserve">oping styles </w:t>
      </w:r>
      <w:r w:rsidRPr="00787196">
        <w:rPr>
          <w:rFonts w:cs="Arial"/>
          <w:szCs w:val="24"/>
        </w:rPr>
        <w:t>are</w:t>
      </w:r>
      <w:r w:rsidR="0065049E" w:rsidRPr="00787196">
        <w:rPr>
          <w:rFonts w:cs="Arial"/>
          <w:szCs w:val="24"/>
        </w:rPr>
        <w:t xml:space="preserve"> broad, pervasive and encompassing ways of relating particular types of people (e.g.) being powerful, hostile, controlling, ambiguous, evaluative, imminent, evaluative </w:t>
      </w:r>
      <w:r w:rsidR="009D7672" w:rsidRPr="00787196">
        <w:rPr>
          <w:rFonts w:cs="Arial"/>
          <w:szCs w:val="24"/>
        </w:rPr>
        <w:t>or</w:t>
      </w:r>
      <w:r w:rsidR="0065049E" w:rsidRPr="00787196">
        <w:rPr>
          <w:rFonts w:cs="Arial"/>
          <w:szCs w:val="24"/>
        </w:rPr>
        <w:t xml:space="preserve"> vice versa </w:t>
      </w:r>
      <w:r w:rsidR="0065049E" w:rsidRPr="00787196">
        <w:rPr>
          <w:rFonts w:cs="Arial"/>
          <w:szCs w:val="24"/>
        </w:rPr>
        <w:fldChar w:fldCharType="begin"/>
      </w:r>
      <w:r w:rsidR="0065049E"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0065049E" w:rsidRPr="00787196">
        <w:rPr>
          <w:rFonts w:cs="Arial"/>
          <w:szCs w:val="24"/>
        </w:rPr>
        <w:fldChar w:fldCharType="separate"/>
      </w:r>
      <w:r w:rsidR="0065049E" w:rsidRPr="00787196">
        <w:rPr>
          <w:rFonts w:cs="Arial"/>
          <w:szCs w:val="24"/>
        </w:rPr>
        <w:t>(Lazarus and Folkman, 1984)</w:t>
      </w:r>
      <w:r w:rsidR="0065049E" w:rsidRPr="00787196">
        <w:rPr>
          <w:rFonts w:cs="Arial"/>
          <w:szCs w:val="24"/>
        </w:rPr>
        <w:fldChar w:fldCharType="end"/>
      </w:r>
      <w:r w:rsidR="0065049E" w:rsidRPr="00787196">
        <w:rPr>
          <w:rFonts w:cs="Arial"/>
          <w:szCs w:val="24"/>
        </w:rPr>
        <w:t>.</w:t>
      </w:r>
    </w:p>
    <w:p w14:paraId="1BB69230" w14:textId="39B2EBFB" w:rsidR="0065049E" w:rsidRPr="00787196" w:rsidRDefault="009D7672" w:rsidP="00B675AB">
      <w:pPr>
        <w:spacing w:after="120"/>
        <w:rPr>
          <w:rFonts w:cs="Arial"/>
          <w:szCs w:val="24"/>
        </w:rPr>
      </w:pPr>
      <w:r w:rsidRPr="00787196">
        <w:rPr>
          <w:rFonts w:cs="Arial"/>
          <w:szCs w:val="24"/>
        </w:rPr>
        <w:t xml:space="preserve">However, this approach was </w:t>
      </w:r>
      <w:r w:rsidR="0065049E" w:rsidRPr="00787196">
        <w:rPr>
          <w:rFonts w:cs="Arial"/>
          <w:szCs w:val="24"/>
        </w:rPr>
        <w:t xml:space="preserve">criticised for assuming to operate as a stable disposition through an individual’s life-course and underestimating complexities and variability </w:t>
      </w:r>
      <w:r w:rsidR="0065049E" w:rsidRPr="00787196">
        <w:rPr>
          <w:rFonts w:cs="Arial"/>
          <w:szCs w:val="24"/>
        </w:rPr>
        <w:fldChar w:fldCharType="begin"/>
      </w:r>
      <w:r w:rsidR="0065049E"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0065049E" w:rsidRPr="00787196">
        <w:rPr>
          <w:rFonts w:cs="Arial"/>
          <w:szCs w:val="24"/>
        </w:rPr>
        <w:fldChar w:fldCharType="separate"/>
      </w:r>
      <w:r w:rsidR="0065049E" w:rsidRPr="00787196">
        <w:rPr>
          <w:rFonts w:cs="Arial"/>
          <w:szCs w:val="24"/>
        </w:rPr>
        <w:t>(Lazarus and Folkman, 1984)</w:t>
      </w:r>
      <w:r w:rsidR="0065049E" w:rsidRPr="00787196">
        <w:rPr>
          <w:rFonts w:cs="Arial"/>
          <w:szCs w:val="24"/>
        </w:rPr>
        <w:fldChar w:fldCharType="end"/>
      </w:r>
      <w:r w:rsidR="0065049E" w:rsidRPr="00787196">
        <w:rPr>
          <w:rFonts w:cs="Arial"/>
          <w:szCs w:val="24"/>
        </w:rPr>
        <w:t xml:space="preserve">. </w:t>
      </w:r>
    </w:p>
    <w:p w14:paraId="4612F0DD" w14:textId="180DF9E9" w:rsidR="0065049E" w:rsidRPr="00787196" w:rsidRDefault="0065049E" w:rsidP="00226A04">
      <w:pPr>
        <w:pStyle w:val="Heading4"/>
      </w:pPr>
      <w:r w:rsidRPr="00787196">
        <w:t>Coping as a process</w:t>
      </w:r>
      <w:r w:rsidR="009D7672" w:rsidRPr="00787196">
        <w:t xml:space="preserve"> or state</w:t>
      </w:r>
    </w:p>
    <w:p w14:paraId="5FAF1551" w14:textId="33100090" w:rsidR="0065049E" w:rsidRPr="00787196" w:rsidRDefault="0065049E" w:rsidP="0065049E">
      <w:pPr>
        <w:spacing w:after="240"/>
        <w:rPr>
          <w:rFonts w:cs="Arial"/>
          <w:szCs w:val="24"/>
        </w:rPr>
      </w:pPr>
      <w:r w:rsidRPr="00787196">
        <w:rPr>
          <w:rFonts w:cs="Arial"/>
          <w:szCs w:val="24"/>
        </w:rPr>
        <w:t>Lazarus and Folkman</w:t>
      </w:r>
      <w:r w:rsidR="009D7672" w:rsidRPr="00787196">
        <w:rPr>
          <w:rFonts w:cs="Arial"/>
          <w:szCs w:val="24"/>
        </w:rPr>
        <w:t>’s</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 ExcludeAuth="1"&gt;&lt;Author&gt;Lazarus&lt;/Author&gt;&lt;Year&gt;1984&lt;/Year&gt;&lt;RecNum&gt;0&lt;/RecNum&gt;&lt;IDText&gt;Stress, appraisal, and coping&lt;/IDText&gt;&lt;DisplayText&gt;(1984)&lt;/DisplayText&gt;&lt;record&gt;&lt;isbn&gt;0826141919&lt;/isbn&gt;&lt;titles&gt;&lt;title&gt;Stress,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Pr="00787196">
        <w:rPr>
          <w:rFonts w:cs="Arial"/>
          <w:szCs w:val="24"/>
        </w:rPr>
        <w:fldChar w:fldCharType="separate"/>
      </w:r>
      <w:r w:rsidRPr="00787196">
        <w:rPr>
          <w:rFonts w:cs="Arial"/>
          <w:szCs w:val="24"/>
        </w:rPr>
        <w:t>(1984)</w:t>
      </w:r>
      <w:r w:rsidRPr="00787196">
        <w:rPr>
          <w:rFonts w:cs="Arial"/>
          <w:szCs w:val="24"/>
        </w:rPr>
        <w:fldChar w:fldCharType="end"/>
      </w:r>
      <w:r w:rsidRPr="00787196">
        <w:rPr>
          <w:rFonts w:cs="Arial"/>
          <w:szCs w:val="24"/>
        </w:rPr>
        <w:t xml:space="preserve"> </w:t>
      </w:r>
      <w:r w:rsidR="009D7672" w:rsidRPr="00787196">
        <w:rPr>
          <w:rFonts w:cs="Arial"/>
          <w:szCs w:val="24"/>
        </w:rPr>
        <w:t>a</w:t>
      </w:r>
      <w:r w:rsidRPr="00787196">
        <w:rPr>
          <w:rFonts w:cs="Arial"/>
          <w:szCs w:val="24"/>
        </w:rPr>
        <w:t xml:space="preserve">lternative approach </w:t>
      </w:r>
      <w:r w:rsidR="009D7672" w:rsidRPr="00787196">
        <w:rPr>
          <w:rFonts w:cs="Arial"/>
          <w:szCs w:val="24"/>
        </w:rPr>
        <w:t>regarding</w:t>
      </w:r>
      <w:r w:rsidRPr="00787196">
        <w:rPr>
          <w:rFonts w:cs="Arial"/>
          <w:szCs w:val="24"/>
        </w:rPr>
        <w:t xml:space="preserve"> coping </w:t>
      </w:r>
      <w:r w:rsidR="000C7881" w:rsidRPr="00787196">
        <w:rPr>
          <w:rFonts w:cs="Arial"/>
          <w:szCs w:val="24"/>
        </w:rPr>
        <w:t>w</w:t>
      </w:r>
      <w:r w:rsidRPr="00787196">
        <w:rPr>
          <w:rFonts w:cs="Arial"/>
          <w:szCs w:val="24"/>
        </w:rPr>
        <w:t>as</w:t>
      </w:r>
      <w:r w:rsidR="000C7881" w:rsidRPr="00787196">
        <w:rPr>
          <w:rFonts w:cs="Arial"/>
          <w:szCs w:val="24"/>
        </w:rPr>
        <w:t xml:space="preserve"> that it being</w:t>
      </w:r>
      <w:r w:rsidRPr="00787196">
        <w:rPr>
          <w:rFonts w:cs="Arial"/>
          <w:szCs w:val="24"/>
        </w:rPr>
        <w:t xml:space="preserve"> a process-oriented, dynamic concept that chang</w:t>
      </w:r>
      <w:r w:rsidR="009D7672" w:rsidRPr="00787196">
        <w:rPr>
          <w:rFonts w:cs="Arial"/>
          <w:szCs w:val="24"/>
        </w:rPr>
        <w:t xml:space="preserve">es </w:t>
      </w:r>
      <w:r w:rsidRPr="00787196">
        <w:rPr>
          <w:rFonts w:cs="Arial"/>
          <w:szCs w:val="24"/>
        </w:rPr>
        <w:t>according to the specific needs of individuals. This concept placed the process within conditions of psychological stress</w:t>
      </w:r>
      <w:r w:rsidR="000C7881" w:rsidRPr="00787196">
        <w:rPr>
          <w:rFonts w:cs="Arial"/>
          <w:szCs w:val="24"/>
        </w:rPr>
        <w:t>,</w:t>
      </w:r>
      <w:r w:rsidRPr="00787196">
        <w:rPr>
          <w:rFonts w:cs="Arial"/>
          <w:szCs w:val="24"/>
        </w:rPr>
        <w:t xml:space="preserve"> requiring thought process</w:t>
      </w:r>
      <w:r w:rsidR="000C7881" w:rsidRPr="00787196">
        <w:rPr>
          <w:rFonts w:cs="Arial"/>
          <w:szCs w:val="24"/>
        </w:rPr>
        <w:t>es</w:t>
      </w:r>
      <w:r w:rsidRPr="00787196">
        <w:rPr>
          <w:rFonts w:cs="Arial"/>
          <w:szCs w:val="24"/>
        </w:rPr>
        <w:t xml:space="preserve"> and behaviour modification </w:t>
      </w:r>
      <w:r w:rsidRPr="00787196">
        <w:rPr>
          <w:rFonts w:cs="Arial"/>
          <w:szCs w:val="24"/>
        </w:rPr>
        <w:fldChar w:fldCharType="begin"/>
      </w:r>
      <w:r w:rsidRPr="00787196">
        <w:rPr>
          <w:rFonts w:cs="Arial"/>
          <w:szCs w:val="24"/>
        </w:rPr>
        <w:instrText xml:space="preserve"> ADDIN EN.CITE &lt;EndNote&gt;&lt;Cite&gt;&lt;Author&gt;Lazarus&lt;/Author&gt;&lt;Year&gt;1993&lt;/Year&gt;&lt;RecNum&gt;0&lt;/RecNum&gt;&lt;IDText&gt;Coping theory and research: past, present, and future&lt;/IDText&gt;&lt;DisplayText&gt;(Lazarus, 1993)&lt;/DisplayText&gt;&lt;record&gt;&lt;dates&gt;&lt;pub-dates&gt;&lt;date&gt;May-Jun&lt;/date&gt;&lt;/pub-dates&gt;&lt;year&gt;1993&lt;/year&gt;&lt;/dates&gt;&lt;keywords&gt;&lt;keyword&gt;Adaptation, Psychological&lt;/keyword&gt;&lt;keyword&gt;Female&lt;/keyword&gt;&lt;keyword&gt;Forecasting&lt;/keyword&gt;&lt;keyword&gt;Humans&lt;/keyword&gt;&lt;keyword&gt;Life Change Events&lt;/keyword&gt;&lt;keyword&gt;Male&lt;/keyword&gt;&lt;keyword&gt;Models, Psychological&lt;/keyword&gt;&lt;keyword&gt;Psychometrics&lt;/keyword&gt;&lt;keyword&gt;Research/trends&lt;/keyword&gt;&lt;keyword&gt;Stress, Psychological/ psychology&lt;/keyword&gt;&lt;keyword&gt;Terminology as Topic&lt;/keyword&gt;&lt;/keywords&gt;&lt;isbn&gt;0033-3174 (Print)&amp;#xD;0033-3174 (Linking)&lt;/isbn&gt;&lt;titles&gt;&lt;title&gt;Coping theory and research: past, present, and future&lt;/title&gt;&lt;secondary-title&gt;Psychosom Med&lt;/secondary-title&gt;&lt;alt-title&gt;Psychosomatic medicine&lt;/alt-title&gt;&lt;/titles&gt;&lt;pages&gt;234-47&lt;/pages&gt;&lt;number&gt;3&lt;/number&gt;&lt;contributors&gt;&lt;authors&gt;&lt;author&gt;Lazarus, R. S.&lt;/author&gt;&lt;/authors&gt;&lt;/contributors&gt;&lt;edition&gt;1993/05/01&lt;/edition&gt;&lt;language&gt;eng&lt;/language&gt;&lt;added-date format="utc"&gt;1361750855&lt;/added-date&gt;&lt;ref-type name="Journal Article"&gt;17&lt;/ref-type&gt;&lt;remote-database-provider&gt;NLM&lt;/remote-database-provider&gt;&lt;rec-number&gt;540&lt;/rec-number&gt;&lt;last-updated-date format="utc"&gt;1385713712&lt;/last-updated-date&gt;&lt;accession-num&gt;8346332&lt;/accession-num&gt;&lt;volume&gt;55&lt;/volume&gt;&lt;/record&gt;&lt;/Cite&gt;&lt;/EndNote&gt;</w:instrText>
      </w:r>
      <w:r w:rsidRPr="00787196">
        <w:rPr>
          <w:rFonts w:cs="Arial"/>
          <w:szCs w:val="24"/>
        </w:rPr>
        <w:fldChar w:fldCharType="separate"/>
      </w:r>
      <w:r w:rsidRPr="00787196">
        <w:rPr>
          <w:rFonts w:cs="Arial"/>
          <w:szCs w:val="24"/>
        </w:rPr>
        <w:t>(Lazarus, 1993)</w:t>
      </w:r>
      <w:r w:rsidRPr="00787196">
        <w:rPr>
          <w:rFonts w:cs="Arial"/>
          <w:szCs w:val="24"/>
        </w:rPr>
        <w:fldChar w:fldCharType="end"/>
      </w:r>
      <w:r w:rsidRPr="00787196">
        <w:rPr>
          <w:rFonts w:cs="Arial"/>
          <w:szCs w:val="24"/>
        </w:rPr>
        <w:t>.</w:t>
      </w:r>
    </w:p>
    <w:p w14:paraId="37D0DB71" w14:textId="2C199517" w:rsidR="0065049E" w:rsidRPr="00787196" w:rsidRDefault="0065049E" w:rsidP="00F62C28">
      <w:pPr>
        <w:rPr>
          <w:rFonts w:cs="Arial"/>
          <w:szCs w:val="24"/>
        </w:rPr>
      </w:pPr>
      <w:r w:rsidRPr="00787196">
        <w:rPr>
          <w:rFonts w:cs="Arial"/>
          <w:szCs w:val="24"/>
        </w:rPr>
        <w:t xml:space="preserve">Coping </w:t>
      </w:r>
      <w:r w:rsidR="000C7881" w:rsidRPr="00787196">
        <w:rPr>
          <w:rFonts w:cs="Arial"/>
          <w:szCs w:val="24"/>
        </w:rPr>
        <w:t>was</w:t>
      </w:r>
      <w:r w:rsidRPr="00787196">
        <w:rPr>
          <w:rFonts w:cs="Arial"/>
          <w:szCs w:val="24"/>
        </w:rPr>
        <w:t xml:space="preserve"> thus defined </w:t>
      </w:r>
      <w:r w:rsidR="000C7881" w:rsidRPr="00787196">
        <w:rPr>
          <w:rFonts w:cs="Arial"/>
          <w:szCs w:val="24"/>
        </w:rPr>
        <w:t xml:space="preserve">by them </w:t>
      </w:r>
      <w:r w:rsidRPr="00787196">
        <w:rPr>
          <w:rFonts w:cs="Arial"/>
          <w:szCs w:val="24"/>
        </w:rPr>
        <w:t xml:space="preserve">as a process of </w:t>
      </w:r>
      <w:r w:rsidRPr="00787196">
        <w:rPr>
          <w:rFonts w:cs="Arial"/>
          <w:i/>
          <w:iCs/>
          <w:szCs w:val="24"/>
        </w:rPr>
        <w:t xml:space="preserve">“ constantly changing cognitive and behavioural efforts to manage specific external and/or internal demands that are appraised as taxing or exceeding the resource of the person” </w:t>
      </w:r>
      <w:r w:rsidRPr="00787196">
        <w:rPr>
          <w:rFonts w:cs="Arial"/>
          <w:szCs w:val="24"/>
        </w:rPr>
        <w:fldChar w:fldCharType="begin"/>
      </w:r>
      <w:r w:rsidRPr="00787196">
        <w:rPr>
          <w:rFonts w:cs="Arial"/>
          <w:szCs w:val="24"/>
        </w:rPr>
        <w:instrText xml:space="preserve"> ADDIN EN.CITE &lt;EndNote&gt;&lt;Cite&gt;&lt;Author&gt;Lazarus&lt;/Author&gt;&lt;Year&gt;1984&lt;/Year&gt;&lt;RecNum&gt;0&lt;/RecNum&gt;&lt;IDText&gt;Stress, appraisal, and coping&lt;/IDText&gt;&lt;Suffix&gt;`; p.141&lt;/Suffix&gt;&lt;DisplayText&gt;(Lazarus and Folkman, 1984; p.141)&lt;/DisplayText&gt;&lt;record&gt;&lt;isbn&gt;0826141919&lt;/isbn&gt;&lt;titles&gt;&lt;title&gt;Stress,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Pr="00787196">
        <w:rPr>
          <w:rFonts w:cs="Arial"/>
          <w:szCs w:val="24"/>
        </w:rPr>
        <w:fldChar w:fldCharType="separate"/>
      </w:r>
      <w:r w:rsidRPr="00787196">
        <w:rPr>
          <w:rFonts w:cs="Arial"/>
          <w:szCs w:val="24"/>
        </w:rPr>
        <w:t>(Lazarus and Folkman, 1984; p.141)</w:t>
      </w:r>
      <w:r w:rsidRPr="00787196">
        <w:rPr>
          <w:rFonts w:cs="Arial"/>
          <w:szCs w:val="24"/>
        </w:rPr>
        <w:fldChar w:fldCharType="end"/>
      </w:r>
      <w:r w:rsidRPr="00787196">
        <w:rPr>
          <w:rFonts w:cs="Arial"/>
          <w:szCs w:val="24"/>
        </w:rPr>
        <w:t xml:space="preserve"> </w:t>
      </w:r>
    </w:p>
    <w:p w14:paraId="3D36D5D4" w14:textId="2803CD6E" w:rsidR="008B5A91" w:rsidRPr="00787196" w:rsidRDefault="0065049E" w:rsidP="00F62C28">
      <w:pPr>
        <w:rPr>
          <w:rFonts w:cs="Arial"/>
          <w:szCs w:val="24"/>
        </w:rPr>
      </w:pPr>
      <w:r w:rsidRPr="00787196">
        <w:rPr>
          <w:rFonts w:cs="Arial"/>
          <w:szCs w:val="24"/>
        </w:rPr>
        <w:t xml:space="preserve">The Transactional model of stress and coping </w:t>
      </w:r>
      <w:r w:rsidR="008B5A91" w:rsidRPr="00787196">
        <w:rPr>
          <w:rFonts w:cs="Arial"/>
          <w:szCs w:val="24"/>
        </w:rPr>
        <w:t xml:space="preserve">(Figure 2-4) </w:t>
      </w:r>
      <w:r w:rsidRPr="00787196">
        <w:rPr>
          <w:rFonts w:cs="Arial"/>
          <w:szCs w:val="24"/>
        </w:rPr>
        <w:t xml:space="preserve">explains coping as a transactional process as conceived by Lazarus and Folkman (1984). </w:t>
      </w:r>
      <w:r w:rsidR="000C7881" w:rsidRPr="00787196">
        <w:rPr>
          <w:rFonts w:cs="Arial"/>
          <w:szCs w:val="24"/>
        </w:rPr>
        <w:t>The t</w:t>
      </w:r>
      <w:r w:rsidRPr="00787196">
        <w:rPr>
          <w:rFonts w:cs="Arial"/>
          <w:szCs w:val="24"/>
        </w:rPr>
        <w:t>ransaction is a dynamic encounter between an individual and their environment arising a</w:t>
      </w:r>
      <w:r w:rsidR="00F62C28" w:rsidRPr="00787196">
        <w:rPr>
          <w:rFonts w:cs="Arial"/>
          <w:szCs w:val="24"/>
        </w:rPr>
        <w:t xml:space="preserve">s result of a stressful event. </w:t>
      </w:r>
      <w:r w:rsidR="008B5A91" w:rsidRPr="00787196">
        <w:rPr>
          <w:rFonts w:cs="Arial"/>
          <w:szCs w:val="24"/>
        </w:rPr>
        <w:t>The transactional process can occur within a few moments, may continue for hours, days, weeks and even years. Stress arises as soon as the person perceives that he/she is vulnerable, threatened and cannot adequately to cope with the situation (Lazarus and Folkman, 1984).</w:t>
      </w:r>
    </w:p>
    <w:p w14:paraId="7FCF8C99" w14:textId="66806532" w:rsidR="0065049E" w:rsidRPr="00787196" w:rsidRDefault="0065049E" w:rsidP="0065049E">
      <w:pPr>
        <w:rPr>
          <w:rFonts w:cs="Arial"/>
          <w:szCs w:val="24"/>
        </w:rPr>
      </w:pPr>
    </w:p>
    <w:p w14:paraId="53C8C3A5" w14:textId="77777777" w:rsidR="0065049E" w:rsidRPr="00787196" w:rsidRDefault="0065049E" w:rsidP="0065049E">
      <w:pPr>
        <w:rPr>
          <w:rFonts w:cs="Arial"/>
          <w:szCs w:val="24"/>
        </w:rPr>
        <w:sectPr w:rsidR="0065049E" w:rsidRPr="00787196" w:rsidSect="00B560B3">
          <w:headerReference w:type="default" r:id="rId19"/>
          <w:footerReference w:type="default" r:id="rId20"/>
          <w:pgSz w:w="11906" w:h="16838"/>
          <w:pgMar w:top="1134" w:right="1134" w:bottom="1134" w:left="2268" w:header="708" w:footer="708" w:gutter="0"/>
          <w:cols w:space="708"/>
          <w:docGrid w:linePitch="360"/>
        </w:sectPr>
      </w:pPr>
    </w:p>
    <w:p w14:paraId="580676B1" w14:textId="77777777" w:rsidR="0065049E" w:rsidRPr="00787196" w:rsidRDefault="0065049E" w:rsidP="0065049E">
      <w:pPr>
        <w:rPr>
          <w:rFonts w:cs="Arial"/>
        </w:rPr>
        <w:sectPr w:rsidR="0065049E" w:rsidRPr="00787196" w:rsidSect="00B560B3">
          <w:pgSz w:w="16838" w:h="11906" w:orient="landscape"/>
          <w:pgMar w:top="2268" w:right="1134" w:bottom="1134" w:left="1134" w:header="709" w:footer="709" w:gutter="0"/>
          <w:cols w:space="708"/>
          <w:docGrid w:linePitch="360"/>
        </w:sectPr>
      </w:pPr>
      <w:r w:rsidRPr="00787196">
        <w:rPr>
          <w:noProof/>
        </w:rPr>
        <w:lastRenderedPageBreak/>
        <mc:AlternateContent>
          <mc:Choice Requires="wps">
            <w:drawing>
              <wp:anchor distT="0" distB="0" distL="114300" distR="114300" simplePos="0" relativeHeight="251642368" behindDoc="0" locked="0" layoutInCell="1" allowOverlap="1" wp14:anchorId="7D3A0D2B" wp14:editId="7C3CE482">
                <wp:simplePos x="0" y="0"/>
                <wp:positionH relativeFrom="column">
                  <wp:posOffset>1252855</wp:posOffset>
                </wp:positionH>
                <wp:positionV relativeFrom="paragraph">
                  <wp:posOffset>-325755</wp:posOffset>
                </wp:positionV>
                <wp:extent cx="6911340" cy="332740"/>
                <wp:effectExtent l="0" t="0" r="3810" b="0"/>
                <wp:wrapNone/>
                <wp:docPr id="1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340" cy="332740"/>
                        </a:xfrm>
                        <a:prstGeom prst="rect">
                          <a:avLst/>
                        </a:prstGeom>
                        <a:solidFill>
                          <a:prstClr val="white"/>
                        </a:solidFill>
                        <a:ln>
                          <a:noFill/>
                        </a:ln>
                        <a:effectLst/>
                      </wps:spPr>
                      <wps:txbx>
                        <w:txbxContent>
                          <w:p w14:paraId="6DF4286A" w14:textId="5B63BF7C" w:rsidR="006E7D7A" w:rsidRPr="00B560B3" w:rsidRDefault="006E7D7A" w:rsidP="00FE0D71">
                            <w:pPr>
                              <w:pStyle w:val="Caption"/>
                              <w:spacing w:before="0" w:after="0" w:line="360" w:lineRule="auto"/>
                              <w:jc w:val="center"/>
                              <w:rPr>
                                <w:b/>
                                <w:i w:val="0"/>
                                <w:color w:val="000000" w:themeColor="text1"/>
                                <w:sz w:val="24"/>
                                <w:szCs w:val="24"/>
                              </w:rPr>
                            </w:pPr>
                            <w:bookmarkStart w:id="85" w:name="_Toc470952861"/>
                            <w:bookmarkStart w:id="86" w:name="_Toc488655582"/>
                            <w:r w:rsidRPr="00B560B3">
                              <w:rPr>
                                <w:b/>
                                <w:i w:val="0"/>
                                <w:color w:val="000000" w:themeColor="text1"/>
                                <w:sz w:val="24"/>
                                <w:szCs w:val="24"/>
                              </w:rPr>
                              <w:t xml:space="preserve">Figure </w:t>
                            </w:r>
                            <w:r>
                              <w:rPr>
                                <w:b/>
                                <w:i w:val="0"/>
                                <w:color w:val="000000" w:themeColor="text1"/>
                                <w:sz w:val="24"/>
                                <w:szCs w:val="24"/>
                              </w:rPr>
                              <w:fldChar w:fldCharType="begin"/>
                            </w:r>
                            <w:r>
                              <w:rPr>
                                <w:b/>
                                <w:i w:val="0"/>
                                <w:color w:val="000000" w:themeColor="text1"/>
                                <w:sz w:val="24"/>
                                <w:szCs w:val="24"/>
                              </w:rPr>
                              <w:instrText xml:space="preserve"> STYLEREF 1 \s </w:instrText>
                            </w:r>
                            <w:r>
                              <w:rPr>
                                <w:b/>
                                <w:i w:val="0"/>
                                <w:color w:val="000000" w:themeColor="text1"/>
                                <w:sz w:val="24"/>
                                <w:szCs w:val="24"/>
                              </w:rPr>
                              <w:fldChar w:fldCharType="separate"/>
                            </w:r>
                            <w:r>
                              <w:rPr>
                                <w:b/>
                                <w:i w:val="0"/>
                                <w:noProof/>
                                <w:color w:val="000000" w:themeColor="text1"/>
                                <w:sz w:val="24"/>
                                <w:szCs w:val="24"/>
                              </w:rPr>
                              <w:t>2</w:t>
                            </w:r>
                            <w:r>
                              <w:rPr>
                                <w:b/>
                                <w:i w:val="0"/>
                                <w:color w:val="000000" w:themeColor="text1"/>
                                <w:sz w:val="24"/>
                                <w:szCs w:val="24"/>
                              </w:rPr>
                              <w:fldChar w:fldCharType="end"/>
                            </w:r>
                            <w:r>
                              <w:rPr>
                                <w:b/>
                                <w:i w:val="0"/>
                                <w:color w:val="000000" w:themeColor="text1"/>
                                <w:sz w:val="24"/>
                                <w:szCs w:val="24"/>
                              </w:rPr>
                              <w:noBreakHyphen/>
                            </w:r>
                            <w:r>
                              <w:rPr>
                                <w:b/>
                                <w:i w:val="0"/>
                                <w:color w:val="000000" w:themeColor="text1"/>
                                <w:sz w:val="24"/>
                                <w:szCs w:val="24"/>
                              </w:rPr>
                              <w:fldChar w:fldCharType="begin"/>
                            </w:r>
                            <w:r>
                              <w:rPr>
                                <w:b/>
                                <w:i w:val="0"/>
                                <w:color w:val="000000" w:themeColor="text1"/>
                                <w:sz w:val="24"/>
                                <w:szCs w:val="24"/>
                              </w:rPr>
                              <w:instrText xml:space="preserve"> SEQ Figure \* ARABIC \s 1 </w:instrText>
                            </w:r>
                            <w:r>
                              <w:rPr>
                                <w:b/>
                                <w:i w:val="0"/>
                                <w:color w:val="000000" w:themeColor="text1"/>
                                <w:sz w:val="24"/>
                                <w:szCs w:val="24"/>
                              </w:rPr>
                              <w:fldChar w:fldCharType="separate"/>
                            </w:r>
                            <w:r>
                              <w:rPr>
                                <w:b/>
                                <w:i w:val="0"/>
                                <w:noProof/>
                                <w:color w:val="000000" w:themeColor="text1"/>
                                <w:sz w:val="24"/>
                                <w:szCs w:val="24"/>
                              </w:rPr>
                              <w:t>4</w:t>
                            </w:r>
                            <w:r>
                              <w:rPr>
                                <w:b/>
                                <w:i w:val="0"/>
                                <w:color w:val="000000" w:themeColor="text1"/>
                                <w:sz w:val="24"/>
                                <w:szCs w:val="24"/>
                              </w:rPr>
                              <w:fldChar w:fldCharType="end"/>
                            </w:r>
                            <w:r>
                              <w:rPr>
                                <w:b/>
                                <w:i w:val="0"/>
                                <w:color w:val="000000" w:themeColor="text1"/>
                                <w:sz w:val="24"/>
                                <w:szCs w:val="24"/>
                              </w:rPr>
                              <w:t>.</w:t>
                            </w:r>
                            <w:r w:rsidRPr="00B560B3">
                              <w:rPr>
                                <w:b/>
                                <w:i w:val="0"/>
                                <w:color w:val="000000" w:themeColor="text1"/>
                                <w:sz w:val="24"/>
                                <w:szCs w:val="24"/>
                              </w:rPr>
                              <w:t xml:space="preserve"> Transactional model of stress and coping (Lazarus and Folkman, 1984)</w:t>
                            </w:r>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0D2B" id="Text Box 5" o:spid="_x0000_s1100" type="#_x0000_t202" style="position:absolute;left:0;text-align:left;margin-left:98.65pt;margin-top:-25.65pt;width:544.2pt;height:2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" stroked="f">
                <v:path arrowok="t"/>
                <v:textbox inset="0,0,0,0">
                  <w:txbxContent>
                    <w:p w14:paraId="6DF4286A" w14:textId="5B63BF7C" w:rsidR="006E7D7A" w:rsidRPr="00B560B3" w:rsidRDefault="006E7D7A" w:rsidP="00FE0D71">
                      <w:pPr>
                        <w:pStyle w:val="Caption"/>
                        <w:spacing w:before="0" w:after="0" w:line="360" w:lineRule="auto"/>
                        <w:jc w:val="center"/>
                        <w:rPr>
                          <w:b/>
                          <w:i w:val="0"/>
                          <w:color w:val="000000" w:themeColor="text1"/>
                          <w:sz w:val="24"/>
                          <w:szCs w:val="24"/>
                        </w:rPr>
                      </w:pPr>
                      <w:bookmarkStart w:id="87" w:name="_Toc470952861"/>
                      <w:bookmarkStart w:id="88" w:name="_Toc488655582"/>
                      <w:r w:rsidRPr="00B560B3">
                        <w:rPr>
                          <w:b/>
                          <w:i w:val="0"/>
                          <w:color w:val="000000" w:themeColor="text1"/>
                          <w:sz w:val="24"/>
                          <w:szCs w:val="24"/>
                        </w:rPr>
                        <w:t xml:space="preserve">Figure </w:t>
                      </w:r>
                      <w:r>
                        <w:rPr>
                          <w:b/>
                          <w:i w:val="0"/>
                          <w:color w:val="000000" w:themeColor="text1"/>
                          <w:sz w:val="24"/>
                          <w:szCs w:val="24"/>
                        </w:rPr>
                        <w:fldChar w:fldCharType="begin"/>
                      </w:r>
                      <w:r>
                        <w:rPr>
                          <w:b/>
                          <w:i w:val="0"/>
                          <w:color w:val="000000" w:themeColor="text1"/>
                          <w:sz w:val="24"/>
                          <w:szCs w:val="24"/>
                        </w:rPr>
                        <w:instrText xml:space="preserve"> STYLEREF 1 \s </w:instrText>
                      </w:r>
                      <w:r>
                        <w:rPr>
                          <w:b/>
                          <w:i w:val="0"/>
                          <w:color w:val="000000" w:themeColor="text1"/>
                          <w:sz w:val="24"/>
                          <w:szCs w:val="24"/>
                        </w:rPr>
                        <w:fldChar w:fldCharType="separate"/>
                      </w:r>
                      <w:r>
                        <w:rPr>
                          <w:b/>
                          <w:i w:val="0"/>
                          <w:noProof/>
                          <w:color w:val="000000" w:themeColor="text1"/>
                          <w:sz w:val="24"/>
                          <w:szCs w:val="24"/>
                        </w:rPr>
                        <w:t>2</w:t>
                      </w:r>
                      <w:r>
                        <w:rPr>
                          <w:b/>
                          <w:i w:val="0"/>
                          <w:color w:val="000000" w:themeColor="text1"/>
                          <w:sz w:val="24"/>
                          <w:szCs w:val="24"/>
                        </w:rPr>
                        <w:fldChar w:fldCharType="end"/>
                      </w:r>
                      <w:r>
                        <w:rPr>
                          <w:b/>
                          <w:i w:val="0"/>
                          <w:color w:val="000000" w:themeColor="text1"/>
                          <w:sz w:val="24"/>
                          <w:szCs w:val="24"/>
                        </w:rPr>
                        <w:noBreakHyphen/>
                      </w:r>
                      <w:r>
                        <w:rPr>
                          <w:b/>
                          <w:i w:val="0"/>
                          <w:color w:val="000000" w:themeColor="text1"/>
                          <w:sz w:val="24"/>
                          <w:szCs w:val="24"/>
                        </w:rPr>
                        <w:fldChar w:fldCharType="begin"/>
                      </w:r>
                      <w:r>
                        <w:rPr>
                          <w:b/>
                          <w:i w:val="0"/>
                          <w:color w:val="000000" w:themeColor="text1"/>
                          <w:sz w:val="24"/>
                          <w:szCs w:val="24"/>
                        </w:rPr>
                        <w:instrText xml:space="preserve"> SEQ Figure \* ARABIC \s 1 </w:instrText>
                      </w:r>
                      <w:r>
                        <w:rPr>
                          <w:b/>
                          <w:i w:val="0"/>
                          <w:color w:val="000000" w:themeColor="text1"/>
                          <w:sz w:val="24"/>
                          <w:szCs w:val="24"/>
                        </w:rPr>
                        <w:fldChar w:fldCharType="separate"/>
                      </w:r>
                      <w:r>
                        <w:rPr>
                          <w:b/>
                          <w:i w:val="0"/>
                          <w:noProof/>
                          <w:color w:val="000000" w:themeColor="text1"/>
                          <w:sz w:val="24"/>
                          <w:szCs w:val="24"/>
                        </w:rPr>
                        <w:t>4</w:t>
                      </w:r>
                      <w:r>
                        <w:rPr>
                          <w:b/>
                          <w:i w:val="0"/>
                          <w:color w:val="000000" w:themeColor="text1"/>
                          <w:sz w:val="24"/>
                          <w:szCs w:val="24"/>
                        </w:rPr>
                        <w:fldChar w:fldCharType="end"/>
                      </w:r>
                      <w:r>
                        <w:rPr>
                          <w:b/>
                          <w:i w:val="0"/>
                          <w:color w:val="000000" w:themeColor="text1"/>
                          <w:sz w:val="24"/>
                          <w:szCs w:val="24"/>
                        </w:rPr>
                        <w:t>.</w:t>
                      </w:r>
                      <w:r w:rsidRPr="00B560B3">
                        <w:rPr>
                          <w:b/>
                          <w:i w:val="0"/>
                          <w:color w:val="000000" w:themeColor="text1"/>
                          <w:sz w:val="24"/>
                          <w:szCs w:val="24"/>
                        </w:rPr>
                        <w:t xml:space="preserve"> Transactional model of stress and coping (Lazarus and Folkman, 1984)</w:t>
                      </w:r>
                      <w:bookmarkEnd w:id="87"/>
                      <w:bookmarkEnd w:id="88"/>
                    </w:p>
                  </w:txbxContent>
                </v:textbox>
              </v:shape>
            </w:pict>
          </mc:Fallback>
        </mc:AlternateContent>
      </w:r>
      <w:r w:rsidRPr="00787196">
        <w:rPr>
          <w:noProof/>
        </w:rPr>
        <mc:AlternateContent>
          <mc:Choice Requires="wpc">
            <w:drawing>
              <wp:inline distT="0" distB="0" distL="0" distR="0" wp14:anchorId="36212789" wp14:editId="4717544D">
                <wp:extent cx="8975559" cy="5605524"/>
                <wp:effectExtent l="38100" t="133350" r="130810" b="109855"/>
                <wp:docPr id="209" name="Canvas 232"/>
                <wp:cNvGraphicFramePr>
                  <a:graphicFrameLocks xmlns:a="http://schemas.openxmlformats.org/drawingml/2006/main"/>
                </wp:cNvGraphicFramePr>
                <a:graphic xmlns:a="http://schemas.openxmlformats.org/drawingml/2006/main">
                  <a:graphicData uri="http://schemas.microsoft.com/office/word/2010/wordprocessingCanvas">
                    <wpc:wpc>
                      <wpc:bg>
                        <a:effectLst>
                          <a:glow rad="127000">
                            <a:schemeClr val="accent3">
                              <a:lumMod val="40000"/>
                              <a:lumOff val="60000"/>
                            </a:schemeClr>
                          </a:glow>
                        </a:effectLst>
                      </wpc:bg>
                      <wpc:whole/>
                      <wps:wsp>
                        <wps:cNvPr id="148" name="Explosion 2 148"/>
                        <wps:cNvSpPr/>
                        <wps:spPr>
                          <a:xfrm>
                            <a:off x="3015268" y="0"/>
                            <a:ext cx="2363451" cy="1050878"/>
                          </a:xfrm>
                          <a:prstGeom prst="irregularSeal2">
                            <a:avLst/>
                          </a:prstGeom>
                          <a:solidFill>
                            <a:srgbClr val="FF0000">
                              <a:alpha val="68000"/>
                            </a:srgbClr>
                          </a:solidFill>
                          <a:ln w="25400" cap="flat" cmpd="sng" algn="ctr">
                            <a:solidFill>
                              <a:sysClr val="windowText" lastClr="000000"/>
                            </a:solidFill>
                            <a:prstDash val="solid"/>
                          </a:ln>
                          <a:effectLst>
                            <a:glow rad="127000">
                              <a:srgbClr val="FF0000">
                                <a:alpha val="26000"/>
                              </a:srgbClr>
                            </a:glow>
                          </a:effectLst>
                        </wps:spPr>
                        <wps:txbx>
                          <w:txbxContent>
                            <w:p w14:paraId="4ABF5F05" w14:textId="77777777" w:rsidR="006E7D7A" w:rsidRPr="00C54DC0" w:rsidRDefault="006E7D7A" w:rsidP="00DC183D">
                              <w:pPr>
                                <w:spacing w:before="0" w:after="0" w:line="240" w:lineRule="auto"/>
                                <w:jc w:val="center"/>
                                <w:rPr>
                                  <w:rFonts w:cs="Arial"/>
                                  <w:b/>
                                  <w:bCs/>
                                  <w:szCs w:val="24"/>
                                </w:rPr>
                              </w:pPr>
                              <w:r w:rsidRPr="00C54DC0">
                                <w:rPr>
                                  <w:rFonts w:cs="Arial"/>
                                  <w:b/>
                                  <w:bCs/>
                                  <w:szCs w:val="24"/>
                                </w:rPr>
                                <w:t>Stressful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a:stCxn id="148" idx="2"/>
                        </wps:cNvCnPr>
                        <wps:spPr>
                          <a:xfrm>
                            <a:off x="4285842" y="916696"/>
                            <a:ext cx="16469" cy="2613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0" name="Rectangle 187"/>
                        <wps:cNvSpPr/>
                        <wps:spPr>
                          <a:xfrm>
                            <a:off x="3225931" y="1178066"/>
                            <a:ext cx="2152760" cy="686260"/>
                          </a:xfrm>
                          <a:prstGeom prst="rect">
                            <a:avLst/>
                          </a:prstGeom>
                          <a:solidFill>
                            <a:srgbClr val="21A77E"/>
                          </a:solidFill>
                          <a:ln w="25400" cap="flat" cmpd="sng" algn="ctr">
                            <a:solidFill>
                              <a:sysClr val="windowText" lastClr="000000"/>
                            </a:solidFill>
                            <a:prstDash val="solid"/>
                          </a:ln>
                          <a:effectLst>
                            <a:glow rad="127000">
                              <a:srgbClr val="009900">
                                <a:alpha val="58000"/>
                              </a:srgbClr>
                            </a:glow>
                          </a:effectLst>
                        </wps:spPr>
                        <wps:txbx>
                          <w:txbxContent>
                            <w:p w14:paraId="2AAD2E0A" w14:textId="77777777" w:rsidR="006E7D7A" w:rsidRPr="007370C8" w:rsidRDefault="006E7D7A" w:rsidP="0065049E">
                              <w:pPr>
                                <w:pStyle w:val="NormalWeb"/>
                                <w:spacing w:before="0" w:beforeAutospacing="0" w:after="0" w:afterAutospacing="0"/>
                                <w:jc w:val="center"/>
                                <w:rPr>
                                  <w:rFonts w:ascii="Arial" w:eastAsia="SimSun" w:hAnsi="Arial" w:cs="Arial"/>
                                  <w:b/>
                                  <w:bCs/>
                                </w:rPr>
                              </w:pPr>
                              <w:r w:rsidRPr="007370C8">
                                <w:rPr>
                                  <w:rFonts w:ascii="Arial" w:eastAsia="SimSun" w:hAnsi="Arial" w:cs="Arial"/>
                                  <w:b/>
                                  <w:bCs/>
                                </w:rPr>
                                <w:t>PRIMARY APPRAISAL</w:t>
                              </w:r>
                            </w:p>
                            <w:p w14:paraId="50CC0CB3"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Should I deal with this?</w:t>
                              </w:r>
                            </w:p>
                            <w:p w14:paraId="3F100B6A"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Am I in trouble?</w:t>
                              </w:r>
                            </w:p>
                            <w:p w14:paraId="6592B9EC"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Does this matter to me?</w:t>
                              </w:r>
                            </w:p>
                            <w:p w14:paraId="48F37976" w14:textId="77777777" w:rsidR="006E7D7A" w:rsidRPr="007370C8" w:rsidRDefault="006E7D7A" w:rsidP="00C119A5">
                              <w:pPr>
                                <w:pStyle w:val="NormalWeb"/>
                                <w:numPr>
                                  <w:ilvl w:val="0"/>
                                  <w:numId w:val="26"/>
                                </w:numPr>
                                <w:spacing w:before="0" w:beforeAutospacing="0" w:after="0" w:afterAutospacing="0"/>
                                <w:jc w:val="center"/>
                                <w:rPr>
                                  <w:rFonts w:ascii="Arial" w:eastAsia="SimSun" w:hAnsi="Arial" w:cs="Arial"/>
                                  <w:b/>
                                  <w:bCs/>
                                  <w:sz w:val="18"/>
                                  <w:szCs w:val="18"/>
                                </w:rPr>
                              </w:pPr>
                            </w:p>
                            <w:p w14:paraId="3F877ED5" w14:textId="77777777" w:rsidR="006E7D7A" w:rsidRPr="00302B43" w:rsidRDefault="006E7D7A" w:rsidP="0065049E">
                              <w:pPr>
                                <w:pStyle w:val="NormalWeb"/>
                                <w:spacing w:before="0" w:beforeAutospacing="0" w:after="0" w:afterAutospacing="0"/>
                                <w:jc w:val="center"/>
                                <w:rPr>
                                  <w:rFonts w:ascii="Arial" w:hAnsi="Arial" w:cs="Aria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88"/>
                        <wps:cNvSpPr/>
                        <wps:spPr>
                          <a:xfrm>
                            <a:off x="3015191" y="3418711"/>
                            <a:ext cx="2572722" cy="705982"/>
                          </a:xfrm>
                          <a:prstGeom prst="rect">
                            <a:avLst/>
                          </a:prstGeom>
                          <a:solidFill>
                            <a:srgbClr val="60DE60">
                              <a:alpha val="30980"/>
                            </a:srgbClr>
                          </a:solidFill>
                          <a:ln w="25400" cap="flat" cmpd="sng" algn="ctr">
                            <a:solidFill>
                              <a:sysClr val="windowText" lastClr="000000"/>
                            </a:solidFill>
                            <a:prstDash val="solid"/>
                          </a:ln>
                          <a:effectLst>
                            <a:glow rad="127000">
                              <a:srgbClr val="2ACC2A">
                                <a:alpha val="31000"/>
                              </a:srgbClr>
                            </a:glow>
                          </a:effectLst>
                        </wps:spPr>
                        <wps:txbx>
                          <w:txbxContent>
                            <w:p w14:paraId="4C19787C" w14:textId="77777777" w:rsidR="006E7D7A" w:rsidRPr="00BE6C55" w:rsidRDefault="006E7D7A" w:rsidP="0065049E">
                              <w:pPr>
                                <w:pStyle w:val="NormalWeb"/>
                                <w:tabs>
                                  <w:tab w:val="left" w:pos="851"/>
                                </w:tabs>
                                <w:spacing w:before="0" w:beforeAutospacing="0" w:after="0" w:afterAutospacing="0" w:line="276" w:lineRule="auto"/>
                                <w:jc w:val="center"/>
                                <w:rPr>
                                  <w:rFonts w:ascii="Arial" w:eastAsia="SimSun" w:hAnsi="Arial" w:cs="Arial"/>
                                  <w:b/>
                                  <w:bCs/>
                                  <w:sz w:val="22"/>
                                  <w:szCs w:val="22"/>
                                </w:rPr>
                              </w:pPr>
                              <w:r w:rsidRPr="00BE6C55">
                                <w:rPr>
                                  <w:rFonts w:ascii="Arial" w:eastAsia="SimSun" w:hAnsi="Arial" w:cs="Arial"/>
                                  <w:b/>
                                  <w:bCs/>
                                  <w:sz w:val="22"/>
                                  <w:szCs w:val="22"/>
                                </w:rPr>
                                <w:t>SECONDARY APPRAISAL</w:t>
                              </w:r>
                            </w:p>
                            <w:p w14:paraId="0830155A" w14:textId="77777777" w:rsidR="006E7D7A" w:rsidRPr="00BE6C55" w:rsidRDefault="006E7D7A" w:rsidP="0065049E">
                              <w:pPr>
                                <w:pStyle w:val="NormalWeb"/>
                                <w:tabs>
                                  <w:tab w:val="left" w:pos="851"/>
                                </w:tabs>
                                <w:spacing w:before="0" w:beforeAutospacing="0" w:after="0" w:afterAutospacing="0"/>
                                <w:jc w:val="center"/>
                                <w:rPr>
                                  <w:rFonts w:ascii="Arial" w:eastAsia="SimSun" w:hAnsi="Arial" w:cs="Arial"/>
                                  <w:sz w:val="18"/>
                                  <w:szCs w:val="18"/>
                                </w:rPr>
                              </w:pPr>
                              <w:r w:rsidRPr="00BE6C55">
                                <w:rPr>
                                  <w:rFonts w:ascii="Arial" w:eastAsia="SimSun" w:hAnsi="Arial" w:cs="Arial"/>
                                  <w:sz w:val="18"/>
                                  <w:szCs w:val="18"/>
                                </w:rPr>
                                <w:t>Any coping options?</w:t>
                              </w:r>
                            </w:p>
                            <w:p w14:paraId="37AFCB2D" w14:textId="77777777" w:rsidR="006E7D7A" w:rsidRPr="00BE6C55" w:rsidRDefault="006E7D7A" w:rsidP="0065049E">
                              <w:pPr>
                                <w:pStyle w:val="NormalWeb"/>
                                <w:tabs>
                                  <w:tab w:val="left" w:pos="851"/>
                                </w:tabs>
                                <w:spacing w:before="0" w:beforeAutospacing="0" w:after="0" w:afterAutospacing="0"/>
                                <w:jc w:val="center"/>
                                <w:rPr>
                                  <w:rFonts w:ascii="Arial" w:eastAsia="SimSun" w:hAnsi="Arial" w:cs="Arial"/>
                                  <w:sz w:val="18"/>
                                  <w:szCs w:val="18"/>
                                </w:rPr>
                              </w:pPr>
                              <w:r w:rsidRPr="00BE6C55">
                                <w:rPr>
                                  <w:rFonts w:ascii="Arial" w:eastAsia="SimSun" w:hAnsi="Arial" w:cs="Arial"/>
                                  <w:sz w:val="18"/>
                                  <w:szCs w:val="18"/>
                                </w:rPr>
                                <w:t>Will I be able to cope?</w:t>
                              </w:r>
                            </w:p>
                            <w:p w14:paraId="6E126100" w14:textId="77777777" w:rsidR="006E7D7A" w:rsidRPr="00BE6C55" w:rsidRDefault="006E7D7A" w:rsidP="0065049E">
                              <w:pPr>
                                <w:pStyle w:val="NormalWeb"/>
                                <w:tabs>
                                  <w:tab w:val="left" w:pos="851"/>
                                </w:tabs>
                                <w:spacing w:before="0" w:beforeAutospacing="0" w:after="0" w:afterAutospacing="0"/>
                                <w:jc w:val="center"/>
                                <w:rPr>
                                  <w:rFonts w:ascii="Arial" w:hAnsi="Arial" w:cs="Arial"/>
                                  <w:sz w:val="18"/>
                                  <w:szCs w:val="18"/>
                                </w:rPr>
                              </w:pPr>
                              <w:r w:rsidRPr="00BE6C55">
                                <w:rPr>
                                  <w:rFonts w:ascii="Arial" w:eastAsia="SimSun" w:hAnsi="Arial" w:cs="Arial"/>
                                  <w:sz w:val="18"/>
                                  <w:szCs w:val="18"/>
                                </w:rPr>
                                <w:t>Will the coping strategy work</w:t>
                              </w:r>
                              <w:r>
                                <w:rPr>
                                  <w:rFonts w:ascii="Arial" w:eastAsia="SimSun" w:hAnsi="Arial" w:cs="Arial"/>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Straight Arrow Connector 189"/>
                        <wps:cNvCnPr>
                          <a:endCxn id="157" idx="6"/>
                        </wps:cNvCnPr>
                        <wps:spPr>
                          <a:xfrm flipH="1">
                            <a:off x="1880893" y="1521196"/>
                            <a:ext cx="1345038" cy="61018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3" name="Straight Arrow Connector 190"/>
                        <wps:cNvCnPr>
                          <a:endCxn id="155" idx="6"/>
                        </wps:cNvCnPr>
                        <wps:spPr>
                          <a:xfrm flipH="1" flipV="1">
                            <a:off x="1880852" y="1276609"/>
                            <a:ext cx="1345079" cy="24458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 name="Straight Arrow Connector 191"/>
                        <wps:cNvCnPr>
                          <a:endCxn id="156" idx="0"/>
                        </wps:cNvCnPr>
                        <wps:spPr>
                          <a:xfrm flipH="1">
                            <a:off x="4301161" y="1864326"/>
                            <a:ext cx="1150" cy="26695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5" name="Oval 155"/>
                        <wps:cNvSpPr/>
                        <wps:spPr>
                          <a:xfrm>
                            <a:off x="96195" y="1032021"/>
                            <a:ext cx="1784657" cy="489175"/>
                          </a:xfrm>
                          <a:prstGeom prst="ellipse">
                            <a:avLst/>
                          </a:prstGeom>
                          <a:solidFill>
                            <a:sysClr val="window" lastClr="FFFFFF">
                              <a:lumMod val="85000"/>
                              <a:alpha val="72000"/>
                            </a:sysClr>
                          </a:solidFill>
                          <a:ln w="25400" cap="flat" cmpd="sng" algn="ctr">
                            <a:solidFill>
                              <a:sysClr val="windowText" lastClr="000000"/>
                            </a:solidFill>
                            <a:prstDash val="solid"/>
                          </a:ln>
                          <a:effectLst>
                            <a:glow rad="127000">
                              <a:sysClr val="window" lastClr="FFFFFF">
                                <a:lumMod val="65000"/>
                                <a:alpha val="36000"/>
                              </a:sysClr>
                            </a:glow>
                          </a:effectLst>
                        </wps:spPr>
                        <wps:txbx>
                          <w:txbxContent>
                            <w:p w14:paraId="52202D2B" w14:textId="77777777" w:rsidR="006E7D7A" w:rsidRPr="005C2A75" w:rsidRDefault="006E7D7A" w:rsidP="0065049E">
                              <w:pPr>
                                <w:spacing w:before="0" w:after="0"/>
                                <w:jc w:val="center"/>
                                <w:rPr>
                                  <w:rFonts w:cs="Arial"/>
                                  <w:color w:val="0D0D0D"/>
                                  <w:szCs w:val="24"/>
                                </w:rPr>
                              </w:pPr>
                              <w:r w:rsidRPr="005C2A75">
                                <w:rPr>
                                  <w:rFonts w:cs="Arial"/>
                                  <w:color w:val="0D0D0D"/>
                                  <w:szCs w:val="24"/>
                                </w:rPr>
                                <w:t>Irrelevant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3014939" y="2131284"/>
                            <a:ext cx="2572508" cy="1045203"/>
                          </a:xfrm>
                          <a:prstGeom prst="ellipse">
                            <a:avLst/>
                          </a:prstGeom>
                          <a:solidFill>
                            <a:srgbClr val="FF8C89"/>
                          </a:solidFill>
                          <a:ln w="25400" cap="flat" cmpd="sng" algn="ctr">
                            <a:solidFill>
                              <a:sysClr val="windowText" lastClr="000000">
                                <a:lumMod val="95000"/>
                                <a:lumOff val="5000"/>
                              </a:sysClr>
                            </a:solidFill>
                            <a:prstDash val="solid"/>
                          </a:ln>
                          <a:effectLst>
                            <a:glow rad="127000">
                              <a:srgbClr val="FF3833">
                                <a:alpha val="36000"/>
                              </a:srgbClr>
                            </a:glow>
                          </a:effectLst>
                        </wps:spPr>
                        <wps:txbx>
                          <w:txbxContent>
                            <w:p w14:paraId="3771A150" w14:textId="77777777" w:rsidR="006E7D7A" w:rsidRPr="005C2A75" w:rsidRDefault="006E7D7A" w:rsidP="0065049E">
                              <w:pPr>
                                <w:spacing w:before="0" w:after="0" w:line="240" w:lineRule="auto"/>
                                <w:jc w:val="center"/>
                                <w:rPr>
                                  <w:rFonts w:eastAsia="Times New Roman" w:cs="Arial"/>
                                  <w:b/>
                                  <w:bCs/>
                                  <w:color w:val="0D0D0D"/>
                                  <w:szCs w:val="24"/>
                                </w:rPr>
                              </w:pPr>
                              <w:r w:rsidRPr="005C2A75">
                                <w:rPr>
                                  <w:rFonts w:eastAsia="Times New Roman" w:cs="Arial"/>
                                  <w:b/>
                                  <w:bCs/>
                                  <w:color w:val="0D0D0D"/>
                                  <w:szCs w:val="24"/>
                                </w:rPr>
                                <w:t>STRESSFUL</w:t>
                              </w:r>
                            </w:p>
                            <w:p w14:paraId="1D4659F9"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0"/>
                                  <w:szCs w:val="20"/>
                                </w:rPr>
                              </w:pPr>
                              <w:r w:rsidRPr="005C2A75">
                                <w:rPr>
                                  <w:rFonts w:eastAsia="Times New Roman" w:cs="Arial"/>
                                  <w:color w:val="0D0D0D"/>
                                  <w:sz w:val="20"/>
                                  <w:szCs w:val="20"/>
                                </w:rPr>
                                <w:t>Harm/loss</w:t>
                              </w:r>
                            </w:p>
                            <w:p w14:paraId="2EF66C1E"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0"/>
                                  <w:szCs w:val="20"/>
                                </w:rPr>
                              </w:pPr>
                              <w:r w:rsidRPr="005C2A75">
                                <w:rPr>
                                  <w:rFonts w:eastAsia="Times New Roman" w:cs="Arial"/>
                                  <w:color w:val="0D0D0D"/>
                                  <w:sz w:val="20"/>
                                  <w:szCs w:val="20"/>
                                </w:rPr>
                                <w:t>Threat</w:t>
                              </w:r>
                            </w:p>
                            <w:p w14:paraId="3E9E7964"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2"/>
                                </w:rPr>
                              </w:pPr>
                              <w:r w:rsidRPr="005C2A75">
                                <w:rPr>
                                  <w:rFonts w:eastAsia="Times New Roman" w:cs="Arial"/>
                                  <w:color w:val="0D0D0D"/>
                                  <w:sz w:val="20"/>
                                  <w:szCs w:val="20"/>
                                </w:rPr>
                                <w:t>Challenge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Oval 157"/>
                        <wps:cNvSpPr/>
                        <wps:spPr>
                          <a:xfrm>
                            <a:off x="96201" y="1864326"/>
                            <a:ext cx="1784692" cy="534100"/>
                          </a:xfrm>
                          <a:prstGeom prst="ellipse">
                            <a:avLst/>
                          </a:prstGeom>
                          <a:solidFill>
                            <a:srgbClr val="92D050">
                              <a:alpha val="36000"/>
                            </a:srgbClr>
                          </a:solidFill>
                          <a:ln w="25400" cap="flat" cmpd="sng" algn="ctr">
                            <a:solidFill>
                              <a:sysClr val="windowText" lastClr="000000"/>
                            </a:solidFill>
                            <a:prstDash val="solid"/>
                          </a:ln>
                          <a:effectLst>
                            <a:glow rad="127000">
                              <a:srgbClr val="92D050">
                                <a:alpha val="36000"/>
                              </a:srgbClr>
                            </a:glow>
                          </a:effectLst>
                        </wps:spPr>
                        <wps:txbx>
                          <w:txbxContent>
                            <w:p w14:paraId="60A3B789" w14:textId="77777777" w:rsidR="006E7D7A" w:rsidRPr="005C2A75" w:rsidRDefault="006E7D7A" w:rsidP="0065049E">
                              <w:pPr>
                                <w:spacing w:before="0" w:after="0"/>
                                <w:jc w:val="center"/>
                                <w:rPr>
                                  <w:rFonts w:eastAsia="Times New Roman" w:cs="Arial"/>
                                  <w:color w:val="0D0D0D"/>
                                  <w:szCs w:val="24"/>
                                </w:rPr>
                              </w:pPr>
                              <w:r w:rsidRPr="005C2A75">
                                <w:rPr>
                                  <w:rFonts w:eastAsia="Times New Roman" w:cs="Arial"/>
                                  <w:color w:val="0D0D0D"/>
                                  <w:szCs w:val="24"/>
                                </w:rPr>
                                <w:t>Positive stress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0481" y="3534032"/>
                            <a:ext cx="1830369" cy="458225"/>
                          </a:xfrm>
                          <a:prstGeom prst="rect">
                            <a:avLst/>
                          </a:prstGeom>
                          <a:solidFill>
                            <a:srgbClr val="C0504D">
                              <a:lumMod val="60000"/>
                              <a:lumOff val="40000"/>
                              <a:alpha val="55000"/>
                            </a:srgbClr>
                          </a:solidFill>
                          <a:ln w="25400" cap="flat" cmpd="sng" algn="ctr">
                            <a:solidFill>
                              <a:sysClr val="windowText" lastClr="000000"/>
                            </a:solidFill>
                            <a:prstDash val="solid"/>
                          </a:ln>
                          <a:effectLst>
                            <a:glow rad="127000">
                              <a:srgbClr val="C0504D">
                                <a:lumMod val="60000"/>
                                <a:lumOff val="40000"/>
                                <a:alpha val="31000"/>
                              </a:srgbClr>
                            </a:glow>
                          </a:effectLst>
                        </wps:spPr>
                        <wps:txbx>
                          <w:txbxContent>
                            <w:p w14:paraId="03C4E42E" w14:textId="77777777" w:rsidR="006E7D7A" w:rsidRPr="00C54DC0" w:rsidRDefault="006E7D7A" w:rsidP="0065049E">
                              <w:pPr>
                                <w:pStyle w:val="NormalWeb"/>
                                <w:tabs>
                                  <w:tab w:val="left" w:pos="851"/>
                                </w:tabs>
                                <w:spacing w:before="0" w:beforeAutospacing="0" w:after="0" w:afterAutospacing="0" w:line="276" w:lineRule="auto"/>
                                <w:jc w:val="center"/>
                                <w:rPr>
                                  <w:rFonts w:ascii="Arial" w:eastAsia="SimSun" w:hAnsi="Arial" w:cs="Arial"/>
                                  <w:b/>
                                  <w:bCs/>
                                  <w:lang w:val="en-GB"/>
                                </w:rPr>
                              </w:pPr>
                              <w:r w:rsidRPr="00C54DC0">
                                <w:rPr>
                                  <w:rFonts w:ascii="Arial" w:eastAsia="SimSun" w:hAnsi="Arial" w:cs="Arial"/>
                                  <w:b/>
                                  <w:bCs/>
                                  <w:lang w:val="en-GB"/>
                                </w:rPr>
                                <w:t>Inadequate resources</w:t>
                              </w:r>
                            </w:p>
                            <w:p w14:paraId="33727148" w14:textId="77777777" w:rsidR="006E7D7A" w:rsidRPr="00C54DC0" w:rsidRDefault="006E7D7A" w:rsidP="0065049E">
                              <w:pPr>
                                <w:pStyle w:val="NormalWeb"/>
                                <w:tabs>
                                  <w:tab w:val="left" w:pos="851"/>
                                </w:tabs>
                                <w:spacing w:before="0" w:beforeAutospacing="0" w:after="0" w:afterAutospacing="0" w:line="276" w:lineRule="auto"/>
                                <w:jc w:val="center"/>
                                <w:rPr>
                                  <w:rFonts w:ascii="Arial" w:hAnsi="Arial" w:cs="Arial"/>
                                  <w:lang w:val="en-GB"/>
                                </w:rPr>
                              </w:pPr>
                              <w:r w:rsidRPr="00C54DC0">
                                <w:rPr>
                                  <w:rFonts w:ascii="Arial" w:eastAsia="SimSun" w:hAnsi="Arial" w:cs="Arial"/>
                                  <w:b/>
                                  <w:bCs/>
                                  <w:lang w:val="en-GB"/>
                                </w:rPr>
                                <w:t>To COPE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Straight Arrow Connector 192"/>
                        <wps:cNvCnPr>
                          <a:endCxn id="158" idx="3"/>
                        </wps:cNvCnPr>
                        <wps:spPr>
                          <a:xfrm flipH="1" flipV="1">
                            <a:off x="2000850" y="3763145"/>
                            <a:ext cx="1014341" cy="855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3" name="Explosion 2 193"/>
                        <wps:cNvSpPr/>
                        <wps:spPr>
                          <a:xfrm>
                            <a:off x="283953" y="4430111"/>
                            <a:ext cx="1803095" cy="1037182"/>
                          </a:xfrm>
                          <a:prstGeom prst="irregularSeal2">
                            <a:avLst/>
                          </a:prstGeom>
                          <a:solidFill>
                            <a:srgbClr val="FF0000">
                              <a:alpha val="68000"/>
                            </a:srgbClr>
                          </a:solidFill>
                          <a:ln w="25400" cap="flat" cmpd="sng" algn="ctr">
                            <a:solidFill>
                              <a:sysClr val="windowText" lastClr="000000"/>
                            </a:solidFill>
                            <a:prstDash val="solid"/>
                          </a:ln>
                          <a:effectLst>
                            <a:glow rad="127000">
                              <a:srgbClr val="FF0000">
                                <a:alpha val="26000"/>
                              </a:srgbClr>
                            </a:glow>
                          </a:effectLst>
                        </wps:spPr>
                        <wps:txbx>
                          <w:txbxContent>
                            <w:p w14:paraId="4870B651" w14:textId="77777777" w:rsidR="006E7D7A" w:rsidRPr="00302B43" w:rsidRDefault="006E7D7A" w:rsidP="0065049E">
                              <w:pPr>
                                <w:pStyle w:val="NormalWeb"/>
                                <w:spacing w:before="0" w:beforeAutospacing="0" w:after="0" w:afterAutospacing="0" w:line="276" w:lineRule="auto"/>
                                <w:jc w:val="center"/>
                                <w:rPr>
                                  <w:rFonts w:ascii="Arial" w:hAnsi="Arial" w:cs="Arial"/>
                                  <w:b/>
                                  <w:bCs/>
                                </w:rPr>
                              </w:pPr>
                              <w:r w:rsidRPr="00302B43">
                                <w:rPr>
                                  <w:rFonts w:ascii="Arial" w:eastAsia="SimSun" w:hAnsi="Arial" w:cs="Arial"/>
                                  <w:b/>
                                  <w:bCs/>
                                </w:rPr>
                                <w:t>Stress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Straight Arrow Connector 194"/>
                        <wps:cNvCnPr>
                          <a:stCxn id="156" idx="4"/>
                        </wps:cNvCnPr>
                        <wps:spPr>
                          <a:xfrm>
                            <a:off x="4301161" y="3176487"/>
                            <a:ext cx="391" cy="24222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5" name="Straight Arrow Connector 195"/>
                        <wps:cNvCnPr>
                          <a:stCxn id="158" idx="2"/>
                          <a:endCxn id="193" idx="0"/>
                        </wps:cNvCnPr>
                        <wps:spPr>
                          <a:xfrm>
                            <a:off x="1085666" y="3992257"/>
                            <a:ext cx="9847" cy="52846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6" name="Rectangle 196"/>
                        <wps:cNvSpPr/>
                        <wps:spPr>
                          <a:xfrm>
                            <a:off x="6136292" y="3520771"/>
                            <a:ext cx="1884654" cy="471485"/>
                          </a:xfrm>
                          <a:prstGeom prst="rect">
                            <a:avLst/>
                          </a:prstGeom>
                          <a:solidFill>
                            <a:srgbClr val="3278CC">
                              <a:alpha val="55000"/>
                            </a:srgbClr>
                          </a:solidFill>
                          <a:ln w="25400" cap="flat" cmpd="sng" algn="ctr">
                            <a:solidFill>
                              <a:sysClr val="windowText" lastClr="000000"/>
                            </a:solidFill>
                            <a:prstDash val="solid"/>
                          </a:ln>
                          <a:effectLst>
                            <a:glow rad="127000">
                              <a:srgbClr val="3278CC">
                                <a:alpha val="31000"/>
                              </a:srgbClr>
                            </a:glow>
                          </a:effectLst>
                        </wps:spPr>
                        <wps:txbx>
                          <w:txbxContent>
                            <w:p w14:paraId="270F0F21" w14:textId="77777777" w:rsidR="006E7D7A" w:rsidRPr="00302B43" w:rsidRDefault="006E7D7A" w:rsidP="0065049E">
                              <w:pPr>
                                <w:pStyle w:val="NormalWeb"/>
                                <w:tabs>
                                  <w:tab w:val="left" w:pos="851"/>
                                </w:tabs>
                                <w:spacing w:before="0" w:beforeAutospacing="0" w:after="0" w:afterAutospacing="0" w:line="276" w:lineRule="auto"/>
                                <w:jc w:val="center"/>
                                <w:rPr>
                                  <w:rFonts w:ascii="Arial" w:hAnsi="Arial" w:cs="Arial"/>
                                </w:rPr>
                              </w:pPr>
                              <w:r w:rsidRPr="00302B43">
                                <w:rPr>
                                  <w:rFonts w:ascii="Arial" w:eastAsia="SimSun" w:hAnsi="Arial" w:cs="Arial"/>
                                  <w:b/>
                                  <w:bCs/>
                                </w:rPr>
                                <w:t>Adequate resources</w:t>
                              </w:r>
                            </w:p>
                            <w:p w14:paraId="07C42654" w14:textId="77777777" w:rsidR="006E7D7A" w:rsidRPr="00302B43" w:rsidRDefault="006E7D7A" w:rsidP="0065049E">
                              <w:pPr>
                                <w:pStyle w:val="NormalWeb"/>
                                <w:tabs>
                                  <w:tab w:val="left" w:pos="851"/>
                                </w:tabs>
                                <w:spacing w:before="0" w:beforeAutospacing="0" w:after="0" w:afterAutospacing="0" w:line="276" w:lineRule="auto"/>
                                <w:jc w:val="center"/>
                                <w:rPr>
                                  <w:rFonts w:ascii="Arial" w:hAnsi="Arial" w:cs="Arial"/>
                                </w:rPr>
                              </w:pPr>
                              <w:r w:rsidRPr="00302B43">
                                <w:rPr>
                                  <w:rFonts w:ascii="Arial" w:eastAsia="SimSun" w:hAnsi="Arial" w:cs="Arial"/>
                                  <w:b/>
                                  <w:bCs/>
                                </w:rPr>
                                <w:t>To COPE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a:endCxn id="196" idx="1"/>
                        </wps:cNvCnPr>
                        <wps:spPr>
                          <a:xfrm flipV="1">
                            <a:off x="5587913" y="3756514"/>
                            <a:ext cx="548379" cy="1518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8" name="Oval 198"/>
                        <wps:cNvSpPr/>
                        <wps:spPr>
                          <a:xfrm>
                            <a:off x="6528806" y="4868880"/>
                            <a:ext cx="1335899" cy="700645"/>
                          </a:xfrm>
                          <a:prstGeom prst="ellipse">
                            <a:avLst/>
                          </a:prstGeom>
                          <a:solidFill>
                            <a:sysClr val="window" lastClr="FFFFFF"/>
                          </a:solidFill>
                          <a:ln w="25400" cap="flat" cmpd="sng" algn="ctr">
                            <a:solidFill>
                              <a:sysClr val="windowText" lastClr="000000">
                                <a:lumMod val="95000"/>
                                <a:lumOff val="5000"/>
                              </a:sysClr>
                            </a:solidFill>
                            <a:prstDash val="solid"/>
                          </a:ln>
                          <a:effectLst>
                            <a:glow rad="127000">
                              <a:sysClr val="windowText" lastClr="000000">
                                <a:alpha val="30000"/>
                              </a:sysClr>
                            </a:glow>
                          </a:effectLst>
                        </wps:spPr>
                        <wps:txbx>
                          <w:txbxContent>
                            <w:p w14:paraId="0AFF26FB" w14:textId="77777777" w:rsidR="006E7D7A" w:rsidRPr="00302B43" w:rsidRDefault="006E7D7A" w:rsidP="0065049E">
                              <w:pPr>
                                <w:pStyle w:val="NormalWeb"/>
                                <w:spacing w:before="0" w:beforeAutospacing="0" w:after="0" w:afterAutospacing="0" w:line="276" w:lineRule="auto"/>
                                <w:jc w:val="center"/>
                                <w:rPr>
                                  <w:rFonts w:ascii="Arial" w:hAnsi="Arial" w:cs="Arial"/>
                                  <w:b/>
                                  <w:bCs/>
                                  <w:lang w:val="en-GB"/>
                                </w:rPr>
                              </w:pPr>
                              <w:r w:rsidRPr="00302B43">
                                <w:rPr>
                                  <w:rFonts w:ascii="Arial" w:hAnsi="Arial" w:cs="Arial"/>
                                  <w:b/>
                                  <w:bCs/>
                                  <w:color w:val="0D0D0D"/>
                                  <w:lang w:val="en-GB"/>
                                </w:rPr>
                                <w:t>NO STRESS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7669068" y="4234943"/>
                            <a:ext cx="1282427" cy="595962"/>
                          </a:xfrm>
                          <a:prstGeom prst="roundRect">
                            <a:avLst/>
                          </a:prstGeom>
                          <a:solidFill>
                            <a:srgbClr val="1F497D">
                              <a:lumMod val="60000"/>
                              <a:lumOff val="40000"/>
                            </a:srgbClr>
                          </a:solidFill>
                          <a:ln w="25400" cap="flat" cmpd="sng" algn="ctr">
                            <a:solidFill>
                              <a:srgbClr val="4F81BD">
                                <a:shade val="50000"/>
                              </a:srgbClr>
                            </a:solidFill>
                            <a:prstDash val="solid"/>
                          </a:ln>
                          <a:effectLst>
                            <a:glow rad="127000">
                              <a:srgbClr val="F79646">
                                <a:lumMod val="60000"/>
                                <a:lumOff val="40000"/>
                              </a:srgbClr>
                            </a:glow>
                          </a:effectLst>
                        </wps:spPr>
                        <wps:txbx>
                          <w:txbxContent>
                            <w:p w14:paraId="79872314" w14:textId="77777777" w:rsidR="006E7D7A" w:rsidRPr="005C2A75" w:rsidRDefault="006E7D7A" w:rsidP="0065049E">
                              <w:pPr>
                                <w:spacing w:before="0" w:after="0"/>
                                <w:jc w:val="center"/>
                                <w:rPr>
                                  <w:rFonts w:cs="Arial"/>
                                  <w:color w:val="000000"/>
                                  <w:sz w:val="20"/>
                                  <w:szCs w:val="20"/>
                                </w:rPr>
                              </w:pPr>
                              <w:r w:rsidRPr="005C2A75">
                                <w:rPr>
                                  <w:rFonts w:cs="Arial"/>
                                  <w:color w:val="000000"/>
                                  <w:sz w:val="20"/>
                                  <w:szCs w:val="20"/>
                                </w:rPr>
                                <w:t>Emotion focussed</w:t>
                              </w:r>
                            </w:p>
                            <w:p w14:paraId="5059A36F" w14:textId="77777777" w:rsidR="006E7D7A" w:rsidRPr="005C2A75" w:rsidRDefault="006E7D7A" w:rsidP="0065049E">
                              <w:pPr>
                                <w:spacing w:before="0" w:after="0"/>
                                <w:jc w:val="center"/>
                                <w:rPr>
                                  <w:rFonts w:cs="Arial"/>
                                  <w:b/>
                                  <w:bCs/>
                                  <w:color w:val="000000"/>
                                  <w:szCs w:val="24"/>
                                </w:rPr>
                              </w:pPr>
                              <w:r w:rsidRPr="005C2A75">
                                <w:rPr>
                                  <w:rFonts w:cs="Arial"/>
                                  <w:b/>
                                  <w:bCs/>
                                  <w:color w:val="000000"/>
                                  <w:szCs w:val="24"/>
                                </w:rPr>
                                <w:t>COPING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5246675" y="4234946"/>
                            <a:ext cx="1282136" cy="578156"/>
                          </a:xfrm>
                          <a:prstGeom prst="roundRect">
                            <a:avLst/>
                          </a:prstGeom>
                          <a:solidFill>
                            <a:srgbClr val="1F497D">
                              <a:lumMod val="60000"/>
                              <a:lumOff val="40000"/>
                            </a:srgbClr>
                          </a:solidFill>
                          <a:ln w="25400" cap="flat" cmpd="sng" algn="ctr">
                            <a:solidFill>
                              <a:srgbClr val="4F81BD">
                                <a:shade val="50000"/>
                              </a:srgbClr>
                            </a:solidFill>
                            <a:prstDash val="solid"/>
                          </a:ln>
                          <a:effectLst>
                            <a:glow rad="127000">
                              <a:srgbClr val="9BBB59">
                                <a:lumMod val="40000"/>
                                <a:lumOff val="60000"/>
                              </a:srgbClr>
                            </a:glow>
                          </a:effectLst>
                        </wps:spPr>
                        <wps:txbx>
                          <w:txbxContent>
                            <w:p w14:paraId="19DFCC31" w14:textId="77777777" w:rsidR="006E7D7A" w:rsidRPr="005C2A75" w:rsidRDefault="006E7D7A" w:rsidP="0065049E">
                              <w:pPr>
                                <w:spacing w:before="0" w:after="0"/>
                                <w:jc w:val="center"/>
                                <w:rPr>
                                  <w:rFonts w:eastAsia="Times New Roman" w:cs="Arial"/>
                                  <w:color w:val="000000"/>
                                  <w:szCs w:val="24"/>
                                </w:rPr>
                              </w:pPr>
                              <w:r w:rsidRPr="005C2A75">
                                <w:rPr>
                                  <w:rFonts w:eastAsia="Times New Roman" w:cs="Arial"/>
                                  <w:color w:val="000000"/>
                                  <w:sz w:val="20"/>
                                  <w:szCs w:val="20"/>
                                </w:rPr>
                                <w:t xml:space="preserve">Problem focussed </w:t>
                              </w:r>
                              <w:r w:rsidRPr="005C2A75">
                                <w:rPr>
                                  <w:rFonts w:eastAsia="Times New Roman" w:cs="Arial"/>
                                  <w:b/>
                                  <w:bCs/>
                                  <w:color w:val="000000"/>
                                  <w:szCs w:val="24"/>
                                </w:rPr>
                                <w:t>COPING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a:stCxn id="196" idx="2"/>
                          <a:endCxn id="200" idx="3"/>
                        </wps:cNvCnPr>
                        <wps:spPr>
                          <a:xfrm flipH="1">
                            <a:off x="6528811" y="3992256"/>
                            <a:ext cx="549808" cy="53176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2" name="Straight Arrow Connector 202"/>
                        <wps:cNvCnPr>
                          <a:stCxn id="196" idx="2"/>
                          <a:endCxn id="199" idx="1"/>
                        </wps:cNvCnPr>
                        <wps:spPr>
                          <a:xfrm>
                            <a:off x="7078619" y="3992256"/>
                            <a:ext cx="590449" cy="54066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3" name="Straight Arrow Connector 203"/>
                        <wps:cNvCnPr>
                          <a:stCxn id="199" idx="2"/>
                          <a:endCxn id="198" idx="7"/>
                        </wps:cNvCnPr>
                        <wps:spPr>
                          <a:xfrm flipH="1">
                            <a:off x="7669067" y="4830905"/>
                            <a:ext cx="641215" cy="140582"/>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4" name="Straight Arrow Connector 204"/>
                        <wps:cNvCnPr>
                          <a:stCxn id="200" idx="2"/>
                          <a:endCxn id="198" idx="1"/>
                        </wps:cNvCnPr>
                        <wps:spPr>
                          <a:xfrm>
                            <a:off x="5887743" y="4813102"/>
                            <a:ext cx="836701" cy="1583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5" name="Rectangle 205"/>
                        <wps:cNvSpPr/>
                        <wps:spPr>
                          <a:xfrm>
                            <a:off x="7527299" y="2061765"/>
                            <a:ext cx="1424000" cy="586841"/>
                          </a:xfrm>
                          <a:prstGeom prst="rect">
                            <a:avLst/>
                          </a:prstGeom>
                          <a:solidFill>
                            <a:srgbClr val="00B050">
                              <a:alpha val="49000"/>
                            </a:srgbClr>
                          </a:solidFill>
                          <a:ln w="25400" cap="flat" cmpd="sng" algn="ctr">
                            <a:solidFill>
                              <a:sysClr val="windowText" lastClr="000000"/>
                            </a:solidFill>
                            <a:prstDash val="solid"/>
                          </a:ln>
                          <a:effectLst>
                            <a:glow rad="127000">
                              <a:srgbClr val="00B050">
                                <a:alpha val="31000"/>
                              </a:srgbClr>
                            </a:glow>
                          </a:effectLst>
                        </wps:spPr>
                        <wps:txbx>
                          <w:txbxContent>
                            <w:p w14:paraId="39A938BC" w14:textId="77777777" w:rsidR="006E7D7A" w:rsidRPr="00302B43" w:rsidRDefault="006E7D7A" w:rsidP="0065049E">
                              <w:pPr>
                                <w:pStyle w:val="NormalWeb"/>
                                <w:tabs>
                                  <w:tab w:val="left" w:pos="851"/>
                                </w:tabs>
                                <w:spacing w:before="0" w:beforeAutospacing="0" w:after="0" w:afterAutospacing="0"/>
                                <w:jc w:val="center"/>
                                <w:rPr>
                                  <w:rFonts w:ascii="Arial" w:hAnsi="Arial" w:cs="Arial"/>
                                </w:rPr>
                              </w:pPr>
                              <w:r w:rsidRPr="00302B43">
                                <w:rPr>
                                  <w:rFonts w:ascii="Arial" w:eastAsia="SimSun" w:hAnsi="Arial" w:cs="Arial"/>
                                  <w:b/>
                                  <w:bCs/>
                                </w:rPr>
                                <w:t>REAPPRAISAL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a:endCxn id="205" idx="1"/>
                        </wps:cNvCnPr>
                        <wps:spPr>
                          <a:xfrm flipV="1">
                            <a:off x="5587913" y="2355186"/>
                            <a:ext cx="1939386" cy="141651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7" name="Straight Arrow Connector 207"/>
                        <wps:cNvCnPr>
                          <a:stCxn id="199" idx="0"/>
                          <a:endCxn id="205" idx="2"/>
                        </wps:cNvCnPr>
                        <wps:spPr>
                          <a:xfrm flipH="1" flipV="1">
                            <a:off x="8239281" y="2648606"/>
                            <a:ext cx="71001" cy="158633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8" name="Elbow Connector 208"/>
                        <wps:cNvCnPr/>
                        <wps:spPr>
                          <a:xfrm rot="16200000" flipV="1">
                            <a:off x="6568510" y="331372"/>
                            <a:ext cx="533054" cy="2912691"/>
                          </a:xfrm>
                          <a:prstGeom prst="bentConnector2">
                            <a:avLst/>
                          </a:prstGeom>
                          <a:noFill/>
                          <a:ln w="9525" cap="flat" cmpd="sng" algn="ctr">
                            <a:solidFill>
                              <a:srgbClr val="4F81BD">
                                <a:shade val="95000"/>
                                <a:satMod val="105000"/>
                              </a:srgbClr>
                            </a:solidFill>
                            <a:prstDash val="sysDash"/>
                            <a:tailEnd type="arrow"/>
                          </a:ln>
                          <a:effectLst/>
                        </wps:spPr>
                        <wps:bodyPr/>
                      </wps:wsp>
                    </wpc:wpc>
                  </a:graphicData>
                </a:graphic>
              </wp:inline>
            </w:drawing>
          </mc:Choice>
          <mc:Fallback>
            <w:pict>
              <v:group w14:anchorId="36212789" id="Canvas 232" o:spid="_x0000_s1101" editas="canvas" style="width:706.75pt;height:441.4pt;mso-position-horizontal-relative:char;mso-position-vertical-relative:line" coordsize="89750,5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width:89750;height:56051;visibility:visible;mso-wrap-style:square">
                  <v:fill o:detectmouseclick="t"/>
                  <v:path o:connecttype="none"/>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48" o:spid="_x0000_s1103" type="#_x0000_t72" style="position:absolute;left:30152;width:23635;height:10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XNsUA&#10;AADcAAAADwAAAGRycy9kb3ducmV2LnhtbESPQWsCMRCF74X+hzAFL1KzapGyGqUo0tJbVRBvw2a6&#10;WbqZbJO4bv9951DobYb35r1vVpvBt6qnmJrABqaTAhRxFWzDtYHTcf/4DCplZIttYDLwQwk26/u7&#10;FZY23PiD+kOulYRwKtGAy7krtU6VI49pEjpi0T5D9JhljbW2EW8S7ls9K4qF9tiwNDjsaOuo+jpc&#10;vYHx95nsvDn27jKbI7/G4n03PhkzehhelqAyDfnf/Hf9ZgX/SW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Nc2xQAAANwAAAAPAAAAAAAAAAAAAAAAAJgCAABkcnMv&#10;ZG93bnJldi54bWxQSwUGAAAAAAQABAD1AAAAigMAAAAA&#10;" fillcolor="red" strokecolor="windowText" strokeweight="2pt">
                  <v:fill opacity="44461f"/>
                  <v:textbox>
                    <w:txbxContent>
                      <w:p w14:paraId="4ABF5F05" w14:textId="77777777" w:rsidR="006E7D7A" w:rsidRPr="00C54DC0" w:rsidRDefault="006E7D7A" w:rsidP="00DC183D">
                        <w:pPr>
                          <w:spacing w:before="0" w:after="0" w:line="240" w:lineRule="auto"/>
                          <w:jc w:val="center"/>
                          <w:rPr>
                            <w:rFonts w:cs="Arial"/>
                            <w:b/>
                            <w:bCs/>
                            <w:szCs w:val="24"/>
                          </w:rPr>
                        </w:pPr>
                        <w:r w:rsidRPr="00C54DC0">
                          <w:rPr>
                            <w:rFonts w:cs="Arial"/>
                            <w:b/>
                            <w:bCs/>
                            <w:szCs w:val="24"/>
                          </w:rPr>
                          <w:t>Stressful event</w:t>
                        </w:r>
                      </w:p>
                    </w:txbxContent>
                  </v:textbox>
                </v:shape>
                <v:shape id="Straight Arrow Connector 149" o:spid="_x0000_s1104" type="#_x0000_t32" style="position:absolute;left:42858;top:9166;width:165;height:2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aHMQAAADcAAAADwAAAGRycy9kb3ducmV2LnhtbERPTWvCQBC9C/6HZQRvdVMJYqOrVKmQ&#10;i4K2gscxOyYh2dk0u2raX98VCt7m8T5nvuxMLW7UutKygtdRBII4s7rkXMHX5+ZlCsJ5ZI21ZVLw&#10;Qw6Wi35vjom2d97T7eBzEULYJaig8L5JpHRZQQbdyDbEgbvY1qAPsM2lbvEewk0tx1E0kQZLDg0F&#10;NrQuKKsOV6NgnW7TdLWZVrvz8VR9mN/4+7iPlRoOuvcZCE+df4r/3akO8+M3eDw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NocxAAAANwAAAAPAAAAAAAAAAAA&#10;AAAAAKECAABkcnMvZG93bnJldi54bWxQSwUGAAAAAAQABAD5AAAAkgMAAAAA&#10;" strokecolor="#4a7ebb">
                  <v:stroke endarrow="open"/>
                </v:shape>
                <v:rect id="Rectangle 187" o:spid="_x0000_s1105" style="position:absolute;left:32259;top:11780;width:21527;height:6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cY8QA&#10;AADcAAAADwAAAGRycy9kb3ducmV2LnhtbESPQWvCQBCF7wX/wzKCt7pJwFKiq4i2WHpLbD0P2TEJ&#10;ZmfT7Nak/75zKPQ2w3vz3jeb3eQ6dachtJ4NpMsEFHHlbcu1gY/z6+MzqBCRLXaeycAPBdhtZw8b&#10;zK0fuaB7GWslIRxyNNDE2Odah6ohh2Hpe2LRrn5wGGUdam0HHCXcdTpLkiftsGVpaLCnQ0PVrfx2&#10;Bl7eu4st9Gr6OrobZ7r4jOdTasxiPu3XoCJN8d/8d/1m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nGPEAAAA3AAAAA8AAAAAAAAAAAAAAAAAmAIAAGRycy9k&#10;b3ducmV2LnhtbFBLBQYAAAAABAAEAPUAAACJAwAAAAA=&#10;" fillcolor="#21a77e" strokecolor="windowText" strokeweight="2pt">
                  <v:textbox>
                    <w:txbxContent>
                      <w:p w14:paraId="2AAD2E0A" w14:textId="77777777" w:rsidR="006E7D7A" w:rsidRPr="007370C8" w:rsidRDefault="006E7D7A" w:rsidP="0065049E">
                        <w:pPr>
                          <w:pStyle w:val="NormalWeb"/>
                          <w:spacing w:before="0" w:beforeAutospacing="0" w:after="0" w:afterAutospacing="0"/>
                          <w:jc w:val="center"/>
                          <w:rPr>
                            <w:rFonts w:ascii="Arial" w:eastAsia="SimSun" w:hAnsi="Arial" w:cs="Arial"/>
                            <w:b/>
                            <w:bCs/>
                          </w:rPr>
                        </w:pPr>
                        <w:r w:rsidRPr="007370C8">
                          <w:rPr>
                            <w:rFonts w:ascii="Arial" w:eastAsia="SimSun" w:hAnsi="Arial" w:cs="Arial"/>
                            <w:b/>
                            <w:bCs/>
                          </w:rPr>
                          <w:t>PRIMARY APPRAISAL</w:t>
                        </w:r>
                      </w:p>
                      <w:p w14:paraId="50CC0CB3"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Should I deal with this?</w:t>
                        </w:r>
                      </w:p>
                      <w:p w14:paraId="3F100B6A"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Am I in trouble?</w:t>
                        </w:r>
                      </w:p>
                      <w:p w14:paraId="6592B9EC" w14:textId="77777777" w:rsidR="006E7D7A" w:rsidRPr="007370C8" w:rsidRDefault="006E7D7A" w:rsidP="00C119A5">
                        <w:pPr>
                          <w:pStyle w:val="NormalWeb"/>
                          <w:numPr>
                            <w:ilvl w:val="0"/>
                            <w:numId w:val="26"/>
                          </w:numPr>
                          <w:spacing w:before="0" w:beforeAutospacing="0" w:after="0" w:afterAutospacing="0"/>
                          <w:ind w:left="426" w:hanging="153"/>
                          <w:rPr>
                            <w:rFonts w:ascii="Arial" w:eastAsia="SimSun" w:hAnsi="Arial" w:cs="Arial"/>
                            <w:b/>
                            <w:bCs/>
                            <w:sz w:val="18"/>
                            <w:szCs w:val="18"/>
                          </w:rPr>
                        </w:pPr>
                        <w:r w:rsidRPr="007370C8">
                          <w:rPr>
                            <w:rFonts w:ascii="Arial" w:eastAsia="SimSun" w:hAnsi="Arial" w:cs="Arial"/>
                            <w:b/>
                            <w:bCs/>
                            <w:sz w:val="18"/>
                            <w:szCs w:val="18"/>
                          </w:rPr>
                          <w:t>Does this matter to me?</w:t>
                        </w:r>
                      </w:p>
                      <w:p w14:paraId="48F37976" w14:textId="77777777" w:rsidR="006E7D7A" w:rsidRPr="007370C8" w:rsidRDefault="006E7D7A" w:rsidP="00C119A5">
                        <w:pPr>
                          <w:pStyle w:val="NormalWeb"/>
                          <w:numPr>
                            <w:ilvl w:val="0"/>
                            <w:numId w:val="26"/>
                          </w:numPr>
                          <w:spacing w:before="0" w:beforeAutospacing="0" w:after="0" w:afterAutospacing="0"/>
                          <w:jc w:val="center"/>
                          <w:rPr>
                            <w:rFonts w:ascii="Arial" w:eastAsia="SimSun" w:hAnsi="Arial" w:cs="Arial"/>
                            <w:b/>
                            <w:bCs/>
                            <w:sz w:val="18"/>
                            <w:szCs w:val="18"/>
                          </w:rPr>
                        </w:pPr>
                      </w:p>
                      <w:p w14:paraId="3F877ED5" w14:textId="77777777" w:rsidR="006E7D7A" w:rsidRPr="00302B43" w:rsidRDefault="006E7D7A" w:rsidP="0065049E">
                        <w:pPr>
                          <w:pStyle w:val="NormalWeb"/>
                          <w:spacing w:before="0" w:beforeAutospacing="0" w:after="0" w:afterAutospacing="0"/>
                          <w:jc w:val="center"/>
                          <w:rPr>
                            <w:rFonts w:ascii="Arial" w:hAnsi="Arial" w:cs="Arial"/>
                          </w:rPr>
                        </w:pPr>
                      </w:p>
                    </w:txbxContent>
                  </v:textbox>
                </v:rect>
                <v:rect id="Rectangle 188" o:spid="_x0000_s1106" style="position:absolute;left:30151;top:34187;width:25728;height:7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9ScMA&#10;AADcAAAADwAAAGRycy9kb3ducmV2LnhtbERP32vCMBB+H/g/hBP2pmmHjq0zigiCTBzMCb6eza0t&#10;NpeSZG31rzeCsLf7+H7ebNGbWrTkfGVZQTpOQBDnVldcKDj8rEdvIHxA1lhbJgUX8rCYD55mmGnb&#10;8Te1+1CIGMI+QwVlCE0mpc9LMujHtiGO3K91BkOErpDaYRfDTS1fkuRVGqw4NpTY0Kqk/Lz/Mwqc&#10;303Sw5e9XFfb9zb5XE+Op26j1POwX36ACNSHf/HDvdFx/jSF+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9ScMAAADcAAAADwAAAAAAAAAAAAAAAACYAgAAZHJzL2Rv&#10;d25yZXYueG1sUEsFBgAAAAAEAAQA9QAAAIgDAAAAAA==&#10;" fillcolor="#60de60" strokecolor="windowText" strokeweight="2pt">
                  <v:fill opacity="20303f"/>
                  <v:textbox>
                    <w:txbxContent>
                      <w:p w14:paraId="4C19787C" w14:textId="77777777" w:rsidR="006E7D7A" w:rsidRPr="00BE6C55" w:rsidRDefault="006E7D7A" w:rsidP="0065049E">
                        <w:pPr>
                          <w:pStyle w:val="NormalWeb"/>
                          <w:tabs>
                            <w:tab w:val="left" w:pos="851"/>
                          </w:tabs>
                          <w:spacing w:before="0" w:beforeAutospacing="0" w:after="0" w:afterAutospacing="0" w:line="276" w:lineRule="auto"/>
                          <w:jc w:val="center"/>
                          <w:rPr>
                            <w:rFonts w:ascii="Arial" w:eastAsia="SimSun" w:hAnsi="Arial" w:cs="Arial"/>
                            <w:b/>
                            <w:bCs/>
                            <w:sz w:val="22"/>
                            <w:szCs w:val="22"/>
                          </w:rPr>
                        </w:pPr>
                        <w:r w:rsidRPr="00BE6C55">
                          <w:rPr>
                            <w:rFonts w:ascii="Arial" w:eastAsia="SimSun" w:hAnsi="Arial" w:cs="Arial"/>
                            <w:b/>
                            <w:bCs/>
                            <w:sz w:val="22"/>
                            <w:szCs w:val="22"/>
                          </w:rPr>
                          <w:t>SECONDARY APPRAISAL</w:t>
                        </w:r>
                      </w:p>
                      <w:p w14:paraId="0830155A" w14:textId="77777777" w:rsidR="006E7D7A" w:rsidRPr="00BE6C55" w:rsidRDefault="006E7D7A" w:rsidP="0065049E">
                        <w:pPr>
                          <w:pStyle w:val="NormalWeb"/>
                          <w:tabs>
                            <w:tab w:val="left" w:pos="851"/>
                          </w:tabs>
                          <w:spacing w:before="0" w:beforeAutospacing="0" w:after="0" w:afterAutospacing="0"/>
                          <w:jc w:val="center"/>
                          <w:rPr>
                            <w:rFonts w:ascii="Arial" w:eastAsia="SimSun" w:hAnsi="Arial" w:cs="Arial"/>
                            <w:sz w:val="18"/>
                            <w:szCs w:val="18"/>
                          </w:rPr>
                        </w:pPr>
                        <w:r w:rsidRPr="00BE6C55">
                          <w:rPr>
                            <w:rFonts w:ascii="Arial" w:eastAsia="SimSun" w:hAnsi="Arial" w:cs="Arial"/>
                            <w:sz w:val="18"/>
                            <w:szCs w:val="18"/>
                          </w:rPr>
                          <w:t>Any coping options?</w:t>
                        </w:r>
                      </w:p>
                      <w:p w14:paraId="37AFCB2D" w14:textId="77777777" w:rsidR="006E7D7A" w:rsidRPr="00BE6C55" w:rsidRDefault="006E7D7A" w:rsidP="0065049E">
                        <w:pPr>
                          <w:pStyle w:val="NormalWeb"/>
                          <w:tabs>
                            <w:tab w:val="left" w:pos="851"/>
                          </w:tabs>
                          <w:spacing w:before="0" w:beforeAutospacing="0" w:after="0" w:afterAutospacing="0"/>
                          <w:jc w:val="center"/>
                          <w:rPr>
                            <w:rFonts w:ascii="Arial" w:eastAsia="SimSun" w:hAnsi="Arial" w:cs="Arial"/>
                            <w:sz w:val="18"/>
                            <w:szCs w:val="18"/>
                          </w:rPr>
                        </w:pPr>
                        <w:r w:rsidRPr="00BE6C55">
                          <w:rPr>
                            <w:rFonts w:ascii="Arial" w:eastAsia="SimSun" w:hAnsi="Arial" w:cs="Arial"/>
                            <w:sz w:val="18"/>
                            <w:szCs w:val="18"/>
                          </w:rPr>
                          <w:t>Will I be able to cope?</w:t>
                        </w:r>
                      </w:p>
                      <w:p w14:paraId="6E126100" w14:textId="77777777" w:rsidR="006E7D7A" w:rsidRPr="00BE6C55" w:rsidRDefault="006E7D7A" w:rsidP="0065049E">
                        <w:pPr>
                          <w:pStyle w:val="NormalWeb"/>
                          <w:tabs>
                            <w:tab w:val="left" w:pos="851"/>
                          </w:tabs>
                          <w:spacing w:before="0" w:beforeAutospacing="0" w:after="0" w:afterAutospacing="0"/>
                          <w:jc w:val="center"/>
                          <w:rPr>
                            <w:rFonts w:ascii="Arial" w:hAnsi="Arial" w:cs="Arial"/>
                            <w:sz w:val="18"/>
                            <w:szCs w:val="18"/>
                          </w:rPr>
                        </w:pPr>
                        <w:r w:rsidRPr="00BE6C55">
                          <w:rPr>
                            <w:rFonts w:ascii="Arial" w:eastAsia="SimSun" w:hAnsi="Arial" w:cs="Arial"/>
                            <w:sz w:val="18"/>
                            <w:szCs w:val="18"/>
                          </w:rPr>
                          <w:t>Will the coping strategy work</w:t>
                        </w:r>
                        <w:r>
                          <w:rPr>
                            <w:rFonts w:ascii="Arial" w:eastAsia="SimSun" w:hAnsi="Arial" w:cs="Arial"/>
                            <w:sz w:val="18"/>
                            <w:szCs w:val="18"/>
                          </w:rPr>
                          <w:t>?</w:t>
                        </w:r>
                      </w:p>
                    </w:txbxContent>
                  </v:textbox>
                </v:rect>
                <v:shape id="Straight Arrow Connector 189" o:spid="_x0000_s1107" type="#_x0000_t32" style="position:absolute;left:18808;top:15211;width:13451;height:6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6wMAAAADcAAAADwAAAGRycy9kb3ducmV2LnhtbERP24rCMBB9X/Afwgi+rakFl6UaRQRR&#10;YV1o9QOGZmyLzaQksda/3ywIvs3hXGe5HkwrenK+saxgNk1AEJdWN1wpuJx3n98gfEDW2FomBU/y&#10;sF6NPpaYafvgnPoiVCKGsM9QQR1Cl0npy5oM+qntiCN3tc5giNBVUjt8xHDTyjRJvqTBhmNDjR1t&#10;aypvxd0oKH/8rzud9sftLE/zPZ+L9t43Sk3Gw2YBItAQ3uKX+6Dj/Hk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uusDAAAAA3AAAAA8AAAAAAAAAAAAAAAAA&#10;oQIAAGRycy9kb3ducmV2LnhtbFBLBQYAAAAABAAEAPkAAACOAwAAAAA=&#10;" strokecolor="#4a7ebb">
                  <v:stroke endarrow="open"/>
                </v:shape>
                <v:shape id="Straight Arrow Connector 190" o:spid="_x0000_s1108" type="#_x0000_t32" style="position:absolute;left:18808;top:12766;width:13451;height:24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tNMQAAADcAAAADwAAAGRycy9kb3ducmV2LnhtbERPTWsCMRC9C/0PYQq9iGZtUexqFLUV&#10;ROmhKj0Pybi77WaybKKu/vpGELzN433OeNrYUpyo9oVjBb1uAoJYO1NwpmC/W3aGIHxANlg6JgUX&#10;8jCdPLXGmBp35m86bUMmYgj7FBXkIVSplF7nZNF3XUUcuYOrLYYI60yaGs8x3JbyNUkG0mLBsSHH&#10;ihY56b/t0SqovlYb/dE+7n9+9ft18Tnfre38qtTLczMbgQjUhIf47l6ZOL//Brdn4gV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00xAAAANwAAAAPAAAAAAAAAAAA&#10;AAAAAKECAABkcnMvZG93bnJldi54bWxQSwUGAAAAAAQABAD5AAAAkgMAAAAA&#10;" strokecolor="#4a7ebb">
                  <v:stroke endarrow="open"/>
                </v:shape>
                <v:shape id="Straight Arrow Connector 191" o:spid="_x0000_s1109" type="#_x0000_t32" style="position:absolute;left:43011;top:18643;width:12;height:2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HL8EAAADcAAAADwAAAGRycy9kb3ducmV2LnhtbERP24rCMBB9F/Yfwizsm6bKKks1igiL&#10;K6jQuh8wNGNbbCYlibX+vREE3+ZwrrNY9aYRHTlfW1YwHiUgiAuray4V/J9+hz8gfEDW2FgmBXfy&#10;sFp+DBaYanvjjLo8lCKGsE9RQRVCm0rpi4oM+pFtiSN3ts5giNCVUju8xXDTyEmSzKTBmmNDhS1t&#10;Kiou+dUoKPb+6A6H7W4zzibZlk95c+1qpb4++/UcRKA+vMUv95+O86ff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4cvwQAAANwAAAAPAAAAAAAAAAAAAAAA&#10;AKECAABkcnMvZG93bnJldi54bWxQSwUGAAAAAAQABAD5AAAAjwMAAAAA&#10;" strokecolor="#4a7ebb">
                  <v:stroke endarrow="open"/>
                </v:shape>
                <v:oval id="Oval 155" o:spid="_x0000_s1110" style="position:absolute;left:961;top:10320;width:17847;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dkMMA&#10;AADcAAAADwAAAGRycy9kb3ducmV2LnhtbERPTWvCQBC9C/6HZYTedKNgKKmrFGltETw0bW2PQ3aa&#10;hGZnw+5U4793C4Xe5vE+Z7UZXKdOFGLr2cB8loEirrxtuTbw9vo4vQUVBdli55kMXCjCZj0erbCw&#10;/swvdCqlVimEY4EGGpG+0DpWDTmMM98TJ+7LB4eSYKi1DXhO4a7TiyzLtcOWU0ODPW0bqr7LH2dA&#10;3u3+6SOGB85d/umPh2PZyc6Ym8lwfwdKaJB/8Z/72ab5yyX8PpMu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FdkMMAAADcAAAADwAAAAAAAAAAAAAAAACYAgAAZHJzL2Rv&#10;d25yZXYueG1sUEsFBgAAAAAEAAQA9QAAAIgDAAAAAA==&#10;" fillcolor="#d9d9d9" strokecolor="windowText" strokeweight="2pt">
                  <v:fill opacity="47288f"/>
                  <v:textbox>
                    <w:txbxContent>
                      <w:p w14:paraId="52202D2B" w14:textId="77777777" w:rsidR="006E7D7A" w:rsidRPr="005C2A75" w:rsidRDefault="006E7D7A" w:rsidP="0065049E">
                        <w:pPr>
                          <w:spacing w:before="0" w:after="0"/>
                          <w:jc w:val="center"/>
                          <w:rPr>
                            <w:rFonts w:cs="Arial"/>
                            <w:color w:val="0D0D0D"/>
                            <w:szCs w:val="24"/>
                          </w:rPr>
                        </w:pPr>
                        <w:r w:rsidRPr="005C2A75">
                          <w:rPr>
                            <w:rFonts w:cs="Arial"/>
                            <w:color w:val="0D0D0D"/>
                            <w:szCs w:val="24"/>
                          </w:rPr>
                          <w:t>Irrelevant</w:t>
                        </w:r>
                      </w:p>
                    </w:txbxContent>
                  </v:textbox>
                </v:oval>
                <v:oval id="Oval 156" o:spid="_x0000_s1111" style="position:absolute;left:30149;top:21312;width:25725;height:10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tosQA&#10;AADcAAAADwAAAGRycy9kb3ducmV2LnhtbERPS2sCMRC+F/wPYYReSs1a1JbVrEihYMWL0R56m27G&#10;fbiZLJtU13/fFARv8/E9Z7HsbSPO1PnKsYLxKAFBnDtTcaHgsP94fgPhA7LBxjEpuJKHZTZ4WGBq&#10;3IV3dNahEDGEfYoKyhDaVEqfl2TRj1xLHLmj6yyGCLtCmg4vMdw28iVJZtJixbGhxJbeS8pP+tcq&#10;qDTX+msy3U4OWH/q9dPP92b1qtTjsF/NQQTqw118c69NnD+dwf8z8QK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baLEAAAA3AAAAA8AAAAAAAAAAAAAAAAAmAIAAGRycy9k&#10;b3ducmV2LnhtbFBLBQYAAAAABAAEAPUAAACJAwAAAAA=&#10;" fillcolor="#ff8c89" strokecolor="#0d0d0d" strokeweight="2pt">
                  <v:textbox>
                    <w:txbxContent>
                      <w:p w14:paraId="3771A150" w14:textId="77777777" w:rsidR="006E7D7A" w:rsidRPr="005C2A75" w:rsidRDefault="006E7D7A" w:rsidP="0065049E">
                        <w:pPr>
                          <w:spacing w:before="0" w:after="0" w:line="240" w:lineRule="auto"/>
                          <w:jc w:val="center"/>
                          <w:rPr>
                            <w:rFonts w:eastAsia="Times New Roman" w:cs="Arial"/>
                            <w:b/>
                            <w:bCs/>
                            <w:color w:val="0D0D0D"/>
                            <w:szCs w:val="24"/>
                          </w:rPr>
                        </w:pPr>
                        <w:r w:rsidRPr="005C2A75">
                          <w:rPr>
                            <w:rFonts w:eastAsia="Times New Roman" w:cs="Arial"/>
                            <w:b/>
                            <w:bCs/>
                            <w:color w:val="0D0D0D"/>
                            <w:szCs w:val="24"/>
                          </w:rPr>
                          <w:t>STRESSFUL</w:t>
                        </w:r>
                      </w:p>
                      <w:p w14:paraId="1D4659F9"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0"/>
                            <w:szCs w:val="20"/>
                          </w:rPr>
                        </w:pPr>
                        <w:r w:rsidRPr="005C2A75">
                          <w:rPr>
                            <w:rFonts w:eastAsia="Times New Roman" w:cs="Arial"/>
                            <w:color w:val="0D0D0D"/>
                            <w:sz w:val="20"/>
                            <w:szCs w:val="20"/>
                          </w:rPr>
                          <w:t>Harm/loss</w:t>
                        </w:r>
                      </w:p>
                      <w:p w14:paraId="2EF66C1E"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0"/>
                            <w:szCs w:val="20"/>
                          </w:rPr>
                        </w:pPr>
                        <w:r w:rsidRPr="005C2A75">
                          <w:rPr>
                            <w:rFonts w:eastAsia="Times New Roman" w:cs="Arial"/>
                            <w:color w:val="0D0D0D"/>
                            <w:sz w:val="20"/>
                            <w:szCs w:val="20"/>
                          </w:rPr>
                          <w:t>Threat</w:t>
                        </w:r>
                      </w:p>
                      <w:p w14:paraId="3E9E7964" w14:textId="77777777" w:rsidR="006E7D7A" w:rsidRPr="005C2A75" w:rsidRDefault="006E7D7A" w:rsidP="00C119A5">
                        <w:pPr>
                          <w:pStyle w:val="ListParagraph"/>
                          <w:numPr>
                            <w:ilvl w:val="0"/>
                            <w:numId w:val="25"/>
                          </w:numPr>
                          <w:spacing w:before="0" w:after="0" w:line="240" w:lineRule="auto"/>
                          <w:ind w:left="709" w:hanging="142"/>
                          <w:rPr>
                            <w:rFonts w:eastAsia="Times New Roman" w:cs="Arial"/>
                            <w:color w:val="0D0D0D"/>
                            <w:sz w:val="22"/>
                          </w:rPr>
                        </w:pPr>
                        <w:r w:rsidRPr="005C2A75">
                          <w:rPr>
                            <w:rFonts w:eastAsia="Times New Roman" w:cs="Arial"/>
                            <w:color w:val="0D0D0D"/>
                            <w:sz w:val="20"/>
                            <w:szCs w:val="20"/>
                          </w:rPr>
                          <w:t>Challenge</w:t>
                        </w:r>
                      </w:p>
                    </w:txbxContent>
                  </v:textbox>
                </v:oval>
                <v:oval id="Oval 157" o:spid="_x0000_s1112" style="position:absolute;left:962;top:18643;width:17846;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6sIA&#10;AADcAAAADwAAAGRycy9kb3ducmV2LnhtbERP24rCMBB9F/Yfwiz4Ipqu4mW7RhFBt6AvVj9gaMa2&#10;2Ey6TdT692ZB8G0O5zrzZWsqcaPGlZYVfA0iEMSZ1SXnCk7HTX8GwnlkjZVlUvAgB8vFR2eOsbZ3&#10;PtAt9bkIIexiVFB4X8dSuqwgg25ga+LAnW1j0AfY5FI3eA/hppLDKJpIgyWHhgJrWheUXdKrUbBO&#10;bHLubS+73+90t6frqNz+mYdS3c929QPCU+vf4pc70WH+eAr/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qwgAAANwAAAAPAAAAAAAAAAAAAAAAAJgCAABkcnMvZG93&#10;bnJldi54bWxQSwUGAAAAAAQABAD1AAAAhwMAAAAA&#10;" fillcolor="#92d050" strokecolor="windowText" strokeweight="2pt">
                  <v:fill opacity="23644f"/>
                  <v:textbox>
                    <w:txbxContent>
                      <w:p w14:paraId="60A3B789" w14:textId="77777777" w:rsidR="006E7D7A" w:rsidRPr="005C2A75" w:rsidRDefault="006E7D7A" w:rsidP="0065049E">
                        <w:pPr>
                          <w:spacing w:before="0" w:after="0"/>
                          <w:jc w:val="center"/>
                          <w:rPr>
                            <w:rFonts w:eastAsia="Times New Roman" w:cs="Arial"/>
                            <w:color w:val="0D0D0D"/>
                            <w:szCs w:val="24"/>
                          </w:rPr>
                        </w:pPr>
                        <w:r w:rsidRPr="005C2A75">
                          <w:rPr>
                            <w:rFonts w:eastAsia="Times New Roman" w:cs="Arial"/>
                            <w:color w:val="0D0D0D"/>
                            <w:szCs w:val="24"/>
                          </w:rPr>
                          <w:t>Positive stress</w:t>
                        </w:r>
                      </w:p>
                    </w:txbxContent>
                  </v:textbox>
                </v:oval>
                <v:rect id="Rectangle 158" o:spid="_x0000_s1113" style="position:absolute;left:1704;top:35340;width:18304;height: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jb8QA&#10;AADcAAAADwAAAGRycy9kb3ducmV2LnhtbESPQWsCMRCF74X+hzCF3mpWoWK3RpFSoQgejKXnYTPu&#10;Lm4mSxLXtb/eORR6m+G9ee+b5Xr0nRoopjawgemkAEVcBddybeD7uH1ZgEoZ2WEXmAzcKMF69fiw&#10;xNKFKx9osLlWEsKpRANNzn2pdaoa8pgmoScW7RSixyxrrLWLeJVw3+lZUcy1x5alocGePhqqzvbi&#10;DcSj3fy07o3y7bz7xIHs7HdvjXl+GjfvoDKN+d/8d/3lBP9Va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I2/EAAAA3AAAAA8AAAAAAAAAAAAAAAAAmAIAAGRycy9k&#10;b3ducmV2LnhtbFBLBQYAAAAABAAEAPUAAACJAwAAAAA=&#10;" fillcolor="#d99694" strokecolor="windowText" strokeweight="2pt">
                  <v:fill opacity="35980f"/>
                  <v:textbox>
                    <w:txbxContent>
                      <w:p w14:paraId="03C4E42E" w14:textId="77777777" w:rsidR="006E7D7A" w:rsidRPr="00C54DC0" w:rsidRDefault="006E7D7A" w:rsidP="0065049E">
                        <w:pPr>
                          <w:pStyle w:val="NormalWeb"/>
                          <w:tabs>
                            <w:tab w:val="left" w:pos="851"/>
                          </w:tabs>
                          <w:spacing w:before="0" w:beforeAutospacing="0" w:after="0" w:afterAutospacing="0" w:line="276" w:lineRule="auto"/>
                          <w:jc w:val="center"/>
                          <w:rPr>
                            <w:rFonts w:ascii="Arial" w:eastAsia="SimSun" w:hAnsi="Arial" w:cs="Arial"/>
                            <w:b/>
                            <w:bCs/>
                            <w:lang w:val="en-GB"/>
                          </w:rPr>
                        </w:pPr>
                        <w:r w:rsidRPr="00C54DC0">
                          <w:rPr>
                            <w:rFonts w:ascii="Arial" w:eastAsia="SimSun" w:hAnsi="Arial" w:cs="Arial"/>
                            <w:b/>
                            <w:bCs/>
                            <w:lang w:val="en-GB"/>
                          </w:rPr>
                          <w:t>Inadequate resources</w:t>
                        </w:r>
                      </w:p>
                      <w:p w14:paraId="33727148" w14:textId="77777777" w:rsidR="006E7D7A" w:rsidRPr="00C54DC0" w:rsidRDefault="006E7D7A" w:rsidP="0065049E">
                        <w:pPr>
                          <w:pStyle w:val="NormalWeb"/>
                          <w:tabs>
                            <w:tab w:val="left" w:pos="851"/>
                          </w:tabs>
                          <w:spacing w:before="0" w:beforeAutospacing="0" w:after="0" w:afterAutospacing="0" w:line="276" w:lineRule="auto"/>
                          <w:jc w:val="center"/>
                          <w:rPr>
                            <w:rFonts w:ascii="Arial" w:hAnsi="Arial" w:cs="Arial"/>
                            <w:lang w:val="en-GB"/>
                          </w:rPr>
                        </w:pPr>
                        <w:r w:rsidRPr="00C54DC0">
                          <w:rPr>
                            <w:rFonts w:ascii="Arial" w:eastAsia="SimSun" w:hAnsi="Arial" w:cs="Arial"/>
                            <w:b/>
                            <w:bCs/>
                            <w:lang w:val="en-GB"/>
                          </w:rPr>
                          <w:t>To COPE</w:t>
                        </w:r>
                      </w:p>
                    </w:txbxContent>
                  </v:textbox>
                </v:rect>
                <v:shape id="Straight Arrow Connector 192" o:spid="_x0000_s1114" type="#_x0000_t32" style="position:absolute;left:20008;top:37631;width:10143;height: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yNcMAAADcAAAADwAAAGRycy9kb3ducmV2LnhtbERPTWsCMRC9C/6HMAUvolk9iK5GqbaC&#10;VDxUxfOQjLvbbibLJurqr28Eobd5vM+ZLRpbiivVvnCsYNBPQBBrZwrOFBwP694YhA/IBkvHpOBO&#10;HhbzdmuGqXE3/qbrPmQihrBPUUEeQpVK6XVOFn3fVcSRO7vaYoiwzqSp8RbDbSmHSTKSFguODTlW&#10;tMpJ/+4vVkG122z1R/dyPP3oyWP1uTx82eVDqc5b8z4FEagJ/+KXe2Pi/MkQns/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H8jXDAAAA3AAAAA8AAAAAAAAAAAAA&#10;AAAAoQIAAGRycy9kb3ducmV2LnhtbFBLBQYAAAAABAAEAPkAAACRAwAAAAA=&#10;" strokecolor="#4a7ebb">
                  <v:stroke endarrow="open"/>
                </v:shape>
                <v:shape id="Explosion 2 193" o:spid="_x0000_s1115" type="#_x0000_t72" style="position:absolute;left:2839;top:44301;width:18031;height:10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pAMIA&#10;AADcAAAADwAAAGRycy9kb3ducmV2LnhtbERPTWsCMRC9C/6HMEIvUrO6IO1qFLGUireqULwNm+lm&#10;6WayJum6/fdGKHibx/uc5bq3jejIh9qxgukkA0FcOl1zpeB0fH9+AREissbGMSn4owDr1XCwxEK7&#10;K39Sd4iVSCEcClRgYmwLKUNpyGKYuJY4cd/OW4wJ+kpqj9cUbhs5y7K5tFhzajDY0tZQ+XP4tQrG&#10;ly/SeX3szHmWI3/4bP82Pin1NOo3CxCR+vgQ/7t3Os1/zeH+TL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GkAwgAAANwAAAAPAAAAAAAAAAAAAAAAAJgCAABkcnMvZG93&#10;bnJldi54bWxQSwUGAAAAAAQABAD1AAAAhwMAAAAA&#10;" fillcolor="red" strokecolor="windowText" strokeweight="2pt">
                  <v:fill opacity="44461f"/>
                  <v:textbox>
                    <w:txbxContent>
                      <w:p w14:paraId="4870B651" w14:textId="77777777" w:rsidR="006E7D7A" w:rsidRPr="00302B43" w:rsidRDefault="006E7D7A" w:rsidP="0065049E">
                        <w:pPr>
                          <w:pStyle w:val="NormalWeb"/>
                          <w:spacing w:before="0" w:beforeAutospacing="0" w:after="0" w:afterAutospacing="0" w:line="276" w:lineRule="auto"/>
                          <w:jc w:val="center"/>
                          <w:rPr>
                            <w:rFonts w:ascii="Arial" w:hAnsi="Arial" w:cs="Arial"/>
                            <w:b/>
                            <w:bCs/>
                          </w:rPr>
                        </w:pPr>
                        <w:r w:rsidRPr="00302B43">
                          <w:rPr>
                            <w:rFonts w:ascii="Arial" w:eastAsia="SimSun" w:hAnsi="Arial" w:cs="Arial"/>
                            <w:b/>
                            <w:bCs/>
                          </w:rPr>
                          <w:t>Stress</w:t>
                        </w:r>
                      </w:p>
                    </w:txbxContent>
                  </v:textbox>
                </v:shape>
                <v:shape id="Straight Arrow Connector 194" o:spid="_x0000_s1116" type="#_x0000_t32" style="position:absolute;left:43011;top:31764;width:4;height:2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ZxcQAAADcAAAADwAAAGRycy9kb3ducmV2LnhtbERPTWvCQBC9C/6HZQRvdVMJYqOrVKmQ&#10;i4K2gscxOyYh2dk0u2raX98VCt7m8T5nvuxMLW7UutKygtdRBII4s7rkXMHX5+ZlCsJ5ZI21ZVLw&#10;Qw6Wi35vjom2d97T7eBzEULYJaig8L5JpHRZQQbdyDbEgbvY1qAPsM2lbvEewk0tx1E0kQZLDg0F&#10;NrQuKKsOV6NgnW7TdLWZVrvz8VR9mN/4+7iPlRoOuvcZCE+df4r/3akO899ieDw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VnFxAAAANwAAAAPAAAAAAAAAAAA&#10;AAAAAKECAABkcnMvZG93bnJldi54bWxQSwUGAAAAAAQABAD5AAAAkgMAAAAA&#10;" strokecolor="#4a7ebb">
                  <v:stroke endarrow="open"/>
                </v:shape>
                <v:shape id="Straight Arrow Connector 195" o:spid="_x0000_s1117" type="#_x0000_t32" style="position:absolute;left:10856;top:39922;width:99;height:5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38XsQAAADcAAAADwAAAGRycy9kb3ducmV2LnhtbERPS2vCQBC+C/6HZQRvurHYYqOrqCjk&#10;0oIv6HHMjklIdjbNbjXtr+8Kgrf5+J4zW7SmEldqXGFZwWgYgSBOrS44U3A8bAcTEM4ja6wsk4Jf&#10;crCYdzszjLW98Y6ue5+JEMIuRgW593UspUtzMuiGtiYO3MU2Bn2ATSZ1g7cQbir5EkVv0mDBoSHH&#10;mtY5peX+xyhYJx9JstpOys/z6avcmL/x92k3Vqrfa5dTEJ5a/xQ/3IkO899f4f5Mu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fxexAAAANwAAAAPAAAAAAAAAAAA&#10;AAAAAKECAABkcnMvZG93bnJldi54bWxQSwUGAAAAAAQABAD5AAAAkgMAAAAA&#10;" strokecolor="#4a7ebb">
                  <v:stroke endarrow="open"/>
                </v:shape>
                <v:rect id="Rectangle 196" o:spid="_x0000_s1118" style="position:absolute;left:61362;top:35207;width:18847;height:4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sG8MA&#10;AADcAAAADwAAAGRycy9kb3ducmV2LnhtbERPTWsCMRC9F/wPYQRvNVsLVrdGEUHoopdaL96GzXSz&#10;djNZkriu/npTKPQ2j/c5i1VvG9GRD7VjBS/jDARx6XTNlYLj1/Z5BiJEZI2NY1JwowCr5eBpgbl2&#10;V/6k7hArkUI45KjAxNjmUobSkMUwdi1x4r6dtxgT9JXUHq8p3DZykmVTabHm1GCwpY2h8udwsQou&#10;xRsdN6fX3d4Vvrvj9jwzxVmp0bBfv4OI1Md/8Z/7Q6f58yn8Pp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sG8MAAADcAAAADwAAAAAAAAAAAAAAAACYAgAAZHJzL2Rv&#10;d25yZXYueG1sUEsFBgAAAAAEAAQA9QAAAIgDAAAAAA==&#10;" fillcolor="#3278cc" strokecolor="windowText" strokeweight="2pt">
                  <v:fill opacity="35980f"/>
                  <v:textbox>
                    <w:txbxContent>
                      <w:p w14:paraId="270F0F21" w14:textId="77777777" w:rsidR="006E7D7A" w:rsidRPr="00302B43" w:rsidRDefault="006E7D7A" w:rsidP="0065049E">
                        <w:pPr>
                          <w:pStyle w:val="NormalWeb"/>
                          <w:tabs>
                            <w:tab w:val="left" w:pos="851"/>
                          </w:tabs>
                          <w:spacing w:before="0" w:beforeAutospacing="0" w:after="0" w:afterAutospacing="0" w:line="276" w:lineRule="auto"/>
                          <w:jc w:val="center"/>
                          <w:rPr>
                            <w:rFonts w:ascii="Arial" w:hAnsi="Arial" w:cs="Arial"/>
                          </w:rPr>
                        </w:pPr>
                        <w:r w:rsidRPr="00302B43">
                          <w:rPr>
                            <w:rFonts w:ascii="Arial" w:eastAsia="SimSun" w:hAnsi="Arial" w:cs="Arial"/>
                            <w:b/>
                            <w:bCs/>
                          </w:rPr>
                          <w:t>Adequate resources</w:t>
                        </w:r>
                      </w:p>
                      <w:p w14:paraId="07C42654" w14:textId="77777777" w:rsidR="006E7D7A" w:rsidRPr="00302B43" w:rsidRDefault="006E7D7A" w:rsidP="0065049E">
                        <w:pPr>
                          <w:pStyle w:val="NormalWeb"/>
                          <w:tabs>
                            <w:tab w:val="left" w:pos="851"/>
                          </w:tabs>
                          <w:spacing w:before="0" w:beforeAutospacing="0" w:after="0" w:afterAutospacing="0" w:line="276" w:lineRule="auto"/>
                          <w:jc w:val="center"/>
                          <w:rPr>
                            <w:rFonts w:ascii="Arial" w:hAnsi="Arial" w:cs="Arial"/>
                          </w:rPr>
                        </w:pPr>
                        <w:r w:rsidRPr="00302B43">
                          <w:rPr>
                            <w:rFonts w:ascii="Arial" w:eastAsia="SimSun" w:hAnsi="Arial" w:cs="Arial"/>
                            <w:b/>
                            <w:bCs/>
                          </w:rPr>
                          <w:t>To COPE</w:t>
                        </w:r>
                      </w:p>
                    </w:txbxContent>
                  </v:textbox>
                </v:rect>
                <v:shape id="Straight Arrow Connector 197" o:spid="_x0000_s1119" type="#_x0000_t32" style="position:absolute;left:55879;top:37565;width:5483;height: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jwsEAAADcAAAADwAAAGRycy9kb3ducmV2LnhtbERPzYrCMBC+C/sOYRb2pqkeVrcaRYTF&#10;FVRo3QcYmrEtNpOSxFrf3giCt/n4fmex6k0jOnK+tqxgPEpAEBdW11wq+D/9DmcgfEDW2FgmBXfy&#10;sFp+DBaYanvjjLo8lCKGsE9RQRVCm0rpi4oM+pFtiSN3ts5giNCVUju8xXDTyEmSfEuDNceGClva&#10;VFRc8qtRUOz90R0O291mnE2yLZ/y5trVSn199us5iEB9eItf7j8d5/9M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YKPCwQAAANwAAAAPAAAAAAAAAAAAAAAA&#10;AKECAABkcnMvZG93bnJldi54bWxQSwUGAAAAAAQABAD5AAAAjwMAAAAA&#10;" strokecolor="#4a7ebb">
                  <v:stroke endarrow="open"/>
                </v:shape>
                <v:oval id="Oval 198" o:spid="_x0000_s1120" style="position:absolute;left:65288;top:48688;width:13359;height:7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W78UA&#10;AADcAAAADwAAAGRycy9kb3ducmV2LnhtbESPwW7CQAxE75X4h5WRuJUNPUAJLAghRcChrQh8gJU1&#10;SUTWG2W3EPj6+oDUm60Zzzwv171r1I26UHs2MBknoIgLb2suDZxP2fsnqBCRLTaeycCDAqxXg7cl&#10;ptbf+Ui3PJZKQjikaKCKsU21DkVFDsPYt8SiXXznMMraldp2eJdw1+iPJJlqhzVLQ4UtbSsqrvmv&#10;M3DVP/NJ8XV46KN79t/2ks3yXWbMaNhvFqAi9fHf/LreW8GfC6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BbvxQAAANwAAAAPAAAAAAAAAAAAAAAAAJgCAABkcnMv&#10;ZG93bnJldi54bWxQSwUGAAAAAAQABAD1AAAAigMAAAAA&#10;" fillcolor="window" strokecolor="#0d0d0d" strokeweight="2pt">
                  <v:textbox>
                    <w:txbxContent>
                      <w:p w14:paraId="0AFF26FB" w14:textId="77777777" w:rsidR="006E7D7A" w:rsidRPr="00302B43" w:rsidRDefault="006E7D7A" w:rsidP="0065049E">
                        <w:pPr>
                          <w:pStyle w:val="NormalWeb"/>
                          <w:spacing w:before="0" w:beforeAutospacing="0" w:after="0" w:afterAutospacing="0" w:line="276" w:lineRule="auto"/>
                          <w:jc w:val="center"/>
                          <w:rPr>
                            <w:rFonts w:ascii="Arial" w:hAnsi="Arial" w:cs="Arial"/>
                            <w:b/>
                            <w:bCs/>
                            <w:lang w:val="en-GB"/>
                          </w:rPr>
                        </w:pPr>
                        <w:r w:rsidRPr="00302B43">
                          <w:rPr>
                            <w:rFonts w:ascii="Arial" w:hAnsi="Arial" w:cs="Arial"/>
                            <w:b/>
                            <w:bCs/>
                            <w:color w:val="0D0D0D"/>
                            <w:lang w:val="en-GB"/>
                          </w:rPr>
                          <w:t>NO STRESS</w:t>
                        </w:r>
                      </w:p>
                    </w:txbxContent>
                  </v:textbox>
                </v:oval>
                <v:roundrect id="Rounded Rectangle 199" o:spid="_x0000_s1121" style="position:absolute;left:76690;top:42349;width:12824;height:5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2XsIA&#10;AADcAAAADwAAAGRycy9kb3ducmV2LnhtbERPS2vCQBC+F/wPywi91Y1CH0ldRQTB9lIbPfQ4ZKdJ&#10;aHY2Zicm/fddQehtPr7nLNeja9SFulB7NjCfJaCIC29rLg2cjruHF1BBkC02nsnALwVYryZ3S8ys&#10;H/iTLrmUKoZwyNBAJdJmWoeiIodh5lviyH37zqFE2JXadjjEcNfoRZI8aYc1x4YKW9pWVPzkvTNQ&#10;th+DvB3S9+fDo3xJfu43PffG3E/HzSsooVH+xTf33sb5aQrX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XZewgAAANwAAAAPAAAAAAAAAAAAAAAAAJgCAABkcnMvZG93&#10;bnJldi54bWxQSwUGAAAAAAQABAD1AAAAhwMAAAAA&#10;" fillcolor="#558ed5" strokecolor="#385d8a" strokeweight="2pt">
                  <v:textbox>
                    <w:txbxContent>
                      <w:p w14:paraId="79872314" w14:textId="77777777" w:rsidR="006E7D7A" w:rsidRPr="005C2A75" w:rsidRDefault="006E7D7A" w:rsidP="0065049E">
                        <w:pPr>
                          <w:spacing w:before="0" w:after="0"/>
                          <w:jc w:val="center"/>
                          <w:rPr>
                            <w:rFonts w:cs="Arial"/>
                            <w:color w:val="000000"/>
                            <w:sz w:val="20"/>
                            <w:szCs w:val="20"/>
                          </w:rPr>
                        </w:pPr>
                        <w:r w:rsidRPr="005C2A75">
                          <w:rPr>
                            <w:rFonts w:cs="Arial"/>
                            <w:color w:val="000000"/>
                            <w:sz w:val="20"/>
                            <w:szCs w:val="20"/>
                          </w:rPr>
                          <w:t>Emotion focussed</w:t>
                        </w:r>
                      </w:p>
                      <w:p w14:paraId="5059A36F" w14:textId="77777777" w:rsidR="006E7D7A" w:rsidRPr="005C2A75" w:rsidRDefault="006E7D7A" w:rsidP="0065049E">
                        <w:pPr>
                          <w:spacing w:before="0" w:after="0"/>
                          <w:jc w:val="center"/>
                          <w:rPr>
                            <w:rFonts w:cs="Arial"/>
                            <w:b/>
                            <w:bCs/>
                            <w:color w:val="000000"/>
                            <w:szCs w:val="24"/>
                          </w:rPr>
                        </w:pPr>
                        <w:r w:rsidRPr="005C2A75">
                          <w:rPr>
                            <w:rFonts w:cs="Arial"/>
                            <w:b/>
                            <w:bCs/>
                            <w:color w:val="000000"/>
                            <w:szCs w:val="24"/>
                          </w:rPr>
                          <w:t>COPING</w:t>
                        </w:r>
                      </w:p>
                    </w:txbxContent>
                  </v:textbox>
                </v:roundrect>
                <v:roundrect id="Rounded Rectangle 200" o:spid="_x0000_s1122" style="position:absolute;left:52466;top:42349;width:12822;height:57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rOMMA&#10;AADcAAAADwAAAGRycy9kb3ducmV2LnhtbESPQWvCQBSE7wX/w/IEb7qxoLbRVaRQaL2oaQ8eH9nX&#10;JDT7NmZfTPrv3UKhx2FmvmE2u8HV6kZtqDwbmM8SUMS5txUXBj4/XqdPoIIgW6w9k4EfCrDbjh42&#10;mFrf85lumRQqQjikaKAUaVKtQ16SwzDzDXH0vnzrUKJsC21b7CPc1foxSZbaYcVxocSGXkrKv7PO&#10;GSiaYy/vp+fD6rSQi2TXbt9xZ8xkPOzXoIQG+Q//td+sgUiE3zPxCO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rOMMAAADcAAAADwAAAAAAAAAAAAAAAACYAgAAZHJzL2Rv&#10;d25yZXYueG1sUEsFBgAAAAAEAAQA9QAAAIgDAAAAAA==&#10;" fillcolor="#558ed5" strokecolor="#385d8a" strokeweight="2pt">
                  <v:textbox>
                    <w:txbxContent>
                      <w:p w14:paraId="19DFCC31" w14:textId="77777777" w:rsidR="006E7D7A" w:rsidRPr="005C2A75" w:rsidRDefault="006E7D7A" w:rsidP="0065049E">
                        <w:pPr>
                          <w:spacing w:before="0" w:after="0"/>
                          <w:jc w:val="center"/>
                          <w:rPr>
                            <w:rFonts w:eastAsia="Times New Roman" w:cs="Arial"/>
                            <w:color w:val="000000"/>
                            <w:szCs w:val="24"/>
                          </w:rPr>
                        </w:pPr>
                        <w:r w:rsidRPr="005C2A75">
                          <w:rPr>
                            <w:rFonts w:eastAsia="Times New Roman" w:cs="Arial"/>
                            <w:color w:val="000000"/>
                            <w:sz w:val="20"/>
                            <w:szCs w:val="20"/>
                          </w:rPr>
                          <w:t xml:space="preserve">Problem focussed </w:t>
                        </w:r>
                        <w:r w:rsidRPr="005C2A75">
                          <w:rPr>
                            <w:rFonts w:eastAsia="Times New Roman" w:cs="Arial"/>
                            <w:b/>
                            <w:bCs/>
                            <w:color w:val="000000"/>
                            <w:szCs w:val="24"/>
                          </w:rPr>
                          <w:t>COPING</w:t>
                        </w:r>
                      </w:p>
                    </w:txbxContent>
                  </v:textbox>
                </v:roundrect>
                <v:shape id="Straight Arrow Connector 201" o:spid="_x0000_s1123" type="#_x0000_t32" style="position:absolute;left:65288;top:39922;width:5498;height:5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q1sMAAADcAAAADwAAAGRycy9kb3ducmV2LnhtbESP0YrCMBRE34X9h3AXfNO0fZClGkUE&#10;UWEVWv2AS3O3LdvclCTW7t8bQdjHYWbOMKvNaDoxkPOtZQXpPAFBXFndcq3gdt3PvkD4gKyxs0wK&#10;/sjDZv0xWWGu7YMLGspQiwhhn6OCJoQ+l9JXDRn0c9sTR+/HOoMhSldL7fAR4aaTWZIspMGW40KD&#10;Pe0aqn7Lu1FQffuLO58Pp11aZMWBr2V3H1qlpp/jdgki0Bj+w+/2USvIkhRe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qatbDAAAA3AAAAA8AAAAAAAAAAAAA&#10;AAAAoQIAAGRycy9kb3ducmV2LnhtbFBLBQYAAAAABAAEAPkAAACRAwAAAAA=&#10;" strokecolor="#4a7ebb">
                  <v:stroke endarrow="open"/>
                </v:shape>
                <v:shape id="Straight Arrow Connector 202" o:spid="_x0000_s1124" type="#_x0000_t32" style="position:absolute;left:70786;top:39922;width:5904;height:5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Q0ccAAADcAAAADwAAAGRycy9kb3ducmV2LnhtbESPzWrDMBCE74W+g9hCbrFcE0pwrYQk&#10;NOBLCvkx9LixNraxtXItNXH79FUh0OMwM98w2XI0nbjS4BrLCp6jGARxaXXDlYLTcTudg3AeWWNn&#10;mRR8k4Pl4vEhw1TbG+/pevCVCBB2KSqove9TKV1Zk0EX2Z44eBc7GPRBDpXUA94C3HQyieMXabDh&#10;sFBjT5uayvbwZRRs8l2er7fz9v1cfLRv5mf2WexnSk2extUrCE+j/w/f27lWkMQJ/J0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5DRxwAAANwAAAAPAAAAAAAA&#10;AAAAAAAAAKECAABkcnMvZG93bnJldi54bWxQSwUGAAAAAAQABAD5AAAAlQMAAAAA&#10;" strokecolor="#4a7ebb">
                  <v:stroke endarrow="open"/>
                </v:shape>
                <v:shape id="Straight Arrow Connector 203" o:spid="_x0000_s1125" type="#_x0000_t32" style="position:absolute;left:76690;top:48309;width:6412;height:1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ROsMAAADcAAAADwAAAGRycy9kb3ducmV2LnhtbESP0YrCMBRE3xf8h3AF39bUCstSjSKC&#10;qLAutPoBl+baFpubksRa/36zIPg4zMwZZrkeTCt6cr6xrGA2TUAQl1Y3XCm4nHef3yB8QNbYWiYF&#10;T/KwXo0+lphp++Cc+iJUIkLYZ6igDqHLpPRlTQb91HbE0btaZzBE6SqpHT4i3LQyTZIvabDhuFBj&#10;R9uayltxNwrKH//rTqf9cTvL03zP56K9941Sk/GwWYAINIR3+NU+aAVpMof/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0UTrDAAAA3AAAAA8AAAAAAAAAAAAA&#10;AAAAoQIAAGRycy9kb3ducmV2LnhtbFBLBQYAAAAABAAEAPkAAACRAwAAAAA=&#10;" strokecolor="#4a7ebb">
                  <v:stroke endarrow="open"/>
                </v:shape>
                <v:shape id="Straight Arrow Connector 204" o:spid="_x0000_s1126" type="#_x0000_t32" style="position:absolute;left:58877;top:48131;width:8367;height:1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tPsUAAADcAAAADwAAAGRycy9kb3ducmV2LnhtbESPQWvCQBSE74L/YXlCb7pRgkh0lVYU&#10;cmlBW8Hja/Y1Ccm+jdlVU3+9Kwgeh5n5hlmsOlOLC7WutKxgPIpAEGdWl5wr+PneDmcgnEfWWFsm&#10;Bf/kYLXs9xaYaHvlHV32PhcBwi5BBYX3TSKlywoy6Ea2IQ7en20N+iDbXOoWrwFuajmJoqk0WHJY&#10;KLChdUFZtT8bBev0M00/trPq6/dwrDbmFp8Ou1ipt0H3PgfhqfOv8LOdagWTK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6tPsUAAADcAAAADwAAAAAAAAAA&#10;AAAAAAChAgAAZHJzL2Rvd25yZXYueG1sUEsFBgAAAAAEAAQA+QAAAJMDAAAAAA==&#10;" strokecolor="#4a7ebb">
                  <v:stroke endarrow="open"/>
                </v:shape>
                <v:rect id="Rectangle 205" o:spid="_x0000_s1127" style="position:absolute;left:75272;top:20617;width:14240;height:5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9ssUA&#10;AADcAAAADwAAAGRycy9kb3ducmV2LnhtbESP0WrCQBRE34X+w3ILfSm6qdIg0VWKUGpRBKMfcM1e&#10;k9Ds3bC7mvTvXUHwcZiZM8x82ZtGXMn52rKCj1ECgriwuuZSwfHwPZyC8AFZY2OZFPyTh+XiZTDH&#10;TNuO93TNQykihH2GCqoQ2kxKX1Rk0I9sSxy9s3UGQ5SulNphF+GmkeMkSaXBmuNChS2tKir+8otR&#10;8CtPxcXu0jBZp+74vvnptqu6VOrttf+agQjUh2f40V5rBePk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f2yxQAAANwAAAAPAAAAAAAAAAAAAAAAAJgCAABkcnMv&#10;ZG93bnJldi54bWxQSwUGAAAAAAQABAD1AAAAigMAAAAA&#10;" fillcolor="#00b050" strokecolor="windowText" strokeweight="2pt">
                  <v:fill opacity="32125f"/>
                  <v:textbox>
                    <w:txbxContent>
                      <w:p w14:paraId="39A938BC" w14:textId="77777777" w:rsidR="006E7D7A" w:rsidRPr="00302B43" w:rsidRDefault="006E7D7A" w:rsidP="0065049E">
                        <w:pPr>
                          <w:pStyle w:val="NormalWeb"/>
                          <w:tabs>
                            <w:tab w:val="left" w:pos="851"/>
                          </w:tabs>
                          <w:spacing w:before="0" w:beforeAutospacing="0" w:after="0" w:afterAutospacing="0"/>
                          <w:jc w:val="center"/>
                          <w:rPr>
                            <w:rFonts w:ascii="Arial" w:hAnsi="Arial" w:cs="Arial"/>
                          </w:rPr>
                        </w:pPr>
                        <w:r w:rsidRPr="00302B43">
                          <w:rPr>
                            <w:rFonts w:ascii="Arial" w:eastAsia="SimSun" w:hAnsi="Arial" w:cs="Arial"/>
                            <w:b/>
                            <w:bCs/>
                          </w:rPr>
                          <w:t>REAPPRAISAL</w:t>
                        </w:r>
                      </w:p>
                    </w:txbxContent>
                  </v:textbox>
                </v:rect>
                <v:shape id="Straight Arrow Connector 206" o:spid="_x0000_s1128" type="#_x0000_t32" style="position:absolute;left:55879;top:23551;width:19393;height:14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yosIAAADcAAAADwAAAGRycy9kb3ducmV2LnhtbESP0YrCMBRE3wX/IVzBN03tgyzVKCKI&#10;LqjQ6gdcmmtbbG5KEmv37zcLwj4OM3OGWW8H04qenG8sK1jMExDEpdUNVwrut8PsC4QPyBpby6Tg&#10;hzxsN+PRGjNt35xTX4RKRAj7DBXUIXSZlL6syaCf2444eg/rDIYoXSW1w3eEm1amSbKUBhuOCzV2&#10;tK+pfBYvo6A8+6u7XI7f+0We5ke+Fe2rb5SaTobdCkSgIfyHP+2TVpAmS/g7E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PyosIAAADcAAAADwAAAAAAAAAAAAAA&#10;AAChAgAAZHJzL2Rvd25yZXYueG1sUEsFBgAAAAAEAAQA+QAAAJADAAAAAA==&#10;" strokecolor="#4a7ebb">
                  <v:stroke endarrow="open"/>
                </v:shape>
                <v:shape id="Straight Arrow Connector 207" o:spid="_x0000_s1129" type="#_x0000_t32" style="position:absolute;left:82392;top:26486;width:710;height:158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VscAAADcAAAADwAAAGRycy9kb3ducmV2LnhtbESPQWvCQBSE7wX/w/KEXopu6qG1qWto&#10;rIIoHqri+bH7mkSzb0N21dRf7xYKPQ4z8w0zyTpbiwu1vnKs4HmYgCDWzlRcKNjvFoMxCB+QDdaO&#10;ScEPecimvYcJpsZd+Ysu21CICGGfooIyhCaV0uuSLPqha4ij9+1aiyHKtpCmxWuE21qOkuRFWqw4&#10;LpTY0KwkfdqerYJms1zrz6fz/nDUb7fZPN+tbH5T6rHffbyDCNSF//Bfe2kUjJJX+D0Tj4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6VWxwAAANwAAAAPAAAAAAAA&#10;AAAAAAAAAKECAABkcnMvZG93bnJldi54bWxQSwUGAAAAAAQABAD5AAAAlQMAAAAA&#10;" strokecolor="#4a7ebb">
                  <v:stroke endarrow="open"/>
                </v:shape>
                <v:shapetype id="_x0000_t33" coordsize="21600,21600" o:spt="33" o:oned="t" path="m,l21600,r,21600e" filled="f">
                  <v:stroke joinstyle="miter"/>
                  <v:path arrowok="t" fillok="f" o:connecttype="none"/>
                  <o:lock v:ext="edit" shapetype="t"/>
                </v:shapetype>
                <v:shape id="Elbow Connector 208" o:spid="_x0000_s1130" type="#_x0000_t33" style="position:absolute;left:65684;top:3313;width:5331;height:2912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UTMEAAADcAAAADwAAAGRycy9kb3ducmV2LnhtbERPzYrCMBC+C/sOYRb2IttUDyJdUxGx&#10;4mFRrD7A0IxNtZmUJmp9e3NY2OPH979YDrYVD+p941jBJElBEFdON1wrOJ+K7zkIH5A1to5JwYs8&#10;LPOP0QIz7Z58pEcZahFD2GeowITQZVL6ypBFn7iOOHIX11sMEfa11D0+Y7ht5TRNZ9Jiw7HBYEdr&#10;Q9WtvFsFh+v4MNnuG1zNNsWWzKu9/4ZCqa/PYfUDItAQ/sV/7p1WME3j2ngmHgGZ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pRMwQAAANwAAAAPAAAAAAAAAAAAAAAA&#10;AKECAABkcnMvZG93bnJldi54bWxQSwUGAAAAAAQABAD5AAAAjwMAAAAA&#10;" strokecolor="#4a7ebb">
                  <v:stroke dashstyle="3 1" endarrow="open"/>
                </v:shape>
                <w10:anchorlock/>
              </v:group>
            </w:pict>
          </mc:Fallback>
        </mc:AlternateContent>
      </w:r>
    </w:p>
    <w:p w14:paraId="6955A951" w14:textId="32FFA51D" w:rsidR="008B5A91" w:rsidRPr="00787196" w:rsidRDefault="008B5A91" w:rsidP="00B675AB">
      <w:pPr>
        <w:rPr>
          <w:rFonts w:cs="Arial"/>
          <w:szCs w:val="24"/>
        </w:rPr>
      </w:pPr>
      <w:r w:rsidRPr="00787196">
        <w:rPr>
          <w:rFonts w:cs="Arial"/>
          <w:szCs w:val="24"/>
        </w:rPr>
        <w:lastRenderedPageBreak/>
        <w:t xml:space="preserve">Post the stressful event, the process of </w:t>
      </w:r>
      <w:r w:rsidR="00940716" w:rsidRPr="00787196">
        <w:rPr>
          <w:rFonts w:cs="Arial"/>
          <w:szCs w:val="24"/>
        </w:rPr>
        <w:t xml:space="preserve">appraisal (i.e.) </w:t>
      </w:r>
      <w:r w:rsidRPr="00787196">
        <w:rPr>
          <w:rFonts w:cs="Arial"/>
          <w:szCs w:val="24"/>
        </w:rPr>
        <w:t>cognitive subjective evaluation of the transaction between the individual and the environment occurs</w:t>
      </w:r>
      <w:r w:rsidR="00940716" w:rsidRPr="00787196">
        <w:rPr>
          <w:rFonts w:cs="Arial"/>
          <w:szCs w:val="24"/>
        </w:rPr>
        <w:t xml:space="preserve">. </w:t>
      </w:r>
      <w:r w:rsidRPr="00787196">
        <w:rPr>
          <w:rFonts w:cs="Arial"/>
          <w:szCs w:val="24"/>
        </w:rPr>
        <w:t xml:space="preserve">This evaluation enables the individual to interpret whether the event is stressful or not. There are three types if appraisal namely, primary, secondary </w:t>
      </w:r>
      <w:r w:rsidR="00940716" w:rsidRPr="00787196">
        <w:rPr>
          <w:rFonts w:cs="Arial"/>
          <w:szCs w:val="24"/>
        </w:rPr>
        <w:t xml:space="preserve">and reappraisal. </w:t>
      </w:r>
      <w:r w:rsidRPr="00787196">
        <w:rPr>
          <w:rFonts w:cs="Arial"/>
          <w:szCs w:val="24"/>
        </w:rPr>
        <w:t xml:space="preserve">Primary appraisal is the cognitive evaluation that decides whether an event is stressful or not. The possible outcomes </w:t>
      </w:r>
      <w:r w:rsidR="00940716" w:rsidRPr="00787196">
        <w:rPr>
          <w:rFonts w:cs="Arial"/>
          <w:szCs w:val="24"/>
        </w:rPr>
        <w:t>of which are either ‘irrelevant’</w:t>
      </w:r>
      <w:r w:rsidRPr="00787196">
        <w:rPr>
          <w:rFonts w:cs="Arial"/>
          <w:szCs w:val="24"/>
        </w:rPr>
        <w:t xml:space="preserve">, ‘benign-positive’ or ‘stressful’. </w:t>
      </w:r>
      <w:r w:rsidR="00955DE4" w:rsidRPr="00787196">
        <w:rPr>
          <w:rFonts w:cs="Arial"/>
          <w:szCs w:val="24"/>
        </w:rPr>
        <w:t>If</w:t>
      </w:r>
      <w:r w:rsidRPr="00787196">
        <w:rPr>
          <w:rFonts w:cs="Arial"/>
          <w:szCs w:val="24"/>
        </w:rPr>
        <w:t xml:space="preserve"> appraisal </w:t>
      </w:r>
      <w:r w:rsidR="00955DE4" w:rsidRPr="00787196">
        <w:rPr>
          <w:rFonts w:cs="Arial"/>
          <w:szCs w:val="24"/>
        </w:rPr>
        <w:t xml:space="preserve">outcome </w:t>
      </w:r>
      <w:r w:rsidRPr="00787196">
        <w:rPr>
          <w:rFonts w:cs="Arial"/>
          <w:szCs w:val="24"/>
        </w:rPr>
        <w:t xml:space="preserve">is irrelevant </w:t>
      </w:r>
      <w:r w:rsidR="00955DE4" w:rsidRPr="00787196">
        <w:rPr>
          <w:rFonts w:cs="Arial"/>
          <w:szCs w:val="24"/>
        </w:rPr>
        <w:t>t</w:t>
      </w:r>
      <w:r w:rsidRPr="00787196">
        <w:rPr>
          <w:rFonts w:cs="Arial"/>
          <w:szCs w:val="24"/>
        </w:rPr>
        <w:t xml:space="preserve">hen </w:t>
      </w:r>
      <w:r w:rsidR="00955DE4" w:rsidRPr="00787196">
        <w:rPr>
          <w:rFonts w:cs="Arial"/>
          <w:szCs w:val="24"/>
        </w:rPr>
        <w:t xml:space="preserve">usually </w:t>
      </w:r>
      <w:r w:rsidRPr="00787196">
        <w:rPr>
          <w:rFonts w:cs="Arial"/>
          <w:szCs w:val="24"/>
        </w:rPr>
        <w:t xml:space="preserve">the event has no implication </w:t>
      </w:r>
      <w:r w:rsidR="00955DE4" w:rsidRPr="00787196">
        <w:rPr>
          <w:rFonts w:cs="Arial"/>
          <w:szCs w:val="24"/>
        </w:rPr>
        <w:t>on</w:t>
      </w:r>
      <w:r w:rsidRPr="00787196">
        <w:rPr>
          <w:rFonts w:cs="Arial"/>
          <w:szCs w:val="24"/>
        </w:rPr>
        <w:t xml:space="preserve"> the individual’s well-being</w:t>
      </w:r>
      <w:r w:rsidR="00940716" w:rsidRPr="00787196">
        <w:rPr>
          <w:rFonts w:cs="Arial"/>
          <w:szCs w:val="24"/>
        </w:rPr>
        <w:t xml:space="preserve">. </w:t>
      </w:r>
      <w:r w:rsidR="00955DE4" w:rsidRPr="00787196">
        <w:rPr>
          <w:rFonts w:cs="Arial"/>
          <w:szCs w:val="24"/>
        </w:rPr>
        <w:t xml:space="preserve">If it </w:t>
      </w:r>
      <w:r w:rsidR="00940716" w:rsidRPr="00787196">
        <w:rPr>
          <w:rFonts w:cs="Arial"/>
          <w:szCs w:val="24"/>
        </w:rPr>
        <w:t xml:space="preserve">is benign or </w:t>
      </w:r>
      <w:r w:rsidRPr="00787196">
        <w:rPr>
          <w:rFonts w:cs="Arial"/>
          <w:szCs w:val="24"/>
        </w:rPr>
        <w:t xml:space="preserve">positive, the event </w:t>
      </w:r>
      <w:r w:rsidR="00955DE4" w:rsidRPr="00787196">
        <w:rPr>
          <w:rFonts w:cs="Arial"/>
          <w:szCs w:val="24"/>
        </w:rPr>
        <w:t>might</w:t>
      </w:r>
      <w:r w:rsidRPr="00787196">
        <w:rPr>
          <w:rFonts w:cs="Arial"/>
          <w:szCs w:val="24"/>
        </w:rPr>
        <w:t xml:space="preserve"> </w:t>
      </w:r>
      <w:r w:rsidR="00955DE4" w:rsidRPr="00787196">
        <w:rPr>
          <w:rFonts w:cs="Arial"/>
          <w:szCs w:val="24"/>
        </w:rPr>
        <w:t xml:space="preserve">even </w:t>
      </w:r>
      <w:r w:rsidRPr="00787196">
        <w:rPr>
          <w:rFonts w:cs="Arial"/>
          <w:szCs w:val="24"/>
        </w:rPr>
        <w:t>i</w:t>
      </w:r>
      <w:r w:rsidR="00955DE4" w:rsidRPr="00787196">
        <w:rPr>
          <w:rFonts w:cs="Arial"/>
          <w:szCs w:val="24"/>
        </w:rPr>
        <w:t xml:space="preserve">mprove </w:t>
      </w:r>
      <w:r w:rsidRPr="00787196">
        <w:rPr>
          <w:rFonts w:cs="Arial"/>
          <w:szCs w:val="24"/>
        </w:rPr>
        <w:t>the</w:t>
      </w:r>
      <w:r w:rsidR="00955DE4" w:rsidRPr="00787196">
        <w:rPr>
          <w:rFonts w:cs="Arial"/>
          <w:szCs w:val="24"/>
        </w:rPr>
        <w:t>ir</w:t>
      </w:r>
      <w:r w:rsidRPr="00787196">
        <w:rPr>
          <w:rFonts w:cs="Arial"/>
          <w:szCs w:val="24"/>
        </w:rPr>
        <w:t xml:space="preserve"> well-being. Whereas if the event is interpreted as stress</w:t>
      </w:r>
      <w:r w:rsidR="00940716" w:rsidRPr="00787196">
        <w:rPr>
          <w:rFonts w:cs="Arial"/>
          <w:szCs w:val="24"/>
        </w:rPr>
        <w:t xml:space="preserve">ful, it is </w:t>
      </w:r>
      <w:r w:rsidR="00955DE4" w:rsidRPr="00787196">
        <w:rPr>
          <w:rFonts w:cs="Arial"/>
          <w:szCs w:val="24"/>
        </w:rPr>
        <w:t xml:space="preserve">usually </w:t>
      </w:r>
      <w:r w:rsidR="00940716" w:rsidRPr="00787196">
        <w:rPr>
          <w:rFonts w:cs="Arial"/>
          <w:szCs w:val="24"/>
        </w:rPr>
        <w:t>further appraised as either Harm/loss, threat</w:t>
      </w:r>
      <w:r w:rsidRPr="00787196">
        <w:rPr>
          <w:rFonts w:cs="Arial"/>
          <w:szCs w:val="24"/>
        </w:rPr>
        <w:t xml:space="preserve"> </w:t>
      </w:r>
      <w:r w:rsidR="00940716" w:rsidRPr="00787196">
        <w:rPr>
          <w:rFonts w:cs="Arial"/>
          <w:szCs w:val="24"/>
        </w:rPr>
        <w:t>or a c</w:t>
      </w:r>
      <w:r w:rsidRPr="00787196">
        <w:rPr>
          <w:rFonts w:cs="Arial"/>
          <w:szCs w:val="24"/>
        </w:rPr>
        <w:t>hallenge</w:t>
      </w:r>
      <w:r w:rsidR="00940716" w:rsidRPr="00787196">
        <w:rPr>
          <w:rFonts w:cs="Arial"/>
          <w:szCs w:val="24"/>
        </w:rPr>
        <w:t xml:space="preserve">. </w:t>
      </w:r>
      <w:r w:rsidR="00955DE4" w:rsidRPr="00787196">
        <w:rPr>
          <w:rFonts w:cs="Arial"/>
          <w:szCs w:val="24"/>
        </w:rPr>
        <w:t xml:space="preserve">Usually </w:t>
      </w:r>
      <w:r w:rsidR="00990DBF" w:rsidRPr="00787196">
        <w:rPr>
          <w:rFonts w:cs="Arial"/>
          <w:szCs w:val="24"/>
        </w:rPr>
        <w:t>stressful event appraisals are chronic</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&lt;EndNote&gt;&lt;Cite&gt;&lt;Author&gt;McCrae&lt;/Author&gt;&lt;Year&gt;1984&lt;/Year&gt;&lt;RecNum&gt;0&lt;/RecNum&gt;&lt;IDText&gt;Situational determinants of coping responses: Loss, threat, and challenge&lt;/IDText&gt;&lt;DisplayText&gt;(McCrae, 1984)&lt;/DisplayText&gt;&lt;record&gt;&lt;isbn&gt;1939-1315&lt;/isbn&gt;&lt;titles&gt;&lt;title&gt;Situational determinants of coping responses: Loss, threat, and challenge&lt;/title&gt;&lt;secondary-title&gt;Journal of Personality and Social psychology&lt;/secondary-title&gt;&lt;/titles&gt;&lt;pages&gt;919&lt;/pages&gt;&lt;number&gt;4&lt;/number&gt;&lt;contributors&gt;&lt;authors&gt;&lt;author&gt;McCrae, Robert R.&lt;/author&gt;&lt;/authors&gt;&lt;/contributors&gt;&lt;added-date format="utc"&gt;1378199577&lt;/added-date&gt;&lt;ref-type name="Journal Article"&gt;17&lt;/ref-type&gt;&lt;dates&gt;&lt;year&gt;1984&lt;/year&gt;&lt;/dates&gt;&lt;rec-number&gt;1199&lt;/rec-number&gt;&lt;publisher&gt;American Psychological Association&lt;/publisher&gt;&lt;last-updated-date format="utc"&gt;1385713712&lt;/last-updated-date&gt;&lt;volume&gt;46&lt;/volume&gt;&lt;/record&gt;&lt;/Cite&gt;&lt;/EndNote&gt;</w:instrText>
      </w:r>
      <w:r w:rsidRPr="00787196">
        <w:rPr>
          <w:rFonts w:cs="Arial"/>
          <w:szCs w:val="24"/>
        </w:rPr>
        <w:fldChar w:fldCharType="separate"/>
      </w:r>
      <w:r w:rsidRPr="00787196">
        <w:rPr>
          <w:rFonts w:cs="Arial"/>
          <w:szCs w:val="24"/>
        </w:rPr>
        <w:t>(McCrae, 1984)</w:t>
      </w:r>
      <w:r w:rsidRPr="00787196">
        <w:rPr>
          <w:rFonts w:cs="Arial"/>
          <w:szCs w:val="24"/>
        </w:rPr>
        <w:fldChar w:fldCharType="end"/>
      </w:r>
    </w:p>
    <w:p w14:paraId="3274B43B" w14:textId="1AADDA15" w:rsidR="008B5A91" w:rsidRPr="00787196" w:rsidRDefault="008B5A91" w:rsidP="00B675AB">
      <w:pPr>
        <w:spacing w:before="0" w:after="0"/>
        <w:rPr>
          <w:rFonts w:cs="Arial"/>
          <w:szCs w:val="24"/>
        </w:rPr>
      </w:pPr>
      <w:r w:rsidRPr="00787196">
        <w:rPr>
          <w:rFonts w:cs="Arial"/>
          <w:szCs w:val="24"/>
        </w:rPr>
        <w:t xml:space="preserve">The secondary appraisal evaluates </w:t>
      </w:r>
      <w:r w:rsidR="00990DBF" w:rsidRPr="00787196">
        <w:rPr>
          <w:rFonts w:cs="Arial"/>
          <w:szCs w:val="24"/>
        </w:rPr>
        <w:t>the</w:t>
      </w:r>
      <w:r w:rsidRPr="00787196">
        <w:rPr>
          <w:rFonts w:cs="Arial"/>
          <w:szCs w:val="24"/>
        </w:rPr>
        <w:t xml:space="preserve"> extent to which additional resources are needed to cope with the </w:t>
      </w:r>
      <w:r w:rsidR="00990DBF" w:rsidRPr="00787196">
        <w:rPr>
          <w:rFonts w:cs="Arial"/>
          <w:szCs w:val="24"/>
        </w:rPr>
        <w:t xml:space="preserve">stressful </w:t>
      </w:r>
      <w:r w:rsidRPr="00787196">
        <w:rPr>
          <w:rFonts w:cs="Arial"/>
          <w:szCs w:val="24"/>
        </w:rPr>
        <w:t>situation</w:t>
      </w:r>
      <w:r w:rsidR="00990DBF" w:rsidRPr="00787196">
        <w:rPr>
          <w:rFonts w:cs="Arial"/>
          <w:szCs w:val="24"/>
        </w:rPr>
        <w:t>. C</w:t>
      </w:r>
      <w:r w:rsidRPr="00787196">
        <w:rPr>
          <w:rFonts w:cs="Arial"/>
          <w:szCs w:val="24"/>
        </w:rPr>
        <w:t>ompetences, social support</w:t>
      </w:r>
      <w:r w:rsidR="00990DBF" w:rsidRPr="00787196">
        <w:rPr>
          <w:rFonts w:cs="Arial"/>
          <w:szCs w:val="24"/>
        </w:rPr>
        <w:t xml:space="preserve">, </w:t>
      </w:r>
      <w:r w:rsidRPr="00787196">
        <w:rPr>
          <w:rFonts w:cs="Arial"/>
          <w:szCs w:val="24"/>
        </w:rPr>
        <w:t xml:space="preserve">resources to deal with stressors </w:t>
      </w:r>
      <w:r w:rsidR="00990DBF" w:rsidRPr="00787196">
        <w:rPr>
          <w:rFonts w:cs="Arial"/>
          <w:szCs w:val="24"/>
        </w:rPr>
        <w:t xml:space="preserve">in order to </w:t>
      </w:r>
      <w:r w:rsidRPr="00787196">
        <w:rPr>
          <w:rFonts w:cs="Arial"/>
          <w:szCs w:val="24"/>
        </w:rPr>
        <w:t>re-establish equilibrium between person and environment</w:t>
      </w:r>
      <w:r w:rsidR="00990DBF" w:rsidRPr="00787196">
        <w:rPr>
          <w:rFonts w:cs="Arial"/>
          <w:szCs w:val="24"/>
        </w:rPr>
        <w:t xml:space="preserve"> is usually evaluated</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&lt;EndNote&gt;&lt;Cite&gt;&lt;Author&gt;Schwarzer&lt;/Author&gt;&lt;Year&gt;2001&lt;/Year&gt;&lt;RecNum&gt;0&lt;/RecNum&gt;&lt;IDText&gt;Stress, resources, and proactive coping&lt;/IDText&gt;&lt;DisplayText&gt;(Schwarzer, 2001)&lt;/DisplayText&gt;&lt;record&gt;&lt;isbn&gt;1464-0597&lt;/isbn&gt;&lt;titles&gt;&lt;title&gt;Stress, resources, and proactive coping&lt;/title&gt;&lt;/titles&gt;&lt;contributors&gt;&lt;authors&gt;&lt;author&gt;Schwarzer, Ralf&lt;/author&gt;&lt;/authors&gt;&lt;/contributors&gt;&lt;added-date format="utc"&gt;1378178791&lt;/added-date&gt;&lt;ref-type name="Journal Article"&gt;17&lt;/ref-type&gt;&lt;dates&gt;&lt;year&gt;2001&lt;/year&gt;&lt;/dates&gt;&lt;rec-number&gt;1197&lt;/rec-number&gt;&lt;publisher&gt;Blackwell Publishing&lt;/publisher&gt;&lt;last-updated-date format="utc"&gt;1385713712&lt;/last-updated-date&gt;&lt;/record&gt;&lt;/Cite&gt;&lt;/EndNote&gt;</w:instrText>
      </w:r>
      <w:r w:rsidRPr="00787196">
        <w:rPr>
          <w:rFonts w:cs="Arial"/>
          <w:szCs w:val="24"/>
        </w:rPr>
        <w:fldChar w:fldCharType="separate"/>
      </w:r>
      <w:r w:rsidRPr="00787196">
        <w:rPr>
          <w:rFonts w:cs="Arial"/>
          <w:szCs w:val="24"/>
        </w:rPr>
        <w:t>(Schwarzer, 2001)</w:t>
      </w:r>
      <w:r w:rsidRPr="00787196">
        <w:rPr>
          <w:rFonts w:cs="Arial"/>
          <w:szCs w:val="24"/>
        </w:rPr>
        <w:fldChar w:fldCharType="end"/>
      </w:r>
      <w:r w:rsidRPr="00787196">
        <w:rPr>
          <w:rFonts w:cs="Arial"/>
          <w:szCs w:val="24"/>
        </w:rPr>
        <w:t xml:space="preserve">. An individual usually asks three questions when evaluating their </w:t>
      </w:r>
      <w:r w:rsidR="00AC3C25" w:rsidRPr="00787196">
        <w:rPr>
          <w:rFonts w:cs="Arial"/>
          <w:szCs w:val="24"/>
        </w:rPr>
        <w:t>competence</w:t>
      </w:r>
      <w:r w:rsidRPr="00787196">
        <w:rPr>
          <w:rFonts w:cs="Arial"/>
          <w:szCs w:val="24"/>
        </w:rPr>
        <w:t xml:space="preserve">. </w:t>
      </w:r>
    </w:p>
    <w:p w14:paraId="4232F760" w14:textId="290FDB18" w:rsidR="008B5A91" w:rsidRPr="00787196" w:rsidRDefault="008B5A91" w:rsidP="00C119A5">
      <w:pPr>
        <w:pStyle w:val="ListParagraph"/>
        <w:numPr>
          <w:ilvl w:val="0"/>
          <w:numId w:val="24"/>
        </w:numPr>
        <w:spacing w:before="0" w:after="0"/>
        <w:rPr>
          <w:rFonts w:cs="Arial"/>
          <w:szCs w:val="24"/>
        </w:rPr>
      </w:pPr>
      <w:r w:rsidRPr="00787196">
        <w:rPr>
          <w:rFonts w:cs="Arial"/>
          <w:szCs w:val="24"/>
        </w:rPr>
        <w:t xml:space="preserve">Coping options available? </w:t>
      </w:r>
    </w:p>
    <w:p w14:paraId="641FE475" w14:textId="2F356AB8" w:rsidR="008B5A91" w:rsidRPr="00787196" w:rsidRDefault="008B5A91" w:rsidP="00AC3C25">
      <w:pPr>
        <w:spacing w:before="0" w:after="0"/>
        <w:ind w:left="1080"/>
        <w:rPr>
          <w:rFonts w:cs="Arial"/>
          <w:szCs w:val="24"/>
        </w:rPr>
      </w:pPr>
      <w:r w:rsidRPr="00787196">
        <w:rPr>
          <w:rFonts w:cs="Arial"/>
          <w:szCs w:val="24"/>
        </w:rPr>
        <w:t xml:space="preserve">Internal: individual </w:t>
      </w:r>
      <w:r w:rsidR="00990DBF" w:rsidRPr="00787196">
        <w:rPr>
          <w:rFonts w:cs="Arial"/>
          <w:szCs w:val="24"/>
        </w:rPr>
        <w:t>strength, determination</w:t>
      </w:r>
      <w:r w:rsidR="00AC3C25" w:rsidRPr="00787196">
        <w:rPr>
          <w:rFonts w:cs="Arial"/>
          <w:szCs w:val="24"/>
        </w:rPr>
        <w:t xml:space="preserve">; External: </w:t>
      </w:r>
      <w:r w:rsidRPr="00787196">
        <w:rPr>
          <w:rFonts w:cs="Arial"/>
          <w:szCs w:val="24"/>
        </w:rPr>
        <w:t xml:space="preserve">peer support, </w:t>
      </w:r>
      <w:r w:rsidR="00AC3C25" w:rsidRPr="00787196">
        <w:rPr>
          <w:rFonts w:cs="Arial"/>
          <w:szCs w:val="24"/>
        </w:rPr>
        <w:t>professional health</w:t>
      </w:r>
      <w:r w:rsidRPr="00787196">
        <w:rPr>
          <w:rFonts w:cs="Arial"/>
          <w:szCs w:val="24"/>
        </w:rPr>
        <w:t xml:space="preserve"> care </w:t>
      </w:r>
    </w:p>
    <w:p w14:paraId="368C5510" w14:textId="6B28CE9D" w:rsidR="008B5A91" w:rsidRPr="00787196" w:rsidRDefault="008B5A91" w:rsidP="00B675AB">
      <w:pPr>
        <w:pStyle w:val="ListParagraph"/>
        <w:numPr>
          <w:ilvl w:val="0"/>
          <w:numId w:val="24"/>
        </w:numPr>
        <w:spacing w:before="0" w:after="0"/>
        <w:rPr>
          <w:rFonts w:cs="Arial"/>
          <w:szCs w:val="24"/>
        </w:rPr>
      </w:pPr>
      <w:r w:rsidRPr="00787196">
        <w:rPr>
          <w:rFonts w:cs="Arial"/>
          <w:szCs w:val="24"/>
        </w:rPr>
        <w:t xml:space="preserve">Likelihood of being able to apply the strategy? </w:t>
      </w:r>
    </w:p>
    <w:p w14:paraId="40A82A9E" w14:textId="0F9CAD66" w:rsidR="008B5A91" w:rsidRPr="00787196" w:rsidRDefault="008B5A91" w:rsidP="00C119A5">
      <w:pPr>
        <w:pStyle w:val="ListParagraph"/>
        <w:numPr>
          <w:ilvl w:val="0"/>
          <w:numId w:val="24"/>
        </w:numPr>
        <w:spacing w:before="0" w:after="0"/>
        <w:rPr>
          <w:rFonts w:cs="Arial"/>
          <w:szCs w:val="24"/>
        </w:rPr>
      </w:pPr>
      <w:r w:rsidRPr="00787196">
        <w:rPr>
          <w:rFonts w:cs="Arial"/>
          <w:szCs w:val="24"/>
        </w:rPr>
        <w:t xml:space="preserve">Likelihood that </w:t>
      </w:r>
      <w:r w:rsidR="00AC3C25" w:rsidRPr="00787196">
        <w:rPr>
          <w:rFonts w:cs="Arial"/>
          <w:szCs w:val="24"/>
        </w:rPr>
        <w:t>it will</w:t>
      </w:r>
      <w:r w:rsidRPr="00787196">
        <w:rPr>
          <w:rFonts w:cs="Arial"/>
          <w:szCs w:val="24"/>
        </w:rPr>
        <w:t xml:space="preserve"> work (i.e.) will it reduce stress?</w:t>
      </w:r>
    </w:p>
    <w:p w14:paraId="3A21AFD0" w14:textId="77777777" w:rsidR="00AC3C25" w:rsidRPr="00787196" w:rsidRDefault="00AC3C25" w:rsidP="008B5A91">
      <w:pPr>
        <w:spacing w:before="0" w:after="0"/>
      </w:pPr>
    </w:p>
    <w:p w14:paraId="178CC681" w14:textId="77777777" w:rsidR="00160EA4" w:rsidRPr="00787196" w:rsidRDefault="00AC3C25" w:rsidP="00160EA4">
      <w:pPr>
        <w:spacing w:before="0"/>
      </w:pPr>
      <w:r w:rsidRPr="00787196">
        <w:t>Usually if the</w:t>
      </w:r>
      <w:r w:rsidR="008B5A91" w:rsidRPr="00787196">
        <w:t xml:space="preserve"> secondary appraisal suggests enough resources to cope with </w:t>
      </w:r>
      <w:r w:rsidRPr="00787196">
        <w:t>a</w:t>
      </w:r>
      <w:r w:rsidR="008B5A91" w:rsidRPr="00787196">
        <w:t xml:space="preserve"> stressful event, the individual then resorts to </w:t>
      </w:r>
      <w:r w:rsidRPr="00787196">
        <w:t>implementing either problem</w:t>
      </w:r>
      <w:r w:rsidR="008B5A91" w:rsidRPr="00787196">
        <w:t xml:space="preserve">-focussed coping </w:t>
      </w:r>
      <w:r w:rsidRPr="00787196">
        <w:t>or emotion-focussed coping strategies</w:t>
      </w:r>
      <w:r w:rsidR="00160EA4" w:rsidRPr="00787196">
        <w:t>.</w:t>
      </w:r>
    </w:p>
    <w:p w14:paraId="669F962A" w14:textId="4DF1D729" w:rsidR="008B5A91" w:rsidRPr="00787196" w:rsidRDefault="00AC3C25" w:rsidP="00160EA4">
      <w:pPr>
        <w:spacing w:before="0" w:after="0"/>
        <w:rPr>
          <w:rFonts w:cs="Arial"/>
          <w:szCs w:val="24"/>
        </w:rPr>
      </w:pPr>
      <w:r w:rsidRPr="00787196">
        <w:rPr>
          <w:rFonts w:cs="Arial"/>
          <w:szCs w:val="24"/>
        </w:rPr>
        <w:t xml:space="preserve">Problem focussed </w:t>
      </w:r>
      <w:r w:rsidR="008B5A91" w:rsidRPr="00787196">
        <w:rPr>
          <w:rFonts w:cs="Arial"/>
          <w:szCs w:val="24"/>
        </w:rPr>
        <w:t xml:space="preserve">coping strategies are those followed when an individual feels that they have control of the situation and thus can manage the source of the problem </w:t>
      </w:r>
      <w:r w:rsidR="008B5A91" w:rsidRPr="00787196">
        <w:rPr>
          <w:rFonts w:cs="Arial"/>
          <w:szCs w:val="24"/>
        </w:rPr>
        <w:fldChar w:fldCharType="begin"/>
      </w:r>
      <w:r w:rsidR="008B5A91"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008B5A91" w:rsidRPr="00787196">
        <w:rPr>
          <w:rFonts w:cs="Arial"/>
          <w:szCs w:val="24"/>
        </w:rPr>
        <w:fldChar w:fldCharType="separate"/>
      </w:r>
      <w:r w:rsidR="008B5A91" w:rsidRPr="00787196">
        <w:rPr>
          <w:rFonts w:cs="Arial"/>
          <w:szCs w:val="24"/>
        </w:rPr>
        <w:t>(Lazarus and Folkman, 1984)</w:t>
      </w:r>
      <w:r w:rsidR="008B5A91" w:rsidRPr="00787196">
        <w:rPr>
          <w:rFonts w:cs="Arial"/>
          <w:szCs w:val="24"/>
        </w:rPr>
        <w:fldChar w:fldCharType="end"/>
      </w:r>
      <w:r w:rsidR="008B5A91" w:rsidRPr="00787196">
        <w:rPr>
          <w:rFonts w:cs="Arial"/>
          <w:szCs w:val="24"/>
        </w:rPr>
        <w:t xml:space="preserve">. </w:t>
      </w:r>
      <w:r w:rsidR="00FD74ED" w:rsidRPr="00787196">
        <w:rPr>
          <w:rFonts w:cs="Arial"/>
          <w:szCs w:val="24"/>
        </w:rPr>
        <w:t>They are objective, analytical process that focusses mainl</w:t>
      </w:r>
      <w:r w:rsidR="00160EA4" w:rsidRPr="00787196">
        <w:rPr>
          <w:rFonts w:cs="Arial"/>
          <w:szCs w:val="24"/>
        </w:rPr>
        <w:t xml:space="preserve">y on the environment and </w:t>
      </w:r>
      <w:r w:rsidR="008B5A91" w:rsidRPr="00787196">
        <w:rPr>
          <w:rFonts w:cs="Arial"/>
          <w:szCs w:val="24"/>
        </w:rPr>
        <w:t>involve attempts or effort</w:t>
      </w:r>
      <w:r w:rsidRPr="00787196">
        <w:rPr>
          <w:rFonts w:cs="Arial"/>
          <w:szCs w:val="24"/>
        </w:rPr>
        <w:t>s</w:t>
      </w:r>
      <w:r w:rsidR="008B5A91" w:rsidRPr="00787196">
        <w:rPr>
          <w:rFonts w:cs="Arial"/>
          <w:szCs w:val="24"/>
        </w:rPr>
        <w:t xml:space="preserve"> to reduce the demands of the stressor or</w:t>
      </w:r>
      <w:r w:rsidR="00FD74ED" w:rsidRPr="00787196">
        <w:rPr>
          <w:rFonts w:cs="Arial"/>
          <w:szCs w:val="24"/>
        </w:rPr>
        <w:t xml:space="preserve"> to</w:t>
      </w:r>
      <w:r w:rsidR="008B5A91" w:rsidRPr="00787196">
        <w:rPr>
          <w:rFonts w:cs="Arial"/>
          <w:szCs w:val="24"/>
        </w:rPr>
        <w:t xml:space="preserve"> increase the available resources to manage the stress </w:t>
      </w:r>
      <w:r w:rsidR="008B5A91" w:rsidRPr="00787196">
        <w:rPr>
          <w:rFonts w:cs="Arial"/>
          <w:szCs w:val="24"/>
        </w:rPr>
        <w:fldChar w:fldCharType="begin"/>
      </w:r>
      <w:r w:rsidR="008B5A91" w:rsidRPr="00787196">
        <w:rPr>
          <w:rFonts w:cs="Arial"/>
          <w:szCs w:val="24"/>
        </w:rPr>
        <w:instrText xml:space="preserve"> ADDIN EN.CITE &lt;EndNote&gt;&lt;Cite&gt;&lt;Author&gt;Ogden&lt;/Author&gt;&lt;Year&gt;2012&lt;/Year&gt;&lt;RecNum&gt;0&lt;/RecNum&gt;&lt;IDText&gt;Health psychology&lt;/IDText&gt;&lt;DisplayText&gt;(Ogden, 2012)&lt;/DisplayText&gt;&lt;record&gt;&lt;isbn&gt;0335243835&lt;/isbn&gt;&lt;titles&gt;&lt;title&gt;Health psychology&lt;/title&gt;&lt;/titles&gt;&lt;contributors&gt;&lt;authors&gt;&lt;author&gt;Ogden, Jane&lt;/author&gt;&lt;/authors&gt;&lt;/contributors&gt;&lt;added-date format="utc"&gt;1377721489&lt;/added-date&gt;&lt;ref-type name="Book"&gt;6&lt;/ref-type&gt;&lt;dates&gt;&lt;year&gt;2012&lt;/year&gt;&lt;/dates&gt;&lt;rec-number&gt;1146&lt;/rec-number&gt;&lt;publisher&gt;McGraw-Hill International&lt;/publisher&gt;&lt;last-updated-date format="utc"&gt;1377721489&lt;/last-updated-date&gt;&lt;/record&gt;&lt;/Cite&gt;&lt;/EndNote&gt;</w:instrText>
      </w:r>
      <w:r w:rsidR="008B5A91" w:rsidRPr="00787196">
        <w:rPr>
          <w:rFonts w:cs="Arial"/>
          <w:szCs w:val="24"/>
        </w:rPr>
        <w:fldChar w:fldCharType="separate"/>
      </w:r>
      <w:r w:rsidR="008B5A91" w:rsidRPr="00787196">
        <w:rPr>
          <w:rFonts w:cs="Arial"/>
          <w:szCs w:val="24"/>
        </w:rPr>
        <w:t>(Ogden, 2012)</w:t>
      </w:r>
      <w:r w:rsidR="008B5A91" w:rsidRPr="00787196">
        <w:rPr>
          <w:rFonts w:cs="Arial"/>
          <w:szCs w:val="24"/>
        </w:rPr>
        <w:fldChar w:fldCharType="end"/>
      </w:r>
      <w:r w:rsidR="008B5A91" w:rsidRPr="00787196">
        <w:rPr>
          <w:rFonts w:cs="Arial"/>
          <w:szCs w:val="24"/>
        </w:rPr>
        <w:t>.</w:t>
      </w:r>
    </w:p>
    <w:p w14:paraId="1A6C7227" w14:textId="6C66FD7A" w:rsidR="008B5A91" w:rsidRPr="00787196" w:rsidRDefault="008B5A91" w:rsidP="00FD74ED">
      <w:pPr>
        <w:spacing w:before="0" w:after="0"/>
        <w:rPr>
          <w:rFonts w:cs="Arial"/>
          <w:szCs w:val="24"/>
        </w:rPr>
      </w:pPr>
      <w:r w:rsidRPr="00787196">
        <w:rPr>
          <w:rFonts w:cs="Arial"/>
          <w:szCs w:val="24"/>
        </w:rPr>
        <w:lastRenderedPageBreak/>
        <w:t xml:space="preserve">The efforts are directed towards </w:t>
      </w:r>
      <w:r w:rsidR="00FD74ED" w:rsidRPr="00787196">
        <w:rPr>
          <w:rFonts w:cs="Arial"/>
          <w:szCs w:val="24"/>
        </w:rPr>
        <w:t>defining the problem, g</w:t>
      </w:r>
      <w:r w:rsidRPr="00787196">
        <w:rPr>
          <w:rFonts w:cs="Arial"/>
          <w:szCs w:val="24"/>
        </w:rPr>
        <w:t>enerat</w:t>
      </w:r>
      <w:r w:rsidR="00FD74ED" w:rsidRPr="00787196">
        <w:rPr>
          <w:rFonts w:cs="Arial"/>
          <w:szCs w:val="24"/>
        </w:rPr>
        <w:t>ing</w:t>
      </w:r>
      <w:r w:rsidRPr="00787196">
        <w:rPr>
          <w:rFonts w:cs="Arial"/>
          <w:szCs w:val="24"/>
        </w:rPr>
        <w:t xml:space="preserve"> alternative solutions, weighing the positives and negatives of</w:t>
      </w:r>
      <w:r w:rsidR="00FD74ED" w:rsidRPr="00787196">
        <w:rPr>
          <w:rFonts w:cs="Arial"/>
          <w:szCs w:val="24"/>
        </w:rPr>
        <w:t xml:space="preserve"> both</w:t>
      </w:r>
      <w:r w:rsidRPr="00787196">
        <w:rPr>
          <w:rFonts w:cs="Arial"/>
          <w:szCs w:val="24"/>
        </w:rPr>
        <w:t xml:space="preserve"> </w:t>
      </w:r>
      <w:r w:rsidR="00FD74ED" w:rsidRPr="00787196">
        <w:rPr>
          <w:rFonts w:cs="Arial"/>
          <w:szCs w:val="24"/>
        </w:rPr>
        <w:t>and learning new skills to manage</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Pr="00787196">
        <w:rPr>
          <w:rFonts w:cs="Arial"/>
          <w:szCs w:val="24"/>
        </w:rPr>
        <w:fldChar w:fldCharType="separate"/>
      </w:r>
      <w:r w:rsidRPr="00787196">
        <w:rPr>
          <w:rFonts w:cs="Arial"/>
          <w:szCs w:val="24"/>
        </w:rPr>
        <w:t>(Lazarus and Folkman, 1984)</w:t>
      </w:r>
      <w:r w:rsidRPr="00787196">
        <w:rPr>
          <w:rFonts w:cs="Arial"/>
          <w:szCs w:val="24"/>
        </w:rPr>
        <w:fldChar w:fldCharType="end"/>
      </w:r>
      <w:r w:rsidRPr="00787196">
        <w:rPr>
          <w:rFonts w:cs="Arial"/>
          <w:szCs w:val="24"/>
        </w:rPr>
        <w:t xml:space="preserve">. </w:t>
      </w:r>
    </w:p>
    <w:p w14:paraId="0B0457C5" w14:textId="41F5AD44" w:rsidR="0065049E" w:rsidRPr="00787196" w:rsidRDefault="008B5A91" w:rsidP="00160EA4">
      <w:pPr>
        <w:rPr>
          <w:b/>
          <w:iCs/>
          <w:color w:val="000000"/>
        </w:rPr>
      </w:pPr>
      <w:r w:rsidRPr="00787196">
        <w:t xml:space="preserve">Emotion focussed </w:t>
      </w:r>
      <w:r w:rsidR="00FD74ED" w:rsidRPr="00787196">
        <w:t>coping involves</w:t>
      </w:r>
      <w:r w:rsidRPr="00787196">
        <w:t xml:space="preserve"> attending to the emotional </w:t>
      </w:r>
      <w:r w:rsidR="001D4202" w:rsidRPr="00787196">
        <w:t>consequences</w:t>
      </w:r>
      <w:r w:rsidRPr="00787196">
        <w:t xml:space="preserve"> </w:t>
      </w:r>
      <w:r w:rsidR="00160EA4" w:rsidRPr="00787196">
        <w:t xml:space="preserve">of </w:t>
      </w:r>
      <w:r w:rsidRPr="00787196">
        <w:t>the stressor. The usual behavioural and cognitive responses are</w:t>
      </w:r>
      <w:r w:rsidR="001D4202" w:rsidRPr="00787196">
        <w:t xml:space="preserve"> a</w:t>
      </w:r>
      <w:r w:rsidRPr="00787196">
        <w:t>voidance or minimization of the stressor</w:t>
      </w:r>
      <w:r w:rsidR="001D4202" w:rsidRPr="00787196">
        <w:t>, d</w:t>
      </w:r>
      <w:r w:rsidRPr="00787196">
        <w:t>istancing oneself</w:t>
      </w:r>
      <w:r w:rsidR="001D4202" w:rsidRPr="00787196">
        <w:t>, a</w:t>
      </w:r>
      <w:r w:rsidRPr="00787196">
        <w:t>cceptance</w:t>
      </w:r>
      <w:r w:rsidR="001D4202" w:rsidRPr="00787196">
        <w:t>, seeking emotional support, v</w:t>
      </w:r>
      <w:r w:rsidRPr="00787196">
        <w:t>enting anger</w:t>
      </w:r>
      <w:r w:rsidR="001D4202" w:rsidRPr="00787196">
        <w:t>.</w:t>
      </w:r>
      <w:r w:rsidRPr="00787196">
        <w:rPr>
          <w:rFonts w:cs="Arial"/>
          <w:szCs w:val="24"/>
        </w:rPr>
        <w:t xml:space="preserve"> </w:t>
      </w:r>
      <w:r w:rsidR="0065049E" w:rsidRPr="00787196">
        <w:rPr>
          <w:rFonts w:cs="Arial"/>
          <w:szCs w:val="24"/>
        </w:rPr>
        <w:t xml:space="preserve">These strategies decrease emotional distress that arises out of the stressful event. They are often used when the individual feels that nothing can be done about the situation </w:t>
      </w:r>
      <w:r w:rsidR="0065049E" w:rsidRPr="00787196">
        <w:rPr>
          <w:rFonts w:cs="Arial"/>
          <w:szCs w:val="24"/>
        </w:rPr>
        <w:fldChar w:fldCharType="begin"/>
      </w:r>
      <w:r w:rsidR="0065049E"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0065049E" w:rsidRPr="00787196">
        <w:rPr>
          <w:rFonts w:cs="Arial"/>
          <w:szCs w:val="24"/>
        </w:rPr>
        <w:fldChar w:fldCharType="separate"/>
      </w:r>
      <w:r w:rsidR="0065049E" w:rsidRPr="00787196">
        <w:rPr>
          <w:rFonts w:cs="Arial"/>
          <w:szCs w:val="24"/>
        </w:rPr>
        <w:t>(Lazarus and Folkman, 1984)</w:t>
      </w:r>
      <w:r w:rsidR="0065049E" w:rsidRPr="00787196">
        <w:rPr>
          <w:rFonts w:cs="Arial"/>
          <w:szCs w:val="24"/>
        </w:rPr>
        <w:fldChar w:fldCharType="end"/>
      </w:r>
      <w:r w:rsidR="0065049E" w:rsidRPr="00787196">
        <w:rPr>
          <w:rFonts w:cs="Arial"/>
          <w:szCs w:val="24"/>
        </w:rPr>
        <w:t>. Emotion focussed strategies can itself trigger more stress and negative emotions based on the rel</w:t>
      </w:r>
      <w:r w:rsidR="00B675AB" w:rsidRPr="00787196">
        <w:rPr>
          <w:rFonts w:cs="Arial"/>
          <w:szCs w:val="24"/>
        </w:rPr>
        <w:t xml:space="preserve">evance of the coping strategy. </w:t>
      </w:r>
      <w:r w:rsidR="0065049E" w:rsidRPr="00787196">
        <w:rPr>
          <w:rFonts w:cs="Arial"/>
          <w:szCs w:val="24"/>
        </w:rPr>
        <w:t>Such subsequent stress or distress is followed by appraisals known as reappraisals.</w:t>
      </w:r>
    </w:p>
    <w:p w14:paraId="2D6DB7A7" w14:textId="7C88FBE7" w:rsidR="0065049E" w:rsidRPr="00787196" w:rsidRDefault="0065049E" w:rsidP="00160EA4">
      <w:pPr>
        <w:spacing w:after="240"/>
        <w:rPr>
          <w:rFonts w:cs="Arial"/>
          <w:szCs w:val="24"/>
        </w:rPr>
      </w:pPr>
      <w:r w:rsidRPr="00787196">
        <w:rPr>
          <w:rFonts w:cs="Arial"/>
          <w:szCs w:val="24"/>
        </w:rPr>
        <w:t>Reappraisals are continuous from coping strategies on the basis of new information that might emerge out</w:t>
      </w:r>
      <w:r w:rsidR="00E03880" w:rsidRPr="00787196">
        <w:rPr>
          <w:rFonts w:cs="Arial"/>
          <w:szCs w:val="24"/>
        </w:rPr>
        <w:t xml:space="preserve"> of the initial coping strategy. Its mechanism</w:t>
      </w:r>
      <w:r w:rsidRPr="00787196">
        <w:rPr>
          <w:rFonts w:cs="Arial"/>
          <w:szCs w:val="24"/>
        </w:rPr>
        <w:t xml:space="preserve"> is identical to the initial process of appraisal</w:t>
      </w:r>
      <w:r w:rsidR="00E03880" w:rsidRPr="00787196">
        <w:rPr>
          <w:rFonts w:cs="Arial"/>
          <w:szCs w:val="24"/>
        </w:rPr>
        <w:t xml:space="preserve"> except</w:t>
      </w:r>
      <w:r w:rsidRPr="00787196">
        <w:rPr>
          <w:rFonts w:cs="Arial"/>
          <w:szCs w:val="24"/>
        </w:rPr>
        <w:t xml:space="preserve"> that the stress</w:t>
      </w:r>
      <w:r w:rsidR="00E03880" w:rsidRPr="00787196">
        <w:rPr>
          <w:rFonts w:cs="Arial"/>
          <w:szCs w:val="24"/>
        </w:rPr>
        <w:t xml:space="preserve">or is not from a fresh stimulus. It usually </w:t>
      </w:r>
      <w:r w:rsidRPr="00787196">
        <w:rPr>
          <w:rFonts w:cs="Arial"/>
          <w:szCs w:val="24"/>
        </w:rPr>
        <w:t xml:space="preserve">arises </w:t>
      </w:r>
      <w:r w:rsidR="00E03880" w:rsidRPr="00787196">
        <w:rPr>
          <w:rFonts w:cs="Arial"/>
          <w:szCs w:val="24"/>
        </w:rPr>
        <w:t xml:space="preserve">due to using </w:t>
      </w:r>
      <w:r w:rsidRPr="00787196">
        <w:rPr>
          <w:rFonts w:cs="Arial"/>
          <w:szCs w:val="24"/>
        </w:rPr>
        <w:t>emotional coping strategies. Reappraisal</w:t>
      </w:r>
      <w:r w:rsidR="00E03880" w:rsidRPr="00787196">
        <w:rPr>
          <w:rFonts w:cs="Arial"/>
          <w:szCs w:val="24"/>
        </w:rPr>
        <w:t>s</w:t>
      </w:r>
      <w:r w:rsidRPr="00787196">
        <w:rPr>
          <w:rFonts w:cs="Arial"/>
          <w:szCs w:val="24"/>
        </w:rPr>
        <w:t xml:space="preserve"> may lead to more stress and distress </w:t>
      </w:r>
      <w:r w:rsidRPr="00787196">
        <w:rPr>
          <w:rFonts w:cs="Arial"/>
          <w:szCs w:val="24"/>
        </w:rPr>
        <w:fldChar w:fldCharType="begin"/>
      </w:r>
      <w:r w:rsidRPr="00787196">
        <w:rPr>
          <w:rFonts w:cs="Arial"/>
          <w:szCs w:val="24"/>
        </w:rPr>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Pr="00787196">
        <w:rPr>
          <w:rFonts w:cs="Arial"/>
          <w:szCs w:val="24"/>
        </w:rPr>
        <w:fldChar w:fldCharType="separate"/>
      </w:r>
      <w:r w:rsidRPr="00787196">
        <w:rPr>
          <w:rFonts w:cs="Arial"/>
          <w:szCs w:val="24"/>
        </w:rPr>
        <w:t>(Lazarus and Folkman, 1984)</w:t>
      </w:r>
      <w:r w:rsidRPr="00787196">
        <w:rPr>
          <w:rFonts w:cs="Arial"/>
          <w:szCs w:val="24"/>
        </w:rPr>
        <w:fldChar w:fldCharType="end"/>
      </w:r>
    </w:p>
    <w:p w14:paraId="652B3E49" w14:textId="352BB99E" w:rsidR="0065049E" w:rsidRPr="00787196" w:rsidRDefault="0065049E" w:rsidP="00226A04">
      <w:pPr>
        <w:pStyle w:val="Heading4"/>
      </w:pPr>
      <w:r w:rsidRPr="00787196">
        <w:t xml:space="preserve">Measuring coping strategies </w:t>
      </w:r>
    </w:p>
    <w:p w14:paraId="470159D6" w14:textId="74EBA220" w:rsidR="0065049E" w:rsidRPr="00787196" w:rsidRDefault="0065049E" w:rsidP="00C11F1B">
      <w:pPr>
        <w:rPr>
          <w:rFonts w:cs="Arial"/>
          <w:szCs w:val="24"/>
        </w:rPr>
      </w:pPr>
      <w:r w:rsidRPr="00787196">
        <w:rPr>
          <w:rFonts w:cs="Arial"/>
          <w:szCs w:val="24"/>
        </w:rPr>
        <w:t>Folkman and Lazarus</w:t>
      </w:r>
      <w:r w:rsidR="00ED6901" w:rsidRPr="00787196">
        <w:rPr>
          <w:rFonts w:cs="Arial"/>
          <w:szCs w:val="24"/>
        </w:rPr>
        <w:t>’s</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 ExcludeAuth="1"&gt;&lt;Author&gt;Folkman&lt;/Author&gt;&lt;Year&gt;1980&lt;/Year&gt;&lt;RecNum&gt;0&lt;/RecNum&gt;&lt;IDText&gt;An analysis of coping in a middle-aged community sample&lt;/IDText&gt;&lt;DisplayText&gt;(1980)&lt;/DisplayText&gt;&lt;record&gt;&lt;isbn&gt;0022-1465&lt;/isbn&gt;&lt;titles&gt;&lt;title&gt;An analysis of coping in a middle-aged community sample&lt;/title&gt;&lt;secondary-title&gt;Journal of health and social behavior&lt;/secondary-title&gt;&lt;/titles&gt;&lt;pages&gt;219-239&lt;/pages&gt;&lt;contributors&gt;&lt;authors&gt;&lt;author&gt;Folkman, Susan&lt;/author&gt;&lt;author&gt;Lazarus, Richard S&lt;/author&gt;&lt;/authors&gt;&lt;/contributors&gt;&lt;added-date format="utc"&gt;1370036989&lt;/added-date&gt;&lt;ref-type name="Journal Article"&gt;17&lt;/ref-type&gt;&lt;dates&gt;&lt;year&gt;1980&lt;/year&gt;&lt;/dates&gt;&lt;rec-number&gt;736&lt;/rec-number&gt;&lt;last-updated-date format="utc"&gt;1370036989&lt;/last-updated-date&gt;&lt;/record&gt;&lt;/Cite&gt;&lt;/EndNote&gt;</w:instrText>
      </w:r>
      <w:r w:rsidRPr="00787196">
        <w:rPr>
          <w:rFonts w:cs="Arial"/>
          <w:szCs w:val="24"/>
        </w:rPr>
        <w:fldChar w:fldCharType="separate"/>
      </w:r>
      <w:r w:rsidRPr="00787196">
        <w:rPr>
          <w:rFonts w:cs="Arial"/>
          <w:szCs w:val="24"/>
        </w:rPr>
        <w:t>(1980)</w:t>
      </w:r>
      <w:r w:rsidRPr="00787196">
        <w:rPr>
          <w:rFonts w:cs="Arial"/>
          <w:szCs w:val="24"/>
        </w:rPr>
        <w:fldChar w:fldCharType="end"/>
      </w:r>
      <w:r w:rsidRPr="00787196">
        <w:rPr>
          <w:rFonts w:cs="Arial"/>
          <w:szCs w:val="24"/>
        </w:rPr>
        <w:t xml:space="preserve"> “Ways of Coping” scale </w:t>
      </w:r>
      <w:r w:rsidR="00ED6901" w:rsidRPr="00787196">
        <w:rPr>
          <w:rFonts w:cs="Arial"/>
          <w:szCs w:val="24"/>
        </w:rPr>
        <w:t xml:space="preserve">is </w:t>
      </w:r>
      <w:r w:rsidRPr="00787196">
        <w:rPr>
          <w:rFonts w:cs="Arial"/>
          <w:szCs w:val="24"/>
        </w:rPr>
        <w:t xml:space="preserve">based on </w:t>
      </w:r>
      <w:r w:rsidR="00ED6901" w:rsidRPr="00787196">
        <w:rPr>
          <w:rFonts w:cs="Arial"/>
          <w:szCs w:val="24"/>
        </w:rPr>
        <w:t xml:space="preserve">their </w:t>
      </w:r>
      <w:r w:rsidRPr="00787196">
        <w:rPr>
          <w:rFonts w:cs="Arial"/>
          <w:szCs w:val="24"/>
        </w:rPr>
        <w:t xml:space="preserve">framework </w:t>
      </w:r>
      <w:r w:rsidRPr="00787196">
        <w:rPr>
          <w:rFonts w:cs="Arial"/>
          <w:szCs w:val="24"/>
        </w:rPr>
        <w:fldChar w:fldCharType="begin"/>
      </w:r>
      <w:r w:rsidRPr="00787196">
        <w:rPr>
          <w:rFonts w:cs="Arial"/>
          <w:szCs w:val="24"/>
        </w:rPr>
        <w:instrText xml:space="preserve"> ADDIN EN.CITE &lt;EndNote&gt;&lt;Cite&gt;&lt;Author&gt;Lazarus&lt;/Author&gt;&lt;Year&gt;1966&lt;/Year&gt;&lt;RecNum&gt;0&lt;/RecNum&gt;&lt;IDText&gt;Psychological stress and the coping process&lt;/IDText&gt;&lt;DisplayText&gt;(Lazarus, 1966, Lazarus and Launier, 1978)&lt;/DisplayText&gt;&lt;record&gt;&lt;titles&gt;&lt;title&gt;Psychological stress and the coping process&lt;/title&gt;&lt;/titles&gt;&lt;contributors&gt;&lt;authors&gt;&lt;author&gt;Lazarus, Richard S.&lt;/author&gt;&lt;/authors&gt;&lt;/contributors&gt;&lt;added-date format="utc"&gt;1378177198&lt;/added-date&gt;&lt;ref-type name="Journal Article"&gt;17&lt;/ref-type&gt;&lt;dates&gt;&lt;year&gt;1966&lt;/year&gt;&lt;/dates&gt;&lt;rec-number&gt;1196&lt;/rec-number&gt;&lt;publisher&gt;McGraw-Hill&lt;/publisher&gt;&lt;last-updated-date format="utc"&gt;1385713712&lt;/last-updated-date&gt;&lt;/record&gt;&lt;/Cite&gt;&lt;Cite&gt;&lt;Author&gt;Lazarus&lt;/Author&gt;&lt;Year&gt;1978&lt;/Year&gt;&lt;RecNum&gt;0&lt;/RecNum&gt;&lt;IDText&gt;Stress-related transactions between person and environment&lt;/IDText&gt;&lt;record&gt;&lt;titles&gt;&lt;title&gt;Stress-related transactions between person and environment&lt;/title&gt;&lt;secondary-title&gt;Perspectives in interactional psychology&lt;/secondary-title&gt;&lt;/titles&gt;&lt;pages&gt;327&lt;/pages&gt;&lt;contributors&gt;&lt;authors&gt;&lt;author&gt;Lazarus, Richard S.&lt;/author&gt;&lt;author&gt;Launier, Raymond&lt;/author&gt;&lt;/authors&gt;&lt;/contributors&gt;&lt;added-date format="utc"&gt;1377763225&lt;/added-date&gt;&lt;ref-type name="Journal Article"&gt;17&lt;/ref-type&gt;&lt;dates&gt;&lt;year&gt;1978&lt;/year&gt;&lt;/dates&gt;&lt;rec-number&gt;1159&lt;/rec-number&gt;&lt;last-updated-date format="utc"&gt;1385713712&lt;/last-updated-date&gt;&lt;volume&gt;287&lt;/volume&gt;&lt;/record&gt;&lt;/Cite&gt;&lt;/EndNote&gt;</w:instrText>
      </w:r>
      <w:r w:rsidRPr="00787196">
        <w:rPr>
          <w:rFonts w:cs="Arial"/>
          <w:szCs w:val="24"/>
        </w:rPr>
        <w:fldChar w:fldCharType="separate"/>
      </w:r>
      <w:r w:rsidRPr="00787196">
        <w:rPr>
          <w:rFonts w:cs="Arial"/>
          <w:szCs w:val="24"/>
        </w:rPr>
        <w:t>(Lazarus, 1966, Lazarus and Launier, 1978)</w:t>
      </w:r>
      <w:r w:rsidRPr="00787196">
        <w:rPr>
          <w:rFonts w:cs="Arial"/>
          <w:szCs w:val="24"/>
        </w:rPr>
        <w:fldChar w:fldCharType="end"/>
      </w:r>
      <w:r w:rsidRPr="00787196">
        <w:rPr>
          <w:rFonts w:cs="Arial"/>
          <w:szCs w:val="24"/>
        </w:rPr>
        <w:t>.</w:t>
      </w:r>
      <w:r w:rsidR="00ED6901" w:rsidRPr="00787196">
        <w:rPr>
          <w:rFonts w:cs="Arial"/>
          <w:szCs w:val="24"/>
        </w:rPr>
        <w:t xml:space="preserve"> </w:t>
      </w:r>
      <w:r w:rsidRPr="00787196">
        <w:rPr>
          <w:rFonts w:cs="Arial"/>
          <w:szCs w:val="24"/>
        </w:rPr>
        <w:t xml:space="preserve">This scale comprises 68 items including domains such as defensive coping (avoidance, isolation, suppression and intellectualisation), information-seeking, problem solving, and palliation, inhibition of action, direct action and magical thinking. </w:t>
      </w:r>
      <w:r w:rsidR="00ED6901" w:rsidRPr="00787196">
        <w:rPr>
          <w:rFonts w:cs="Arial"/>
          <w:szCs w:val="24"/>
        </w:rPr>
        <w:t>The items a</w:t>
      </w:r>
      <w:r w:rsidRPr="00787196">
        <w:rPr>
          <w:rFonts w:cs="Arial"/>
          <w:szCs w:val="24"/>
        </w:rPr>
        <w:t xml:space="preserve">re classified in two </w:t>
      </w:r>
      <w:r w:rsidR="00ED6901" w:rsidRPr="00787196">
        <w:rPr>
          <w:rFonts w:cs="Arial"/>
          <w:szCs w:val="24"/>
        </w:rPr>
        <w:t xml:space="preserve">sub-scale </w:t>
      </w:r>
      <w:r w:rsidRPr="00787196">
        <w:rPr>
          <w:rFonts w:cs="Arial"/>
          <w:szCs w:val="24"/>
        </w:rPr>
        <w:t>categories namely, problem-focussed and emotion-focussed coping.</w:t>
      </w:r>
      <w:r w:rsidR="00ED6901" w:rsidRPr="00787196">
        <w:rPr>
          <w:rFonts w:cs="Arial"/>
          <w:szCs w:val="24"/>
        </w:rPr>
        <w:t xml:space="preserve"> However </w:t>
      </w:r>
      <w:r w:rsidRPr="00787196">
        <w:rPr>
          <w:rFonts w:cs="Arial"/>
          <w:szCs w:val="24"/>
        </w:rPr>
        <w:t>the validity</w:t>
      </w:r>
      <w:r w:rsidR="00ED6901" w:rsidRPr="00787196">
        <w:rPr>
          <w:rFonts w:cs="Arial"/>
          <w:szCs w:val="24"/>
        </w:rPr>
        <w:t xml:space="preserve"> </w:t>
      </w:r>
      <w:r w:rsidRPr="00787196">
        <w:rPr>
          <w:rFonts w:cs="Arial"/>
          <w:szCs w:val="24"/>
        </w:rPr>
        <w:t xml:space="preserve">of the subscales </w:t>
      </w:r>
      <w:r w:rsidR="00ED6901" w:rsidRPr="00787196">
        <w:rPr>
          <w:rFonts w:cs="Arial"/>
          <w:szCs w:val="24"/>
        </w:rPr>
        <w:t>were</w:t>
      </w:r>
      <w:r w:rsidRPr="00787196">
        <w:rPr>
          <w:rFonts w:cs="Arial"/>
          <w:szCs w:val="24"/>
        </w:rPr>
        <w:t xml:space="preserve"> weak</w:t>
      </w:r>
      <w:r w:rsidR="00ED6901" w:rsidRPr="00787196">
        <w:rPr>
          <w:rFonts w:cs="Arial"/>
          <w:szCs w:val="24"/>
        </w:rPr>
        <w:t>,</w:t>
      </w:r>
      <w:r w:rsidRPr="00787196">
        <w:rPr>
          <w:rFonts w:cs="Arial"/>
          <w:szCs w:val="24"/>
        </w:rPr>
        <w:t xml:space="preserve"> the internal consistency</w:t>
      </w:r>
      <w:r w:rsidR="00ED6901" w:rsidRPr="00787196">
        <w:rPr>
          <w:rFonts w:cs="Arial"/>
          <w:szCs w:val="24"/>
        </w:rPr>
        <w:t xml:space="preserve"> and</w:t>
      </w:r>
      <w:r w:rsidRPr="00787196">
        <w:rPr>
          <w:rFonts w:cs="Arial"/>
          <w:szCs w:val="24"/>
        </w:rPr>
        <w:t xml:space="preserve"> reliability </w:t>
      </w:r>
      <w:r w:rsidR="00ED6901" w:rsidRPr="00787196">
        <w:rPr>
          <w:rFonts w:cs="Arial"/>
          <w:szCs w:val="24"/>
        </w:rPr>
        <w:t>were</w:t>
      </w:r>
      <w:r w:rsidRPr="00787196">
        <w:rPr>
          <w:rFonts w:cs="Arial"/>
          <w:szCs w:val="24"/>
        </w:rPr>
        <w:t xml:space="preserve"> very modest </w:t>
      </w:r>
      <w:r w:rsidRPr="00787196">
        <w:rPr>
          <w:rFonts w:cs="Arial"/>
          <w:szCs w:val="24"/>
        </w:rPr>
        <w:fldChar w:fldCharType="begin"/>
      </w:r>
      <w:r w:rsidRPr="00787196">
        <w:rPr>
          <w:rFonts w:cs="Arial"/>
          <w:szCs w:val="24"/>
        </w:rPr>
        <w:instrText xml:space="preserve"> ADDIN EN.CITE &lt;EndNote&gt;&lt;Cite&gt;&lt;Author&gt;Endler&lt;/Author&gt;&lt;Year&gt;1990&lt;/Year&gt;&lt;RecNum&gt;0&lt;/RecNum&gt;&lt;IDText&gt;Multidimensional assessment of coping: a critical evaluation&lt;/IDText&gt;&lt;DisplayText&gt;(Endler and Parker, 1990)&lt;/DisplayText&gt;&lt;record&gt;&lt;isbn&gt;1939-1315&lt;/isbn&gt;&lt;titles&gt;&lt;title&gt;Multidimensional assessment of coping: a critical evaluation&lt;/title&gt;&lt;secondary-title&gt;Journal of personality and social psychology&lt;/secondary-title&gt;&lt;/titles&gt;&lt;pages&gt;844&lt;/pages&gt;&lt;number&gt;5&lt;/number&gt;&lt;contributors&gt;&lt;authors&gt;&lt;author&gt;Endler, Norman S.&lt;/author&gt;&lt;author&gt;Parker, James D.&lt;/author&gt;&lt;/authors&gt;&lt;/contributors&gt;&lt;added-date format="utc"&gt;1378068900&lt;/added-date&gt;&lt;ref-type name="Journal Article"&gt;17&lt;/ref-type&gt;&lt;dates&gt;&lt;year&gt;1990&lt;/year&gt;&lt;/dates&gt;&lt;rec-number&gt;1182&lt;/rec-number&gt;&lt;publisher&gt;American Psychological Association&lt;/publisher&gt;&lt;last-updated-date format="utc"&gt;1385713712&lt;/last-updated-date&gt;&lt;volume&gt;58&lt;/volume&gt;&lt;/record&gt;&lt;/Cite&gt;&lt;/EndNote&gt;</w:instrText>
      </w:r>
      <w:r w:rsidRPr="00787196">
        <w:rPr>
          <w:rFonts w:cs="Arial"/>
          <w:szCs w:val="24"/>
        </w:rPr>
        <w:fldChar w:fldCharType="separate"/>
      </w:r>
      <w:r w:rsidRPr="00787196">
        <w:rPr>
          <w:rFonts w:cs="Arial"/>
          <w:szCs w:val="24"/>
        </w:rPr>
        <w:t>(Endler and Parker, 1990)</w:t>
      </w:r>
      <w:r w:rsidRPr="00787196">
        <w:rPr>
          <w:rFonts w:cs="Arial"/>
          <w:szCs w:val="24"/>
        </w:rPr>
        <w:fldChar w:fldCharType="end"/>
      </w:r>
      <w:r w:rsidR="007332C4" w:rsidRPr="00787196">
        <w:rPr>
          <w:rFonts w:cs="Arial"/>
          <w:szCs w:val="24"/>
        </w:rPr>
        <w:t>.</w:t>
      </w:r>
    </w:p>
    <w:p w14:paraId="19E04AB3" w14:textId="2C3A6797" w:rsidR="0065049E" w:rsidRPr="00787196" w:rsidRDefault="00ED6901" w:rsidP="007332C4">
      <w:pPr>
        <w:rPr>
          <w:rFonts w:cs="Arial"/>
          <w:szCs w:val="24"/>
        </w:rPr>
      </w:pPr>
      <w:r w:rsidRPr="00787196">
        <w:rPr>
          <w:rFonts w:cs="Arial"/>
          <w:szCs w:val="24"/>
        </w:rPr>
        <w:t>T</w:t>
      </w:r>
      <w:r w:rsidR="0065049E" w:rsidRPr="00787196">
        <w:rPr>
          <w:rFonts w:cs="Arial"/>
          <w:szCs w:val="24"/>
        </w:rPr>
        <w:t>he COPE questionnaire was designed</w:t>
      </w:r>
      <w:r w:rsidRPr="00787196">
        <w:rPr>
          <w:rFonts w:cs="Arial"/>
          <w:szCs w:val="24"/>
        </w:rPr>
        <w:t xml:space="preserve"> to further scrutinise this distinction and explore problem-focussed coping</w:t>
      </w:r>
      <w:r w:rsidR="0065049E" w:rsidRPr="00787196">
        <w:rPr>
          <w:rFonts w:cs="Arial"/>
          <w:szCs w:val="24"/>
        </w:rPr>
        <w:t xml:space="preserve"> </w:t>
      </w:r>
      <w:r w:rsidR="0065049E" w:rsidRPr="00787196">
        <w:rPr>
          <w:rFonts w:cs="Arial"/>
          <w:szCs w:val="24"/>
        </w:rPr>
        <w:fldChar w:fldCharType="begin"/>
      </w:r>
      <w:r w:rsidR="0065049E" w:rsidRPr="00787196">
        <w:rPr>
          <w:rFonts w:cs="Arial"/>
          <w:szCs w:val="24"/>
        </w:rPr>
        <w:instrText xml:space="preserve"> ADDIN EN.CITE &lt;EndNote&gt;&lt;Cite&gt;&lt;Author&gt;Carver&lt;/Author&gt;&lt;Year&gt;1989&lt;/Year&gt;&lt;RecNum&gt;0&lt;/RecNum&gt;&lt;IDText&gt;Assessing coping strategies: A theoretically based approach&lt;/IDText&gt;&lt;DisplayText&gt;(Carver et al., 1989)&lt;/DisplayText&gt;&lt;record&gt;&lt;titles&gt;&lt;title&gt;Assessing coping strategies: A theoretically based approach&lt;/title&gt;&lt;secondary-title&gt;Journal of personality and social psychology&lt;/secondary-title&gt;&lt;/titles&gt;&lt;pages&gt;267-283&lt;/pages&gt;&lt;number&gt;2&lt;/number&gt;&lt;contributors&gt;&lt;authors&gt;&lt;author&gt;Carver, Charles S.&lt;/author&gt;&lt;author&gt;Scheier, Michael F.&lt;/author&gt;&lt;author&gt;Weintraub, Jagdish Kumari&lt;/author&gt;&lt;/authors&gt;&lt;/contributors&gt;&lt;added-date format="utc"&gt;1365571150&lt;/added-date&gt;&lt;ref-type name="Journal Article"&gt;17&lt;/ref-type&gt;&lt;dates&gt;&lt;year&gt;1989&lt;/year&gt;&lt;/dates&gt;&lt;rec-number&gt;603&lt;/rec-number&gt;&lt;last-updated-date format="utc"&gt;1365571150&lt;/last-updated-date&gt;&lt;volume&gt;56&lt;/volume&gt;&lt;/record&gt;&lt;/Cite&gt;&lt;/EndNote&gt;</w:instrText>
      </w:r>
      <w:r w:rsidR="0065049E" w:rsidRPr="00787196">
        <w:rPr>
          <w:rFonts w:cs="Arial"/>
          <w:szCs w:val="24"/>
        </w:rPr>
        <w:fldChar w:fldCharType="separate"/>
      </w:r>
      <w:r w:rsidR="0065049E" w:rsidRPr="00787196">
        <w:rPr>
          <w:rFonts w:cs="Arial"/>
          <w:szCs w:val="24"/>
        </w:rPr>
        <w:t>(Carver et al., 1989)</w:t>
      </w:r>
      <w:r w:rsidR="0065049E" w:rsidRPr="00787196">
        <w:rPr>
          <w:rFonts w:cs="Arial"/>
          <w:szCs w:val="24"/>
        </w:rPr>
        <w:fldChar w:fldCharType="end"/>
      </w:r>
      <w:r w:rsidR="0065049E" w:rsidRPr="00787196">
        <w:rPr>
          <w:rFonts w:cs="Arial"/>
          <w:szCs w:val="24"/>
        </w:rPr>
        <w:t>.</w:t>
      </w:r>
      <w:r w:rsidRPr="00787196">
        <w:rPr>
          <w:rFonts w:cs="Arial"/>
          <w:szCs w:val="24"/>
        </w:rPr>
        <w:t xml:space="preserve"> </w:t>
      </w:r>
      <w:r w:rsidR="0065049E" w:rsidRPr="00787196">
        <w:rPr>
          <w:rFonts w:cs="Arial"/>
          <w:szCs w:val="24"/>
        </w:rPr>
        <w:t xml:space="preserve">This measure was designed using the Lazarus model of stress and coping (1987) and another model of behavioural self-regulation </w:t>
      </w:r>
      <w:r w:rsidR="0065049E" w:rsidRPr="00787196">
        <w:rPr>
          <w:rFonts w:cs="Arial"/>
          <w:szCs w:val="24"/>
        </w:rPr>
        <w:fldChar w:fldCharType="begin"/>
      </w:r>
      <w:r w:rsidR="0065049E" w:rsidRPr="00787196">
        <w:rPr>
          <w:rFonts w:cs="Arial"/>
          <w:szCs w:val="24"/>
        </w:rPr>
        <w:instrText xml:space="preserve"> ADDIN EN.CITE &lt;EndNote&gt;&lt;Cite&gt;&lt;Author&gt;Carver&lt;/Author&gt;&lt;Year&gt;1981&lt;/Year&gt;&lt;RecNum&gt;0&lt;/RecNum&gt;&lt;IDText&gt;Attention and self-regulation: a control-theory approach to human behavior&lt;/IDText&gt;&lt;DisplayText&gt;(Carver and Scheier, 1981)&lt;/DisplayText&gt;&lt;record&gt;&lt;urls&gt;&lt;related-urls&gt;&lt;url&gt;http://books.google.co.uk/books?id=8YjsAAAAMAAJ&lt;/url&gt;&lt;/related-urls&gt;&lt;/urls&gt;&lt;isbn&gt;9783540905530&lt;/isbn&gt;&lt;titles&gt;&lt;title&gt;Attention and self-regulation: a control-theory approach to human behavior&lt;/title&gt;&lt;secondary-title&gt;Social Psychology Series&lt;/secondary-title&gt;&lt;/titles&gt;&lt;contributors&gt;&lt;authors&gt;&lt;author&gt;Carver, C. S.&lt;/author&gt;&lt;author&gt;Scheier, M.&lt;/author&gt;&lt;/authors&gt;&lt;/contributors&gt;&lt;added-date format="utc"&gt;1391085293&lt;/added-date&gt;&lt;ref-type name="Book"&gt;6&lt;/ref-type&gt;&lt;dates&gt;&lt;year&gt;1981&lt;/year&gt;&lt;/dates&gt;&lt;rec-number&gt;1954&lt;/rec-number&gt;&lt;publisher&gt;Springer-Verlag&lt;/publisher&gt;&lt;last-updated-date format="utc"&gt;1391085293&lt;/last-updated-date&gt;&lt;/record&gt;&lt;/Cite&gt;&lt;/EndNote&gt;</w:instrText>
      </w:r>
      <w:r w:rsidR="0065049E" w:rsidRPr="00787196">
        <w:rPr>
          <w:rFonts w:cs="Arial"/>
          <w:szCs w:val="24"/>
        </w:rPr>
        <w:fldChar w:fldCharType="separate"/>
      </w:r>
      <w:r w:rsidR="0065049E" w:rsidRPr="00787196">
        <w:rPr>
          <w:rFonts w:cs="Arial"/>
          <w:szCs w:val="24"/>
        </w:rPr>
        <w:t>(Carver and Scheier, 1981)</w:t>
      </w:r>
      <w:r w:rsidR="0065049E" w:rsidRPr="00787196">
        <w:rPr>
          <w:rFonts w:cs="Arial"/>
          <w:szCs w:val="24"/>
        </w:rPr>
        <w:fldChar w:fldCharType="end"/>
      </w:r>
      <w:r w:rsidR="0065049E" w:rsidRPr="00787196">
        <w:rPr>
          <w:rFonts w:cs="Arial"/>
          <w:szCs w:val="24"/>
        </w:rPr>
        <w:t>.</w:t>
      </w:r>
    </w:p>
    <w:p w14:paraId="4C9E7457" w14:textId="201E253E" w:rsidR="0065049E" w:rsidRPr="00787196" w:rsidRDefault="0065049E" w:rsidP="0065049E">
      <w:pPr>
        <w:rPr>
          <w:rFonts w:cs="Arial"/>
          <w:szCs w:val="24"/>
        </w:rPr>
      </w:pPr>
      <w:r w:rsidRPr="00787196">
        <w:rPr>
          <w:rFonts w:cs="Arial"/>
          <w:szCs w:val="24"/>
        </w:rPr>
        <w:lastRenderedPageBreak/>
        <w:t xml:space="preserve">The COPE questionnaire </w:t>
      </w:r>
      <w:r w:rsidR="001117D5" w:rsidRPr="00787196">
        <w:rPr>
          <w:rFonts w:cs="Arial"/>
          <w:szCs w:val="24"/>
        </w:rPr>
        <w:t>contains</w:t>
      </w:r>
      <w:r w:rsidRPr="00787196">
        <w:rPr>
          <w:rFonts w:cs="Arial"/>
          <w:szCs w:val="24"/>
        </w:rPr>
        <w:t xml:space="preserve"> 53 items with 14 sub-scales. Five sub-scales measure conceptually distinct themes of problem-focussed coping</w:t>
      </w:r>
      <w:r w:rsidR="001117D5" w:rsidRPr="00787196">
        <w:rPr>
          <w:rFonts w:cs="Arial"/>
          <w:szCs w:val="24"/>
        </w:rPr>
        <w:t xml:space="preserve">; </w:t>
      </w:r>
      <w:r w:rsidRPr="00787196">
        <w:rPr>
          <w:rFonts w:cs="Arial"/>
          <w:szCs w:val="24"/>
        </w:rPr>
        <w:t>active coping, planning, suppression of competing activities, restraint coping</w:t>
      </w:r>
      <w:r w:rsidR="001117D5" w:rsidRPr="00787196">
        <w:rPr>
          <w:rFonts w:cs="Arial"/>
          <w:szCs w:val="24"/>
        </w:rPr>
        <w:t xml:space="preserve"> and</w:t>
      </w:r>
      <w:r w:rsidRPr="00787196">
        <w:rPr>
          <w:rFonts w:cs="Arial"/>
          <w:szCs w:val="24"/>
        </w:rPr>
        <w:t xml:space="preserve"> seeking instrumental social-support. </w:t>
      </w:r>
      <w:r w:rsidR="001117D5" w:rsidRPr="00787196">
        <w:rPr>
          <w:rFonts w:cs="Arial"/>
          <w:szCs w:val="24"/>
        </w:rPr>
        <w:t>F</w:t>
      </w:r>
      <w:r w:rsidRPr="00787196">
        <w:rPr>
          <w:rFonts w:cs="Arial"/>
          <w:szCs w:val="24"/>
        </w:rPr>
        <w:t xml:space="preserve">ive </w:t>
      </w:r>
      <w:r w:rsidR="001117D5" w:rsidRPr="00787196">
        <w:rPr>
          <w:rFonts w:cs="Arial"/>
          <w:szCs w:val="24"/>
        </w:rPr>
        <w:t>other sub-</w:t>
      </w:r>
      <w:r w:rsidRPr="00787196">
        <w:rPr>
          <w:rFonts w:cs="Arial"/>
          <w:szCs w:val="24"/>
        </w:rPr>
        <w:t>scales measure</w:t>
      </w:r>
      <w:r w:rsidR="001117D5" w:rsidRPr="00787196">
        <w:rPr>
          <w:rFonts w:cs="Arial"/>
          <w:szCs w:val="24"/>
        </w:rPr>
        <w:t>d</w:t>
      </w:r>
      <w:r w:rsidRPr="00787196">
        <w:rPr>
          <w:rFonts w:cs="Arial"/>
          <w:szCs w:val="24"/>
        </w:rPr>
        <w:t xml:space="preserve"> the aspects of emotion-focussed coping (i.e.) seeking emotional support, positive re-int</w:t>
      </w:r>
      <w:r w:rsidR="001117D5" w:rsidRPr="00787196">
        <w:rPr>
          <w:rFonts w:cs="Arial"/>
          <w:szCs w:val="24"/>
        </w:rPr>
        <w:t>erpretation, acceptance, denial and</w:t>
      </w:r>
      <w:r w:rsidRPr="00787196">
        <w:rPr>
          <w:rFonts w:cs="Arial"/>
          <w:szCs w:val="24"/>
        </w:rPr>
        <w:t xml:space="preserve"> turning to religion. </w:t>
      </w:r>
      <w:r w:rsidR="001117D5" w:rsidRPr="00787196">
        <w:rPr>
          <w:rFonts w:cs="Arial"/>
          <w:szCs w:val="24"/>
        </w:rPr>
        <w:t>The rest four sub-</w:t>
      </w:r>
      <w:r w:rsidRPr="00787196">
        <w:rPr>
          <w:rFonts w:cs="Arial"/>
          <w:szCs w:val="24"/>
        </w:rPr>
        <w:t xml:space="preserve">scales measure the other coping </w:t>
      </w:r>
      <w:r w:rsidR="001117D5" w:rsidRPr="00787196">
        <w:rPr>
          <w:rFonts w:cs="Arial"/>
          <w:szCs w:val="24"/>
        </w:rPr>
        <w:t>strategies</w:t>
      </w:r>
      <w:r w:rsidRPr="00787196">
        <w:rPr>
          <w:rFonts w:cs="Arial"/>
          <w:szCs w:val="24"/>
        </w:rPr>
        <w:t xml:space="preserve"> such as venting, behavioural, alcohol-drug and mental disengagement</w:t>
      </w:r>
      <w:r w:rsidR="001117D5" w:rsidRPr="00787196">
        <w:rPr>
          <w:rFonts w:cs="Arial"/>
          <w:szCs w:val="24"/>
        </w:rPr>
        <w:t xml:space="preserve"> responses</w:t>
      </w:r>
      <w:r w:rsidRPr="00787196">
        <w:rPr>
          <w:rFonts w:cs="Arial"/>
          <w:szCs w:val="24"/>
        </w:rPr>
        <w:t xml:space="preserve">. This scale was shown to possess good psychometric properties </w:t>
      </w:r>
      <w:r w:rsidRPr="00787196">
        <w:rPr>
          <w:rFonts w:cs="Arial"/>
          <w:szCs w:val="24"/>
        </w:rPr>
        <w:fldChar w:fldCharType="begin"/>
      </w:r>
      <w:r w:rsidRPr="00787196">
        <w:rPr>
          <w:rFonts w:cs="Arial"/>
          <w:szCs w:val="24"/>
        </w:rPr>
        <w:instrText xml:space="preserve"> ADDIN EN.CITE &lt;EndNote&gt;&lt;Cite&gt;&lt;Author&gt;Balducci&lt;/Author&gt;&lt;Year&gt;2008&lt;/Year&gt;&lt;RecNum&gt;0&lt;/RecNum&gt;&lt;IDText&gt;Negative impact and positive value in caregiving: validation of the COPE index in a six-country sample of carers&lt;/IDText&gt;&lt;DisplayText&gt;(Balducci et al., 2008)&lt;/DisplayText&gt;&lt;record&gt;&lt;dates&gt;&lt;pub-dates&gt;&lt;date&gt;Jun&lt;/date&gt;&lt;/pub-dates&gt;&lt;year&gt;2008&lt;/year&gt;&lt;/dates&gt;&lt;isbn&gt;0016-9013 (Print)&amp;#xD;0016-9013&lt;/isbn&gt;&lt;titles&gt;&lt;title&gt;Negative impact and positive value in caregiving: validation of the COPE index in a six-country sample of carers&lt;/title&gt;&lt;secondary-title&gt;Gerontologist&lt;/secondary-title&gt;&lt;alt-title&gt;The Gerontologist&lt;/alt-title&gt;&lt;/titles&gt;&lt;pages&gt;276-86&lt;/pages&gt;&lt;number&gt;3&lt;/number&gt;&lt;contributors&gt;&lt;authors&gt;&lt;author&gt;Balducci, C.&lt;/author&gt;&lt;author&gt;Mnich, E.&lt;/author&gt;&lt;author&gt;McKee, K. J.&lt;/author&gt;&lt;author&gt;Lamura, G.&lt;/author&gt;&lt;author&gt;Beckmann, A.&lt;/author&gt;&lt;author&gt;Krevers, B.&lt;/author&gt;&lt;author&gt;Wojszel, Z. B.&lt;/author&gt;&lt;author&gt;Nolan, M.&lt;/author&gt;&lt;author&gt;Prouskas, C.&lt;/author&gt;&lt;author&gt;Bien, B.&lt;/author&gt;&lt;author&gt;Oberg, B.&lt;/author&gt;&lt;/authors&gt;&lt;/contributors&gt;&lt;edition&gt;2008/07/02&lt;/edition&gt;&lt;language&gt;eng&lt;/language&gt;&lt;added-date format="utc"&gt;1391087551&lt;/added-date&gt;&lt;ref-type name="Journal Article"&gt;17&lt;/ref-type&gt;&lt;auth-address&gt;Department of Cognitive Science and Education, University of Trenton, Italy.&lt;/auth-address&gt;&lt;remote-database-provider&gt;NLM&lt;/remote-database-provider&gt;&lt;rec-number&gt;1958&lt;/rec-number&gt;&lt;last-updated-date format="utc"&gt;1391087551&lt;/last-updated-date&gt;&lt;accession-num&gt;18591353&lt;/accession-num&gt;&lt;volume&gt;48&lt;/volume&gt;&lt;/record&gt;&lt;/Cite&gt;&lt;/EndNote&gt;</w:instrText>
      </w:r>
      <w:r w:rsidRPr="00787196">
        <w:rPr>
          <w:rFonts w:cs="Arial"/>
          <w:szCs w:val="24"/>
        </w:rPr>
        <w:fldChar w:fldCharType="separate"/>
      </w:r>
      <w:r w:rsidRPr="00787196">
        <w:rPr>
          <w:rFonts w:cs="Arial"/>
          <w:szCs w:val="24"/>
        </w:rPr>
        <w:t>(Balducci et al., 2008)</w:t>
      </w:r>
      <w:r w:rsidRPr="00787196">
        <w:rPr>
          <w:rFonts w:cs="Arial"/>
          <w:szCs w:val="24"/>
        </w:rPr>
        <w:fldChar w:fldCharType="end"/>
      </w:r>
      <w:r w:rsidRPr="00787196">
        <w:rPr>
          <w:rFonts w:cs="Arial"/>
          <w:szCs w:val="24"/>
        </w:rPr>
        <w:t xml:space="preserve">, but </w:t>
      </w:r>
      <w:r w:rsidR="001117D5" w:rsidRPr="00787196">
        <w:rPr>
          <w:rFonts w:cs="Arial"/>
          <w:szCs w:val="24"/>
        </w:rPr>
        <w:t>had</w:t>
      </w:r>
      <w:r w:rsidRPr="00787196">
        <w:rPr>
          <w:rFonts w:cs="Arial"/>
          <w:szCs w:val="24"/>
        </w:rPr>
        <w:t xml:space="preserve"> certain inadequacies for use in specific populations like community alcoholic drinkers were shown </w:t>
      </w:r>
      <w:r w:rsidRPr="00787196">
        <w:rPr>
          <w:rFonts w:cs="Arial"/>
          <w:szCs w:val="24"/>
        </w:rPr>
        <w:fldChar w:fldCharType="begin"/>
      </w:r>
      <w:r w:rsidRPr="00787196">
        <w:rPr>
          <w:rFonts w:cs="Arial"/>
          <w:szCs w:val="24"/>
        </w:rPr>
        <w:instrText xml:space="preserve"> ADDIN EN.CITE &lt;EndNote&gt;&lt;Cite&gt;&lt;Author&gt;Hasking&lt;/Author&gt;&lt;Year&gt;2002&lt;/Year&gt;&lt;RecNum&gt;0&lt;/RecNum&gt;&lt;IDText&gt;Confirmatory factor analysis of the COPE questionnaire on community drinkers and an alcohol-dependent sample&lt;/IDText&gt;&lt;DisplayText&gt;(Hasking and Oei, 2002)&lt;/DisplayText&gt;&lt;record&gt;&lt;isbn&gt;0096-882X&lt;/isbn&gt;&lt;titles&gt;&lt;title&gt;Confirmatory factor analysis of the COPE questionnaire on community drinkers and an alcohol-dependent sample&lt;/title&gt;&lt;secondary-title&gt;Journal of studies on alcohol&lt;/secondary-title&gt;&lt;/titles&gt;&lt;pages&gt;631-640&lt;/pages&gt;&lt;number&gt;5&lt;/number&gt;&lt;contributors&gt;&lt;authors&gt;&lt;author&gt;Hasking, P. A.&lt;/author&gt;&lt;author&gt;Oei, T. P. S.&lt;/author&gt;&lt;/authors&gt;&lt;/contributors&gt;&lt;added-date format="utc"&gt;1391087465&lt;/added-date&gt;&lt;ref-type name="Journal Article"&gt;17&lt;/ref-type&gt;&lt;dates&gt;&lt;year&gt;2002&lt;/year&gt;&lt;/dates&gt;&lt;rec-number&gt;1957&lt;/rec-number&gt;&lt;publisher&gt;Alcohol Reserach Documentation Inc&lt;/publisher&gt;&lt;last-updated-date format="utc"&gt;1391087465&lt;/last-updated-date&gt;&lt;volume&gt;63&lt;/volume&gt;&lt;/record&gt;&lt;/Cite&gt;&lt;/EndNote&gt;</w:instrText>
      </w:r>
      <w:r w:rsidRPr="00787196">
        <w:rPr>
          <w:rFonts w:cs="Arial"/>
          <w:szCs w:val="24"/>
        </w:rPr>
        <w:fldChar w:fldCharType="separate"/>
      </w:r>
      <w:r w:rsidRPr="00787196">
        <w:rPr>
          <w:rFonts w:cs="Arial"/>
          <w:szCs w:val="24"/>
        </w:rPr>
        <w:t>(Hasking and Oei, 2002)</w:t>
      </w:r>
      <w:r w:rsidRPr="00787196">
        <w:rPr>
          <w:rFonts w:cs="Arial"/>
          <w:szCs w:val="24"/>
        </w:rPr>
        <w:fldChar w:fldCharType="end"/>
      </w:r>
      <w:r w:rsidRPr="00787196">
        <w:rPr>
          <w:rFonts w:cs="Arial"/>
          <w:szCs w:val="24"/>
        </w:rPr>
        <w:t xml:space="preserve">. </w:t>
      </w:r>
    </w:p>
    <w:p w14:paraId="75E21A19" w14:textId="4CE2E127" w:rsidR="0065049E" w:rsidRPr="00787196" w:rsidRDefault="0065049E" w:rsidP="0065049E">
      <w:pPr>
        <w:rPr>
          <w:rFonts w:cs="Arial"/>
          <w:szCs w:val="24"/>
        </w:rPr>
      </w:pPr>
      <w:r w:rsidRPr="00787196">
        <w:rPr>
          <w:rFonts w:cs="Arial"/>
          <w:szCs w:val="24"/>
        </w:rPr>
        <w:t>The inventory showed good test-retest reliability</w:t>
      </w:r>
      <w:r w:rsidR="00160EA4" w:rsidRPr="00787196">
        <w:rPr>
          <w:rFonts w:cs="Arial"/>
          <w:szCs w:val="24"/>
        </w:rPr>
        <w:t>, even i</w:t>
      </w:r>
      <w:r w:rsidRPr="00787196">
        <w:rPr>
          <w:rFonts w:cs="Arial"/>
          <w:szCs w:val="24"/>
        </w:rPr>
        <w:t xml:space="preserve">n cross-cultural versions </w:t>
      </w:r>
      <w:r w:rsidRPr="00787196">
        <w:rPr>
          <w:rFonts w:cs="Arial"/>
          <w:szCs w:val="24"/>
        </w:rPr>
        <w:fldChar w:fldCharType="begin"/>
      </w:r>
      <w:r w:rsidRPr="00787196">
        <w:rPr>
          <w:rFonts w:cs="Arial"/>
          <w:szCs w:val="24"/>
        </w:rPr>
        <w:instrText xml:space="preserve"> ADDIN EN.CITE &lt;EndNote&gt;&lt;Cite&gt;&lt;Author&gt;Sica&lt;/Author&gt;&lt;Year&gt;1997&lt;/Year&gt;&lt;RecNum&gt;0&lt;/RecNum&gt;&lt;IDText&gt;Coping strategies: Evidence for cross-cultural differences? A preliminary study with the Italian version of Coping Orientations to Problems Experienced (COPE)&lt;/IDText&gt;&lt;DisplayText&gt;(Sica et al., 1997)&lt;/DisplayText&gt;&lt;record&gt;&lt;isbn&gt;0191-8869&lt;/isbn&gt;&lt;titles&gt;&lt;title&gt;Coping strategies: Evidence for cross-cultural differences? A preliminary study with the Italian version of Coping Orientations to Problems Experienced (COPE)&lt;/title&gt;&lt;secondary-title&gt;Personality and Individual Differences&lt;/secondary-title&gt;&lt;/titles&gt;&lt;pages&gt;1025-1029&lt;/pages&gt;&lt;number&gt;6&lt;/number&gt;&lt;contributors&gt;&lt;authors&gt;&lt;author&gt;Sica, Claudio&lt;/author&gt;&lt;author&gt;Novara, Caterina&lt;/author&gt;&lt;author&gt;Dorz, Stella&lt;/author&gt;&lt;author&gt;Sanavio, Ezio&lt;/author&gt;&lt;/authors&gt;&lt;/contributors&gt;&lt;added-date format="utc"&gt;1391086587&lt;/added-date&gt;&lt;ref-type name="Journal Article"&gt;17&lt;/ref-type&gt;&lt;dates&gt;&lt;year&gt;1997&lt;/year&gt;&lt;/dates&gt;&lt;rec-number&gt;1955&lt;/rec-number&gt;&lt;publisher&gt;Elsevier&lt;/publisher&gt;&lt;last-updated-date format="utc"&gt;1391086587&lt;/last-updated-date&gt;&lt;volume&gt;23&lt;/volume&gt;&lt;/record&gt;&lt;/Cite&gt;&lt;/EndNote&gt;</w:instrText>
      </w:r>
      <w:r w:rsidRPr="00787196">
        <w:rPr>
          <w:rFonts w:cs="Arial"/>
          <w:szCs w:val="24"/>
        </w:rPr>
        <w:fldChar w:fldCharType="separate"/>
      </w:r>
      <w:r w:rsidRPr="00787196">
        <w:rPr>
          <w:rFonts w:cs="Arial"/>
          <w:szCs w:val="24"/>
        </w:rPr>
        <w:t>(Sica et al., 1997)</w:t>
      </w:r>
      <w:r w:rsidRPr="00787196">
        <w:rPr>
          <w:rFonts w:cs="Arial"/>
          <w:szCs w:val="24"/>
        </w:rPr>
        <w:fldChar w:fldCharType="end"/>
      </w:r>
      <w:r w:rsidRPr="00787196">
        <w:rPr>
          <w:rFonts w:cs="Arial"/>
          <w:szCs w:val="24"/>
        </w:rPr>
        <w:t xml:space="preserve">. A brief 28 item version was developed </w:t>
      </w:r>
      <w:r w:rsidR="001117D5" w:rsidRPr="00787196">
        <w:rPr>
          <w:rFonts w:cs="Arial"/>
          <w:szCs w:val="24"/>
        </w:rPr>
        <w:t>(</w:t>
      </w:r>
      <w:r w:rsidRPr="00787196">
        <w:rPr>
          <w:rFonts w:cs="Arial"/>
          <w:szCs w:val="24"/>
        </w:rPr>
        <w:t>Brief COPE</w:t>
      </w:r>
      <w:r w:rsidR="001117D5" w:rsidRPr="00787196">
        <w:rPr>
          <w:rFonts w:cs="Arial"/>
          <w:szCs w:val="24"/>
        </w:rPr>
        <w:t>;</w:t>
      </w:r>
      <w:r w:rsidR="00FB636A" w:rsidRPr="00787196">
        <w:rPr>
          <w:rFonts w:cs="Arial"/>
          <w:szCs w:val="24"/>
        </w:rPr>
        <w:t xml:space="preserve"> Carver 1997). </w:t>
      </w:r>
      <w:r w:rsidRPr="00787196">
        <w:rPr>
          <w:rFonts w:cs="Arial"/>
          <w:szCs w:val="24"/>
        </w:rPr>
        <w:t>This inventory had the same 14 subscales with two items</w:t>
      </w:r>
      <w:r w:rsidR="00FB636A" w:rsidRPr="00787196">
        <w:rPr>
          <w:rFonts w:cs="Arial"/>
          <w:szCs w:val="24"/>
        </w:rPr>
        <w:t xml:space="preserve"> and </w:t>
      </w:r>
      <w:r w:rsidRPr="00787196">
        <w:rPr>
          <w:rFonts w:cs="Arial"/>
          <w:szCs w:val="24"/>
        </w:rPr>
        <w:t xml:space="preserve">was developed </w:t>
      </w:r>
      <w:r w:rsidR="00FB636A" w:rsidRPr="00787196">
        <w:rPr>
          <w:rFonts w:cs="Arial"/>
          <w:szCs w:val="24"/>
        </w:rPr>
        <w:t>due to</w:t>
      </w:r>
      <w:r w:rsidRPr="00787196">
        <w:rPr>
          <w:rFonts w:cs="Arial"/>
          <w:szCs w:val="24"/>
        </w:rPr>
        <w:t xml:space="preserve"> the length of the previous </w:t>
      </w:r>
      <w:r w:rsidR="00496975" w:rsidRPr="00787196">
        <w:rPr>
          <w:rFonts w:cs="Arial"/>
          <w:szCs w:val="24"/>
        </w:rPr>
        <w:t>questionnaire. The psychometric properties of this scale are presented in the methods section</w:t>
      </w:r>
      <w:r w:rsidRPr="00787196">
        <w:rPr>
          <w:rFonts w:cs="Arial"/>
          <w:szCs w:val="24"/>
        </w:rPr>
        <w:t xml:space="preserve"> </w:t>
      </w:r>
    </w:p>
    <w:p w14:paraId="7E1031E1" w14:textId="22941E98" w:rsidR="0065049E" w:rsidRPr="00787196" w:rsidRDefault="0065049E" w:rsidP="00226A04">
      <w:pPr>
        <w:pStyle w:val="Heading4"/>
      </w:pPr>
      <w:r w:rsidRPr="00787196">
        <w:t xml:space="preserve">Coping strategies, health-status and oral health behaviours </w:t>
      </w:r>
    </w:p>
    <w:p w14:paraId="4E568E3B" w14:textId="02D920F2" w:rsidR="0065049E" w:rsidRPr="00787196" w:rsidRDefault="0065049E" w:rsidP="0065049E">
      <w:r w:rsidRPr="00787196">
        <w:t xml:space="preserve">Better coping strategies have shown positive associations with health outcomes and health-related quality </w:t>
      </w:r>
      <w:r w:rsidR="00FB636A" w:rsidRPr="00787196">
        <w:t>of life in mental health issues</w:t>
      </w:r>
      <w:r w:rsidRPr="00787196">
        <w:t xml:space="preserve"> </w:t>
      </w:r>
      <w:r w:rsidRPr="00787196">
        <w:fldChar w:fldCharType="begin"/>
      </w:r>
      <w:r w:rsidRPr="00787196">
        <w:instrText xml:space="preserve"> ADDIN EN.CITE &lt;EndNote&gt;&lt;Cite&gt;&lt;Author&gt;Garnefski&lt;/Author&gt;&lt;Year&gt;2002&lt;/Year&gt;&lt;RecNum&gt;0&lt;/RecNum&gt;&lt;IDText&gt;Cognitive coping strategies and symptoms of depression and anxiety: A comparison between adolescents and adults&lt;/IDText&gt;&lt;DisplayText&gt;(Garnefski et al., 2002)&lt;/DisplayText&gt;&lt;record&gt;&lt;isbn&gt;0140-1971&lt;/isbn&gt;&lt;titles&gt;&lt;title&gt;Cognitive coping strategies and symptoms of depression and anxiety: A comparison between adolescents and adults&lt;/title&gt;&lt;secondary-title&gt;Journal of adolescence&lt;/secondary-title&gt;&lt;/titles&gt;&lt;pages&gt;603-611&lt;/pages&gt;&lt;number&gt;6&lt;/number&gt;&lt;contributors&gt;&lt;authors&gt;&lt;author&gt;Garnefski, Nadia&lt;/author&gt;&lt;author&gt;Legerstee, Jeroen&lt;/author&gt;&lt;author&gt;Kraaij, Vivian&lt;/author&gt;&lt;author&gt;van den Kommer, Tessa&lt;/author&gt;&lt;author&gt;Teerds, J. A. N.&lt;/author&gt;&lt;/authors&gt;&lt;/contributors&gt;&lt;added-date format="utc"&gt;1391126046&lt;/added-date&gt;&lt;ref-type name="Journal Article"&gt;17&lt;/ref-type&gt;&lt;dates&gt;&lt;year&gt;2002&lt;/year&gt;&lt;/dates&gt;&lt;rec-number&gt;1969&lt;/rec-number&gt;&lt;publisher&gt;Elsevier&lt;/publisher&gt;&lt;last-updated-date format="utc"&gt;1391126046&lt;/last-updated-date&gt;&lt;volume&gt;25&lt;/volume&gt;&lt;/record&gt;&lt;/Cite&gt;&lt;/EndNote&gt;</w:instrText>
      </w:r>
      <w:r w:rsidRPr="00787196">
        <w:fldChar w:fldCharType="separate"/>
      </w:r>
      <w:r w:rsidRPr="00787196">
        <w:t>(Garnefski et al., 2002)</w:t>
      </w:r>
      <w:r w:rsidRPr="00787196">
        <w:fldChar w:fldCharType="end"/>
      </w:r>
      <w:r w:rsidR="00496975" w:rsidRPr="00787196">
        <w:t xml:space="preserve"> and </w:t>
      </w:r>
      <w:r w:rsidRPr="00787196">
        <w:t xml:space="preserve">illnesses such </w:t>
      </w:r>
      <w:r w:rsidR="00496975" w:rsidRPr="00787196">
        <w:t xml:space="preserve">as </w:t>
      </w:r>
      <w:r w:rsidRPr="00787196">
        <w:t xml:space="preserve">asthma </w:t>
      </w:r>
      <w:r w:rsidRPr="00787196">
        <w:fldChar w:fldCharType="begin"/>
      </w:r>
      <w:r w:rsidRPr="00787196">
        <w:instrText xml:space="preserve"> ADDIN EN.CITE &lt;EndNote&gt;&lt;Cite&gt;&lt;Author&gt;Van De Ven&lt;/Author&gt;&lt;Year&gt;2007&lt;/Year&gt;&lt;RecNum&gt;0&lt;/RecNum&gt;&lt;IDText&gt;The role of coping strategies in quality of life of adolescents with asthma&lt;/IDText&gt;&lt;DisplayText&gt;(Van De Ven et al., 2007)&lt;/DisplayText&gt;&lt;record&gt;&lt;isbn&gt;1573-2649&lt;/isbn&gt;&lt;titles&gt;&lt;title&gt;The role of coping strategies in quality of life of adolescents with asthma&lt;/title&gt;&lt;secondary-title&gt;Quality of Life Research&lt;/secondary-title&gt;&lt;/titles&gt;&lt;pages&gt;625-634&lt;/pages&gt;&lt;number&gt;4&lt;/number&gt;&lt;contributors&gt;&lt;authors&gt;&lt;author&gt;Van De Ven, Monique O. M.&lt;/author&gt;&lt;author&gt;Engels, Rutger C. M. E.&lt;/author&gt;&lt;author&gt;Sawyer, Susan M.&lt;/author&gt;&lt;author&gt;Otten, Roy&lt;/author&gt;&lt;author&gt;Van Den Eijnden, Regina J. J. M.&lt;/author&gt;&lt;/authors&gt;&lt;/contributors&gt;&lt;added-date format="utc"&gt;1391123008&lt;/added-date&gt;&lt;ref-type name="Journal Article"&gt;17&lt;/ref-type&gt;&lt;dates&gt;&lt;year&gt;2007&lt;/year&gt;&lt;/dates&gt;&lt;rec-number&gt;1963&lt;/rec-number&gt;&lt;publisher&gt;Springer&lt;/publisher&gt;&lt;last-updated-date format="utc"&gt;1391123008&lt;/last-updated-date&gt;&lt;volume&gt;16&lt;/volume&gt;&lt;/record&gt;&lt;/Cite&gt;&lt;/EndNote&gt;</w:instrText>
      </w:r>
      <w:r w:rsidRPr="00787196">
        <w:fldChar w:fldCharType="separate"/>
      </w:r>
      <w:r w:rsidRPr="00787196">
        <w:t>(Van De Ven et al., 2007)</w:t>
      </w:r>
      <w:r w:rsidRPr="00787196">
        <w:fldChar w:fldCharType="end"/>
      </w:r>
      <w:r w:rsidRPr="00787196">
        <w:t xml:space="preserve">, arthritis </w:t>
      </w:r>
      <w:r w:rsidRPr="00787196">
        <w:fldChar w:fldCharType="begin"/>
      </w:r>
      <w:r w:rsidRPr="00787196">
        <w:instrText xml:space="preserve"> ADDIN EN.CITE &lt;EndNote&gt;&lt;Cite&gt;&lt;Author&gt;Burke&lt;/Author&gt;&lt;Year&gt;1993&lt;/Year&gt;&lt;RecNum&gt;0&lt;/RecNum&gt;&lt;IDText&gt;Coping strategies and health status of elderly arthritic women&lt;/IDText&gt;&lt;DisplayText&gt;(Burke and Jean, 1993, Sawyer et al., 2004)&lt;/DisplayText&gt;&lt;record&gt;&lt;isbn&gt;1365-2648&lt;/isbn&gt;&lt;titles&gt;&lt;title&gt;Coping strategies and health status of elderly arthritic women&lt;/title&gt;&lt;secondary-title&gt;Journal of Advanced Nursing&lt;/secondary-title&gt;&lt;/titles&gt;&lt;pages&gt;7-13&lt;/pages&gt;&lt;number&gt;1&lt;/number&gt;&lt;contributors&gt;&lt;authors&gt;&lt;author&gt;Burke, Mary&lt;/author&gt;&lt;author&gt;Jean, Sister Mary&lt;/author&gt;&lt;/authors&gt;&lt;/contributors&gt;&lt;added-date format="utc"&gt;1391124454&lt;/added-date&gt;&lt;ref-type name="Journal Article"&gt;17&lt;/ref-type&gt;&lt;dates&gt;&lt;year&gt;1993&lt;/year&gt;&lt;/dates&gt;&lt;rec-number&gt;1966&lt;/rec-number&gt;&lt;publisher&gt;Wiley Online Library&lt;/publisher&gt;&lt;last-updated-date format="utc"&gt;1391124454&lt;/last-updated-date&gt;&lt;volume&gt;18&lt;/volume&gt;&lt;/record&gt;&lt;/Cite&gt;&lt;Cite&gt;&lt;Author&gt;Sawyer&lt;/Author&gt;&lt;Year&gt;2004&lt;/Year&gt;&lt;RecNum&gt;0&lt;/RecNum&gt;&lt;IDText&gt;The relationship between health-related quality of life, pain and coping strategies in juvenile idiopathic arthritis&lt;/IDText&gt;&lt;record&gt;&lt;isbn&gt;1462-0324&lt;/isbn&gt;&lt;titles&gt;&lt;title&gt;The relationship between health-related quality of life, pain and coping strategies in juvenile idiopathic arthritis&lt;/title&gt;&lt;secondary-title&gt;Rheumatology&lt;/secondary-title&gt;&lt;/titles&gt;&lt;pages&gt;325-330&lt;/pages&gt;&lt;number&gt;3&lt;/number&gt;&lt;contributors&gt;&lt;authors&gt;&lt;author&gt;Sawyer, Michael Gifford&lt;/author&gt;&lt;author&gt;Whitham, J. N.&lt;/author&gt;&lt;author&gt;Roberton, Donal Muir&lt;/author&gt;&lt;author&gt;Taplin, J. E.&lt;/author&gt;&lt;author&gt;Varni, J. W.&lt;/author&gt;&lt;author&gt;Baghurst, Peter Adrian&lt;/author&gt;&lt;/authors&gt;&lt;/contributors&gt;&lt;added-date format="utc"&gt;1391124091&lt;/added-date&gt;&lt;ref-type name="Journal Article"&gt;17&lt;/ref-type&gt;&lt;dates&gt;&lt;year&gt;2004&lt;/year&gt;&lt;/dates&gt;&lt;rec-number&gt;1965&lt;/rec-number&gt;&lt;publisher&gt;Br Soc Rheumatology&lt;/publisher&gt;&lt;last-updated-date format="utc"&gt;1391124091&lt;/last-updated-date&gt;&lt;volume&gt;43&lt;/volume&gt;&lt;/record&gt;&lt;/Cite&gt;&lt;/EndNote&gt;</w:instrText>
      </w:r>
      <w:r w:rsidRPr="00787196">
        <w:fldChar w:fldCharType="separate"/>
      </w:r>
      <w:r w:rsidRPr="00787196">
        <w:t>(Burke and Jean, 1993, Sawyer et al., 2004)</w:t>
      </w:r>
      <w:r w:rsidRPr="00787196">
        <w:fldChar w:fldCharType="end"/>
      </w:r>
      <w:r w:rsidRPr="00787196">
        <w:t xml:space="preserve">, cancer </w:t>
      </w:r>
      <w:r w:rsidRPr="00787196">
        <w:fldChar w:fldCharType="begin"/>
      </w:r>
      <w:r w:rsidRPr="00787196">
        <w:instrText xml:space="preserve"> ADDIN EN.CITE &lt;EndNote&gt;&lt;Cite&gt;&lt;Author&gt;Reynolds&lt;/Author&gt;&lt;Year&gt;2000&lt;/Year&gt;&lt;RecNum&gt;0&lt;/RecNum&gt;&lt;IDText&gt;Use of coping strategies and breast cancer survival: results from the Black/White Cancer Survival Study&lt;/IDText&gt;&lt;DisplayText&gt;(Reynolds et al., 2000, Kershaw et al., 2004)&lt;/DisplayText&gt;&lt;record&gt;&lt;isbn&gt;0002-9262&lt;/isbn&gt;&lt;titles&gt;&lt;title&gt;Use of coping strategies and breast cancer survival: results from the Black/White Cancer Survival Study&lt;/title&gt;&lt;secondary-title&gt;American Journal of Epidemiology&lt;/secondary-title&gt;&lt;/titles&gt;&lt;pages&gt;940-949&lt;/pages&gt;&lt;number&gt;10&lt;/number&gt;&lt;contributors&gt;&lt;authors&gt;&lt;author&gt;Reynolds, Peggy&lt;/author&gt;&lt;author&gt;Hurley, Susan&lt;/author&gt;&lt;author&gt;Torres, Myriam&lt;/author&gt;&lt;author&gt;Jackson, James&lt;/author&gt;&lt;author&gt;Boyd, Peggy&lt;/author&gt;&lt;author&gt;Chen, Vivien W.&lt;/author&gt;&lt;/authors&gt;&lt;/contributors&gt;&lt;added-date format="utc"&gt;1391125754&lt;/added-date&gt;&lt;ref-type name="Journal Article"&gt;17&lt;/ref-type&gt;&lt;dates&gt;&lt;year&gt;2000&lt;/year&gt;&lt;/dates&gt;&lt;rec-number&gt;1968&lt;/rec-number&gt;&lt;publisher&gt;Oxford Univ Press&lt;/publisher&gt;&lt;last-updated-date format="utc"&gt;1391125754&lt;/last-updated-date&gt;&lt;volume&gt;152&lt;/volume&gt;&lt;/record&gt;&lt;/Cite&gt;&lt;Cite&gt;&lt;Author&gt;Kershaw&lt;/Author&gt;&lt;Year&gt;2004&lt;/Year&gt;&lt;RecNum&gt;0&lt;/RecNum&gt;&lt;IDText&gt;Coping strategies and quality of life in women with advanced breast cancer and their family caregivers&lt;/IDText&gt;&lt;record&gt;&lt;isbn&gt;0887-0446&lt;/isbn&gt;&lt;titles&gt;&lt;title&gt;Coping strategies and quality of life in women with advanced breast cancer and their family caregivers&lt;/title&gt;&lt;secondary-title&gt;Psychology &amp;amp; Health&lt;/secondary-title&gt;&lt;/titles&gt;&lt;pages&gt;139-155&lt;/pages&gt;&lt;number&gt;2&lt;/number&gt;&lt;contributors&gt;&lt;authors&gt;&lt;author&gt;Kershaw, Trace&lt;/author&gt;&lt;author&gt;Northouse, Laurel&lt;/author&gt;&lt;author&gt;Kritpracha, Charuwan&lt;/author&gt;&lt;author&gt;Schafenacker, Ann&lt;/author&gt;&lt;author&gt;Mood, Darlene&lt;/author&gt;&lt;/authors&gt;&lt;/contributors&gt;&lt;added-date format="utc"&gt;1391125700&lt;/added-date&gt;&lt;ref-type name="Journal Article"&gt;17&lt;/ref-type&gt;&lt;dates&gt;&lt;year&gt;2004&lt;/year&gt;&lt;/dates&gt;&lt;rec-number&gt;1967&lt;/rec-number&gt;&lt;publisher&gt;Taylor &amp;amp; Francis&lt;/publisher&gt;&lt;last-updated-date format="utc"&gt;1391125700&lt;/last-updated-date&gt;&lt;volume&gt;19&lt;/volume&gt;&lt;/record&gt;&lt;/Cite&gt;&lt;/EndNote&gt;</w:instrText>
      </w:r>
      <w:r w:rsidRPr="00787196">
        <w:fldChar w:fldCharType="separate"/>
      </w:r>
      <w:r w:rsidRPr="00787196">
        <w:t>(Reynolds et al., 2000, Kershaw et al., 2004)</w:t>
      </w:r>
      <w:r w:rsidRPr="00787196">
        <w:fldChar w:fldCharType="end"/>
      </w:r>
      <w:r w:rsidRPr="00787196">
        <w:t xml:space="preserve"> and inflammatory bowel disease </w:t>
      </w:r>
      <w:r w:rsidRPr="00787196">
        <w:fldChar w:fldCharType="begin"/>
      </w:r>
      <w:r w:rsidRPr="00787196">
        <w:instrText xml:space="preserve"> ADDIN EN.CITE &lt;EndNote&gt;&lt;Cite&gt;&lt;Author&gt;Van der Zaag-Loonen&lt;/Author&gt;&lt;Year&gt;2004&lt;/Year&gt;&lt;RecNum&gt;0&lt;/RecNum&gt;&lt;IDText&gt;Coping strategies and quality of life of adolescents with inflammatory bowel disease&lt;/IDText&gt;&lt;DisplayText&gt;(Van der Zaag-Loonen et al., 2004)&lt;/DisplayText&gt;&lt;record&gt;&lt;isbn&gt;0962-9343&lt;/isbn&gt;&lt;titles&gt;&lt;title&gt;Coping strategies and quality of life of adolescents with inflammatory bowel disease&lt;/title&gt;&lt;secondary-title&gt;Quality of Life Research&lt;/secondary-title&gt;&lt;/titles&gt;&lt;pages&gt;1011-1019&lt;/pages&gt;&lt;number&gt;5&lt;/number&gt;&lt;contributors&gt;&lt;authors&gt;&lt;author&gt;Van der Zaag-Loonen, H. J.&lt;/author&gt;&lt;author&gt;Grootenhuis, Martha A.&lt;/author&gt;&lt;author&gt;Last, Bob F.&lt;/author&gt;&lt;author&gt;Derkx, H. H. F.&lt;/author&gt;&lt;/authors&gt;&lt;/contributors&gt;&lt;added-date format="utc"&gt;1391126232&lt;/added-date&gt;&lt;ref-type name="Journal Article"&gt;17&lt;/ref-type&gt;&lt;dates&gt;&lt;year&gt;2004&lt;/year&gt;&lt;/dates&gt;&lt;rec-number&gt;1970&lt;/rec-number&gt;&lt;publisher&gt;Springer&lt;/publisher&gt;&lt;last-updated-date format="utc"&gt;1391126232&lt;/last-updated-date&gt;&lt;volume&gt;13&lt;/volume&gt;&lt;/record&gt;&lt;/Cite&gt;&lt;/EndNote&gt;</w:instrText>
      </w:r>
      <w:r w:rsidRPr="00787196">
        <w:fldChar w:fldCharType="separate"/>
      </w:r>
      <w:r w:rsidRPr="00787196">
        <w:t>(Van der Zaag-Loonen et al., 2004)</w:t>
      </w:r>
      <w:r w:rsidRPr="00787196">
        <w:fldChar w:fldCharType="end"/>
      </w:r>
      <w:r w:rsidRPr="00787196">
        <w:t>.</w:t>
      </w:r>
    </w:p>
    <w:p w14:paraId="54481052" w14:textId="604139AA" w:rsidR="00AB1B14" w:rsidRPr="00787196" w:rsidRDefault="0065049E" w:rsidP="006139B2">
      <w:pPr>
        <w:pStyle w:val="NormalWeb"/>
        <w:shd w:val="clear" w:color="auto" w:fill="FFFFFF"/>
        <w:spacing w:line="360" w:lineRule="auto"/>
        <w:rPr>
          <w:rFonts w:ascii="Arial" w:hAnsi="Arial" w:cs="Arial"/>
          <w:color w:val="000000"/>
          <w:lang w:val="en-GB" w:eastAsia="zh-CN" w:bidi="ar-SA"/>
        </w:rPr>
      </w:pPr>
      <w:r w:rsidRPr="00787196">
        <w:rPr>
          <w:rFonts w:ascii="Arial" w:hAnsi="Arial" w:cs="Arial"/>
        </w:rPr>
        <w:t>In relation to oral health</w:t>
      </w:r>
      <w:r w:rsidR="00023D1F" w:rsidRPr="00787196">
        <w:rPr>
          <w:rFonts w:ascii="Arial" w:hAnsi="Arial" w:cs="Arial"/>
        </w:rPr>
        <w:t>,</w:t>
      </w:r>
      <w:r w:rsidRPr="00787196">
        <w:rPr>
          <w:rFonts w:ascii="Arial" w:hAnsi="Arial" w:cs="Arial"/>
        </w:rPr>
        <w:t xml:space="preserve"> </w:t>
      </w:r>
      <w:r w:rsidR="00AB1B14" w:rsidRPr="00787196">
        <w:rPr>
          <w:rFonts w:ascii="Arial" w:hAnsi="Arial" w:cs="Arial"/>
        </w:rPr>
        <w:t>very few studies have explored th</w:t>
      </w:r>
      <w:r w:rsidR="0096082F" w:rsidRPr="00787196">
        <w:rPr>
          <w:rFonts w:ascii="Arial" w:hAnsi="Arial" w:cs="Arial"/>
        </w:rPr>
        <w:t>e</w:t>
      </w:r>
      <w:r w:rsidR="00AB1B14" w:rsidRPr="00787196">
        <w:rPr>
          <w:rFonts w:ascii="Arial" w:hAnsi="Arial" w:cs="Arial"/>
        </w:rPr>
        <w:t xml:space="preserve"> association </w:t>
      </w:r>
      <w:r w:rsidRPr="00787196">
        <w:rPr>
          <w:rFonts w:ascii="Arial" w:hAnsi="Arial" w:cs="Arial"/>
        </w:rPr>
        <w:t xml:space="preserve">coping </w:t>
      </w:r>
      <w:r w:rsidR="0096082F" w:rsidRPr="00787196">
        <w:rPr>
          <w:rFonts w:ascii="Arial" w:hAnsi="Arial" w:cs="Arial"/>
        </w:rPr>
        <w:t xml:space="preserve">strategies. </w:t>
      </w:r>
      <w:r w:rsidR="007263E6" w:rsidRPr="00787196">
        <w:rPr>
          <w:rFonts w:ascii="Arial" w:hAnsi="Arial" w:cs="Arial"/>
        </w:rPr>
        <w:t>Geno</w:t>
      </w:r>
      <w:r w:rsidR="0096082F" w:rsidRPr="00787196">
        <w:rPr>
          <w:rFonts w:ascii="Arial" w:hAnsi="Arial" w:cs="Arial"/>
        </w:rPr>
        <w:t xml:space="preserve"> and colleagues </w:t>
      </w:r>
      <w:r w:rsidRPr="00787196">
        <w:rPr>
          <w:rFonts w:ascii="Arial" w:hAnsi="Arial" w:cs="Arial"/>
        </w:rPr>
        <w:fldChar w:fldCharType="begin"/>
      </w:r>
      <w:r w:rsidR="0096082F" w:rsidRPr="00787196">
        <w:rPr>
          <w:rFonts w:ascii="Arial" w:hAnsi="Arial" w:cs="Arial"/>
        </w:rPr>
        <w:instrText xml:space="preserve"> ADDIN EN.CITE &lt;EndNote&gt;&lt;Cite ExcludeAuth="1"&gt;&lt;Author&gt;Genco&lt;/Author&gt;&lt;Year&gt;1999&lt;/Year&gt;&lt;RecNum&gt;0&lt;/RecNum&gt;&lt;IDText&gt;Relationship of stress, distress and inadequate coping behaviors to periodontal disease&lt;/IDText&gt;&lt;DisplayText&gt;(1999)&lt;/DisplayText&gt;&lt;record&gt;&lt;dates&gt;&lt;pub-dates&gt;&lt;date&gt;Jul&lt;/date&gt;&lt;/pub-dates&gt;&lt;year&gt;1999&lt;/year&gt;&lt;/dates&gt;&lt;isbn&gt;0022-3492 (Print)&amp;#xD;0022-3492&lt;/isbn&gt;&lt;titles&gt;&lt;title&gt;Relationship of stress, distress and inadequate coping behaviors to periodontal disease&lt;/title&gt;&lt;secondary-title&gt;J Periodontol&lt;/secondary-title&gt;&lt;alt-title&gt;Journal of periodontology&lt;/alt-title&gt;&lt;/titles&gt;&lt;pages&gt;711-23&lt;/pages&gt;&lt;number&gt;7&lt;/number&gt;&lt;contributors&gt;&lt;authors&gt;&lt;author&gt;Genco, R. J.&lt;/author&gt;&lt;author&gt;Ho, A. W.&lt;/author&gt;&lt;author&gt;Grossi, S. G.&lt;/author&gt;&lt;author&gt;Dunford, R. G.&lt;/author&gt;&lt;author&gt;Tedesco, L. A.&lt;/author&gt;&lt;/authors&gt;&lt;/contributors&gt;&lt;edition&gt;1999/08/10&lt;/edition&gt;&lt;language&gt;eng&lt;/language&gt;&lt;added-date format="utc"&gt;1370044589&lt;/added-date&gt;&lt;ref-type name="Journal Article"&gt;17&lt;/ref-type&gt;&lt;auth-address&gt;State University of New York at Buffalo, School of Dental Medicine, Department of Oral Biology, Periodontal Disease Research Center, 14214-3092, USA. rjgenco@acsu.buffalo.edu&lt;/auth-address&gt;&lt;remote-database-provider&gt;Nlm&lt;/remote-database-provider&gt;&lt;rec-number&gt;739&lt;/rec-number&gt;&lt;last-updated-date format="utc"&gt;1385713712&lt;/last-updated-date&gt;&lt;accession-num&gt;10440631&lt;/accession-num&gt;&lt;electronic-resource-num&gt;10.1902/jop.1999.70.1.100&lt;/electronic-resource-num&gt;&lt;volume&gt;70&lt;/volume&gt;&lt;/record&gt;&lt;/Cite&gt;&lt;/EndNote&gt;</w:instrText>
      </w:r>
      <w:r w:rsidRPr="00787196">
        <w:rPr>
          <w:rFonts w:ascii="Arial" w:hAnsi="Arial" w:cs="Arial"/>
        </w:rPr>
        <w:fldChar w:fldCharType="separate"/>
      </w:r>
      <w:r w:rsidR="0096082F" w:rsidRPr="00787196">
        <w:rPr>
          <w:rFonts w:ascii="Arial" w:hAnsi="Arial" w:cs="Arial"/>
          <w:noProof/>
        </w:rPr>
        <w:t>(1999)</w:t>
      </w:r>
      <w:r w:rsidRPr="00787196">
        <w:rPr>
          <w:rFonts w:ascii="Arial" w:hAnsi="Arial" w:cs="Arial"/>
        </w:rPr>
        <w:fldChar w:fldCharType="end"/>
      </w:r>
      <w:r w:rsidR="0096082F" w:rsidRPr="00787196">
        <w:rPr>
          <w:rFonts w:ascii="Arial" w:hAnsi="Arial" w:cs="Arial"/>
        </w:rPr>
        <w:t xml:space="preserve"> conducted a </w:t>
      </w:r>
      <w:r w:rsidR="00AB1B14" w:rsidRPr="00787196">
        <w:rPr>
          <w:rFonts w:ascii="Arial" w:hAnsi="Arial" w:cs="Arial"/>
          <w:color w:val="000000"/>
          <w:lang w:val="en-GB" w:eastAsia="zh-CN" w:bidi="ar-SA"/>
        </w:rPr>
        <w:t xml:space="preserve">cross-sectional study of 1,426 subjects </w:t>
      </w:r>
      <w:r w:rsidR="0096082F" w:rsidRPr="00787196">
        <w:rPr>
          <w:rFonts w:ascii="Arial" w:hAnsi="Arial" w:cs="Arial"/>
          <w:color w:val="000000"/>
          <w:lang w:val="en-GB" w:eastAsia="zh-CN" w:bidi="ar-SA"/>
        </w:rPr>
        <w:t xml:space="preserve">to </w:t>
      </w:r>
      <w:r w:rsidR="00AB1B14" w:rsidRPr="00787196">
        <w:rPr>
          <w:rFonts w:ascii="Arial" w:hAnsi="Arial" w:cs="Arial"/>
          <w:color w:val="000000"/>
          <w:lang w:val="en-GB" w:eastAsia="zh-CN" w:bidi="ar-SA"/>
        </w:rPr>
        <w:t>assess the relationship</w:t>
      </w:r>
      <w:r w:rsidR="0096082F" w:rsidRPr="00787196">
        <w:rPr>
          <w:rFonts w:ascii="Arial" w:hAnsi="Arial" w:cs="Arial"/>
          <w:color w:val="000000"/>
          <w:lang w:val="en-GB" w:eastAsia="zh-CN" w:bidi="ar-SA"/>
        </w:rPr>
        <w:t xml:space="preserve"> between periodontal disease, stress, distress, and coping</w:t>
      </w:r>
      <w:r w:rsidR="00AB1B14" w:rsidRPr="00787196">
        <w:rPr>
          <w:rFonts w:ascii="Arial" w:hAnsi="Arial" w:cs="Arial"/>
          <w:color w:val="000000"/>
          <w:lang w:val="en-GB" w:eastAsia="zh-CN" w:bidi="ar-SA"/>
        </w:rPr>
        <w:t xml:space="preserve">. </w:t>
      </w:r>
      <w:r w:rsidR="0033340D" w:rsidRPr="00787196">
        <w:rPr>
          <w:rFonts w:ascii="Arial" w:hAnsi="Arial" w:cs="Arial"/>
          <w:color w:val="000000"/>
          <w:lang w:val="en-GB" w:eastAsia="zh-CN" w:bidi="ar-SA"/>
        </w:rPr>
        <w:t xml:space="preserve">The study used a combination </w:t>
      </w:r>
      <w:r w:rsidR="0042078A" w:rsidRPr="00787196">
        <w:rPr>
          <w:rFonts w:ascii="Arial" w:hAnsi="Arial" w:cs="Arial"/>
          <w:color w:val="000000"/>
          <w:lang w:val="en-GB" w:eastAsia="zh-CN" w:bidi="ar-SA"/>
        </w:rPr>
        <w:t>of five</w:t>
      </w:r>
      <w:r w:rsidR="00AB1B14" w:rsidRPr="00787196">
        <w:rPr>
          <w:rFonts w:ascii="Arial" w:hAnsi="Arial" w:cs="Arial"/>
          <w:color w:val="000000"/>
          <w:lang w:val="en-GB" w:eastAsia="zh-CN" w:bidi="ar-SA"/>
        </w:rPr>
        <w:t xml:space="preserve"> psychosocial questionnaires </w:t>
      </w:r>
      <w:r w:rsidR="0042078A" w:rsidRPr="00787196">
        <w:rPr>
          <w:rFonts w:ascii="Arial" w:hAnsi="Arial" w:cs="Arial"/>
          <w:color w:val="000000"/>
          <w:lang w:val="en-GB" w:eastAsia="zh-CN" w:bidi="ar-SA"/>
        </w:rPr>
        <w:t>of which</w:t>
      </w:r>
      <w:r w:rsidR="00AB1B14" w:rsidRPr="00787196">
        <w:rPr>
          <w:rFonts w:ascii="Arial" w:hAnsi="Arial" w:cs="Arial"/>
          <w:color w:val="000000"/>
          <w:lang w:val="en-GB" w:eastAsia="zh-CN" w:bidi="ar-SA"/>
        </w:rPr>
        <w:t xml:space="preserve"> coping </w:t>
      </w:r>
      <w:r w:rsidR="0042078A" w:rsidRPr="00787196">
        <w:rPr>
          <w:rFonts w:ascii="Arial" w:hAnsi="Arial" w:cs="Arial"/>
          <w:color w:val="000000"/>
          <w:lang w:val="en-GB" w:eastAsia="zh-CN" w:bidi="ar-SA"/>
        </w:rPr>
        <w:t>s</w:t>
      </w:r>
      <w:r w:rsidR="00AB1B14" w:rsidRPr="00787196">
        <w:rPr>
          <w:rFonts w:ascii="Arial" w:hAnsi="Arial" w:cs="Arial"/>
          <w:color w:val="000000"/>
          <w:lang w:val="en-GB" w:eastAsia="zh-CN" w:bidi="ar-SA"/>
        </w:rPr>
        <w:t>trategies</w:t>
      </w:r>
      <w:r w:rsidR="0042078A" w:rsidRPr="00787196">
        <w:rPr>
          <w:rFonts w:ascii="Arial" w:hAnsi="Arial" w:cs="Arial"/>
          <w:color w:val="000000"/>
          <w:lang w:val="en-GB" w:eastAsia="zh-CN" w:bidi="ar-SA"/>
        </w:rPr>
        <w:t xml:space="preserve"> was one of them. Periodontal disease was measured using c</w:t>
      </w:r>
      <w:r w:rsidR="00AB1B14" w:rsidRPr="00787196">
        <w:rPr>
          <w:rFonts w:ascii="Arial" w:hAnsi="Arial" w:cs="Arial"/>
          <w:color w:val="000000"/>
          <w:lang w:val="en-GB" w:eastAsia="zh-CN" w:bidi="ar-SA"/>
        </w:rPr>
        <w:t>linical assessment</w:t>
      </w:r>
      <w:r w:rsidR="0042078A" w:rsidRPr="00787196">
        <w:rPr>
          <w:rFonts w:ascii="Arial" w:hAnsi="Arial" w:cs="Arial"/>
          <w:color w:val="000000"/>
          <w:lang w:val="en-GB" w:eastAsia="zh-CN" w:bidi="ar-SA"/>
        </w:rPr>
        <w:t>s</w:t>
      </w:r>
      <w:r w:rsidR="00AB1B14" w:rsidRPr="00787196">
        <w:rPr>
          <w:rFonts w:ascii="Arial" w:hAnsi="Arial" w:cs="Arial"/>
          <w:color w:val="000000"/>
          <w:lang w:val="en-GB" w:eastAsia="zh-CN" w:bidi="ar-SA"/>
        </w:rPr>
        <w:t xml:space="preserve"> </w:t>
      </w:r>
      <w:r w:rsidR="0042078A" w:rsidRPr="00787196">
        <w:rPr>
          <w:rFonts w:ascii="Arial" w:hAnsi="Arial" w:cs="Arial"/>
          <w:color w:val="000000"/>
          <w:lang w:val="en-GB" w:eastAsia="zh-CN" w:bidi="ar-SA"/>
        </w:rPr>
        <w:t xml:space="preserve">for </w:t>
      </w:r>
      <w:r w:rsidR="00AB1B14" w:rsidRPr="00787196">
        <w:rPr>
          <w:rFonts w:ascii="Arial" w:hAnsi="Arial" w:cs="Arial"/>
          <w:color w:val="000000"/>
          <w:lang w:val="en-GB" w:eastAsia="zh-CN" w:bidi="ar-SA"/>
        </w:rPr>
        <w:t xml:space="preserve">plaque, gingival bleeding, calculus, probing depth, clinical attachment and alveolar </w:t>
      </w:r>
      <w:r w:rsidR="0042078A" w:rsidRPr="00787196">
        <w:rPr>
          <w:rFonts w:ascii="Arial" w:hAnsi="Arial" w:cs="Arial"/>
          <w:color w:val="000000"/>
          <w:lang w:val="en-GB" w:eastAsia="zh-CN" w:bidi="ar-SA"/>
        </w:rPr>
        <w:t>crestal height (ACH)</w:t>
      </w:r>
    </w:p>
    <w:p w14:paraId="6BA703A9" w14:textId="594FA815" w:rsidR="00AB1B14" w:rsidRPr="00787196" w:rsidRDefault="0042078A" w:rsidP="003D7732">
      <w:pPr>
        <w:shd w:val="clear" w:color="auto" w:fill="FFFFFF"/>
        <w:spacing w:before="100" w:beforeAutospacing="1" w:after="100" w:afterAutospacing="1"/>
        <w:rPr>
          <w:rFonts w:eastAsia="Times New Roman" w:cs="Arial"/>
          <w:color w:val="000000"/>
          <w:szCs w:val="24"/>
          <w:lang w:eastAsia="zh-CN" w:bidi="ar-SA"/>
        </w:rPr>
      </w:pPr>
      <w:r w:rsidRPr="00787196">
        <w:rPr>
          <w:rFonts w:eastAsia="Times New Roman" w:cs="Arial"/>
          <w:color w:val="000000"/>
          <w:szCs w:val="24"/>
          <w:lang w:eastAsia="zh-CN" w:bidi="ar-SA"/>
        </w:rPr>
        <w:lastRenderedPageBreak/>
        <w:t>The findings</w:t>
      </w:r>
      <w:r w:rsidR="006139B2" w:rsidRPr="00787196">
        <w:rPr>
          <w:rFonts w:eastAsia="Times New Roman" w:cs="Arial"/>
          <w:color w:val="000000"/>
          <w:szCs w:val="24"/>
          <w:lang w:eastAsia="zh-CN" w:bidi="ar-SA"/>
        </w:rPr>
        <w:t xml:space="preserve"> of the study </w:t>
      </w:r>
      <w:r w:rsidRPr="00787196">
        <w:rPr>
          <w:rFonts w:eastAsia="Times New Roman" w:cs="Arial"/>
          <w:color w:val="000000"/>
          <w:szCs w:val="24"/>
          <w:lang w:eastAsia="zh-CN" w:bidi="ar-SA"/>
        </w:rPr>
        <w:t xml:space="preserve">suggested that, </w:t>
      </w:r>
      <w:r w:rsidR="00AB1B14" w:rsidRPr="00787196">
        <w:rPr>
          <w:rFonts w:eastAsia="Times New Roman" w:cs="Arial"/>
          <w:color w:val="000000"/>
          <w:szCs w:val="24"/>
          <w:lang w:eastAsia="zh-CN" w:bidi="ar-SA"/>
        </w:rPr>
        <w:t>emotion-focus</w:t>
      </w:r>
      <w:r w:rsidR="006139B2" w:rsidRPr="00787196">
        <w:rPr>
          <w:rFonts w:eastAsia="Times New Roman" w:cs="Arial"/>
          <w:color w:val="000000"/>
          <w:szCs w:val="24"/>
          <w:lang w:eastAsia="zh-CN" w:bidi="ar-SA"/>
        </w:rPr>
        <w:t>s</w:t>
      </w:r>
      <w:r w:rsidR="00AB1B14" w:rsidRPr="00787196">
        <w:rPr>
          <w:rFonts w:eastAsia="Times New Roman" w:cs="Arial"/>
          <w:color w:val="000000"/>
          <w:szCs w:val="24"/>
          <w:lang w:eastAsia="zh-CN" w:bidi="ar-SA"/>
        </w:rPr>
        <w:t xml:space="preserve">ed </w:t>
      </w:r>
      <w:r w:rsidR="006139B2" w:rsidRPr="00787196">
        <w:rPr>
          <w:rFonts w:eastAsia="Times New Roman" w:cs="Arial"/>
          <w:color w:val="000000"/>
          <w:szCs w:val="24"/>
          <w:lang w:eastAsia="zh-CN" w:bidi="ar-SA"/>
        </w:rPr>
        <w:t>coping</w:t>
      </w:r>
      <w:r w:rsidR="00AB1B14" w:rsidRPr="00787196">
        <w:rPr>
          <w:rFonts w:eastAsia="Times New Roman" w:cs="Arial"/>
          <w:color w:val="000000"/>
          <w:szCs w:val="24"/>
          <w:lang w:eastAsia="zh-CN" w:bidi="ar-SA"/>
        </w:rPr>
        <w:t xml:space="preserve"> </w:t>
      </w:r>
      <w:r w:rsidR="006139B2" w:rsidRPr="00787196">
        <w:rPr>
          <w:rFonts w:eastAsia="Times New Roman" w:cs="Arial"/>
          <w:color w:val="000000"/>
          <w:szCs w:val="24"/>
          <w:lang w:eastAsia="zh-CN" w:bidi="ar-SA"/>
        </w:rPr>
        <w:t>(</w:t>
      </w:r>
      <w:r w:rsidR="00AB1B14" w:rsidRPr="00787196">
        <w:rPr>
          <w:rFonts w:eastAsia="Times New Roman" w:cs="Arial"/>
          <w:color w:val="000000"/>
          <w:szCs w:val="24"/>
          <w:lang w:eastAsia="zh-CN" w:bidi="ar-SA"/>
        </w:rPr>
        <w:t>inadequate coping) had a higher risk of hav</w:t>
      </w:r>
      <w:r w:rsidR="006139B2" w:rsidRPr="00787196">
        <w:rPr>
          <w:rFonts w:eastAsia="Times New Roman" w:cs="Arial"/>
          <w:color w:val="000000"/>
          <w:szCs w:val="24"/>
          <w:lang w:eastAsia="zh-CN" w:bidi="ar-SA"/>
        </w:rPr>
        <w:t xml:space="preserve">ing more severe attachment </w:t>
      </w:r>
      <w:r w:rsidR="00AB1B14" w:rsidRPr="00787196">
        <w:rPr>
          <w:rFonts w:eastAsia="Times New Roman" w:cs="Arial"/>
          <w:color w:val="000000"/>
          <w:szCs w:val="24"/>
          <w:lang w:eastAsia="zh-CN" w:bidi="ar-SA"/>
        </w:rPr>
        <w:t>and alveolar bone</w:t>
      </w:r>
      <w:r w:rsidR="006139B2" w:rsidRPr="00787196">
        <w:rPr>
          <w:rFonts w:eastAsia="Times New Roman" w:cs="Arial"/>
          <w:color w:val="000000"/>
          <w:szCs w:val="24"/>
          <w:lang w:eastAsia="zh-CN" w:bidi="ar-SA"/>
        </w:rPr>
        <w:t xml:space="preserve"> </w:t>
      </w:r>
      <w:r w:rsidR="003D7732" w:rsidRPr="00787196">
        <w:rPr>
          <w:rFonts w:eastAsia="Times New Roman" w:cs="Arial"/>
          <w:color w:val="000000"/>
          <w:szCs w:val="24"/>
          <w:lang w:eastAsia="zh-CN" w:bidi="ar-SA"/>
        </w:rPr>
        <w:t>loss. However</w:t>
      </w:r>
      <w:r w:rsidR="006139B2" w:rsidRPr="00787196">
        <w:rPr>
          <w:rFonts w:eastAsia="Times New Roman" w:cs="Arial"/>
          <w:color w:val="000000"/>
          <w:szCs w:val="24"/>
          <w:lang w:eastAsia="zh-CN" w:bidi="ar-SA"/>
        </w:rPr>
        <w:t>, problem</w:t>
      </w:r>
      <w:r w:rsidR="00AB1B14" w:rsidRPr="00787196">
        <w:rPr>
          <w:rFonts w:eastAsia="Times New Roman" w:cs="Arial"/>
          <w:color w:val="000000"/>
          <w:szCs w:val="24"/>
          <w:lang w:eastAsia="zh-CN" w:bidi="ar-SA"/>
        </w:rPr>
        <w:t xml:space="preserve">-based coping (considered adequate coping) no periodontal disease </w:t>
      </w:r>
      <w:r w:rsidR="006139B2" w:rsidRPr="00787196">
        <w:rPr>
          <w:rFonts w:eastAsia="Times New Roman" w:cs="Arial"/>
          <w:color w:val="000000"/>
          <w:szCs w:val="24"/>
          <w:lang w:eastAsia="zh-CN" w:bidi="ar-SA"/>
        </w:rPr>
        <w:t>which suggested</w:t>
      </w:r>
      <w:r w:rsidR="00AB1B14" w:rsidRPr="00787196">
        <w:rPr>
          <w:rFonts w:eastAsia="Times New Roman" w:cs="Arial"/>
          <w:color w:val="000000"/>
          <w:szCs w:val="24"/>
          <w:lang w:eastAsia="zh-CN" w:bidi="ar-SA"/>
        </w:rPr>
        <w:t xml:space="preserve"> that the effects of stress on periodontal disease can be moderated by adequate coping </w:t>
      </w:r>
      <w:r w:rsidR="006139B2" w:rsidRPr="00787196">
        <w:rPr>
          <w:rFonts w:eastAsia="Times New Roman" w:cs="Arial"/>
          <w:color w:val="000000"/>
          <w:szCs w:val="24"/>
          <w:lang w:eastAsia="zh-CN" w:bidi="ar-SA"/>
        </w:rPr>
        <w:t>behaviours</w:t>
      </w:r>
      <w:r w:rsidR="00AB1B14" w:rsidRPr="00787196">
        <w:rPr>
          <w:rFonts w:eastAsia="Times New Roman" w:cs="Arial"/>
          <w:color w:val="000000"/>
          <w:szCs w:val="24"/>
          <w:lang w:eastAsia="zh-CN" w:bidi="ar-SA"/>
        </w:rPr>
        <w:t>.</w:t>
      </w:r>
    </w:p>
    <w:p w14:paraId="06D6056A" w14:textId="6251A5EE" w:rsidR="0065049E" w:rsidRPr="00787196" w:rsidRDefault="0065049E" w:rsidP="007332C4">
      <w:pPr>
        <w:rPr>
          <w:rFonts w:cs="Arial"/>
          <w:szCs w:val="24"/>
        </w:rPr>
      </w:pPr>
      <w:r w:rsidRPr="00787196">
        <w:rPr>
          <w:rFonts w:cs="Arial"/>
          <w:szCs w:val="24"/>
        </w:rPr>
        <w:t xml:space="preserve">Wimmer and colleagues </w:t>
      </w:r>
      <w:r w:rsidRPr="00787196">
        <w:rPr>
          <w:rFonts w:cs="Arial"/>
          <w:szCs w:val="24"/>
        </w:rPr>
        <w:fldChar w:fldCharType="begin"/>
      </w:r>
      <w:r w:rsidRPr="00787196">
        <w:rPr>
          <w:rFonts w:cs="Arial"/>
          <w:szCs w:val="24"/>
        </w:rPr>
        <w:instrText xml:space="preserve"> ADDIN EN.CITE &lt;EndNote&gt;&lt;Cite ExcludeAuth="1"&gt;&lt;Author&gt;Wimmer&lt;/Author&gt;&lt;Year&gt;2002&lt;/Year&gt;&lt;RecNum&gt;0&lt;/RecNum&gt;&lt;IDText&gt;Coping with stress: its influence on periodontal disease&lt;/IDText&gt;&lt;DisplayText&gt;(2002)&lt;/DisplayText&gt;&lt;record&gt;&lt;isbn&gt;0022-3492&lt;/isbn&gt;&lt;titles&gt;&lt;title&gt;Coping with stress: its influence on periodontal disease&lt;/title&gt;&lt;secondary-title&gt;Journal of periodontology&lt;/secondary-title&gt;&lt;/titles&gt;&lt;pages&gt;1343-1351&lt;/pages&gt;&lt;number&gt;11&lt;/number&gt;&lt;contributors&gt;&lt;authors&gt;&lt;author&gt;Wimmer, Gernot&lt;/author&gt;&lt;author&gt;Janda, Michaela&lt;/author&gt;&lt;author&gt;Wieselmann-Penkner, Karin&lt;/author&gt;&lt;author&gt;Jakse, Norbert&lt;/author&gt;&lt;author&gt;Polansky, Raoul&lt;/author&gt;&lt;author&gt;Pertl, Christof&lt;/author&gt;&lt;/authors&gt;&lt;/contributors&gt;&lt;added-date format="utc"&gt;1391128539&lt;/added-date&gt;&lt;ref-type name="Journal Article"&gt;17&lt;/ref-type&gt;&lt;dates&gt;&lt;year&gt;2002&lt;/year&gt;&lt;/dates&gt;&lt;rec-number&gt;1972&lt;/rec-number&gt;&lt;publisher&gt;Am Acad Periodontology&lt;/publisher&gt;&lt;last-updated-date format="utc"&gt;1391128539&lt;/last-updated-date&gt;&lt;volume&gt;73&lt;/volume&gt;&lt;/record&gt;&lt;/Cite&gt;&lt;/EndNote&gt;</w:instrText>
      </w:r>
      <w:r w:rsidRPr="00787196">
        <w:rPr>
          <w:rFonts w:cs="Arial"/>
          <w:szCs w:val="24"/>
        </w:rPr>
        <w:fldChar w:fldCharType="separate"/>
      </w:r>
      <w:r w:rsidRPr="00787196">
        <w:rPr>
          <w:rFonts w:cs="Arial"/>
          <w:szCs w:val="24"/>
        </w:rPr>
        <w:t>(2002)</w:t>
      </w:r>
      <w:r w:rsidRPr="00787196">
        <w:rPr>
          <w:rFonts w:cs="Arial"/>
          <w:szCs w:val="24"/>
        </w:rPr>
        <w:fldChar w:fldCharType="end"/>
      </w:r>
      <w:r w:rsidRPr="00787196">
        <w:rPr>
          <w:rFonts w:cs="Arial"/>
          <w:szCs w:val="24"/>
        </w:rPr>
        <w:t xml:space="preserve"> conducted a case-control study of 89 patients </w:t>
      </w:r>
      <w:r w:rsidR="003D7732" w:rsidRPr="00787196">
        <w:rPr>
          <w:rFonts w:cs="Arial"/>
          <w:szCs w:val="24"/>
        </w:rPr>
        <w:t xml:space="preserve">who had </w:t>
      </w:r>
      <w:r w:rsidRPr="00787196">
        <w:rPr>
          <w:rFonts w:cs="Arial"/>
          <w:szCs w:val="24"/>
        </w:rPr>
        <w:t xml:space="preserve">chronic destructive periodontitis </w:t>
      </w:r>
      <w:r w:rsidR="0069059F" w:rsidRPr="00787196">
        <w:rPr>
          <w:rFonts w:cs="Arial"/>
          <w:szCs w:val="24"/>
        </w:rPr>
        <w:t>compared with</w:t>
      </w:r>
      <w:r w:rsidRPr="00787196">
        <w:rPr>
          <w:rFonts w:cs="Arial"/>
          <w:szCs w:val="24"/>
        </w:rPr>
        <w:t xml:space="preserve"> 63 individuals </w:t>
      </w:r>
      <w:r w:rsidR="0069059F" w:rsidRPr="00787196">
        <w:rPr>
          <w:rFonts w:cs="Arial"/>
          <w:szCs w:val="24"/>
        </w:rPr>
        <w:t>with</w:t>
      </w:r>
      <w:r w:rsidRPr="00787196">
        <w:rPr>
          <w:rFonts w:cs="Arial"/>
          <w:szCs w:val="24"/>
        </w:rPr>
        <w:t xml:space="preserve"> no disease. </w:t>
      </w:r>
      <w:r w:rsidR="0069059F" w:rsidRPr="00787196">
        <w:rPr>
          <w:rFonts w:cs="Arial"/>
          <w:szCs w:val="24"/>
        </w:rPr>
        <w:t>T</w:t>
      </w:r>
      <w:r w:rsidRPr="00787196">
        <w:rPr>
          <w:rFonts w:cs="Arial"/>
          <w:szCs w:val="24"/>
        </w:rPr>
        <w:t xml:space="preserve">he patients </w:t>
      </w:r>
      <w:r w:rsidR="0069059F" w:rsidRPr="00787196">
        <w:rPr>
          <w:rFonts w:cs="Arial"/>
          <w:szCs w:val="24"/>
        </w:rPr>
        <w:t xml:space="preserve">with disease </w:t>
      </w:r>
      <w:r w:rsidRPr="00787196">
        <w:rPr>
          <w:rFonts w:cs="Arial"/>
          <w:szCs w:val="24"/>
        </w:rPr>
        <w:t xml:space="preserve">used more distractive and defensive coping </w:t>
      </w:r>
      <w:r w:rsidR="0069059F" w:rsidRPr="00787196">
        <w:rPr>
          <w:rFonts w:cs="Arial"/>
          <w:szCs w:val="24"/>
        </w:rPr>
        <w:t xml:space="preserve">and </w:t>
      </w:r>
      <w:r w:rsidRPr="00787196">
        <w:rPr>
          <w:rFonts w:cs="Arial"/>
          <w:szCs w:val="24"/>
        </w:rPr>
        <w:t xml:space="preserve">less active coping than the control group. </w:t>
      </w:r>
      <w:r w:rsidR="00FE4388" w:rsidRPr="00787196">
        <w:rPr>
          <w:rFonts w:cs="Arial"/>
          <w:szCs w:val="24"/>
        </w:rPr>
        <w:t xml:space="preserve">There was a </w:t>
      </w:r>
      <w:r w:rsidRPr="00787196">
        <w:rPr>
          <w:rFonts w:cs="Arial"/>
          <w:szCs w:val="24"/>
        </w:rPr>
        <w:t xml:space="preserve">significant association between defensive coping and periodontal attachment loss. </w:t>
      </w:r>
    </w:p>
    <w:p w14:paraId="5B9A5F57" w14:textId="48D74270" w:rsidR="0065049E" w:rsidRPr="00787196" w:rsidRDefault="003D7732" w:rsidP="003479BA">
      <w:pPr>
        <w:rPr>
          <w:rFonts w:cs="Arial"/>
          <w:szCs w:val="24"/>
        </w:rPr>
      </w:pPr>
      <w:r w:rsidRPr="00787196">
        <w:rPr>
          <w:rFonts w:cs="Arial"/>
          <w:szCs w:val="24"/>
        </w:rPr>
        <w:t xml:space="preserve">Very few </w:t>
      </w:r>
      <w:r w:rsidR="0065049E" w:rsidRPr="00787196">
        <w:rPr>
          <w:rFonts w:cs="Arial"/>
          <w:szCs w:val="24"/>
        </w:rPr>
        <w:t xml:space="preserve">studies </w:t>
      </w:r>
      <w:r w:rsidRPr="00787196">
        <w:rPr>
          <w:rFonts w:cs="Arial"/>
          <w:szCs w:val="24"/>
        </w:rPr>
        <w:t xml:space="preserve">have explored </w:t>
      </w:r>
      <w:r w:rsidR="0065049E" w:rsidRPr="00787196">
        <w:rPr>
          <w:rFonts w:cs="Arial"/>
          <w:szCs w:val="24"/>
        </w:rPr>
        <w:t>the relationship between coping strategies</w:t>
      </w:r>
      <w:r w:rsidRPr="00787196">
        <w:rPr>
          <w:rFonts w:cs="Arial"/>
          <w:szCs w:val="24"/>
        </w:rPr>
        <w:t xml:space="preserve">, </w:t>
      </w:r>
      <w:r w:rsidR="0065049E" w:rsidRPr="00787196">
        <w:rPr>
          <w:rFonts w:cs="Arial"/>
          <w:szCs w:val="24"/>
        </w:rPr>
        <w:t xml:space="preserve">oral health and related behaviours. </w:t>
      </w:r>
      <w:r w:rsidRPr="00787196">
        <w:rPr>
          <w:rFonts w:cs="Arial"/>
          <w:szCs w:val="24"/>
        </w:rPr>
        <w:t>They</w:t>
      </w:r>
      <w:r w:rsidR="0065049E" w:rsidRPr="00787196">
        <w:rPr>
          <w:rFonts w:cs="Arial"/>
          <w:szCs w:val="24"/>
        </w:rPr>
        <w:t xml:space="preserve"> show association</w:t>
      </w:r>
      <w:r w:rsidR="00FE4388" w:rsidRPr="00787196">
        <w:rPr>
          <w:rFonts w:cs="Arial"/>
          <w:szCs w:val="24"/>
        </w:rPr>
        <w:t>s</w:t>
      </w:r>
      <w:r w:rsidR="0065049E" w:rsidRPr="00787196">
        <w:rPr>
          <w:rFonts w:cs="Arial"/>
          <w:szCs w:val="24"/>
        </w:rPr>
        <w:t xml:space="preserve"> between negative coping strategies a</w:t>
      </w:r>
      <w:r w:rsidR="003479BA" w:rsidRPr="00787196">
        <w:rPr>
          <w:rFonts w:cs="Arial"/>
          <w:szCs w:val="24"/>
        </w:rPr>
        <w:t xml:space="preserve">ssociated with </w:t>
      </w:r>
      <w:r w:rsidR="0065049E" w:rsidRPr="00787196">
        <w:rPr>
          <w:rFonts w:cs="Arial"/>
          <w:szCs w:val="24"/>
        </w:rPr>
        <w:t>increased risk</w:t>
      </w:r>
      <w:r w:rsidR="00FE4388" w:rsidRPr="00787196">
        <w:rPr>
          <w:rFonts w:cs="Arial"/>
          <w:szCs w:val="24"/>
        </w:rPr>
        <w:t>s</w:t>
      </w:r>
      <w:r w:rsidR="0065049E" w:rsidRPr="00787196">
        <w:rPr>
          <w:rFonts w:cs="Arial"/>
          <w:szCs w:val="24"/>
        </w:rPr>
        <w:t xml:space="preserve"> </w:t>
      </w:r>
      <w:r w:rsidR="003479BA" w:rsidRPr="00787196">
        <w:rPr>
          <w:rFonts w:cs="Arial"/>
          <w:szCs w:val="24"/>
        </w:rPr>
        <w:t>in</w:t>
      </w:r>
      <w:r w:rsidR="0065049E" w:rsidRPr="00787196">
        <w:rPr>
          <w:rFonts w:cs="Arial"/>
          <w:szCs w:val="24"/>
        </w:rPr>
        <w:t xml:space="preserve"> oral disease</w:t>
      </w:r>
      <w:r w:rsidRPr="00787196">
        <w:rPr>
          <w:rFonts w:cs="Arial"/>
          <w:szCs w:val="24"/>
        </w:rPr>
        <w:t xml:space="preserve">s. </w:t>
      </w:r>
      <w:r w:rsidR="00C11F1B" w:rsidRPr="00787196">
        <w:rPr>
          <w:rFonts w:cs="Arial"/>
          <w:szCs w:val="24"/>
        </w:rPr>
        <w:t>However,</w:t>
      </w:r>
      <w:r w:rsidRPr="00787196">
        <w:rPr>
          <w:rFonts w:cs="Arial"/>
          <w:szCs w:val="24"/>
        </w:rPr>
        <w:t xml:space="preserve"> these are not</w:t>
      </w:r>
      <w:r w:rsidR="0065049E" w:rsidRPr="00787196">
        <w:rPr>
          <w:rFonts w:cs="Arial"/>
          <w:szCs w:val="24"/>
        </w:rPr>
        <w:t xml:space="preserve"> </w:t>
      </w:r>
      <w:r w:rsidR="00C11F1B" w:rsidRPr="00787196">
        <w:rPr>
          <w:rFonts w:cs="Arial"/>
          <w:szCs w:val="24"/>
        </w:rPr>
        <w:t>generalis</w:t>
      </w:r>
      <w:r w:rsidRPr="00787196">
        <w:rPr>
          <w:rFonts w:cs="Arial"/>
          <w:szCs w:val="24"/>
        </w:rPr>
        <w:t xml:space="preserve">able </w:t>
      </w:r>
      <w:r w:rsidR="00FE4388" w:rsidRPr="00787196">
        <w:rPr>
          <w:rFonts w:cs="Arial"/>
          <w:szCs w:val="24"/>
        </w:rPr>
        <w:t>due to insufficient</w:t>
      </w:r>
      <w:r w:rsidR="0065049E" w:rsidRPr="00787196">
        <w:rPr>
          <w:rFonts w:cs="Arial"/>
          <w:szCs w:val="24"/>
        </w:rPr>
        <w:t xml:space="preserve"> evidence.</w:t>
      </w:r>
    </w:p>
    <w:p w14:paraId="4C487069" w14:textId="33F03E55" w:rsidR="0065049E" w:rsidRPr="00787196" w:rsidRDefault="0065049E" w:rsidP="00226A04">
      <w:pPr>
        <w:pStyle w:val="Heading4"/>
      </w:pPr>
      <w:r w:rsidRPr="00787196">
        <w:t>Coping strategies, OHQoL and denture</w:t>
      </w:r>
      <w:r w:rsidR="00515279" w:rsidRPr="00787196">
        <w:t>s</w:t>
      </w:r>
    </w:p>
    <w:p w14:paraId="623BF6CB" w14:textId="607E2C91" w:rsidR="0065049E" w:rsidRPr="00787196" w:rsidRDefault="00340C0B" w:rsidP="002C4FCD">
      <w:pPr>
        <w:spacing w:before="0"/>
      </w:pPr>
      <w:r w:rsidRPr="00787196">
        <w:t>Just as oral health, very</w:t>
      </w:r>
      <w:r w:rsidR="006D2537" w:rsidRPr="00787196">
        <w:t xml:space="preserve"> fewer </w:t>
      </w:r>
      <w:r w:rsidR="0065049E" w:rsidRPr="00787196">
        <w:t>studies have explored the association</w:t>
      </w:r>
      <w:r w:rsidRPr="00787196">
        <w:t>s</w:t>
      </w:r>
      <w:r w:rsidR="0065049E" w:rsidRPr="00787196">
        <w:t xml:space="preserve"> between coping strategies and OHQoL</w:t>
      </w:r>
      <w:r w:rsidRPr="00787196">
        <w:t xml:space="preserve">. </w:t>
      </w:r>
      <w:r w:rsidR="00525EF9" w:rsidRPr="00787196">
        <w:t xml:space="preserve">The </w:t>
      </w:r>
      <w:r w:rsidR="002C4FCD" w:rsidRPr="00787196">
        <w:t>relationships between these two factors are</w:t>
      </w:r>
      <w:r w:rsidR="00525EF9" w:rsidRPr="00787196">
        <w:t xml:space="preserve"> however</w:t>
      </w:r>
      <w:r w:rsidRPr="00787196">
        <w:t xml:space="preserve"> </w:t>
      </w:r>
      <w:r w:rsidR="0065049E" w:rsidRPr="00787196">
        <w:t xml:space="preserve">suggested </w:t>
      </w:r>
      <w:r w:rsidRPr="00787196">
        <w:t xml:space="preserve">in </w:t>
      </w:r>
      <w:r w:rsidR="00700473" w:rsidRPr="00787196">
        <w:t xml:space="preserve">the absence of data </w:t>
      </w:r>
      <w:r w:rsidR="0065049E" w:rsidRPr="00787196">
        <w:fldChar w:fldCharType="begin">
          <w:fldData xml:space="preserve">PEVuZE5vdGU+PENpdGU+PEF1dGhvcj5CYWtlcjwvQXV0aG9yPjxZZWFyPjIwMDg8L1llYXI+PFJl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</w:fldData>
        </w:fldChar>
      </w:r>
      <w:r w:rsidR="0065049E" w:rsidRPr="00787196">
        <w:instrText xml:space="preserve"> ADDIN EN.CITE </w:instrText>
      </w:r>
      <w:r w:rsidR="0065049E" w:rsidRPr="00787196">
        <w:fldChar w:fldCharType="begin">
          <w:fldData xml:space="preserve">PEVuZE5vdGU+PENpdGU+PEF1dGhvcj5CYWtlcjwvQXV0aG9yPjxZZWFyPjIwMDg8L1llYXI+PFJl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</w:fldData>
        </w:fldChar>
      </w:r>
      <w:r w:rsidR="0065049E" w:rsidRPr="00787196">
        <w:instrText xml:space="preserve"> ADDIN EN.CITE.DATA </w:instrText>
      </w:r>
      <w:r w:rsidR="0065049E" w:rsidRPr="00787196">
        <w:fldChar w:fldCharType="end"/>
      </w:r>
      <w:r w:rsidR="0065049E" w:rsidRPr="00787196">
        <w:fldChar w:fldCharType="separate"/>
      </w:r>
      <w:r w:rsidR="0065049E" w:rsidRPr="00787196">
        <w:t>(Baker et al., 2008, Reissmann et al., 2012)</w:t>
      </w:r>
      <w:r w:rsidR="0065049E" w:rsidRPr="00787196">
        <w:fldChar w:fldCharType="end"/>
      </w:r>
      <w:r w:rsidR="0065049E" w:rsidRPr="00787196">
        <w:t xml:space="preserve">. </w:t>
      </w:r>
    </w:p>
    <w:p w14:paraId="0AB079FB" w14:textId="77777777" w:rsidR="002C4FCD" w:rsidRPr="00787196" w:rsidRDefault="0065049E" w:rsidP="007332C4">
      <w:pPr>
        <w:spacing w:before="0" w:after="0"/>
      </w:pPr>
      <w:r w:rsidRPr="00787196">
        <w:t xml:space="preserve">Rodd and colleagues </w:t>
      </w:r>
      <w:r w:rsidRPr="00787196">
        <w:fldChar w:fldCharType="begin"/>
      </w:r>
      <w:r w:rsidRPr="00787196">
        <w:instrText xml:space="preserve"> ADDIN EN.CITE &lt;EndNote&gt;&lt;Cite ExcludeAuth="1"&gt;&lt;Author&gt;Rodd&lt;/Author&gt;&lt;Year&gt;2012&lt;/Year&gt;&lt;RecNum&gt;0&lt;/RecNum&gt;&lt;IDText&gt;Psychosocial predictors of children’s oral health-related quality of life during transition to secondary school&lt;/IDText&gt;&lt;DisplayText&gt;(2012)&lt;/DisplayText&gt;&lt;record&gt;&lt;isbn&gt;0962-9343&lt;/isbn&gt;&lt;titles&gt;&lt;title&gt;Psychosocial predictors of children’s oral health-related quality of life during transition to secondary school&lt;/title&gt;&lt;secondary-title&gt;Quality of Life Research&lt;/secondary-title&gt;&lt;/titles&gt;&lt;pages&gt;707-716&lt;/pages&gt;&lt;number&gt;4&lt;/number&gt;&lt;contributors&gt;&lt;authors&gt;&lt;author&gt;Rodd, H. D.&lt;/author&gt;&lt;author&gt;Marshman, Z.&lt;/author&gt;&lt;author&gt;Porritt, J.&lt;/author&gt;&lt;author&gt;Bradbury, Jane&lt;/author&gt;&lt;author&gt;Baker, S. R.&lt;/author&gt;&lt;/authors&gt;&lt;/contributors&gt;&lt;added-date format="utc"&gt;1391137838&lt;/added-date&gt;&lt;ref-type name="Journal Article"&gt;17&lt;/ref-type&gt;&lt;dates&gt;&lt;year&gt;2012&lt;/year&gt;&lt;/dates&gt;&lt;rec-number&gt;1977&lt;/rec-number&gt;&lt;publisher&gt;Springer&lt;/publisher&gt;&lt;last-updated-date format="utc"&gt;1391137838&lt;/last-updated-date&gt;&lt;volume&gt;21&lt;/volume&gt;&lt;/record&gt;&lt;/Cite&gt;&lt;/EndNote&gt;</w:instrText>
      </w:r>
      <w:r w:rsidRPr="00787196">
        <w:fldChar w:fldCharType="separate"/>
      </w:r>
      <w:r w:rsidRPr="00787196">
        <w:t>(2012)</w:t>
      </w:r>
      <w:r w:rsidRPr="00787196">
        <w:fldChar w:fldCharType="end"/>
      </w:r>
      <w:r w:rsidRPr="00787196">
        <w:t xml:space="preserve"> explored the psychosocial predictors of OHQoL in children during a transition period to secondary school. </w:t>
      </w:r>
      <w:r w:rsidR="003479BA" w:rsidRPr="00787196">
        <w:t>Ninety-two</w:t>
      </w:r>
      <w:r w:rsidRPr="00787196">
        <w:t xml:space="preserve"> children aged between 10-11 years </w:t>
      </w:r>
      <w:r w:rsidR="00700473" w:rsidRPr="00787196">
        <w:t>completed</w:t>
      </w:r>
      <w:r w:rsidRPr="00787196">
        <w:t xml:space="preserve"> a short form of </w:t>
      </w:r>
      <w:r w:rsidR="00700473" w:rsidRPr="00787196">
        <w:t xml:space="preserve">the </w:t>
      </w:r>
      <w:r w:rsidRPr="00787196">
        <w:t xml:space="preserve">Child-perception questionnaire before entering secondary school and three months post-transition. </w:t>
      </w:r>
    </w:p>
    <w:p w14:paraId="6776A0F9" w14:textId="77777777" w:rsidR="002C4FCD" w:rsidRPr="00787196" w:rsidRDefault="002C4FCD">
      <w:pPr>
        <w:spacing w:before="0" w:after="0" w:line="240" w:lineRule="auto"/>
        <w:jc w:val="left"/>
      </w:pPr>
      <w:r w:rsidRPr="00787196">
        <w:br w:type="page"/>
      </w:r>
    </w:p>
    <w:p w14:paraId="517A1049" w14:textId="071EDEAA" w:rsidR="007332C4" w:rsidRPr="00787196" w:rsidRDefault="00700473" w:rsidP="002C4FCD">
      <w:pPr>
        <w:spacing w:before="0" w:after="0"/>
      </w:pPr>
      <w:r w:rsidRPr="00787196">
        <w:lastRenderedPageBreak/>
        <w:t>C</w:t>
      </w:r>
      <w:r w:rsidR="0065049E" w:rsidRPr="00787196">
        <w:t>hildren with low self-esteem and practising ‘avoidance coping strategies experienced low OHQoL.</w:t>
      </w:r>
      <w:r w:rsidRPr="00787196">
        <w:t xml:space="preserve"> Authors</w:t>
      </w:r>
      <w:r w:rsidR="0065049E" w:rsidRPr="00787196">
        <w:t xml:space="preserve"> suggested further exploration into the causal pathways between coping strategies and OHQoL</w:t>
      </w:r>
      <w:r w:rsidR="006D6F72" w:rsidRPr="00787196">
        <w:t>.</w:t>
      </w:r>
    </w:p>
    <w:p w14:paraId="6DA29987" w14:textId="385E8436" w:rsidR="0065049E" w:rsidRPr="00787196" w:rsidRDefault="0065049E" w:rsidP="00525EF9">
      <w:r w:rsidRPr="00787196">
        <w:t xml:space="preserve">In a recent longitudinal study, 101 </w:t>
      </w:r>
      <w:r w:rsidR="00700473" w:rsidRPr="00787196">
        <w:t xml:space="preserve">people </w:t>
      </w:r>
      <w:r w:rsidRPr="00787196">
        <w:t xml:space="preserve">experiencing dentine hypersensitivity completed </w:t>
      </w:r>
      <w:r w:rsidR="00700473" w:rsidRPr="00787196">
        <w:t xml:space="preserve">a </w:t>
      </w:r>
      <w:r w:rsidRPr="00787196">
        <w:t xml:space="preserve">series of questionnaires </w:t>
      </w:r>
      <w:r w:rsidRPr="00787196">
        <w:fldChar w:fldCharType="begin"/>
      </w:r>
      <w:r w:rsidRPr="00787196">
        <w:instrText xml:space="preserve"> ADDIN EN.CITE &lt;EndNote&gt;&lt;Cite&gt;&lt;Author&gt;Porritt&lt;/Author&gt;&lt;Year&gt;2014&lt;/Year&gt;&lt;RecNum&gt;0&lt;/RecNum&gt;&lt;IDText&gt;The role of illness beliefs and coping in the adjustment to dentine hypersensitivity&lt;/IDText&gt;&lt;DisplayText&gt;(Porritt et al., 2014)&lt;/DisplayText&gt;&lt;record&gt;&lt;isbn&gt;1600-051X&lt;/isbn&gt;&lt;titles&gt;&lt;title&gt;The role of illness beliefs and coping in the adjustment to dentine hypersensitivity&lt;/title&gt;&lt;secondary-title&gt;Journal of clinical periodontology&lt;/secondary-title&gt;&lt;/titles&gt;&lt;pages&gt;60-69&lt;/pages&gt;&lt;number&gt;1&lt;/number&gt;&lt;contributors&gt;&lt;authors&gt;&lt;author&gt;Porritt, Jenny M.&lt;/author&gt;&lt;author&gt;Sufi, Farzana&lt;/author&gt;&lt;author&gt;Barlow, Ashley&lt;/author&gt;&lt;author&gt;Baker, Sarah R.&lt;/author&gt;&lt;/authors&gt;&lt;/contributors&gt;&lt;added-date format="utc"&gt;1391139299&lt;/added-date&gt;&lt;ref-type name="Journal Article"&gt;17&lt;/ref-type&gt;&lt;dates&gt;&lt;year&gt;2014&lt;/year&gt;&lt;/dates&gt;&lt;rec-number&gt;1978&lt;/rec-number&gt;&lt;publisher&gt;Wiley Online Library&lt;/publisher&gt;&lt;last-updated-date format="utc"&gt;1391139299&lt;/last-updated-date&gt;&lt;volume&gt;41&lt;/volume&gt;&lt;/record&gt;&lt;/Cite&gt;&lt;/EndNote&gt;</w:instrText>
      </w:r>
      <w:r w:rsidRPr="00787196">
        <w:fldChar w:fldCharType="separate"/>
      </w:r>
      <w:r w:rsidRPr="00787196">
        <w:t>(Porritt et al., 2014)</w:t>
      </w:r>
      <w:r w:rsidRPr="00787196">
        <w:fldChar w:fldCharType="end"/>
      </w:r>
      <w:r w:rsidRPr="00787196">
        <w:t>. A direct significant pathway w</w:t>
      </w:r>
      <w:r w:rsidR="00700473" w:rsidRPr="00787196">
        <w:t>as</w:t>
      </w:r>
      <w:r w:rsidRPr="00787196">
        <w:t xml:space="preserve"> found between emotion-based coping strategies and worse OHQoL in individuals experiencing frequent sensations of dentine-hypersensitivity. This suggest</w:t>
      </w:r>
      <w:r w:rsidR="00CB27D3" w:rsidRPr="00787196">
        <w:t xml:space="preserve">ed </w:t>
      </w:r>
      <w:r w:rsidRPr="00787196">
        <w:t xml:space="preserve">that coping strategies </w:t>
      </w:r>
      <w:r w:rsidR="00CB27D3" w:rsidRPr="00787196">
        <w:t xml:space="preserve">was associated </w:t>
      </w:r>
      <w:r w:rsidRPr="00787196">
        <w:t xml:space="preserve">OHQoL </w:t>
      </w:r>
      <w:r w:rsidR="00CB27D3" w:rsidRPr="00787196">
        <w:t>of</w:t>
      </w:r>
      <w:r w:rsidRPr="00787196">
        <w:t xml:space="preserve"> individuals with sever</w:t>
      </w:r>
      <w:r w:rsidR="00CB27D3" w:rsidRPr="00787196">
        <w:t>e</w:t>
      </w:r>
      <w:r w:rsidRPr="00787196">
        <w:t xml:space="preserve"> hypersensitivity</w:t>
      </w:r>
      <w:r w:rsidR="00D06C37" w:rsidRPr="00787196">
        <w:t xml:space="preserve"> and hence t</w:t>
      </w:r>
      <w:r w:rsidRPr="00787196">
        <w:t>hat an individual’s coping strat</w:t>
      </w:r>
      <w:r w:rsidR="00D06C37" w:rsidRPr="00787196">
        <w:t xml:space="preserve">egies can play a </w:t>
      </w:r>
      <w:r w:rsidRPr="00787196">
        <w:t>role in determining OHQoL.</w:t>
      </w:r>
    </w:p>
    <w:p w14:paraId="4E91810C" w14:textId="250D074A" w:rsidR="00525EF9" w:rsidRPr="00787196" w:rsidRDefault="00D06C37" w:rsidP="008D3FC1">
      <w:r w:rsidRPr="00787196">
        <w:t>T</w:t>
      </w:r>
      <w:r w:rsidR="0065049E" w:rsidRPr="00787196">
        <w:t xml:space="preserve">his </w:t>
      </w:r>
      <w:r w:rsidRPr="00787196">
        <w:t>review however aims to explore predictors of OHQoL in individuals receiving dentures</w:t>
      </w:r>
      <w:r w:rsidR="0065049E" w:rsidRPr="00787196">
        <w:t xml:space="preserve">. </w:t>
      </w:r>
      <w:r w:rsidRPr="00787196">
        <w:t>The role of</w:t>
      </w:r>
      <w:r w:rsidR="0065049E" w:rsidRPr="00787196">
        <w:t xml:space="preserve"> coping strategies</w:t>
      </w:r>
      <w:r w:rsidR="00515279" w:rsidRPr="00787196">
        <w:t xml:space="preserve"> in predicting</w:t>
      </w:r>
      <w:r w:rsidR="0065049E" w:rsidRPr="00787196">
        <w:t xml:space="preserve"> OHQoL </w:t>
      </w:r>
      <w:r w:rsidR="00515279" w:rsidRPr="00787196">
        <w:t xml:space="preserve">in denture wearers </w:t>
      </w:r>
      <w:r w:rsidR="0065049E" w:rsidRPr="00787196">
        <w:t xml:space="preserve">is </w:t>
      </w:r>
      <w:r w:rsidR="00515279" w:rsidRPr="00787196">
        <w:t>not</w:t>
      </w:r>
      <w:r w:rsidR="0065049E" w:rsidRPr="00787196">
        <w:t xml:space="preserve"> known. The review in </w:t>
      </w:r>
      <w:r w:rsidR="00515279" w:rsidRPr="00787196">
        <w:t>section</w:t>
      </w:r>
      <w:r w:rsidR="0065049E" w:rsidRPr="00787196">
        <w:t xml:space="preserve"> 2.2 identified one study </w:t>
      </w:r>
      <w:r w:rsidR="00515279" w:rsidRPr="00787196">
        <w:t xml:space="preserve">on this topic </w:t>
      </w:r>
      <w:r w:rsidR="0065049E" w:rsidRPr="00787196">
        <w:t xml:space="preserve">(Table </w:t>
      </w:r>
      <w:r w:rsidR="00031ACE" w:rsidRPr="00787196">
        <w:t>2-3</w:t>
      </w:r>
      <w:r w:rsidR="0065049E" w:rsidRPr="00787196">
        <w:t>)</w:t>
      </w:r>
      <w:r w:rsidR="00031ACE" w:rsidRPr="00787196">
        <w:t xml:space="preserve"> by</w:t>
      </w:r>
      <w:r w:rsidR="0065049E" w:rsidRPr="00787196">
        <w:t xml:space="preserve"> Heydecke and colleagues (2004)</w:t>
      </w:r>
      <w:r w:rsidR="00031ACE" w:rsidRPr="00787196">
        <w:t xml:space="preserve">. This </w:t>
      </w:r>
      <w:r w:rsidR="00525EF9" w:rsidRPr="00787196">
        <w:t xml:space="preserve">cross-sectional </w:t>
      </w:r>
      <w:r w:rsidR="00031ACE" w:rsidRPr="00787196">
        <w:t xml:space="preserve">study </w:t>
      </w:r>
      <w:r w:rsidR="00525EF9" w:rsidRPr="00787196">
        <w:t>investigated whether</w:t>
      </w:r>
      <w:r w:rsidR="00031ACE" w:rsidRPr="00787196">
        <w:t xml:space="preserve"> </w:t>
      </w:r>
      <w:r w:rsidR="0065049E" w:rsidRPr="00787196">
        <w:t xml:space="preserve">the effect of coping </w:t>
      </w:r>
      <w:r w:rsidR="00031ACE" w:rsidRPr="00787196">
        <w:t xml:space="preserve">strategies </w:t>
      </w:r>
      <w:r w:rsidR="008D3FC1" w:rsidRPr="00787196">
        <w:t>was related to</w:t>
      </w:r>
      <w:r w:rsidR="00031ACE" w:rsidRPr="00787196">
        <w:t xml:space="preserve"> </w:t>
      </w:r>
      <w:r w:rsidR="0065049E" w:rsidRPr="00787196">
        <w:t xml:space="preserve">OHQoL in </w:t>
      </w:r>
      <w:r w:rsidR="00031ACE" w:rsidRPr="00787196">
        <w:t xml:space="preserve">individuals receiving </w:t>
      </w:r>
      <w:r w:rsidR="00354B21" w:rsidRPr="00787196">
        <w:t>dentures through</w:t>
      </w:r>
      <w:r w:rsidR="00031ACE" w:rsidRPr="00787196">
        <w:t xml:space="preserve"> </w:t>
      </w:r>
      <w:r w:rsidR="0065049E" w:rsidRPr="00787196">
        <w:t xml:space="preserve">a cross-sectional </w:t>
      </w:r>
      <w:r w:rsidR="00031ACE" w:rsidRPr="00787196">
        <w:t>observation</w:t>
      </w:r>
      <w:r w:rsidR="0065049E" w:rsidRPr="00787196">
        <w:t>.</w:t>
      </w:r>
      <w:r w:rsidR="008D3FC1" w:rsidRPr="00787196">
        <w:t xml:space="preserve"> </w:t>
      </w:r>
      <w:r w:rsidR="0065049E" w:rsidRPr="00787196">
        <w:t xml:space="preserve">Two hundred and </w:t>
      </w:r>
      <w:r w:rsidR="000B684D" w:rsidRPr="00787196">
        <w:t>forty-nine</w:t>
      </w:r>
      <w:r w:rsidR="0065049E" w:rsidRPr="00787196">
        <w:t xml:space="preserve"> fully edentulous patients completed mailed questionnaires comprising of OHIP-14 </w:t>
      </w:r>
      <w:r w:rsidR="00031ACE" w:rsidRPr="00787196">
        <w:t>(</w:t>
      </w:r>
      <w:r w:rsidR="0065049E" w:rsidRPr="00787196">
        <w:t>measuring OHQoL</w:t>
      </w:r>
      <w:r w:rsidR="00031ACE" w:rsidRPr="00787196">
        <w:t>)</w:t>
      </w:r>
      <w:r w:rsidR="0065049E" w:rsidRPr="00787196">
        <w:t xml:space="preserve"> and Brief COPE </w:t>
      </w:r>
      <w:r w:rsidR="00031ACE" w:rsidRPr="00787196">
        <w:t>(</w:t>
      </w:r>
      <w:r w:rsidR="0065049E" w:rsidRPr="00787196">
        <w:t>measuring coping strategies</w:t>
      </w:r>
      <w:r w:rsidR="00031ACE" w:rsidRPr="00787196">
        <w:t>)</w:t>
      </w:r>
      <w:r w:rsidR="0065049E" w:rsidRPr="00787196">
        <w:t xml:space="preserve">. Significant negative associations were found between the emotional coping themes of Brief COPE such as behaviour disengagement, substance abuse, denial and religion with OHQoL. Emotional support alone showed positive significance. The study concluded by suggesting that coping strategies of an individual </w:t>
      </w:r>
      <w:r w:rsidR="008D3FC1" w:rsidRPr="00787196">
        <w:t xml:space="preserve">may </w:t>
      </w:r>
      <w:r w:rsidR="0065049E" w:rsidRPr="00787196">
        <w:t>moderates</w:t>
      </w:r>
      <w:r w:rsidR="00031ACE" w:rsidRPr="00787196">
        <w:t xml:space="preserve"> the</w:t>
      </w:r>
      <w:r w:rsidR="0065049E" w:rsidRPr="00787196">
        <w:t xml:space="preserve"> impact </w:t>
      </w:r>
      <w:r w:rsidR="00031ACE" w:rsidRPr="00787196">
        <w:t>of</w:t>
      </w:r>
      <w:r w:rsidR="0065049E" w:rsidRPr="00787196">
        <w:t xml:space="preserve"> wearing dentures</w:t>
      </w:r>
      <w:r w:rsidR="00031ACE" w:rsidRPr="00787196">
        <w:t xml:space="preserve"> on OHQoL</w:t>
      </w:r>
      <w:r w:rsidR="0065049E" w:rsidRPr="00787196">
        <w:t xml:space="preserve">. </w:t>
      </w:r>
      <w:r w:rsidR="008D3FC1" w:rsidRPr="00787196">
        <w:t>C</w:t>
      </w:r>
      <w:r w:rsidR="0065049E" w:rsidRPr="00787196">
        <w:t xml:space="preserve">ausality cannot be affirmed </w:t>
      </w:r>
      <w:r w:rsidR="00031ACE" w:rsidRPr="00787196">
        <w:t>with this being a cross-</w:t>
      </w:r>
      <w:r w:rsidR="00354B21" w:rsidRPr="00787196">
        <w:t>sectional observation.</w:t>
      </w:r>
      <w:r w:rsidR="0065049E" w:rsidRPr="00787196">
        <w:t xml:space="preserve"> </w:t>
      </w:r>
      <w:r w:rsidR="00354B21" w:rsidRPr="00787196">
        <w:t>However,</w:t>
      </w:r>
      <w:r w:rsidR="0065049E" w:rsidRPr="00787196">
        <w:t xml:space="preserve"> this was one of the first studies that explored such relationships in denture wearers and </w:t>
      </w:r>
      <w:r w:rsidR="00354B21" w:rsidRPr="00787196">
        <w:t xml:space="preserve">provides a </w:t>
      </w:r>
      <w:r w:rsidR="0065049E" w:rsidRPr="00787196">
        <w:t xml:space="preserve">rationale to further explore this relationship. </w:t>
      </w:r>
      <w:r w:rsidR="00354B21" w:rsidRPr="00787196">
        <w:t>Such exploration might elucidate</w:t>
      </w:r>
      <w:r w:rsidR="0065049E" w:rsidRPr="00787196">
        <w:t xml:space="preserve"> whether coping strategies predict OHQoL in denture wearers</w:t>
      </w:r>
      <w:r w:rsidR="00354B21" w:rsidRPr="00787196">
        <w:t>,</w:t>
      </w:r>
      <w:r w:rsidR="0065049E" w:rsidRPr="00787196">
        <w:t xml:space="preserve"> thus influence the denture success.</w:t>
      </w:r>
    </w:p>
    <w:p w14:paraId="6DE0A7E4" w14:textId="77777777" w:rsidR="00525EF9" w:rsidRPr="00787196" w:rsidRDefault="00525EF9">
      <w:pPr>
        <w:spacing w:before="0" w:after="0" w:line="240" w:lineRule="auto"/>
        <w:jc w:val="left"/>
      </w:pPr>
      <w:r w:rsidRPr="00787196">
        <w:br w:type="page"/>
      </w:r>
    </w:p>
    <w:p w14:paraId="1C557FA3" w14:textId="6D00C16F" w:rsidR="00061325" w:rsidRPr="00787196" w:rsidRDefault="00061325" w:rsidP="00D9694A">
      <w:pPr>
        <w:pStyle w:val="Heading3"/>
      </w:pPr>
      <w:bookmarkStart w:id="89" w:name="_Toc488655625"/>
      <w:r w:rsidRPr="00787196">
        <w:lastRenderedPageBreak/>
        <w:t>A</w:t>
      </w:r>
      <w:r w:rsidR="00705358" w:rsidRPr="00787196">
        <w:t xml:space="preserve">geing </w:t>
      </w:r>
      <w:r w:rsidR="00226A04">
        <w:t>e</w:t>
      </w:r>
      <w:r w:rsidR="00705358" w:rsidRPr="00787196">
        <w:t>xpectations</w:t>
      </w:r>
      <w:bookmarkEnd w:id="89"/>
    </w:p>
    <w:p w14:paraId="170E3EAC" w14:textId="4945DADF" w:rsidR="00061325" w:rsidRPr="00787196" w:rsidRDefault="00061325" w:rsidP="000B684D">
      <w:r w:rsidRPr="00787196">
        <w:t xml:space="preserve">Until recent times, people of old age were seen as living past a healthy and functional life </w:t>
      </w:r>
      <w:r w:rsidRPr="00787196">
        <w:fldChar w:fldCharType="begin"/>
      </w:r>
      <w:r w:rsidRPr="00787196">
        <w:instrText xml:space="preserve"> ADDIN EN.CITE &lt;EndNote&gt;&lt;Cite&gt;&lt;Author&gt;Schroots&lt;/Author&gt;&lt;Year&gt;1996&lt;/Year&gt;&lt;RecNum&gt;0&lt;/RecNum&gt;&lt;IDText&gt;Theoretical developments in the psychology of aging&lt;/IDText&gt;&lt;DisplayText&gt;(Schroots, 1996)&lt;/DisplayText&gt;&lt;record&gt;&lt;isbn&gt;0016-9013&lt;/isbn&gt;&lt;titles&gt;&lt;title&gt;Theoretical developments in the psychology of aging&lt;/title&gt;&lt;secondary-title&gt;The Gerontologist&lt;/secondary-title&gt;&lt;/titles&gt;&lt;pages&gt;742-748&lt;/pages&gt;&lt;number&gt;6&lt;/number&gt;&lt;contributors&gt;&lt;authors&gt;&lt;author&gt;Schroots, Johannes J. F.&lt;/author&gt;&lt;/authors&gt;&lt;/contributors&gt;&lt;added-date format="utc"&gt;1361185354&lt;/added-date&gt;&lt;ref-type name="Journal Article"&gt;17&lt;/ref-type&gt;&lt;dates&gt;&lt;year&gt;1996&lt;/year&gt;&lt;/dates&gt;&lt;rec-number&gt;489&lt;/rec-number&gt;&lt;last-updated-date format="utc"&gt;1361185354&lt;/last-updated-date&gt;&lt;volume&gt;36&lt;/volume&gt;&lt;/record&gt;&lt;/Cite&gt;&lt;/EndNote&gt;</w:instrText>
      </w:r>
      <w:r w:rsidRPr="00787196">
        <w:fldChar w:fldCharType="separate"/>
      </w:r>
      <w:r w:rsidRPr="00787196">
        <w:t>(Schroots, 1996)</w:t>
      </w:r>
      <w:r w:rsidRPr="00787196">
        <w:fldChar w:fldCharType="end"/>
      </w:r>
      <w:r w:rsidRPr="00787196">
        <w:t>.</w:t>
      </w:r>
      <w:r w:rsidR="000B684D" w:rsidRPr="00787196">
        <w:t xml:space="preserve"> </w:t>
      </w:r>
      <w:r w:rsidRPr="00787196">
        <w:t xml:space="preserve">Functional impairments and cognitive decline were considered as </w:t>
      </w:r>
      <w:r w:rsidR="003F3CE4" w:rsidRPr="00787196">
        <w:t>inevitable</w:t>
      </w:r>
      <w:r w:rsidRPr="00787196">
        <w:t xml:space="preserve"> part</w:t>
      </w:r>
      <w:r w:rsidR="003F3CE4" w:rsidRPr="00787196">
        <w:t>s</w:t>
      </w:r>
      <w:r w:rsidRPr="00787196">
        <w:t xml:space="preserve"> of ageing </w:t>
      </w:r>
      <w:r w:rsidRPr="00787196">
        <w:fldChar w:fldCharType="begin"/>
      </w:r>
      <w:r w:rsidRPr="00787196">
        <w:instrText xml:space="preserve"> ADDIN EN.CITE &lt;EndNote&gt;&lt;Cite&gt;&lt;Author&gt;Sarkisian&lt;/Author&gt;&lt;Year&gt;2001&lt;/Year&gt;&lt;RecNum&gt;0&lt;/RecNum&gt;&lt;IDText&gt;Expectations regarding aging among older adults and physicians who care for older adults&lt;/IDText&gt;&lt;DisplayText&gt;(Sarkisian et al., 2001)&lt;/DisplayText&gt;&lt;record&gt;&lt;isbn&gt;0025-7079&lt;/isbn&gt;&lt;titles&gt;&lt;title&gt;Expectations regarding aging among older adults and physicians who care for older adults&lt;/title&gt;&lt;secondary-title&gt;Medical care&lt;/secondary-title&gt;&lt;/titles&gt;&lt;pages&gt;1025-1036&lt;/pages&gt;&lt;contributors&gt;&lt;authors&gt;&lt;author&gt;Sarkisian, Catherine A.&lt;/author&gt;&lt;author&gt;Hays, Ron D.&lt;/author&gt;&lt;author&gt;Berry, Sandra H.&lt;/author&gt;&lt;author&gt;Mangione, Carol M.&lt;/author&gt;&lt;/authors&gt;&lt;/contributors&gt;&lt;added-date format="utc"&gt;1391068380&lt;/added-date&gt;&lt;ref-type name="Journal Article"&gt;17&lt;/ref-type&gt;&lt;dates&gt;&lt;year&gt;2001&lt;/year&gt;&lt;/dates&gt;&lt;rec-number&gt;1952&lt;/rec-number&gt;&lt;publisher&gt;JSTOR&lt;/publisher&gt;&lt;last-updated-date format="utc"&gt;1391068380&lt;/last-updated-date&gt;&lt;/record&gt;&lt;/Cite&gt;&lt;/EndNote&gt;</w:instrText>
      </w:r>
      <w:r w:rsidRPr="00787196">
        <w:fldChar w:fldCharType="separate"/>
      </w:r>
      <w:r w:rsidRPr="00787196">
        <w:t>(Sarkisian et al., 2001)</w:t>
      </w:r>
      <w:r w:rsidRPr="00787196">
        <w:fldChar w:fldCharType="end"/>
      </w:r>
      <w:r w:rsidR="000B684D" w:rsidRPr="00787196">
        <w:t>.I</w:t>
      </w:r>
      <w:r w:rsidRPr="00787196">
        <w:t xml:space="preserve">t has been suggested that care decisions taken by older adults are influenced by such expectations </w:t>
      </w:r>
      <w:r w:rsidRPr="00787196">
        <w:fldChar w:fldCharType="begin"/>
      </w:r>
      <w:r w:rsidRPr="00787196">
        <w:instrText xml:space="preserve"> ADDIN EN.CITE &lt;EndNote&gt;&lt;Cite&gt;&lt;Author&gt;van&amp;apos;t Veer-Tazelaar&lt;/Author&gt;&lt;Year&gt;2008&lt;/Year&gt;&lt;RecNum&gt;0&lt;/RecNum&gt;&lt;IDText&gt;Depression in old age (75+), the PIKO study&lt;/IDText&gt;&lt;DisplayText&gt;(van&amp;apos;t Veer-Tazelaar et al., 2008)&lt;/DisplayText&gt;&lt;record&gt;&lt;dates&gt;&lt;pub-dates&gt;&lt;date&gt;3//&lt;/date&gt;&lt;/pub-dates&gt;&lt;year&gt;2008&lt;/year&gt;&lt;/dates&gt;&lt;urls&gt;&lt;related-urls&gt;&lt;url&gt;http://www.sciencedirect.com/science/article/pii/S016503270700256X&lt;/url&gt;&lt;/related-urls&gt;&lt;/urls&gt;&lt;isbn&gt;0165-0327&lt;/isbn&gt;&lt;titles&gt;&lt;title&gt;Depression in old age (75+), the PIKO study&lt;/title&gt;&lt;secondary-title&gt;Journal of Affective Disorders&lt;/secondary-title&gt;&lt;/titles&gt;&lt;pages&gt;295-299&lt;/pages&gt;&lt;number&gt;3&lt;/number&gt;&lt;contributors&gt;&lt;authors&gt;&lt;author&gt;van&amp;apos;t Veer-Tazelaar, Petronella J.&lt;/author&gt;&lt;author&gt;van Marwijk, Harm W. J.&lt;/author&gt;&lt;author&gt;Jansen, Aaltje P. D.&lt;/author&gt;&lt;author&gt;Rijmen, Frank&lt;/author&gt;&lt;author&gt;Kostense, Pieter J.&lt;/author&gt;&lt;author&gt;van Oppen, Patricia&lt;/author&gt;&lt;author&gt;van Hout, Hein P. J.&lt;/author&gt;&lt;author&gt;Stalman, Wim A. B.&lt;/author&gt;&lt;author&gt;Beekman, Aartjan T. F.&lt;/author&gt;&lt;/authors&gt;&lt;/contributors&gt;&lt;added-date format="utc"&gt;1391179874&lt;/added-date&gt;&lt;ref-type name="Journal Article"&gt;17&lt;/ref-type&gt;&lt;rec-number&gt;1980&lt;/rec-number&gt;&lt;last-updated-date format="utc"&gt;1391179874&lt;/last-updated-date&gt;&lt;electronic-resource-num&gt;http://dx.doi.org/10.1016/j.jad.2007.07.004&lt;/electronic-resource-num&gt;&lt;volume&gt;106&lt;/volume&gt;&lt;/record&gt;&lt;/Cite&gt;&lt;/EndNote&gt;</w:instrText>
      </w:r>
      <w:r w:rsidRPr="00787196">
        <w:fldChar w:fldCharType="separate"/>
      </w:r>
      <w:r w:rsidRPr="00787196">
        <w:t>(van't Veer-Tazelaar et al., 2008)</w:t>
      </w:r>
      <w:r w:rsidRPr="00787196">
        <w:fldChar w:fldCharType="end"/>
      </w:r>
    </w:p>
    <w:p w14:paraId="188717A4" w14:textId="762DCBB9" w:rsidR="00061325" w:rsidRPr="00787196" w:rsidRDefault="00061325" w:rsidP="007332C4">
      <w:r w:rsidRPr="00787196">
        <w:t xml:space="preserve">Neugarten </w:t>
      </w:r>
      <w:r w:rsidRPr="00787196">
        <w:fldChar w:fldCharType="begin"/>
      </w:r>
      <w:r w:rsidRPr="00787196">
        <w:instrText xml:space="preserve"> ADDIN EN.CITE &lt;EndNote&gt;&lt;Cite ExcludeAuth="1"&gt;&lt;Author&gt;Neugarten&lt;/Author&gt;&lt;Year&gt;1969&lt;/Year&gt;&lt;RecNum&gt;0&lt;/RecNum&gt;&lt;IDText&gt;Continuities and discontinuities of psychological issues into adult life&lt;/IDText&gt;&lt;DisplayText&gt;(1969)&lt;/DisplayText&gt;&lt;record&gt;&lt;isbn&gt;1423-0054&lt;/isbn&gt;&lt;titles&gt;&lt;title&gt;Continuities and discontinuities of psychological issues into adult life&lt;/title&gt;&lt;secondary-title&gt;Human Development&lt;/secondary-title&gt;&lt;/titles&gt;&lt;pages&gt;121-130&lt;/pages&gt;&lt;number&gt;2&lt;/number&gt;&lt;contributors&gt;&lt;authors&gt;&lt;author&gt;Neugarten, Bernice L.&lt;/author&gt;&lt;/authors&gt;&lt;/contributors&gt;&lt;added-date format="utc"&gt;1391180431&lt;/added-date&gt;&lt;ref-type name="Journal Article"&gt;17&lt;/ref-type&gt;&lt;dates&gt;&lt;year&gt;1969&lt;/year&gt;&lt;/dates&gt;&lt;rec-number&gt;1983&lt;/rec-number&gt;&lt;publisher&gt;Karger Publishers&lt;/publisher&gt;&lt;last-updated-date format="utc"&gt;1391180431&lt;/last-updated-date&gt;&lt;volume&gt;12&lt;/volume&gt;&lt;/record&gt;&lt;/Cite&gt;&lt;/EndNote&gt;</w:instrText>
      </w:r>
      <w:r w:rsidRPr="00787196">
        <w:fldChar w:fldCharType="separate"/>
      </w:r>
      <w:r w:rsidRPr="00787196">
        <w:t>(1969)</w:t>
      </w:r>
      <w:r w:rsidRPr="00787196">
        <w:fldChar w:fldCharType="end"/>
      </w:r>
      <w:r w:rsidRPr="00787196">
        <w:t xml:space="preserve"> suggested that the sequence of major life events created “a normal, expectable life cycle” postulating that individuals have their own social clocks and will consider themselves being “early,” “late,” or “on-time” when achieving a transition or event.</w:t>
      </w:r>
      <w:r w:rsidR="003F3CE4" w:rsidRPr="00787196">
        <w:t xml:space="preserve"> These n</w:t>
      </w:r>
      <w:r w:rsidRPr="00787196">
        <w:t xml:space="preserve">ormal, expectable life events were considered </w:t>
      </w:r>
      <w:r w:rsidR="003F3CE4" w:rsidRPr="00787196">
        <w:t xml:space="preserve">to </w:t>
      </w:r>
      <w:r w:rsidR="00100E82" w:rsidRPr="00787196">
        <w:t>be turning</w:t>
      </w:r>
      <w:r w:rsidRPr="00787196">
        <w:t xml:space="preserve"> points</w:t>
      </w:r>
      <w:r w:rsidR="003F3CE4" w:rsidRPr="00787196">
        <w:t xml:space="preserve"> and the </w:t>
      </w:r>
      <w:r w:rsidRPr="00787196">
        <w:t>expectation</w:t>
      </w:r>
      <w:r w:rsidR="003F3CE4" w:rsidRPr="00787196">
        <w:t xml:space="preserve"> to </w:t>
      </w:r>
      <w:r w:rsidR="00100E82" w:rsidRPr="00787196">
        <w:t>encourage</w:t>
      </w:r>
      <w:r w:rsidRPr="00787196">
        <w:t xml:space="preserve"> planning and rehearsal. When illness arrives at </w:t>
      </w:r>
      <w:r w:rsidR="003F3CE4" w:rsidRPr="00787196">
        <w:t xml:space="preserve">a </w:t>
      </w:r>
      <w:r w:rsidRPr="00787196">
        <w:t xml:space="preserve">usual age, </w:t>
      </w:r>
      <w:r w:rsidR="00100E82" w:rsidRPr="00787196">
        <w:t xml:space="preserve">the </w:t>
      </w:r>
      <w:r w:rsidRPr="00787196">
        <w:t>individual will be emotionally ready resulting in little or no</w:t>
      </w:r>
      <w:r w:rsidR="00100E82" w:rsidRPr="00787196">
        <w:t xml:space="preserve"> need for emotional resources. Conversely, </w:t>
      </w:r>
      <w:r w:rsidRPr="00787196">
        <w:t xml:space="preserve">when it occurs early in life it can lead to crises. At that point, emotional support becomes imperative </w:t>
      </w:r>
      <w:r w:rsidRPr="00787196">
        <w:fldChar w:fldCharType="begin"/>
      </w:r>
      <w:r w:rsidRPr="00787196">
        <w:instrText xml:space="preserve"> ADDIN EN.CITE &lt;EndNote&gt;&lt;Cite&gt;&lt;Author&gt;Conlon&lt;/Author&gt;&lt;Year&gt;2013&lt;/Year&gt;&lt;RecNum&gt;0&lt;/RecNum&gt;&lt;IDText&gt;The influence of age expectations on the emotion and clinical judgment of social work practitioners in an oncology setting&lt;/IDText&gt;&lt;DisplayText&gt;(Conlon, 2013)&lt;/DisplayText&gt;&lt;record&gt;&lt;titles&gt;&lt;title&gt;The influence of age expectations on the emotion and clinical judgment of social work practitioners in an oncology setting&lt;/title&gt;&lt;/titles&gt;&lt;contributors&gt;&lt;authors&gt;&lt;author&gt;Conlon, Annemarie&lt;/author&gt;&lt;/authors&gt;&lt;/contributors&gt;&lt;added-date format="utc"&gt;1391181277&lt;/added-date&gt;&lt;ref-type name="Journal Article"&gt;17&lt;/ref-type&gt;&lt;dates&gt;&lt;year&gt;2013&lt;/year&gt;&lt;/dates&gt;&lt;rec-number&gt;1984&lt;/rec-number&gt;&lt;last-updated-date format="utc"&gt;1391181277&lt;/last-updated-date&gt;&lt;/record&gt;&lt;/Cite&gt;&lt;/EndNote&gt;</w:instrText>
      </w:r>
      <w:r w:rsidRPr="00787196">
        <w:fldChar w:fldCharType="separate"/>
      </w:r>
      <w:r w:rsidRPr="00787196">
        <w:t>(Conlon, 2013)</w:t>
      </w:r>
      <w:r w:rsidRPr="00787196">
        <w:fldChar w:fldCharType="end"/>
      </w:r>
      <w:r w:rsidRPr="00787196">
        <w:t xml:space="preserve">. </w:t>
      </w:r>
    </w:p>
    <w:p w14:paraId="11A2A92D" w14:textId="63DE07BC" w:rsidR="00061325" w:rsidRPr="00787196" w:rsidRDefault="00061325" w:rsidP="00707764">
      <w:pPr>
        <w:pStyle w:val="Heading4"/>
      </w:pPr>
      <w:r w:rsidRPr="00787196">
        <w:t xml:space="preserve">Consequences of </w:t>
      </w:r>
      <w:r w:rsidR="007263E6">
        <w:t>a</w:t>
      </w:r>
      <w:r w:rsidR="00226A04" w:rsidRPr="00787196">
        <w:t xml:space="preserve">geing </w:t>
      </w:r>
      <w:r w:rsidR="00226A04">
        <w:t>e</w:t>
      </w:r>
      <w:r w:rsidR="00226A04" w:rsidRPr="00787196">
        <w:t>xpectations</w:t>
      </w:r>
    </w:p>
    <w:p w14:paraId="2840D879" w14:textId="414E22D2" w:rsidR="008D3FC1" w:rsidRPr="00787196" w:rsidRDefault="00061325" w:rsidP="008D3FC1">
      <w:r w:rsidRPr="00787196">
        <w:t>Old adults who attribute their symptoms to old age (i.e. expectations regarding ag</w:t>
      </w:r>
      <w:r w:rsidR="007263E6">
        <w:t>e</w:t>
      </w:r>
      <w:r w:rsidRPr="00787196">
        <w:t xml:space="preserve">ing) were less likely to seek help </w:t>
      </w:r>
      <w:r w:rsidRPr="00787196">
        <w:fldChar w:fldCharType="begin"/>
      </w:r>
      <w:r w:rsidRPr="00787196">
        <w:instrText xml:space="preserve"> ADDIN EN.CITE &lt;EndNote&gt;&lt;Cite&gt;&lt;Author&gt;Prohaska&lt;/Author&gt;&lt;Year&gt;1987&lt;/Year&gt;&lt;RecNum&gt;0&lt;/RecNum&gt;&lt;IDText&gt;Impact of symptoms and aging attribution on emotions and coping&lt;/IDText&gt;&lt;DisplayText&gt;(Prohaska et al., 1987)&lt;/DisplayText&gt;&lt;record&gt;&lt;isbn&gt;1930-7810&lt;/isbn&gt;&lt;titles&gt;&lt;title&gt;Impact of symptoms and aging attribution on emotions and coping&lt;/title&gt;&lt;secondary-title&gt;Health psychology&lt;/secondary-title&gt;&lt;/titles&gt;&lt;pages&gt;495&lt;/pages&gt;&lt;number&gt;6&lt;/number&gt;&lt;contributors&gt;&lt;authors&gt;&lt;author&gt;Prohaska, Thomas R.&lt;/author&gt;&lt;author&gt;Keller, Mary L.&lt;/author&gt;&lt;author&gt;Leventhal, Elaine A.&lt;/author&gt;&lt;author&gt;Leventhal, Howard&lt;/author&gt;&lt;/authors&gt;&lt;/contributors&gt;&lt;added-date format="utc"&gt;1391181777&lt;/added-date&gt;&lt;ref-type name="Journal Article"&gt;17&lt;/ref-type&gt;&lt;dates&gt;&lt;year&gt;1987&lt;/year&gt;&lt;/dates&gt;&lt;rec-number&gt;1985&lt;/rec-number&gt;&lt;publisher&gt;Lawrence Erlbaum Associates&lt;/publisher&gt;&lt;last-updated-date format="utc"&gt;1391181777&lt;/last-updated-date&gt;&lt;volume&gt;6&lt;/volume&gt;&lt;/record&gt;&lt;/Cite&gt;&lt;/EndNote&gt;</w:instrText>
      </w:r>
      <w:r w:rsidRPr="00787196">
        <w:fldChar w:fldCharType="separate"/>
      </w:r>
      <w:r w:rsidRPr="00787196">
        <w:t>(Prohaska et al., 1987)</w:t>
      </w:r>
      <w:r w:rsidRPr="00787196">
        <w:fldChar w:fldCharType="end"/>
      </w:r>
      <w:r w:rsidRPr="00787196">
        <w:t xml:space="preserve"> and more likely to accept the illness and its symptoms </w:t>
      </w:r>
      <w:r w:rsidRPr="00787196">
        <w:fldChar w:fldCharType="begin"/>
      </w:r>
      <w:r w:rsidRPr="00787196">
        <w:instrText xml:space="preserve"> ADDIN EN.CITE &lt;EndNote&gt;&lt;Cite&gt;&lt;Author&gt;Leventhal&lt;/Author&gt;&lt;Year&gt;1986&lt;/Year&gt;&lt;RecNum&gt;0&lt;/RecNum&gt;&lt;IDText&gt;Age, symptom interpretation, and health behavior&lt;/IDText&gt;&lt;DisplayText&gt;(Leventhal and Prohaska, 1986)&lt;/DisplayText&gt;&lt;record&gt;&lt;isbn&gt;1532-5415&lt;/isbn&gt;&lt;titles&gt;&lt;title&gt;Age, symptom interpretation, and health behavior&lt;/title&gt;&lt;secondary-title&gt;Journal of the American Geriatrics Society&lt;/secondary-title&gt;&lt;/titles&gt;&lt;contributors&gt;&lt;authors&gt;&lt;author&gt;Leventhal, Elaine A.&lt;/author&gt;&lt;author&gt;Prohaska, Thomas R.&lt;/author&gt;&lt;/authors&gt;&lt;/contributors&gt;&lt;added-date format="utc"&gt;1391181979&lt;/added-date&gt;&lt;ref-type name="Journal Article"&gt;17&lt;/ref-type&gt;&lt;dates&gt;&lt;year&gt;1986&lt;/year&gt;&lt;/dates&gt;&lt;rec-number&gt;1986&lt;/rec-number&gt;&lt;publisher&gt;Blackwell Publishing&lt;/publisher&gt;&lt;last-updated-date format="utc"&gt;1391181979&lt;/last-updated-date&gt;&lt;/record&gt;&lt;/Cite&gt;&lt;/EndNote&gt;</w:instrText>
      </w:r>
      <w:r w:rsidRPr="00787196">
        <w:fldChar w:fldCharType="separate"/>
      </w:r>
      <w:r w:rsidRPr="00787196">
        <w:t>(Leventhal and Prohaska, 1986)</w:t>
      </w:r>
      <w:r w:rsidRPr="00787196">
        <w:fldChar w:fldCharType="end"/>
      </w:r>
      <w:r w:rsidRPr="00787196">
        <w:t>. S</w:t>
      </w:r>
      <w:r w:rsidR="00100E82" w:rsidRPr="00787196">
        <w:t>imilarly, S</w:t>
      </w:r>
      <w:r w:rsidRPr="00787196">
        <w:t>arkisian hypothesized that older people who attribute illness to ag</w:t>
      </w:r>
      <w:r w:rsidR="008D3FC1" w:rsidRPr="00787196">
        <w:t>e</w:t>
      </w:r>
      <w:r w:rsidRPr="00787196">
        <w:t xml:space="preserve">ing are less likely to “engage in self-care and health promoting behaviours that make successful aging possible” </w:t>
      </w:r>
      <w:r w:rsidRPr="00787196">
        <w:fldChar w:fldCharType="begin"/>
      </w:r>
      <w:r w:rsidRPr="00787196">
        <w:instrText xml:space="preserve"> ADDIN EN.CITE &lt;EndNote&gt;&lt;Cite&gt;&lt;Author&gt;Sarkisian&lt;/Author&gt;&lt;Year&gt;2002&lt;/Year&gt;&lt;RecNum&gt;0&lt;/RecNum&gt;&lt;IDText&gt;Do older adults expect to age successfully? The association between expectations regarding aging and beliefs regarding healthcare seeking among older adults&lt;/IDText&gt;&lt;DisplayText&gt;(Sarkisian et al., 2002b)&lt;/DisplayText&gt;&lt;record&gt;&lt;isbn&gt;1532-5415&lt;/isbn&gt;&lt;titles&gt;&lt;title&gt;Do older adults expect to age successfully? The association between expectations regarding aging and beliefs regarding healthcare seeking among older adults&lt;/title&gt;&lt;secondary-title&gt;Journal of the American Geriatrics Society&lt;/secondary-title&gt;&lt;/titles&gt;&lt;pages&gt;1837-1843&lt;/pages&gt;&lt;number&gt;11&lt;/number&gt;&lt;contributors&gt;&lt;authors&gt;&lt;author&gt;Sarkisian, Catherine A.&lt;/author&gt;&lt;author&gt;Hays, Ron D.&lt;/author&gt;&lt;author&gt;Mangione, Carol M.&lt;/author&gt;&lt;/authors&gt;&lt;/contributors&gt;&lt;added-date format="utc"&gt;1391182262&lt;/added-date&gt;&lt;ref-type name="Journal Article"&gt;17&lt;/ref-type&gt;&lt;dates&gt;&lt;year&gt;2002&lt;/year&gt;&lt;/dates&gt;&lt;rec-number&gt;1987&lt;/rec-number&gt;&lt;publisher&gt;Wiley Online Library&lt;/publisher&gt;&lt;last-updated-date format="utc"&gt;1391182262&lt;/last-updated-date&gt;&lt;volume&gt;50&lt;/volume&gt;&lt;/record&gt;&lt;/Cite&gt;&lt;/EndNote&gt;</w:instrText>
      </w:r>
      <w:r w:rsidRPr="00787196">
        <w:fldChar w:fldCharType="separate"/>
      </w:r>
      <w:r w:rsidRPr="00787196">
        <w:t>(Sarkisian et al., 2002b)</w:t>
      </w:r>
      <w:r w:rsidRPr="00787196">
        <w:fldChar w:fldCharType="end"/>
      </w:r>
      <w:r w:rsidRPr="00787196">
        <w:t>.</w:t>
      </w:r>
      <w:r w:rsidR="00100E82" w:rsidRPr="00787196">
        <w:t xml:space="preserve"> Lower expectations regarding ageing is independently related to low physical activity levels </w:t>
      </w:r>
      <w:r w:rsidR="00100E82" w:rsidRPr="00787196">
        <w:fldChar w:fldCharType="begin"/>
      </w:r>
      <w:r w:rsidR="00100E82" w:rsidRPr="00787196">
        <w:instrText xml:space="preserve"> ADDIN EN.CITE &lt;EndNote&gt;&lt;Cite&gt;&lt;Author&gt;Sarkisian&lt;/Author&gt;&lt;Year&gt;2005&lt;/Year&gt;&lt;RecNum&gt;0&lt;/RecNum&gt;&lt;IDText&gt;Development of the 12-item expectations regarding aging survey&lt;/IDText&gt;&lt;DisplayText&gt;(Sarkisian et al., 2005)&lt;/DisplayText&gt;&lt;record&gt;&lt;isbn&gt;0016-9013&lt;/isbn&gt;&lt;titles&gt;&lt;title&gt;Development of the 12-item expectations regarding aging survey&lt;/title&gt;&lt;secondary-title&gt;The Gerontologist&lt;/secondary-title&gt;&lt;/titles&gt;&lt;pages&gt;240-248&lt;/pages&gt;&lt;number&gt;2&lt;/number&gt;&lt;contributors&gt;&lt;authors&gt;&lt;author&gt;Sarkisian, Catherine A.&lt;/author&gt;&lt;author&gt;Steers, W. Neil&lt;/author&gt;&lt;author&gt;Hays, Ron D.&lt;/author&gt;&lt;author&gt;Mangione, Carol M.&lt;/author&gt;&lt;/authors&gt;&lt;/contributors&gt;&lt;added-date format="utc"&gt;1364402263&lt;/added-date&gt;&lt;ref-type name="Journal Article"&gt;17&lt;/ref-type&gt;&lt;dates&gt;&lt;year&gt;2005&lt;/year&gt;&lt;/dates&gt;&lt;rec-number&gt;599&lt;/rec-number&gt;&lt;last-updated-date format="utc"&gt;1364402263&lt;/last-updated-date&gt;&lt;volume&gt;45&lt;/volume&gt;&lt;/record&gt;&lt;/Cite&gt;&lt;/EndNote&gt;</w:instrText>
      </w:r>
      <w:r w:rsidR="00100E82" w:rsidRPr="00787196">
        <w:fldChar w:fldCharType="separate"/>
      </w:r>
      <w:r w:rsidR="00100E82" w:rsidRPr="00787196">
        <w:t>(Sarkisian et al., 2005)</w:t>
      </w:r>
      <w:r w:rsidR="00100E82" w:rsidRPr="00787196">
        <w:fldChar w:fldCharType="end"/>
      </w:r>
      <w:r w:rsidR="008D3FC1" w:rsidRPr="00787196">
        <w:t xml:space="preserve"> and</w:t>
      </w:r>
      <w:r w:rsidR="00100E82" w:rsidRPr="00787196">
        <w:t xml:space="preserve"> have an impact on health status </w:t>
      </w:r>
      <w:r w:rsidR="00100E82" w:rsidRPr="00787196">
        <w:fldChar w:fldCharType="begin"/>
      </w:r>
      <w:r w:rsidR="00100E82" w:rsidRPr="00787196">
        <w:instrText xml:space="preserve"> ADDIN EN.CITE &lt;EndNote&gt;&lt;Cite&gt;&lt;Author&gt;Kim&lt;/Author&gt;&lt;Year&gt;2009&lt;/Year&gt;&lt;RecNum&gt;0&lt;/RecNum&gt;&lt;IDText&gt;Older people’s expectations regarding ageing, health-promoting behaviour and health status&lt;/IDText&gt;&lt;DisplayText&gt;(Kim, 2009)&lt;/DisplayText&gt;&lt;record&gt;&lt;urls&gt;&lt;related-urls&gt;&lt;url&gt;http://dx.doi.org/10.1111/j.1365-2648.2008.04841.x&lt;/url&gt;&lt;/related-urls&gt;&lt;/urls&gt;&lt;isbn&gt;1365-2648&lt;/isbn&gt;&lt;titles&gt;&lt;title&gt;Older people’s expectations regarding ageing, health-promoting behaviour and health status&lt;/title&gt;&lt;secondary-title&gt;Journal of Advanced Nursing&lt;/secondary-title&gt;&lt;/titles&gt;&lt;pages&gt;84-91&lt;/pages&gt;&lt;number&gt;1&lt;/number&gt;&lt;contributors&gt;&lt;authors&gt;&lt;author&gt;Kim, Su Hyun&lt;/author&gt;&lt;/authors&gt;&lt;/contributors&gt;&lt;added-date format="utc"&gt;1364402943&lt;/added-date&gt;&lt;ref-type name="Journal Article"&gt;17&lt;/ref-type&gt;&lt;dates&gt;&lt;year&gt;2009&lt;/year&gt;&lt;/dates&gt;&lt;rec-number&gt;601&lt;/rec-number&gt;&lt;publisher&gt;Blackwell Publishing Ltd&lt;/publisher&gt;&lt;last-updated-date format="utc"&gt;1385713712&lt;/last-updated-date&gt;&lt;electronic-resource-num&gt;10.1111/j.1365-2648.2008.04841.x&lt;/electronic-resource-num&gt;&lt;volume&gt;65&lt;/volume&gt;&lt;/record&gt;&lt;/Cite&gt;&lt;/EndNote&gt;</w:instrText>
      </w:r>
      <w:r w:rsidR="00100E82" w:rsidRPr="00787196">
        <w:fldChar w:fldCharType="separate"/>
      </w:r>
      <w:r w:rsidR="00100E82" w:rsidRPr="00787196">
        <w:t>(Kim, 2009)</w:t>
      </w:r>
      <w:r w:rsidR="00100E82" w:rsidRPr="00787196">
        <w:fldChar w:fldCharType="end"/>
      </w:r>
      <w:r w:rsidR="00100E82" w:rsidRPr="00787196">
        <w:t>. Thus, it is suggested that expectations regarding ageing can influence older persons’ judgments with respect to self-care, health promotion behaviours and care seeking.</w:t>
      </w:r>
      <w:r w:rsidR="00EB68E9" w:rsidRPr="00787196">
        <w:t xml:space="preserve"> Receiving dentures could be c</w:t>
      </w:r>
      <w:r w:rsidRPr="00787196">
        <w:t>onsider</w:t>
      </w:r>
      <w:r w:rsidR="00EB68E9" w:rsidRPr="00787196">
        <w:t xml:space="preserve">ed as an ageing </w:t>
      </w:r>
      <w:r w:rsidRPr="00787196">
        <w:t>expectation.</w:t>
      </w:r>
    </w:p>
    <w:p w14:paraId="60999A51" w14:textId="77777777" w:rsidR="008D3FC1" w:rsidRPr="00787196" w:rsidRDefault="008D3FC1">
      <w:pPr>
        <w:spacing w:before="0" w:after="0" w:line="240" w:lineRule="auto"/>
        <w:jc w:val="left"/>
      </w:pPr>
      <w:r w:rsidRPr="00787196">
        <w:br w:type="page"/>
      </w:r>
    </w:p>
    <w:p w14:paraId="2FD11923" w14:textId="43DBB198" w:rsidR="00061325" w:rsidRPr="00787196" w:rsidRDefault="00061325" w:rsidP="00226A04">
      <w:pPr>
        <w:pStyle w:val="Heading4"/>
      </w:pPr>
      <w:r w:rsidRPr="00787196">
        <w:lastRenderedPageBreak/>
        <w:t>Ageing expectations, quality of life, oral health dentures</w:t>
      </w:r>
    </w:p>
    <w:p w14:paraId="03BE2A30" w14:textId="6476BB9A" w:rsidR="00061325" w:rsidRPr="00787196" w:rsidRDefault="00061325" w:rsidP="00573AF4">
      <w:r w:rsidRPr="00787196">
        <w:t xml:space="preserve">Sarkisian and </w:t>
      </w:r>
      <w:r w:rsidR="00EB68E9" w:rsidRPr="00787196">
        <w:t>colleagues’</w:t>
      </w:r>
      <w:r w:rsidRPr="00787196">
        <w:t xml:space="preserve"> </w:t>
      </w:r>
      <w:r w:rsidRPr="00787196">
        <w:fldChar w:fldCharType="begin"/>
      </w:r>
      <w:r w:rsidRPr="00787196">
        <w:instrText xml:space="preserve"> ADDIN EN.CITE &lt;EndNote&gt;&lt;Cite ExcludeAuth="1"&gt;&lt;Author&gt;Sarkisian&lt;/Author&gt;&lt;Year&gt;2005&lt;/Year&gt;&lt;IDText&gt;Development of the 12-item expectations regarding aging survey&lt;/IDText&gt;&lt;DisplayText&gt;(2005)&lt;/DisplayText&gt;&lt;record&gt;&lt;isbn&gt;0016-9013&lt;/isbn&gt;&lt;titles&gt;&lt;title&gt;Development of the 12-item expectations regarding aging survey&lt;/title&gt;&lt;secondary-title&gt;The Gerontologist&lt;/secondary-title&gt;&lt;/titles&gt;&lt;pages&gt;240-248&lt;/pages&gt;&lt;number&gt;2&lt;/number&gt;&lt;contributors&gt;&lt;authors&gt;&lt;author&gt;Sarkisian, Catherine A.&lt;/author&gt;&lt;author&gt;Steers, W. Neil&lt;/author&gt;&lt;author&gt;Hays, Ron D.&lt;/author&gt;&lt;author&gt;Mangione, Carol M.&lt;/author&gt;&lt;/authors&gt;&lt;/contributors&gt;&lt;added-date format="utc"&gt;1364402263&lt;/added-date&gt;&lt;ref-type name="Journal Article"&gt;17&lt;/ref-type&gt;&lt;dates&gt;&lt;year&gt;2005&lt;/year&gt;&lt;/dates&gt;&lt;rec-number&gt;599&lt;/rec-number&gt;&lt;last-updated-date format="utc"&gt;1364402263&lt;/last-updated-date&gt;&lt;volume&gt;45&lt;/volume&gt;&lt;/record&gt;&lt;/Cite&gt;&lt;/EndNote&gt;</w:instrText>
      </w:r>
      <w:r w:rsidRPr="00787196">
        <w:fldChar w:fldCharType="separate"/>
      </w:r>
      <w:r w:rsidRPr="00787196">
        <w:t>(2005)</w:t>
      </w:r>
      <w:r w:rsidRPr="00787196">
        <w:fldChar w:fldCharType="end"/>
      </w:r>
      <w:r w:rsidRPr="00787196">
        <w:t xml:space="preserve"> survey of 429 </w:t>
      </w:r>
      <w:r w:rsidR="00EB68E9" w:rsidRPr="00787196">
        <w:t>older people (</w:t>
      </w:r>
      <w:r w:rsidRPr="00787196">
        <w:t xml:space="preserve">mean age </w:t>
      </w:r>
      <w:r w:rsidR="00EB68E9" w:rsidRPr="00787196">
        <w:t>=</w:t>
      </w:r>
      <w:r w:rsidRPr="00787196">
        <w:t xml:space="preserve"> 76 years</w:t>
      </w:r>
      <w:r w:rsidR="00EB68E9" w:rsidRPr="00787196">
        <w:t>)</w:t>
      </w:r>
      <w:r w:rsidRPr="00787196">
        <w:t xml:space="preserve"> found that lower expectations of ageing w</w:t>
      </w:r>
      <w:r w:rsidR="00EB68E9" w:rsidRPr="00787196">
        <w:t>ere</w:t>
      </w:r>
      <w:r w:rsidRPr="00787196">
        <w:t xml:space="preserve"> associated with lower physical and mental health related quality of life. In a secondary analysis of a survey</w:t>
      </w:r>
      <w:r w:rsidR="00EB68E9" w:rsidRPr="00787196">
        <w:t>s</w:t>
      </w:r>
      <w:r w:rsidRPr="00787196">
        <w:t xml:space="preserve"> conducted in 20 countries </w:t>
      </w:r>
      <w:r w:rsidR="00EB68E9" w:rsidRPr="00787196">
        <w:t>as part of the</w:t>
      </w:r>
      <w:r w:rsidRPr="00787196">
        <w:t xml:space="preserve"> WHOQOL-OLD field study </w:t>
      </w:r>
      <w:r w:rsidR="00D6128F" w:rsidRPr="00787196">
        <w:t>(n=</w:t>
      </w:r>
      <w:r w:rsidRPr="00787196">
        <w:t xml:space="preserve"> 4593 adults</w:t>
      </w:r>
      <w:r w:rsidR="00D6128F" w:rsidRPr="00787196">
        <w:t>, mean</w:t>
      </w:r>
      <w:r w:rsidRPr="00787196">
        <w:t xml:space="preserve"> age</w:t>
      </w:r>
      <w:r w:rsidR="00D6128F" w:rsidRPr="00787196">
        <w:t xml:space="preserve"> =</w:t>
      </w:r>
      <w:r w:rsidRPr="00787196">
        <w:t xml:space="preserve"> 72</w:t>
      </w:r>
      <w:r w:rsidR="00D6128F" w:rsidRPr="00787196">
        <w:t xml:space="preserve"> </w:t>
      </w:r>
      <w:r w:rsidRPr="00787196">
        <w:t>years</w:t>
      </w:r>
      <w:r w:rsidR="00D6128F" w:rsidRPr="00787196">
        <w:t>)</w:t>
      </w:r>
      <w:r w:rsidRPr="00787196">
        <w:t xml:space="preserve"> </w:t>
      </w:r>
      <w:r w:rsidR="00573AF4" w:rsidRPr="00787196">
        <w:t xml:space="preserve">participants’ </w:t>
      </w:r>
      <w:r w:rsidRPr="00787196">
        <w:t xml:space="preserve">attitude toward ageing mediated the relationship between subjective health and quality of life </w:t>
      </w:r>
      <w:r w:rsidRPr="00787196">
        <w:fldChar w:fldCharType="begin"/>
      </w:r>
      <w:r w:rsidRPr="00787196">
        <w:instrText xml:space="preserve"> ADDIN EN.CITE &lt;EndNote&gt;&lt;Cite&gt;&lt;Author&gt;Low&lt;/Author&gt;&lt;Year&gt;2013&lt;/Year&gt;&lt;IDText&gt;Attitudes to aging mediate the relationship between older peoples&amp;apos; subjective health and quality of life in 20 countries&lt;/IDText&gt;&lt;DisplayText&gt;(Low et al., 2013)&lt;/DisplayText&gt;&lt;record&gt;&lt;isbn&gt;1477-7525&lt;/isbn&gt;&lt;custom2&gt;Pmc3765777&lt;/custom2&gt;&lt;titles&gt;&lt;title&gt;Attitudes to aging mediate the relationship between older peoples&amp;apos; subjective health and quality of life in 20 countries&lt;/title&gt;&lt;secondary-title&gt;Health Qual Life Outcomes&lt;/secondary-title&gt;&lt;alt-title&gt;Health and quality of life outcomes&lt;/alt-title&gt;&lt;/titles&gt;&lt;pages&gt;146&lt;/pages&gt;&lt;contributors&gt;&lt;authors&gt;&lt;author&gt;Low, G.&lt;/author&gt;&lt;author&gt;Molzahn, A. E.&lt;/author&gt;&lt;author&gt;Schopflocher, D.&lt;/author&gt;&lt;/authors&gt;&lt;/contributors&gt;&lt;edition&gt;2013/08/30&lt;/edition&gt;&lt;language&gt;eng&lt;/language&gt;&lt;added-date format="utc"&gt;1391183896&lt;/added-date&gt;&lt;ref-type name="Journal Article"&gt;17&lt;/ref-type&gt;&lt;auth-address&gt;Faculty of Nursing, University of Alberta, 11405-87 Avenue, Edmonton, AB T6G 1C9, Canada. gail.low@ualberta.ca.&lt;/auth-address&gt;&lt;dates&gt;&lt;year&gt;2013&lt;/year&gt;&lt;/dates&gt;&lt;remote-database-provider&gt;NLM&lt;/remote-database-provider&gt;&lt;rec-number&gt;1989&lt;/rec-number&gt;&lt;last-updated-date format="utc"&gt;1391183896&lt;/last-updated-date&gt;&lt;accession-num&gt;23984754&lt;/accession-num&gt;&lt;electronic-resource-num&gt;10.1186/1477-7525-11-146&lt;/electronic-resource-num&gt;&lt;volume&gt;11&lt;/volume&gt;&lt;/record&gt;&lt;/Cite&gt;&lt;/EndNote&gt;</w:instrText>
      </w:r>
      <w:r w:rsidRPr="00787196">
        <w:fldChar w:fldCharType="separate"/>
      </w:r>
      <w:r w:rsidRPr="00787196">
        <w:t>(Low et al., 2013)</w:t>
      </w:r>
      <w:r w:rsidRPr="00787196">
        <w:fldChar w:fldCharType="end"/>
      </w:r>
      <w:r w:rsidRPr="00787196">
        <w:t xml:space="preserve">. </w:t>
      </w:r>
    </w:p>
    <w:p w14:paraId="5C569DEF" w14:textId="34459B0C" w:rsidR="00222B42" w:rsidRPr="00787196" w:rsidRDefault="000B684D" w:rsidP="00573AF4">
      <w:r w:rsidRPr="00787196">
        <w:t>Expectations regarding a</w:t>
      </w:r>
      <w:r w:rsidR="00061325" w:rsidRPr="00787196">
        <w:t xml:space="preserve">geing </w:t>
      </w:r>
      <w:r w:rsidR="007332C4" w:rsidRPr="00787196">
        <w:t>has been</w:t>
      </w:r>
      <w:r w:rsidR="00D6128F" w:rsidRPr="00787196">
        <w:t xml:space="preserve"> underexplored in relation to</w:t>
      </w:r>
      <w:r w:rsidR="00061325" w:rsidRPr="00787196">
        <w:t xml:space="preserve"> oral health. </w:t>
      </w:r>
      <w:r w:rsidR="00D6128F" w:rsidRPr="00787196">
        <w:t>T</w:t>
      </w:r>
      <w:r w:rsidR="00061325" w:rsidRPr="00787196">
        <w:t xml:space="preserve">he review conducted in </w:t>
      </w:r>
      <w:r w:rsidR="00D6128F" w:rsidRPr="00787196">
        <w:t xml:space="preserve">section </w:t>
      </w:r>
      <w:r w:rsidR="00061325" w:rsidRPr="00787196">
        <w:t>2.2 did not id</w:t>
      </w:r>
      <w:r w:rsidR="00D6128F" w:rsidRPr="00787196">
        <w:t>entify any studies associating a</w:t>
      </w:r>
      <w:r w:rsidR="00061325" w:rsidRPr="00787196">
        <w:t xml:space="preserve">geing expectations with OHQoL in denture wearing individuals. Although studies have found that age is not a cause for losing tooth and wearing dentures, denture wearing is </w:t>
      </w:r>
      <w:r w:rsidR="00D6128F" w:rsidRPr="00787196">
        <w:t>more likely in older people</w:t>
      </w:r>
      <w:r w:rsidR="004A52DE" w:rsidRPr="00787196">
        <w:t>. Hence, understanding whether an individual’s expectations regarding their ageing influenced denture success was deemed crucial in order to under the association between age and wearing dentures.</w:t>
      </w:r>
      <w:r w:rsidR="00D6128F" w:rsidRPr="00787196">
        <w:t xml:space="preserve"> </w:t>
      </w:r>
      <w:r w:rsidR="002B2BF8" w:rsidRPr="00787196">
        <w:t>So it</w:t>
      </w:r>
      <w:r w:rsidR="007D6C33" w:rsidRPr="00787196">
        <w:t xml:space="preserve"> </w:t>
      </w:r>
      <w:r w:rsidR="00D33D17" w:rsidRPr="00787196">
        <w:t>was</w:t>
      </w:r>
      <w:r w:rsidR="007D6C33" w:rsidRPr="00787196">
        <w:t xml:space="preserve"> </w:t>
      </w:r>
      <w:r w:rsidR="00914A9B" w:rsidRPr="00787196">
        <w:t xml:space="preserve">included </w:t>
      </w:r>
      <w:r w:rsidR="002B2BF8" w:rsidRPr="00787196">
        <w:t>as one of the</w:t>
      </w:r>
      <w:r w:rsidR="00914A9B" w:rsidRPr="00787196">
        <w:t xml:space="preserve"> variable</w:t>
      </w:r>
      <w:r w:rsidR="002B2BF8" w:rsidRPr="00787196">
        <w:t>s</w:t>
      </w:r>
      <w:r w:rsidR="00914A9B" w:rsidRPr="00787196">
        <w:t xml:space="preserve"> in this study</w:t>
      </w:r>
      <w:r w:rsidR="002B2BF8" w:rsidRPr="00787196">
        <w:t>.</w:t>
      </w:r>
    </w:p>
    <w:p w14:paraId="5165C606" w14:textId="682F2B8A" w:rsidR="00061325" w:rsidRPr="00787196" w:rsidRDefault="00061325" w:rsidP="00D9694A">
      <w:pPr>
        <w:pStyle w:val="Heading3"/>
      </w:pPr>
      <w:bookmarkStart w:id="90" w:name="_Toc488655626"/>
      <w:r w:rsidRPr="00787196">
        <w:t>C</w:t>
      </w:r>
      <w:r w:rsidR="00705358" w:rsidRPr="00787196">
        <w:t>oncern about oral health</w:t>
      </w:r>
      <w:bookmarkEnd w:id="90"/>
    </w:p>
    <w:p w14:paraId="486AA6AD" w14:textId="353DD185" w:rsidR="00061325" w:rsidRPr="00787196" w:rsidRDefault="00632220" w:rsidP="00061325">
      <w:pPr>
        <w:rPr>
          <w:rFonts w:cs="Arial"/>
          <w:szCs w:val="24"/>
        </w:rPr>
      </w:pPr>
      <w:r w:rsidRPr="00787196">
        <w:rPr>
          <w:rFonts w:cs="Arial"/>
          <w:szCs w:val="24"/>
        </w:rPr>
        <w:t xml:space="preserve">Bandura </w:t>
      </w:r>
      <w:r w:rsidR="00061325" w:rsidRPr="00787196">
        <w:rPr>
          <w:rFonts w:cs="Arial"/>
          <w:szCs w:val="24"/>
        </w:rPr>
        <w:fldChar w:fldCharType="begin"/>
      </w:r>
      <w:r w:rsidRPr="00787196">
        <w:rPr>
          <w:rFonts w:cs="Arial"/>
          <w:szCs w:val="24"/>
        </w:rPr>
        <w:instrText xml:space="preserve"> ADDIN EN.CITE &lt;EndNote&gt;&lt;Cite ExcludeAuth="1"&gt;&lt;Author&gt;Bandura&lt;/Author&gt;&lt;Year&gt;2006&lt;/Year&gt;&lt;RecNum&gt;105&lt;/RecNum&gt;&lt;DisplayText&gt;(2006)&lt;/DisplayText&gt;&lt;record&gt;&lt;rec-number&gt;105&lt;/rec-number&gt;&lt;foreign-keys&gt;&lt;key app="EN" db-id="pprx5af0eezz5resrauvszthwfd2xp5txea9"&gt;105&lt;/key&gt;&lt;/foreign-keys&gt;&lt;ref-type name="Book Section"&gt;5&lt;/ref-type&gt;&lt;contributors&gt;&lt;authors&gt;&lt;author&gt; Albert Bandura&lt;/author&gt;&lt;/authors&gt;&lt;secondary-authors&gt;&lt;author&gt;Pajares, Frank&lt;/author&gt;&lt;author&gt;Urdan, Timothy C.&lt;/author&gt;&lt;/secondary-authors&gt;&lt;/contributors&gt;&lt;titles&gt;&lt;title&gt;Adolescent development from an agentic perspective&lt;/title&gt;&lt;secondary-title&gt;Self-efficacy beliefs of adolescents&lt;/secondary-title&gt;&lt;/titles&gt;&lt;pages&gt;1-43&lt;/pages&gt;&lt;volume&gt;5&lt;/volume&gt;&lt;dates&gt;&lt;year&gt;2006&lt;/year&gt;&lt;/dates&gt;&lt;pub-location&gt;Greenwich, Conn.&lt;/pub-location&gt;&lt;publisher&gt;IAP - Information Age Pub.&lt;/publisher&gt;&lt;isbn&gt;1593113668 9781593113667 1593113676 9781593113674&lt;/isbn&gt;&lt;accession-num&gt;61651705&lt;/accession-num&gt;&lt;/record&gt;&lt;/Cite&gt;&lt;/EndNote&gt;</w:instrText>
      </w:r>
      <w:r w:rsidR="00061325" w:rsidRPr="00787196">
        <w:rPr>
          <w:rFonts w:cs="Arial"/>
          <w:szCs w:val="24"/>
        </w:rPr>
        <w:fldChar w:fldCharType="separate"/>
      </w:r>
      <w:r w:rsidRPr="00787196">
        <w:rPr>
          <w:rFonts w:cs="Arial"/>
          <w:noProof/>
          <w:szCs w:val="24"/>
        </w:rPr>
        <w:t>(2006)</w:t>
      </w:r>
      <w:r w:rsidR="00061325" w:rsidRPr="00787196">
        <w:rPr>
          <w:rFonts w:cs="Arial"/>
          <w:szCs w:val="24"/>
        </w:rPr>
        <w:fldChar w:fldCharType="end"/>
      </w:r>
      <w:r w:rsidRPr="00787196">
        <w:rPr>
          <w:rFonts w:cs="Arial"/>
          <w:szCs w:val="24"/>
        </w:rPr>
        <w:t xml:space="preserve"> stated that individual’s beliefs as powerful personal resources enabling them achieve results by action and negotiating with their everyday lives.</w:t>
      </w:r>
      <w:r w:rsidR="002F030A" w:rsidRPr="00787196">
        <w:rPr>
          <w:rFonts w:cs="Arial"/>
          <w:szCs w:val="24"/>
        </w:rPr>
        <w:t xml:space="preserve"> </w:t>
      </w:r>
      <w:r w:rsidR="00061325" w:rsidRPr="00787196">
        <w:rPr>
          <w:rFonts w:cs="Arial"/>
          <w:szCs w:val="24"/>
        </w:rPr>
        <w:t xml:space="preserve">They </w:t>
      </w:r>
      <w:r w:rsidR="002F030A" w:rsidRPr="00787196">
        <w:rPr>
          <w:rFonts w:cs="Arial"/>
          <w:szCs w:val="24"/>
        </w:rPr>
        <w:t xml:space="preserve">are suggested to play an essential role in individual’s behaviour, confidence and perceptions by means of </w:t>
      </w:r>
      <w:r w:rsidR="00061325" w:rsidRPr="00787196">
        <w:rPr>
          <w:rFonts w:cs="Arial"/>
          <w:szCs w:val="24"/>
        </w:rPr>
        <w:t xml:space="preserve">cognitive, motivational, affective and decisional processes </w:t>
      </w:r>
      <w:r w:rsidR="00E75B40" w:rsidRPr="00787196">
        <w:rPr>
          <w:rFonts w:cs="Arial"/>
          <w:szCs w:val="24"/>
        </w:rPr>
        <w:t xml:space="preserve">thereby </w:t>
      </w:r>
      <w:r w:rsidR="00061325" w:rsidRPr="00787196">
        <w:rPr>
          <w:rFonts w:cs="Arial"/>
          <w:szCs w:val="24"/>
        </w:rPr>
        <w:t xml:space="preserve">contributing to </w:t>
      </w:r>
      <w:r w:rsidR="00E75B40" w:rsidRPr="00787196">
        <w:rPr>
          <w:rFonts w:cs="Arial"/>
          <w:szCs w:val="24"/>
        </w:rPr>
        <w:t xml:space="preserve">their </w:t>
      </w:r>
      <w:r w:rsidR="00061325" w:rsidRPr="00787196">
        <w:rPr>
          <w:rFonts w:cs="Arial"/>
          <w:szCs w:val="24"/>
        </w:rPr>
        <w:t>health</w:t>
      </w:r>
      <w:r w:rsidR="00E75B40" w:rsidRPr="00787196">
        <w:rPr>
          <w:rFonts w:cs="Arial"/>
          <w:szCs w:val="24"/>
        </w:rPr>
        <w:t>.</w:t>
      </w:r>
      <w:r w:rsidR="00061325" w:rsidRPr="00787196">
        <w:rPr>
          <w:rFonts w:cs="Arial"/>
          <w:szCs w:val="24"/>
        </w:rPr>
        <w:t xml:space="preserve"> </w:t>
      </w:r>
    </w:p>
    <w:p w14:paraId="3E89142A" w14:textId="565871FD" w:rsidR="00061325" w:rsidRPr="00787196" w:rsidRDefault="00061325" w:rsidP="00573AF4">
      <w:pPr>
        <w:rPr>
          <w:rFonts w:cs="Arial"/>
          <w:szCs w:val="24"/>
        </w:rPr>
      </w:pPr>
      <w:r w:rsidRPr="00787196">
        <w:rPr>
          <w:rFonts w:cs="Arial"/>
          <w:szCs w:val="24"/>
        </w:rPr>
        <w:t>Concern about one’s oral health is an oral hea</w:t>
      </w:r>
      <w:r w:rsidR="009D77FC" w:rsidRPr="00787196">
        <w:rPr>
          <w:rFonts w:cs="Arial"/>
          <w:szCs w:val="24"/>
        </w:rPr>
        <w:t>lth belief. An individual with</w:t>
      </w:r>
      <w:r w:rsidRPr="00787196">
        <w:rPr>
          <w:rFonts w:cs="Arial"/>
          <w:szCs w:val="24"/>
        </w:rPr>
        <w:t xml:space="preserve"> limited concern </w:t>
      </w:r>
      <w:r w:rsidR="009D77FC" w:rsidRPr="00787196">
        <w:rPr>
          <w:rFonts w:cs="Arial"/>
          <w:szCs w:val="24"/>
        </w:rPr>
        <w:t>about</w:t>
      </w:r>
      <w:r w:rsidRPr="00787196">
        <w:rPr>
          <w:rFonts w:cs="Arial"/>
          <w:szCs w:val="24"/>
        </w:rPr>
        <w:t xml:space="preserve"> health might </w:t>
      </w:r>
      <w:r w:rsidR="009D77FC" w:rsidRPr="00787196">
        <w:rPr>
          <w:rFonts w:cs="Arial"/>
          <w:szCs w:val="24"/>
        </w:rPr>
        <w:t xml:space="preserve">be more likely </w:t>
      </w:r>
      <w:r w:rsidR="00573AF4" w:rsidRPr="00787196">
        <w:rPr>
          <w:rFonts w:cs="Arial"/>
          <w:szCs w:val="24"/>
        </w:rPr>
        <w:t xml:space="preserve">to </w:t>
      </w:r>
      <w:r w:rsidRPr="00787196">
        <w:rPr>
          <w:rFonts w:cs="Arial"/>
          <w:szCs w:val="24"/>
        </w:rPr>
        <w:t>engage in health risk</w:t>
      </w:r>
      <w:r w:rsidR="009D77FC" w:rsidRPr="00787196">
        <w:rPr>
          <w:rFonts w:cs="Arial"/>
          <w:szCs w:val="24"/>
        </w:rPr>
        <w:t>ing</w:t>
      </w:r>
      <w:r w:rsidRPr="00787196">
        <w:rPr>
          <w:rFonts w:cs="Arial"/>
          <w:szCs w:val="24"/>
        </w:rPr>
        <w:t xml:space="preserve"> behaviour</w:t>
      </w:r>
      <w:r w:rsidR="009D77FC" w:rsidRPr="00787196">
        <w:rPr>
          <w:rFonts w:cs="Arial"/>
          <w:szCs w:val="24"/>
        </w:rPr>
        <w:t xml:space="preserve">s and be </w:t>
      </w:r>
      <w:r w:rsidRPr="00787196">
        <w:rPr>
          <w:rFonts w:cs="Arial"/>
          <w:szCs w:val="24"/>
        </w:rPr>
        <w:t xml:space="preserve">less likely to respond </w:t>
      </w:r>
      <w:r w:rsidR="009D77FC" w:rsidRPr="00787196">
        <w:rPr>
          <w:rFonts w:cs="Arial"/>
          <w:szCs w:val="24"/>
        </w:rPr>
        <w:t>to health promotion initiatives. I</w:t>
      </w:r>
      <w:r w:rsidRPr="00787196">
        <w:rPr>
          <w:rFonts w:cs="Arial"/>
          <w:szCs w:val="24"/>
        </w:rPr>
        <w:t>ndividuals</w:t>
      </w:r>
      <w:r w:rsidR="009D77FC" w:rsidRPr="00787196">
        <w:rPr>
          <w:rFonts w:cs="Arial"/>
          <w:szCs w:val="24"/>
        </w:rPr>
        <w:t xml:space="preserve"> who</w:t>
      </w:r>
      <w:r w:rsidRPr="00787196">
        <w:rPr>
          <w:rFonts w:cs="Arial"/>
          <w:szCs w:val="24"/>
        </w:rPr>
        <w:t xml:space="preserve"> exhibit </w:t>
      </w:r>
      <w:r w:rsidR="00573AF4" w:rsidRPr="00787196">
        <w:rPr>
          <w:rFonts w:cs="Arial"/>
          <w:szCs w:val="24"/>
        </w:rPr>
        <w:t xml:space="preserve">a </w:t>
      </w:r>
      <w:r w:rsidRPr="00787196">
        <w:rPr>
          <w:rFonts w:cs="Arial"/>
          <w:szCs w:val="24"/>
        </w:rPr>
        <w:t xml:space="preserve">lack of concern </w:t>
      </w:r>
      <w:r w:rsidR="00573AF4" w:rsidRPr="00787196">
        <w:rPr>
          <w:rFonts w:cs="Arial"/>
          <w:szCs w:val="24"/>
        </w:rPr>
        <w:t xml:space="preserve">about </w:t>
      </w:r>
      <w:r w:rsidRPr="00787196">
        <w:rPr>
          <w:rFonts w:cs="Arial"/>
          <w:szCs w:val="24"/>
        </w:rPr>
        <w:t xml:space="preserve">oral health show negative dental self-care behaviours such as dental neglect. Such negative dental behaviours predict poor oral health outcomes </w:t>
      </w:r>
      <w:r w:rsidRPr="00787196">
        <w:rPr>
          <w:rFonts w:cs="Arial"/>
          <w:szCs w:val="24"/>
        </w:rPr>
        <w:fldChar w:fldCharType="begin">
          <w:fldData xml:space="preserve">PEVuZE5vdGU+PENpdGU+PEF1dGhvcj5OdXR0YWxsPC9BdXRob3I+PFllYXI+MTk5NjwvWWVhcj48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PEVuZE5vdGU+PENpdGU+PEF1dGhvcj5OdXR0YWxsPC9BdXRob3I+PFllYXI+MTk5NjwvWWVhcj48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(Nuttall, 1996, Thomson et al., 1996, Sanders et al., 2004a)</w:t>
      </w:r>
      <w:r w:rsidRPr="00787196">
        <w:rPr>
          <w:rFonts w:cs="Arial"/>
          <w:szCs w:val="24"/>
        </w:rPr>
        <w:fldChar w:fldCharType="end"/>
      </w:r>
      <w:r w:rsidRPr="00787196">
        <w:rPr>
          <w:rFonts w:cs="Arial"/>
          <w:szCs w:val="24"/>
        </w:rPr>
        <w:t>.</w:t>
      </w:r>
    </w:p>
    <w:p w14:paraId="7A3EDE76" w14:textId="24D1A564" w:rsidR="006853F7" w:rsidRPr="00787196" w:rsidRDefault="00061325" w:rsidP="00061325">
      <w:pPr>
        <w:rPr>
          <w:rFonts w:cs="Arial"/>
          <w:szCs w:val="24"/>
        </w:rPr>
      </w:pPr>
      <w:r w:rsidRPr="00787196">
        <w:rPr>
          <w:rFonts w:cs="Arial"/>
          <w:szCs w:val="24"/>
        </w:rPr>
        <w:t xml:space="preserve">Lack of concern about oral health </w:t>
      </w:r>
      <w:r w:rsidR="00D336B6" w:rsidRPr="00787196">
        <w:rPr>
          <w:rFonts w:cs="Arial"/>
          <w:szCs w:val="24"/>
        </w:rPr>
        <w:t>can be equated to</w:t>
      </w:r>
      <w:r w:rsidRPr="00787196">
        <w:rPr>
          <w:rFonts w:cs="Arial"/>
          <w:szCs w:val="24"/>
        </w:rPr>
        <w:t xml:space="preserve"> dental indifference. Dental indifference is an attitude that</w:t>
      </w:r>
      <w:r w:rsidR="00D336B6" w:rsidRPr="00787196">
        <w:rPr>
          <w:rFonts w:cs="Arial"/>
          <w:szCs w:val="24"/>
        </w:rPr>
        <w:t xml:space="preserve"> undervalues </w:t>
      </w:r>
      <w:r w:rsidRPr="00787196">
        <w:rPr>
          <w:rFonts w:cs="Arial"/>
          <w:szCs w:val="24"/>
        </w:rPr>
        <w:t xml:space="preserve">teeth, </w:t>
      </w:r>
      <w:r w:rsidR="00D336B6" w:rsidRPr="00787196">
        <w:rPr>
          <w:rFonts w:cs="Arial"/>
          <w:szCs w:val="24"/>
        </w:rPr>
        <w:t xml:space="preserve">displays </w:t>
      </w:r>
      <w:r w:rsidRPr="00787196">
        <w:rPr>
          <w:rFonts w:cs="Arial"/>
          <w:szCs w:val="24"/>
        </w:rPr>
        <w:t xml:space="preserve">lack of interest and </w:t>
      </w:r>
      <w:r w:rsidRPr="00787196">
        <w:rPr>
          <w:rFonts w:cs="Arial"/>
          <w:szCs w:val="24"/>
        </w:rPr>
        <w:lastRenderedPageBreak/>
        <w:t xml:space="preserve">lack of </w:t>
      </w:r>
      <w:r w:rsidR="00D336B6" w:rsidRPr="00787196">
        <w:rPr>
          <w:rFonts w:cs="Arial"/>
          <w:szCs w:val="24"/>
        </w:rPr>
        <w:t xml:space="preserve">adherence </w:t>
      </w:r>
      <w:r w:rsidRPr="00787196">
        <w:rPr>
          <w:rFonts w:cs="Arial"/>
          <w:szCs w:val="24"/>
        </w:rPr>
        <w:t xml:space="preserve">to health care recommendations </w:t>
      </w:r>
      <w:r w:rsidRPr="00787196">
        <w:rPr>
          <w:rFonts w:cs="Arial"/>
          <w:szCs w:val="24"/>
        </w:rPr>
        <w:fldChar w:fldCharType="begin"/>
      </w:r>
      <w:r w:rsidRPr="00787196">
        <w:rPr>
          <w:rFonts w:cs="Arial"/>
          <w:szCs w:val="24"/>
        </w:rPr>
        <w:instrText xml:space="preserve"> ADDIN EN.CITE &lt;EndNote&gt;&lt;Cite&gt;&lt;Author&gt;Nuttall&lt;/Author&gt;&lt;Year&gt;1996&lt;/Year&gt;&lt;RecNum&gt;0&lt;/RecNum&gt;&lt;IDText&gt;Initial development of a scale to measure dental indifference&lt;/IDText&gt;&lt;DisplayText&gt;(Nuttall, 1996)&lt;/DisplayText&gt;&lt;record&gt;&lt;dates&gt;&lt;pub-dates&gt;&lt;date&gt;Apr&lt;/date&gt;&lt;/pub-dates&gt;&lt;year&gt;1996&lt;/year&gt;&lt;/dates&gt;&lt;isbn&gt;0301-5661 (Print)&amp;#xD;0301-5661 (Linking)&lt;/isbn&gt;&lt;titles&gt;&lt;title&gt;Initial development of a scale to measure dental indifference&lt;/title&gt;&lt;secondary-title&gt;Community Dent Oral Epidemiol&lt;/secondary-title&gt;&lt;alt-title&gt;Community dentistry and oral epidemiology&lt;/alt-title&gt;&lt;/titles&gt;&lt;pages&gt;112-6&lt;/pages&gt;&lt;number&gt;2&lt;/number&gt;&lt;contributors&gt;&lt;authors&gt;&lt;author&gt;Nuttall, N. M.&lt;/author&gt;&lt;/authors&gt;&lt;/contributors&gt;&lt;edition&gt;1996/04/01&lt;/edition&gt;&lt;language&gt;eng&lt;/language&gt;&lt;added-date format="utc"&gt;1364396581&lt;/added-date&gt;&lt;ref-type name="Journal Article"&gt;17&lt;/ref-type&gt;&lt;auth-address&gt;Department of Dental Health, University of Dundee, Scotland.&lt;/auth-address&gt;&lt;remote-database-provider&gt;NLM&lt;/remote-database-provider&gt;&lt;rec-number&gt;588&lt;/rec-number&gt;&lt;last-updated-date format="utc"&gt;1385713712&lt;/last-updated-date&gt;&lt;accession-num&gt;8654030&lt;/accession-num&gt;&lt;volume&gt;24&lt;/volume&gt;&lt;/record&gt;&lt;/Cite&gt;&lt;/EndNote&gt;</w:instrText>
      </w:r>
      <w:r w:rsidRPr="00787196">
        <w:rPr>
          <w:rFonts w:cs="Arial"/>
          <w:szCs w:val="24"/>
        </w:rPr>
        <w:fldChar w:fldCharType="separate"/>
      </w:r>
      <w:r w:rsidRPr="00787196">
        <w:rPr>
          <w:rFonts w:cs="Arial"/>
          <w:szCs w:val="24"/>
        </w:rPr>
        <w:t>(Nuttall, 1996)</w:t>
      </w:r>
      <w:r w:rsidRPr="00787196">
        <w:rPr>
          <w:rFonts w:cs="Arial"/>
          <w:szCs w:val="24"/>
        </w:rPr>
        <w:fldChar w:fldCharType="end"/>
      </w:r>
      <w:r w:rsidRPr="00787196">
        <w:rPr>
          <w:rFonts w:cs="Arial"/>
          <w:szCs w:val="24"/>
        </w:rPr>
        <w:t xml:space="preserve">. </w:t>
      </w:r>
      <w:r w:rsidR="006853F7" w:rsidRPr="00787196">
        <w:rPr>
          <w:rFonts w:cs="Arial"/>
          <w:szCs w:val="24"/>
        </w:rPr>
        <w:t xml:space="preserve">It has been shown </w:t>
      </w:r>
      <w:r w:rsidR="00D476B6" w:rsidRPr="00787196">
        <w:rPr>
          <w:rFonts w:cs="Arial"/>
          <w:szCs w:val="24"/>
        </w:rPr>
        <w:t>as one of the</w:t>
      </w:r>
      <w:r w:rsidR="006853F7" w:rsidRPr="00787196">
        <w:rPr>
          <w:rFonts w:cs="Arial"/>
          <w:szCs w:val="24"/>
        </w:rPr>
        <w:t xml:space="preserve"> reason</w:t>
      </w:r>
      <w:r w:rsidR="00D476B6" w:rsidRPr="00787196">
        <w:rPr>
          <w:rFonts w:cs="Arial"/>
          <w:szCs w:val="24"/>
        </w:rPr>
        <w:t>s</w:t>
      </w:r>
      <w:r w:rsidR="006853F7" w:rsidRPr="00787196">
        <w:rPr>
          <w:rFonts w:cs="Arial"/>
          <w:szCs w:val="24"/>
        </w:rPr>
        <w:t xml:space="preserve"> for </w:t>
      </w:r>
      <w:r w:rsidR="00D476B6" w:rsidRPr="00787196">
        <w:rPr>
          <w:rFonts w:cs="Arial"/>
          <w:szCs w:val="24"/>
        </w:rPr>
        <w:t xml:space="preserve">dental </w:t>
      </w:r>
      <w:r w:rsidR="006853F7" w:rsidRPr="00787196">
        <w:rPr>
          <w:rFonts w:cs="Arial"/>
          <w:szCs w:val="24"/>
        </w:rPr>
        <w:t xml:space="preserve">non-attendance in general population as some people may have more important things to be concerned about than teeth. </w:t>
      </w:r>
      <w:r w:rsidR="00F161DC" w:rsidRPr="00787196">
        <w:rPr>
          <w:rFonts w:cs="Arial"/>
          <w:szCs w:val="24"/>
        </w:rPr>
        <w:t xml:space="preserve">Marshman and colleagues </w:t>
      </w:r>
      <w:r w:rsidR="00D476B6" w:rsidRPr="00787196">
        <w:rPr>
          <w:rFonts w:cs="Arial"/>
          <w:szCs w:val="24"/>
        </w:rPr>
        <w:fldChar w:fldCharType="begin"/>
      </w:r>
      <w:r w:rsidR="00F161DC" w:rsidRPr="00787196">
        <w:rPr>
          <w:rFonts w:cs="Arial"/>
          <w:szCs w:val="24"/>
        </w:rPr>
        <w:instrText xml:space="preserve"> ADDIN EN.CITE &lt;EndNote&gt;&lt;Cite ExcludeAuth="1"&gt;&lt;Author&gt;Marshman&lt;/Author&gt;&lt;Year&gt;2014&lt;/Year&gt;&lt;IDText&gt;Does dental indifference influence the oral health-related quality of life of prisoners?&lt;/IDText&gt;&lt;DisplayText&gt;(2014)&lt;/DisplayText&gt;&lt;record&gt;&lt;keywords&gt;&lt;keyword&gt;psychosocial aspects of oral health&lt;/keyword&gt;&lt;keyword&gt;quality of life&lt;/keyword&gt;&lt;/keywords&gt;&lt;urls&gt;&lt;related-urls&gt;&lt;url&gt;http://dx.doi.org/10.1111/cdoe.12097&lt;/url&gt;&lt;/related-urls&gt;&lt;/urls&gt;&lt;isbn&gt;1600-0528&lt;/isbn&gt;&lt;titles&gt;&lt;title&gt;Does dental indifference influence the oral health-related quality of life of prisoners?&lt;/title&gt;&lt;secondary-title&gt;Community Dentistry and Oral Epidemiology&lt;/secondary-title&gt;&lt;/titles&gt;&lt;pages&gt;470-480&lt;/pages&gt;&lt;number&gt;5&lt;/number&gt;&lt;contributors&gt;&lt;authors&gt;&lt;author&gt;Marshman, Zoe&lt;/author&gt;&lt;author&gt;Baker, Sarah R.&lt;/author&gt;&lt;author&gt;Robinson, Peter G.&lt;/author&gt;&lt;/authors&gt;&lt;/contributors&gt;&lt;added-date format="utc"&gt;1481188753&lt;/added-date&gt;&lt;ref-type name="Journal Article"&gt;17&lt;/ref-type&gt;&lt;dates&gt;&lt;year&gt;2014&lt;/year&gt;&lt;/dates&gt;&lt;rec-number&gt;2657&lt;/rec-number&gt;&lt;last-updated-date format="utc"&gt;1481188753&lt;/last-updated-date&gt;&lt;electronic-resource-num&gt;10.1111/cdoe.12097&lt;/electronic-resource-num&gt;&lt;volume&gt;42&lt;/volume&gt;&lt;/record&gt;&lt;/Cite&gt;&lt;/EndNote&gt;</w:instrText>
      </w:r>
      <w:r w:rsidR="00D476B6" w:rsidRPr="00787196">
        <w:rPr>
          <w:rFonts w:cs="Arial"/>
          <w:szCs w:val="24"/>
        </w:rPr>
        <w:fldChar w:fldCharType="separate"/>
      </w:r>
      <w:r w:rsidR="00F161DC" w:rsidRPr="00787196">
        <w:rPr>
          <w:rFonts w:cs="Arial"/>
          <w:szCs w:val="24"/>
        </w:rPr>
        <w:t>(2014)</w:t>
      </w:r>
      <w:r w:rsidR="00D476B6" w:rsidRPr="00787196">
        <w:rPr>
          <w:rFonts w:cs="Arial"/>
          <w:szCs w:val="24"/>
        </w:rPr>
        <w:fldChar w:fldCharType="end"/>
      </w:r>
      <w:r w:rsidR="00F161DC" w:rsidRPr="00787196">
        <w:rPr>
          <w:rFonts w:cs="Arial"/>
          <w:szCs w:val="24"/>
        </w:rPr>
        <w:t xml:space="preserve"> demonstrated that dental </w:t>
      </w:r>
      <w:r w:rsidR="00573AF4" w:rsidRPr="00787196">
        <w:rPr>
          <w:rFonts w:cs="Arial"/>
          <w:szCs w:val="24"/>
        </w:rPr>
        <w:t>indifference</w:t>
      </w:r>
      <w:r w:rsidR="00F161DC" w:rsidRPr="00787196">
        <w:rPr>
          <w:rFonts w:cs="Arial"/>
          <w:szCs w:val="24"/>
        </w:rPr>
        <w:t xml:space="preserve"> was associated with OHQoL in prisoners and </w:t>
      </w:r>
      <w:r w:rsidR="00573AF4" w:rsidRPr="00787196">
        <w:rPr>
          <w:rFonts w:cs="Arial"/>
          <w:szCs w:val="24"/>
        </w:rPr>
        <w:t xml:space="preserve">suggested </w:t>
      </w:r>
      <w:r w:rsidR="00F161DC" w:rsidRPr="00787196">
        <w:rPr>
          <w:rFonts w:cs="Arial"/>
          <w:szCs w:val="24"/>
        </w:rPr>
        <w:t xml:space="preserve">that services need to address this issue to improve oral health. </w:t>
      </w:r>
    </w:p>
    <w:p w14:paraId="789AE0D5" w14:textId="3605AF9F" w:rsidR="00117167" w:rsidRPr="00787196" w:rsidRDefault="00D336B6" w:rsidP="00573AF4">
      <w:pPr>
        <w:rPr>
          <w:rFonts w:cs="Arial"/>
          <w:szCs w:val="24"/>
        </w:rPr>
      </w:pPr>
      <w:r w:rsidRPr="00787196">
        <w:rPr>
          <w:rFonts w:cs="Arial"/>
          <w:szCs w:val="24"/>
        </w:rPr>
        <w:t>Maslow</w:t>
      </w:r>
      <w:r w:rsidR="008C3F8B" w:rsidRPr="00787196">
        <w:rPr>
          <w:rFonts w:cs="Arial"/>
          <w:szCs w:val="24"/>
        </w:rPr>
        <w:t xml:space="preserve"> </w:t>
      </w:r>
      <w:r w:rsidR="00061325" w:rsidRPr="00787196">
        <w:rPr>
          <w:rFonts w:cs="Arial"/>
          <w:szCs w:val="24"/>
        </w:rPr>
        <w:fldChar w:fldCharType="begin"/>
      </w:r>
      <w:r w:rsidR="00061325" w:rsidRPr="00787196">
        <w:rPr>
          <w:rFonts w:cs="Arial"/>
          <w:szCs w:val="24"/>
        </w:rPr>
        <w:instrText xml:space="preserve"> ADDIN EN.CITE &lt;EndNote&gt;&lt;Cite ExcludeAuth="1"&gt;&lt;Author&gt;Maslow&lt;/Author&gt;&lt;Year&gt;1943&lt;/Year&gt;&lt;RecNum&gt;0&lt;/RecNum&gt;&lt;IDText&gt;A theory of human motivation&lt;/IDText&gt;&lt;DisplayText&gt;(1943)&lt;/DisplayText&gt;&lt;record&gt;&lt;urls&gt;&lt;related-urls&gt;&lt;url&gt;http://psychclassics.yorku.ca/Maslow/motivation.htm&lt;/url&gt;&lt;/related-urls&gt;&lt;/urls&gt;&lt;titles&gt;&lt;title&gt;A theory of human motivation&lt;/title&gt;&lt;/titles&gt;&lt;titles&gt;&lt;secondary-title&gt;&lt;style font="default" size="100%"&gt; &lt;/style&gt;&lt;style face="italic" font="default" size="100%"&gt;Psychological Review&lt;/style&gt;&lt;/secondary-title&gt;&lt;/titles&gt;&lt;pages&gt;370-396&lt;/pages&gt;&lt;number&gt;4&lt;/number&gt;&lt;contributors&gt;&lt;authors&gt;&lt;author&gt;Maslow, Abraham H&lt;/author&gt;&lt;/authors&gt;&lt;/contributors&gt;&lt;added-date format="utc"&gt;1368182791&lt;/added-date&gt;&lt;ref-type name="Journal Article"&gt;17&lt;/ref-type&gt;&lt;dates&gt;&lt;year&gt;1943&lt;/year&gt;&lt;/dates&gt;&lt;rec-number&gt;682&lt;/rec-number&gt;&lt;last-updated-date format="utc"&gt;1368183475&lt;/last-updated-date&gt;&lt;volume&gt;&lt;style face="italic" font="default" size="100%"&gt;50&lt;/style&gt;&lt;/volume&gt;&lt;/record&gt;&lt;/Cite&gt;&lt;/EndNote&gt;</w:instrText>
      </w:r>
      <w:r w:rsidR="00061325" w:rsidRPr="00787196">
        <w:rPr>
          <w:rFonts w:cs="Arial"/>
          <w:szCs w:val="24"/>
        </w:rPr>
        <w:fldChar w:fldCharType="separate"/>
      </w:r>
      <w:r w:rsidR="00061325" w:rsidRPr="00787196">
        <w:rPr>
          <w:rFonts w:cs="Arial"/>
          <w:szCs w:val="24"/>
        </w:rPr>
        <w:t>(1943)</w:t>
      </w:r>
      <w:r w:rsidR="00061325" w:rsidRPr="00787196">
        <w:rPr>
          <w:rFonts w:cs="Arial"/>
          <w:szCs w:val="24"/>
        </w:rPr>
        <w:fldChar w:fldCharType="end"/>
      </w:r>
      <w:r w:rsidR="008C3F8B" w:rsidRPr="00787196">
        <w:rPr>
          <w:rFonts w:cs="Arial"/>
          <w:szCs w:val="24"/>
        </w:rPr>
        <w:t xml:space="preserve"> </w:t>
      </w:r>
      <w:r w:rsidR="00573AF4" w:rsidRPr="00787196">
        <w:rPr>
          <w:rFonts w:cs="Arial"/>
          <w:szCs w:val="24"/>
        </w:rPr>
        <w:t>conceptualised human</w:t>
      </w:r>
      <w:r w:rsidR="00960FE9" w:rsidRPr="00787196">
        <w:rPr>
          <w:rFonts w:cs="Arial"/>
          <w:szCs w:val="24"/>
        </w:rPr>
        <w:t xml:space="preserve"> needs</w:t>
      </w:r>
      <w:r w:rsidR="0061766C" w:rsidRPr="00787196">
        <w:rPr>
          <w:rFonts w:cs="Arial"/>
          <w:szCs w:val="24"/>
        </w:rPr>
        <w:t xml:space="preserve"> in the form of a hierarchy</w:t>
      </w:r>
      <w:r w:rsidR="00960FE9" w:rsidRPr="00787196">
        <w:rPr>
          <w:rFonts w:cs="Arial"/>
          <w:szCs w:val="24"/>
        </w:rPr>
        <w:t xml:space="preserve">. He </w:t>
      </w:r>
      <w:r w:rsidR="008C3F8B" w:rsidRPr="00787196">
        <w:rPr>
          <w:rFonts w:cs="Arial"/>
          <w:szCs w:val="24"/>
        </w:rPr>
        <w:t xml:space="preserve">observed </w:t>
      </w:r>
      <w:r w:rsidR="0061766C" w:rsidRPr="00787196">
        <w:rPr>
          <w:rFonts w:cs="Arial"/>
          <w:szCs w:val="24"/>
        </w:rPr>
        <w:t xml:space="preserve">a </w:t>
      </w:r>
      <w:r w:rsidR="008C3F8B" w:rsidRPr="00787196">
        <w:rPr>
          <w:rFonts w:cs="Arial"/>
          <w:szCs w:val="24"/>
        </w:rPr>
        <w:t>pattern of human behaviour that addressed priorities</w:t>
      </w:r>
      <w:r w:rsidR="00061325" w:rsidRPr="00787196">
        <w:rPr>
          <w:rFonts w:cs="Arial"/>
          <w:szCs w:val="24"/>
        </w:rPr>
        <w:t xml:space="preserve"> </w:t>
      </w:r>
      <w:r w:rsidR="008C3F8B" w:rsidRPr="00787196">
        <w:rPr>
          <w:rFonts w:cs="Arial"/>
          <w:szCs w:val="24"/>
        </w:rPr>
        <w:t>based on individual needs.</w:t>
      </w:r>
      <w:r w:rsidR="00960FE9" w:rsidRPr="00787196">
        <w:rPr>
          <w:rFonts w:cs="Arial"/>
          <w:szCs w:val="24"/>
        </w:rPr>
        <w:t xml:space="preserve"> </w:t>
      </w:r>
      <w:r w:rsidR="00573AF4" w:rsidRPr="00787196">
        <w:rPr>
          <w:rFonts w:cs="Arial"/>
          <w:szCs w:val="24"/>
        </w:rPr>
        <w:t xml:space="preserve">His </w:t>
      </w:r>
      <w:r w:rsidR="00960FE9" w:rsidRPr="00787196">
        <w:rPr>
          <w:rFonts w:cs="Arial"/>
          <w:szCs w:val="24"/>
        </w:rPr>
        <w:t xml:space="preserve">five stage model was </w:t>
      </w:r>
      <w:r w:rsidR="007332C4" w:rsidRPr="00787196">
        <w:rPr>
          <w:rFonts w:cs="Arial"/>
          <w:szCs w:val="24"/>
        </w:rPr>
        <w:t>broadly</w:t>
      </w:r>
      <w:r w:rsidR="00960FE9" w:rsidRPr="00787196">
        <w:rPr>
          <w:rFonts w:cs="Arial"/>
          <w:szCs w:val="24"/>
        </w:rPr>
        <w:t xml:space="preserve"> grouped into basic needs (i.e. physiological, safety, love / belongingness and </w:t>
      </w:r>
      <w:r w:rsidR="007332C4" w:rsidRPr="00787196">
        <w:rPr>
          <w:rFonts w:cs="Arial"/>
          <w:szCs w:val="24"/>
        </w:rPr>
        <w:t>esteem</w:t>
      </w:r>
      <w:r w:rsidR="00960FE9" w:rsidRPr="00787196">
        <w:rPr>
          <w:rFonts w:cs="Arial"/>
          <w:szCs w:val="24"/>
        </w:rPr>
        <w:t>) and</w:t>
      </w:r>
      <w:r w:rsidR="00ED14B0" w:rsidRPr="00787196">
        <w:rPr>
          <w:rFonts w:cs="Arial"/>
          <w:szCs w:val="24"/>
        </w:rPr>
        <w:t xml:space="preserve"> growth needs (i.e.</w:t>
      </w:r>
      <w:r w:rsidR="00960FE9" w:rsidRPr="00787196">
        <w:rPr>
          <w:rFonts w:cs="Arial"/>
          <w:szCs w:val="24"/>
        </w:rPr>
        <w:t xml:space="preserve"> self-actualisation</w:t>
      </w:r>
      <w:r w:rsidR="00ED14B0" w:rsidRPr="00787196">
        <w:rPr>
          <w:rFonts w:cs="Arial"/>
          <w:szCs w:val="24"/>
        </w:rPr>
        <w:t>)</w:t>
      </w:r>
      <w:r w:rsidR="00280847" w:rsidRPr="00787196">
        <w:rPr>
          <w:rFonts w:cs="Arial"/>
          <w:szCs w:val="24"/>
        </w:rPr>
        <w:t xml:space="preserve"> in a hierarchy.</w:t>
      </w:r>
      <w:r w:rsidR="008C3F8B" w:rsidRPr="00787196">
        <w:rPr>
          <w:rFonts w:cs="Arial"/>
          <w:szCs w:val="24"/>
        </w:rPr>
        <w:t xml:space="preserve"> </w:t>
      </w:r>
      <w:r w:rsidR="0061766C" w:rsidRPr="00787196">
        <w:rPr>
          <w:rFonts w:cs="Arial"/>
          <w:szCs w:val="24"/>
        </w:rPr>
        <w:t>An individual’s needs must be satisfied at the lower levels before they progress to the higher complex levels. In this way</w:t>
      </w:r>
      <w:r w:rsidR="00117167" w:rsidRPr="00787196">
        <w:rPr>
          <w:rFonts w:cs="Arial"/>
          <w:szCs w:val="24"/>
        </w:rPr>
        <w:t>,</w:t>
      </w:r>
      <w:r w:rsidR="0061766C" w:rsidRPr="00787196">
        <w:rPr>
          <w:rFonts w:cs="Arial"/>
          <w:szCs w:val="24"/>
        </w:rPr>
        <w:t xml:space="preserve"> </w:t>
      </w:r>
      <w:r w:rsidR="00117167" w:rsidRPr="00787196">
        <w:rPr>
          <w:rFonts w:cs="Arial"/>
          <w:szCs w:val="24"/>
        </w:rPr>
        <w:t>we</w:t>
      </w:r>
      <w:r w:rsidR="00061325" w:rsidRPr="00787196">
        <w:rPr>
          <w:rFonts w:cs="Arial"/>
          <w:szCs w:val="24"/>
        </w:rPr>
        <w:t xml:space="preserve"> can understand </w:t>
      </w:r>
      <w:r w:rsidR="00117167" w:rsidRPr="00787196">
        <w:rPr>
          <w:rFonts w:cs="Arial"/>
          <w:szCs w:val="24"/>
        </w:rPr>
        <w:t xml:space="preserve">individual’s concern about their oral health may be a complex need in their </w:t>
      </w:r>
      <w:r w:rsidR="007332C4" w:rsidRPr="00787196">
        <w:rPr>
          <w:rFonts w:cs="Arial"/>
          <w:szCs w:val="24"/>
        </w:rPr>
        <w:t>hierarchy</w:t>
      </w:r>
      <w:r w:rsidR="00117167" w:rsidRPr="00787196">
        <w:rPr>
          <w:rFonts w:cs="Arial"/>
          <w:szCs w:val="24"/>
        </w:rPr>
        <w:t>.</w:t>
      </w:r>
      <w:r w:rsidR="00573AF4" w:rsidRPr="00787196">
        <w:rPr>
          <w:rFonts w:cs="Arial"/>
          <w:szCs w:val="24"/>
        </w:rPr>
        <w:t xml:space="preserve"> Maslow’s hierarchy was used as a framework to assess concern about oral by Marshman and colleagues (2014)</w:t>
      </w:r>
    </w:p>
    <w:p w14:paraId="7F1ED5D3" w14:textId="77777777" w:rsidR="00061325" w:rsidRPr="00787196" w:rsidRDefault="00061325" w:rsidP="00226A04">
      <w:pPr>
        <w:pStyle w:val="Heading4"/>
      </w:pPr>
      <w:r w:rsidRPr="00787196">
        <w:t>Concern about oral health and OHQoL, denture wearers</w:t>
      </w:r>
    </w:p>
    <w:p w14:paraId="5CFDF19E" w14:textId="1BE8D3E3" w:rsidR="00061325" w:rsidRPr="00787196" w:rsidRDefault="00F521EA" w:rsidP="00573AF4">
      <w:pPr>
        <w:spacing w:after="0"/>
        <w:rPr>
          <w:rFonts w:cs="Arial"/>
          <w:szCs w:val="24"/>
        </w:rPr>
      </w:pPr>
      <w:r w:rsidRPr="00787196">
        <w:rPr>
          <w:rFonts w:cs="Arial"/>
          <w:szCs w:val="24"/>
        </w:rPr>
        <w:t>Two</w:t>
      </w:r>
      <w:r w:rsidR="00061325" w:rsidRPr="00787196">
        <w:rPr>
          <w:rFonts w:cs="Arial"/>
          <w:szCs w:val="24"/>
        </w:rPr>
        <w:t xml:space="preserve"> studies (</w:t>
      </w:r>
      <w:r w:rsidR="00573AF4" w:rsidRPr="00787196">
        <w:rPr>
          <w:rFonts w:cs="Arial"/>
          <w:szCs w:val="24"/>
        </w:rPr>
        <w:t xml:space="preserve">Table 2-3) </w:t>
      </w:r>
      <w:r w:rsidRPr="00787196">
        <w:rPr>
          <w:rFonts w:cs="Arial"/>
          <w:szCs w:val="24"/>
        </w:rPr>
        <w:t>from this</w:t>
      </w:r>
      <w:r w:rsidR="00061325" w:rsidRPr="00787196">
        <w:rPr>
          <w:rFonts w:cs="Arial"/>
          <w:szCs w:val="24"/>
        </w:rPr>
        <w:t xml:space="preserve"> review showed significant association</w:t>
      </w:r>
      <w:r w:rsidRPr="00787196">
        <w:rPr>
          <w:rFonts w:cs="Arial"/>
          <w:szCs w:val="24"/>
        </w:rPr>
        <w:t>s</w:t>
      </w:r>
      <w:r w:rsidR="00061325" w:rsidRPr="00787196">
        <w:rPr>
          <w:rFonts w:cs="Arial"/>
          <w:szCs w:val="24"/>
        </w:rPr>
        <w:t xml:space="preserve"> between concern for oral health and OHQoL in denture wearers </w:t>
      </w:r>
      <w:r w:rsidR="00061325" w:rsidRPr="00787196">
        <w:rPr>
          <w:rFonts w:cs="Arial"/>
          <w:szCs w:val="24"/>
        </w:rPr>
        <w:fldChar w:fldCharType="begin">
          <w:fldData xml:space="preserve">PEVuZE5vdGU+PENpdGU+PEF1dGhvcj5Mb2NrZXI8L0F1dGhvcj48WWVhcj4yMDAyPC9ZZWFyPjxS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</w:fldData>
        </w:fldChar>
      </w:r>
      <w:r w:rsidR="00BF3DB0" w:rsidRPr="00787196">
        <w:rPr>
          <w:rFonts w:cs="Arial"/>
          <w:szCs w:val="24"/>
        </w:rPr>
        <w:instrText xml:space="preserve"> ADDIN EN.CITE </w:instrText>
      </w:r>
      <w:r w:rsidR="00BF3DB0" w:rsidRPr="00787196">
        <w:rPr>
          <w:rFonts w:cs="Arial"/>
          <w:szCs w:val="24"/>
        </w:rPr>
        <w:fldChar w:fldCharType="begin">
          <w:fldData xml:space="preserve">PEVuZE5vdGU+PENpdGU+PEF1dGhvcj5Mb2NrZXI8L0F1dGhvcj48WWVhcj4yMDAyPC9ZZWFyPjxS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</w:fldData>
        </w:fldChar>
      </w:r>
      <w:r w:rsidR="00BF3DB0" w:rsidRPr="00787196">
        <w:rPr>
          <w:rFonts w:cs="Arial"/>
          <w:szCs w:val="24"/>
        </w:rPr>
        <w:instrText xml:space="preserve"> ADDIN EN.CITE.DATA </w:instrText>
      </w:r>
      <w:r w:rsidR="00BF3DB0" w:rsidRPr="00787196">
        <w:rPr>
          <w:rFonts w:cs="Arial"/>
          <w:szCs w:val="24"/>
        </w:rPr>
      </w:r>
      <w:r w:rsidR="00BF3DB0" w:rsidRPr="00787196">
        <w:rPr>
          <w:rFonts w:cs="Arial"/>
          <w:szCs w:val="24"/>
        </w:rPr>
        <w:fldChar w:fldCharType="end"/>
      </w:r>
      <w:r w:rsidR="00061325" w:rsidRPr="00787196">
        <w:rPr>
          <w:rFonts w:cs="Arial"/>
          <w:szCs w:val="24"/>
        </w:rPr>
      </w:r>
      <w:r w:rsidR="00061325" w:rsidRPr="00787196">
        <w:rPr>
          <w:rFonts w:cs="Arial"/>
          <w:szCs w:val="24"/>
        </w:rPr>
        <w:fldChar w:fldCharType="separate"/>
      </w:r>
      <w:r w:rsidR="00BF3DB0" w:rsidRPr="00787196">
        <w:rPr>
          <w:rFonts w:cs="Arial"/>
          <w:szCs w:val="24"/>
        </w:rPr>
        <w:t>(Locker and Allen, 2002, Hwang et al., 2012)</w:t>
      </w:r>
      <w:r w:rsidR="00061325" w:rsidRPr="00787196">
        <w:rPr>
          <w:rFonts w:cs="Arial"/>
          <w:szCs w:val="24"/>
        </w:rPr>
        <w:fldChar w:fldCharType="end"/>
      </w:r>
      <w:r w:rsidR="00061325" w:rsidRPr="00787196">
        <w:rPr>
          <w:rFonts w:cs="Arial"/>
          <w:szCs w:val="24"/>
        </w:rPr>
        <w:t xml:space="preserve"> </w:t>
      </w:r>
    </w:p>
    <w:p w14:paraId="229C3492" w14:textId="607844E6" w:rsidR="00573AF4" w:rsidRPr="00787196" w:rsidRDefault="00061325" w:rsidP="002C4FCD">
      <w:pPr>
        <w:spacing w:after="0"/>
        <w:rPr>
          <w:rFonts w:cs="Arial"/>
          <w:szCs w:val="24"/>
        </w:rPr>
      </w:pPr>
      <w:r w:rsidRPr="00787196">
        <w:rPr>
          <w:rFonts w:cs="Arial"/>
          <w:szCs w:val="24"/>
        </w:rPr>
        <w:t xml:space="preserve">Locker and Allen </w:t>
      </w:r>
      <w:r w:rsidRPr="00787196">
        <w:rPr>
          <w:rFonts w:cs="Arial"/>
          <w:szCs w:val="24"/>
        </w:rPr>
        <w:fldChar w:fldCharType="begin"/>
      </w:r>
      <w:r w:rsidRPr="00787196">
        <w:rPr>
          <w:rFonts w:cs="Arial"/>
          <w:szCs w:val="24"/>
        </w:rPr>
        <w:instrText xml:space="preserve"> ADDIN EN.CITE &lt;EndNote&gt;&lt;Cite ExcludeAuth="1"&gt;&lt;Author&gt;Locker&lt;/Author&gt;&lt;Year&gt;2002&lt;/Year&gt;&lt;RecNum&gt;0&lt;/RecNum&gt;&lt;IDText&gt;Developing short-form measures of oral health-related quality of life&lt;/IDText&gt;&lt;DisplayText&gt;(2002)&lt;/DisplayText&gt;&lt;record&gt;&lt;dates&gt;&lt;pub-dates&gt;&lt;date&gt;Winter&lt;/date&gt;&lt;/pub-dates&gt;&lt;year&gt;2002&lt;/year&gt;&lt;/dates&gt;&lt;isbn&gt;0022-4006 (Print)&amp;#xD;0022-4006&lt;/isbn&gt;&lt;titles&gt;&lt;title&gt;Developing short-form measures of oral health-related quality of life&lt;/title&gt;&lt;secondary-title&gt;J Public Health Dent&lt;/secondary-title&gt;&lt;alt-title&gt;Journal of public health dentistry&lt;/alt-title&gt;&lt;/titles&gt;&lt;pages&gt;13-20&lt;/pages&gt;&lt;number&gt;1&lt;/number&gt;&lt;contributors&gt;&lt;authors&gt;&lt;author&gt;Locker, D.&lt;/author&gt;&lt;author&gt;Allen, P. F.&lt;/author&gt;&lt;/authors&gt;&lt;/contributors&gt;&lt;edition&gt;2004/01/01&lt;/edition&gt;&lt;language&gt;eng&lt;/language&gt;&lt;added-date format="utc"&gt;1374065288&lt;/added-date&gt;&lt;ref-type name="Journal Article"&gt;17&lt;/ref-type&gt;&lt;auth-address&gt;Faculty of Dentistry, University of Toronto, 124 Edward Street, Toronto, Ontario M5G 1G6, Canada. david.locker@utoronto.ca&lt;/auth-address&gt;&lt;remote-database-provider&gt;Nlm&lt;/remote-database-provider&gt;&lt;rec-number&gt;1032&lt;/rec-number&gt;&lt;last-updated-date format="utc"&gt;1374065288&lt;/last-updated-date&gt;&lt;accession-num&gt;14700084&lt;/accession-num&gt;&lt;volume&gt;62&lt;/volume&gt;&lt;/record&gt;&lt;/Cite&gt;&lt;/EndNote&gt;</w:instrText>
      </w:r>
      <w:r w:rsidRPr="00787196">
        <w:rPr>
          <w:rFonts w:cs="Arial"/>
          <w:szCs w:val="24"/>
        </w:rPr>
        <w:fldChar w:fldCharType="separate"/>
      </w:r>
      <w:r w:rsidRPr="00787196">
        <w:rPr>
          <w:rFonts w:cs="Arial"/>
          <w:szCs w:val="24"/>
        </w:rPr>
        <w:t>(2002)</w:t>
      </w:r>
      <w:r w:rsidRPr="00787196">
        <w:rPr>
          <w:rFonts w:cs="Arial"/>
          <w:szCs w:val="24"/>
        </w:rPr>
        <w:fldChar w:fldCharType="end"/>
      </w:r>
      <w:r w:rsidRPr="00787196">
        <w:rPr>
          <w:rFonts w:cs="Arial"/>
          <w:szCs w:val="24"/>
        </w:rPr>
        <w:t xml:space="preserve"> measured, self-rated oral health and self- perceived dental need among elders visiting a geriatric care centre </w:t>
      </w:r>
      <w:r w:rsidRPr="00787196">
        <w:rPr>
          <w:rFonts w:cs="Arial"/>
          <w:szCs w:val="24"/>
        </w:rPr>
        <w:fldChar w:fldCharType="begin"/>
      </w:r>
      <w:r w:rsidRPr="00787196">
        <w:rPr>
          <w:rFonts w:cs="Arial"/>
          <w:szCs w:val="24"/>
        </w:rPr>
        <w:instrText xml:space="preserve"> ADDIN EN.CITE &lt;EndNote&gt;&lt;Cite&gt;&lt;Author&gt;Locker&lt;/Author&gt;&lt;Year&gt;2001&lt;/Year&gt;&lt;RecNum&gt;0&lt;/RecNum&gt;&lt;IDText&gt;Comparison of the GOHAI and OHIP-14 as measures of the oral health-related quality of life of the elderly&lt;/IDText&gt;&lt;DisplayText&gt;(Locker et al., 2001)&lt;/DisplayText&gt;&lt;record&gt;&lt;dates&gt;&lt;pub-dates&gt;&lt;date&gt;Oct&lt;/date&gt;&lt;/pub-dates&gt;&lt;year&gt;2001&lt;/year&gt;&lt;/dates&gt;&lt;isbn&gt;0301-5661 (Print)&amp;#xD;0301-5661&lt;/isbn&gt;&lt;titles&gt;&lt;title&gt;Comparison of the GOHAI and OHIP-14 as measures of the oral health-related quality of life of the elderly&lt;/title&gt;&lt;secondary-title&gt;Community Dent Oral Epidemiol&lt;/secondary-title&gt;&lt;alt-title&gt;Community dentistry and oral epidemiology&lt;/alt-title&gt;&lt;/titles&gt;&lt;pages&gt;373-81&lt;/pages&gt;&lt;number&gt;5&lt;/number&gt;&lt;contributors&gt;&lt;authors&gt;&lt;author&gt;Locker, D.&lt;/author&gt;&lt;author&gt;Matear, D.&lt;/author&gt;&lt;author&gt;Stephens, M.&lt;/author&gt;&lt;author&gt;Lawrence, H.&lt;/author&gt;&lt;author&gt;Payne, B.&lt;/author&gt;&lt;/authors&gt;&lt;/contributors&gt;&lt;edition&gt;2001/09/13&lt;/edition&gt;&lt;language&gt;eng&lt;/language&gt;&lt;added-date format="utc"&gt;1374065288&lt;/added-date&gt;&lt;ref-type name="Journal Article"&gt;17&lt;/ref-type&gt;&lt;auth-address&gt;Community Dental Health Services Research Unit, Faculty of Dentistry, University of Toronto, Ontario, Canada. david.locker@utoronto.ca&lt;/auth-address&gt;&lt;remote-database-provider&gt;Nlm&lt;/remote-database-provider&gt;&lt;rec-number&gt;1068&lt;/rec-number&gt;&lt;last-updated-date format="utc"&gt;1374065288&lt;/last-updated-date&gt;&lt;accession-num&gt;11553110&lt;/accession-num&gt;&lt;volume&gt;29&lt;/volume&gt;&lt;/record&gt;&lt;/Cite&gt;&lt;/EndNote&gt;</w:instrText>
      </w:r>
      <w:r w:rsidRPr="00787196">
        <w:rPr>
          <w:rFonts w:cs="Arial"/>
          <w:szCs w:val="24"/>
        </w:rPr>
        <w:fldChar w:fldCharType="separate"/>
      </w:r>
      <w:r w:rsidRPr="00787196">
        <w:rPr>
          <w:rFonts w:cs="Arial"/>
          <w:szCs w:val="24"/>
        </w:rPr>
        <w:t>(Locker et al., 2001)</w:t>
      </w:r>
      <w:r w:rsidRPr="00787196">
        <w:rPr>
          <w:rFonts w:cs="Arial"/>
          <w:szCs w:val="24"/>
        </w:rPr>
        <w:fldChar w:fldCharType="end"/>
      </w:r>
      <w:r w:rsidRPr="00787196">
        <w:rPr>
          <w:rFonts w:cs="Arial"/>
          <w:szCs w:val="24"/>
        </w:rPr>
        <w:t xml:space="preserve"> of whom 31% were edentate and 71% of the dentate wore partial dentures. </w:t>
      </w:r>
      <w:r w:rsidR="00F521EA" w:rsidRPr="00787196">
        <w:rPr>
          <w:rFonts w:cs="Arial"/>
          <w:szCs w:val="24"/>
        </w:rPr>
        <w:t>I</w:t>
      </w:r>
      <w:r w:rsidRPr="00787196">
        <w:rPr>
          <w:rFonts w:cs="Arial"/>
          <w:szCs w:val="24"/>
        </w:rPr>
        <w:t xml:space="preserve">rrespective of denture status </w:t>
      </w:r>
      <w:r w:rsidR="00F521EA" w:rsidRPr="00787196">
        <w:rPr>
          <w:rFonts w:cs="Arial"/>
          <w:szCs w:val="24"/>
        </w:rPr>
        <w:t>there were</w:t>
      </w:r>
      <w:r w:rsidRPr="00787196">
        <w:rPr>
          <w:rFonts w:cs="Arial"/>
          <w:szCs w:val="24"/>
        </w:rPr>
        <w:t xml:space="preserve"> significant associations between self-rated health, perceived dental need and improvement in OHIP-14 scores. </w:t>
      </w:r>
      <w:r w:rsidR="00473141" w:rsidRPr="00787196">
        <w:rPr>
          <w:rFonts w:cs="Arial"/>
          <w:szCs w:val="24"/>
        </w:rPr>
        <w:t>Although perceived need is a different dimension altogether an item in the questionnaire asking the c</w:t>
      </w:r>
      <w:r w:rsidRPr="00787196">
        <w:rPr>
          <w:rFonts w:cs="Arial"/>
          <w:szCs w:val="24"/>
        </w:rPr>
        <w:t>oncern about oral health was significantly associated with OHQoL (OHIP-14).</w:t>
      </w:r>
    </w:p>
    <w:p w14:paraId="324C6778" w14:textId="56F300EE" w:rsidR="00061325" w:rsidRPr="00787196" w:rsidRDefault="00061325" w:rsidP="007332C4">
      <w:pPr>
        <w:spacing w:after="0"/>
        <w:rPr>
          <w:rFonts w:cs="Arial"/>
          <w:szCs w:val="24"/>
        </w:rPr>
      </w:pPr>
      <w:r w:rsidRPr="00787196">
        <w:rPr>
          <w:rFonts w:cs="Arial"/>
          <w:szCs w:val="24"/>
        </w:rPr>
        <w:t xml:space="preserve">Hwang and colleagues </w:t>
      </w:r>
      <w:r w:rsidRPr="00787196">
        <w:rPr>
          <w:rFonts w:cs="Arial"/>
          <w:szCs w:val="24"/>
        </w:rPr>
        <w:fldChar w:fldCharType="begin"/>
      </w:r>
      <w:r w:rsidRPr="00787196">
        <w:rPr>
          <w:rFonts w:cs="Arial"/>
          <w:szCs w:val="24"/>
        </w:rPr>
        <w:instrText xml:space="preserve"> ADDIN EN.CITE &lt;EndNote&gt;&lt;Cite ExcludeAuth="1"&gt;&lt;Author&gt;Hwang&lt;/Author&gt;&lt;Year&gt;2012&lt;/Year&gt;&lt;RecNum&gt;0&lt;/RecNum&gt;&lt;IDText&gt;Relationship between oral impacts on daily performance and chewing ability among independent elders residing in Daejeon City, Korea&lt;/IDText&gt;&lt;DisplayText&gt;(2012)&lt;/DisplayText&gt;&lt;record&gt;&lt;dates&gt;&lt;pub-dates&gt;&lt;date&gt;Jun&lt;/date&gt;&lt;/pub-dates&gt;&lt;year&gt;2012&lt;/year&gt;&lt;/dates&gt;&lt;isbn&gt;0734-0664&lt;/isbn&gt;&lt;titles&gt;&lt;title&gt;Relationship between oral impacts on daily performance and chewing ability among independent elders residing in Daejeon City, Korea&lt;/title&gt;&lt;secondary-title&gt;Gerodontology&lt;/secondary-title&gt;&lt;alt-title&gt;Gerodontology&lt;/alt-title&gt;&lt;/titles&gt;&lt;pages&gt;e481-8&lt;/pages&gt;&lt;number&gt;2&lt;/number&gt;&lt;contributors&gt;&lt;authors&gt;&lt;author&gt;Hwang, S. J.&lt;/author&gt;&lt;author&gt;Patton, L. L.&lt;/author&gt;&lt;author&gt;Kim, J. H.&lt;/author&gt;&lt;author&gt;Kim, H. Y.&lt;/author&gt;&lt;/authors&gt;&lt;/contributors&gt;&lt;edition&gt;2012/01/10&lt;/edition&gt;&lt;language&gt;eng&lt;/language&gt;&lt;added-date format="utc"&gt;1374040089&lt;/added-date&gt;&lt;ref-type name="Journal Article"&gt;17&lt;/ref-type&gt;&lt;auth-address&gt;Department of Dental Hygiene, College of Medical Science, Konyang University, Deajeon, Korea.&lt;/auth-address&gt;&lt;remote-database-provider&gt;Nlm&lt;/remote-database-provider&gt;&lt;rec-number&gt;850&lt;/rec-number&gt;&lt;last-updated-date format="utc"&gt;1374040089&lt;/last-updated-date&gt;&lt;accession-num&gt;22225478&lt;/accession-num&gt;&lt;electronic-resource-num&gt;10.1111/j.1741-2358.2011.00504.x&lt;/electronic-resource-num&gt;&lt;volume&gt;29&lt;/volume&gt;&lt;/record&gt;&lt;/Cite&gt;&lt;/EndNote&gt;</w:instrText>
      </w:r>
      <w:r w:rsidRPr="00787196">
        <w:rPr>
          <w:rFonts w:cs="Arial"/>
          <w:szCs w:val="24"/>
        </w:rPr>
        <w:fldChar w:fldCharType="separate"/>
      </w:r>
      <w:r w:rsidRPr="00787196">
        <w:rPr>
          <w:rFonts w:cs="Arial"/>
          <w:szCs w:val="24"/>
        </w:rPr>
        <w:t>(2012)</w:t>
      </w:r>
      <w:r w:rsidRPr="00787196">
        <w:rPr>
          <w:rFonts w:cs="Arial"/>
          <w:szCs w:val="24"/>
        </w:rPr>
        <w:fldChar w:fldCharType="end"/>
      </w:r>
      <w:r w:rsidRPr="00787196">
        <w:rPr>
          <w:rFonts w:cs="Arial"/>
          <w:szCs w:val="24"/>
        </w:rPr>
        <w:t xml:space="preserve"> study o</w:t>
      </w:r>
      <w:r w:rsidR="005C7213" w:rsidRPr="00787196">
        <w:rPr>
          <w:rFonts w:cs="Arial"/>
          <w:szCs w:val="24"/>
        </w:rPr>
        <w:t xml:space="preserve">f 634 independent </w:t>
      </w:r>
      <w:r w:rsidRPr="00787196">
        <w:rPr>
          <w:rFonts w:cs="Arial"/>
          <w:szCs w:val="24"/>
        </w:rPr>
        <w:t>elders in Korea</w:t>
      </w:r>
      <w:r w:rsidR="005C7213" w:rsidRPr="00787196">
        <w:rPr>
          <w:rFonts w:cs="Arial"/>
          <w:szCs w:val="24"/>
        </w:rPr>
        <w:t xml:space="preserve"> (51 edentate)</w:t>
      </w:r>
      <w:r w:rsidRPr="00787196">
        <w:rPr>
          <w:rFonts w:cs="Arial"/>
          <w:szCs w:val="24"/>
        </w:rPr>
        <w:t xml:space="preserve">, explored the relationship between Oral Impacts on Daily Performances (OIDP) scores and chewing ability. </w:t>
      </w:r>
      <w:r w:rsidR="005C7213" w:rsidRPr="00787196">
        <w:rPr>
          <w:rFonts w:cs="Arial"/>
          <w:szCs w:val="24"/>
        </w:rPr>
        <w:t>OHQoL was better</w:t>
      </w:r>
      <w:r w:rsidRPr="00787196">
        <w:rPr>
          <w:rFonts w:cs="Arial"/>
          <w:szCs w:val="24"/>
        </w:rPr>
        <w:t xml:space="preserve"> in denture </w:t>
      </w:r>
      <w:r w:rsidRPr="00787196">
        <w:rPr>
          <w:rFonts w:cs="Arial"/>
          <w:szCs w:val="24"/>
        </w:rPr>
        <w:lastRenderedPageBreak/>
        <w:t xml:space="preserve">wearing individuals than edentate adults. Concern about oral health </w:t>
      </w:r>
      <w:r w:rsidR="005C7213" w:rsidRPr="00787196">
        <w:rPr>
          <w:rFonts w:cs="Arial"/>
          <w:szCs w:val="24"/>
        </w:rPr>
        <w:t>(</w:t>
      </w:r>
      <w:r w:rsidRPr="00787196">
        <w:rPr>
          <w:rFonts w:cs="Arial"/>
          <w:szCs w:val="24"/>
        </w:rPr>
        <w:t xml:space="preserve">recorded </w:t>
      </w:r>
      <w:r w:rsidR="005C7213" w:rsidRPr="00787196">
        <w:rPr>
          <w:rFonts w:cs="Arial"/>
          <w:szCs w:val="24"/>
        </w:rPr>
        <w:t>as</w:t>
      </w:r>
      <w:r w:rsidRPr="00787196">
        <w:rPr>
          <w:rFonts w:cs="Arial"/>
          <w:szCs w:val="24"/>
        </w:rPr>
        <w:t xml:space="preserve"> ‘concerned’, ‘not concerned’ and ‘neither’</w:t>
      </w:r>
      <w:r w:rsidR="005C7213" w:rsidRPr="00787196">
        <w:rPr>
          <w:rFonts w:cs="Arial"/>
          <w:szCs w:val="24"/>
        </w:rPr>
        <w:t xml:space="preserve">) was related to </w:t>
      </w:r>
      <w:r w:rsidRPr="00787196">
        <w:rPr>
          <w:rFonts w:cs="Arial"/>
          <w:szCs w:val="24"/>
        </w:rPr>
        <w:t>OHQoL</w:t>
      </w:r>
      <w:r w:rsidR="00F521EA" w:rsidRPr="00787196">
        <w:rPr>
          <w:rFonts w:cs="Arial"/>
          <w:szCs w:val="24"/>
        </w:rPr>
        <w:t>.</w:t>
      </w:r>
      <w:r w:rsidRPr="00787196">
        <w:rPr>
          <w:rFonts w:cs="Arial"/>
          <w:szCs w:val="24"/>
        </w:rPr>
        <w:t xml:space="preserve"> This </w:t>
      </w:r>
      <w:r w:rsidR="00F521EA" w:rsidRPr="00787196">
        <w:rPr>
          <w:rFonts w:cs="Arial"/>
          <w:szCs w:val="24"/>
        </w:rPr>
        <w:t>was the only study</w:t>
      </w:r>
      <w:r w:rsidRPr="00787196">
        <w:rPr>
          <w:rFonts w:cs="Arial"/>
          <w:szCs w:val="24"/>
        </w:rPr>
        <w:t xml:space="preserve"> extracted in the review to demonstrate a direct relationship between concern about oral health and OHQoL in a positive direction.</w:t>
      </w:r>
      <w:r w:rsidR="00F521EA" w:rsidRPr="00787196">
        <w:rPr>
          <w:rFonts w:cs="Arial"/>
          <w:szCs w:val="24"/>
        </w:rPr>
        <w:t xml:space="preserve"> While these data support a </w:t>
      </w:r>
      <w:r w:rsidRPr="00787196">
        <w:rPr>
          <w:rFonts w:cs="Arial"/>
          <w:szCs w:val="24"/>
        </w:rPr>
        <w:t>relationship between concern about oral health and OHQoL in denture wearers</w:t>
      </w:r>
      <w:r w:rsidR="00F521EA" w:rsidRPr="00787196">
        <w:rPr>
          <w:rFonts w:cs="Arial"/>
          <w:szCs w:val="24"/>
        </w:rPr>
        <w:t xml:space="preserve">, its causal </w:t>
      </w:r>
      <w:r w:rsidRPr="00787196">
        <w:rPr>
          <w:rFonts w:cs="Arial"/>
          <w:szCs w:val="24"/>
        </w:rPr>
        <w:t>direction is questionable as the study was cross-sectional.</w:t>
      </w:r>
    </w:p>
    <w:p w14:paraId="2BF8DD27" w14:textId="28191DF3" w:rsidR="007332C4" w:rsidRPr="00787196" w:rsidRDefault="00061325" w:rsidP="00573AF4">
      <w:pPr>
        <w:spacing w:after="0"/>
        <w:rPr>
          <w:rFonts w:cs="Arial"/>
          <w:szCs w:val="24"/>
        </w:rPr>
      </w:pPr>
      <w:r w:rsidRPr="00787196">
        <w:rPr>
          <w:rFonts w:cs="Arial"/>
          <w:szCs w:val="24"/>
        </w:rPr>
        <w:t xml:space="preserve">The above studies suggest indirect as well as </w:t>
      </w:r>
      <w:r w:rsidR="00F521EA" w:rsidRPr="00787196">
        <w:rPr>
          <w:rFonts w:cs="Arial"/>
          <w:szCs w:val="24"/>
        </w:rPr>
        <w:t>d</w:t>
      </w:r>
      <w:r w:rsidRPr="00787196">
        <w:rPr>
          <w:rFonts w:cs="Arial"/>
          <w:szCs w:val="24"/>
        </w:rPr>
        <w:t>irect relationship</w:t>
      </w:r>
      <w:r w:rsidR="00F521EA" w:rsidRPr="00787196">
        <w:rPr>
          <w:rFonts w:cs="Arial"/>
          <w:szCs w:val="24"/>
        </w:rPr>
        <w:t>s</w:t>
      </w:r>
      <w:r w:rsidRPr="00787196">
        <w:rPr>
          <w:rFonts w:cs="Arial"/>
          <w:szCs w:val="24"/>
        </w:rPr>
        <w:t xml:space="preserve"> between concern about oral health and OHQoL in denture wearers and give a rationale to fur</w:t>
      </w:r>
      <w:r w:rsidR="00B95AEF" w:rsidRPr="00787196">
        <w:rPr>
          <w:rFonts w:cs="Arial"/>
          <w:szCs w:val="24"/>
        </w:rPr>
        <w:t xml:space="preserve">ther explore this relationship to provide </w:t>
      </w:r>
      <w:r w:rsidRPr="00787196">
        <w:rPr>
          <w:rFonts w:cs="Arial"/>
          <w:szCs w:val="24"/>
        </w:rPr>
        <w:t xml:space="preserve">more insights </w:t>
      </w:r>
      <w:r w:rsidR="00B95AEF" w:rsidRPr="00787196">
        <w:rPr>
          <w:rFonts w:cs="Arial"/>
          <w:szCs w:val="24"/>
        </w:rPr>
        <w:t>into</w:t>
      </w:r>
      <w:r w:rsidRPr="00787196">
        <w:rPr>
          <w:rFonts w:cs="Arial"/>
          <w:szCs w:val="24"/>
        </w:rPr>
        <w:t xml:space="preserve"> whether individual’s concern about oral health mediates or confounds the successful outcomes (OHQoL) in denture</w:t>
      </w:r>
      <w:r w:rsidR="00B95AEF" w:rsidRPr="00787196">
        <w:rPr>
          <w:rFonts w:cs="Arial"/>
          <w:szCs w:val="24"/>
        </w:rPr>
        <w:t xml:space="preserve"> wearers</w:t>
      </w:r>
      <w:r w:rsidRPr="00787196">
        <w:rPr>
          <w:rFonts w:cs="Arial"/>
          <w:szCs w:val="24"/>
        </w:rPr>
        <w:t>.</w:t>
      </w:r>
    </w:p>
    <w:p w14:paraId="466FC596" w14:textId="67D91DE5" w:rsidR="00061325" w:rsidRPr="00787196" w:rsidRDefault="00061325" w:rsidP="00D9694A">
      <w:pPr>
        <w:pStyle w:val="Heading3"/>
      </w:pPr>
      <w:bookmarkStart w:id="91" w:name="_Toc488655627"/>
      <w:r w:rsidRPr="00787196">
        <w:t>P</w:t>
      </w:r>
      <w:r w:rsidR="00705358" w:rsidRPr="00787196">
        <w:t>erceived stress</w:t>
      </w:r>
      <w:bookmarkEnd w:id="91"/>
    </w:p>
    <w:p w14:paraId="020748BD" w14:textId="34DC14A5" w:rsidR="00061325" w:rsidRPr="00787196" w:rsidRDefault="00061325" w:rsidP="00E11819">
      <w:pPr>
        <w:spacing w:before="0" w:after="200"/>
        <w:rPr>
          <w:bCs/>
          <w:iCs/>
          <w:sz w:val="28"/>
        </w:rPr>
      </w:pPr>
      <w:r w:rsidRPr="00787196">
        <w:t>Definitions</w:t>
      </w:r>
    </w:p>
    <w:p w14:paraId="6C7E3926" w14:textId="0434A6A0" w:rsidR="00061325" w:rsidRPr="00787196" w:rsidRDefault="00061325" w:rsidP="00573AF4">
      <w:pPr>
        <w:spacing w:after="0"/>
        <w:rPr>
          <w:rFonts w:cs="Arial"/>
          <w:szCs w:val="24"/>
        </w:rPr>
      </w:pPr>
      <w:r w:rsidRPr="00787196">
        <w:rPr>
          <w:rFonts w:cs="Arial"/>
          <w:szCs w:val="24"/>
        </w:rPr>
        <w:t xml:space="preserve">Stress is defined as a </w:t>
      </w:r>
      <w:r w:rsidRPr="00787196">
        <w:rPr>
          <w:rFonts w:cs="Arial"/>
          <w:i/>
          <w:szCs w:val="24"/>
        </w:rPr>
        <w:t xml:space="preserve">”perceptual phenomenon arising from a comparison between the demand on the person and his </w:t>
      </w:r>
      <w:r w:rsidR="00573AF4" w:rsidRPr="00787196">
        <w:rPr>
          <w:rFonts w:cs="Arial"/>
          <w:i/>
          <w:szCs w:val="24"/>
        </w:rPr>
        <w:t xml:space="preserve">(sic) </w:t>
      </w:r>
      <w:r w:rsidRPr="00787196">
        <w:rPr>
          <w:rFonts w:cs="Arial"/>
          <w:i/>
          <w:szCs w:val="24"/>
        </w:rPr>
        <w:t xml:space="preserve">ability to cope” </w:t>
      </w:r>
      <w:r w:rsidRPr="00787196">
        <w:rPr>
          <w:rFonts w:cs="Arial"/>
          <w:szCs w:val="24"/>
        </w:rPr>
        <w:fldChar w:fldCharType="begin"/>
      </w:r>
      <w:r w:rsidR="00573AF4" w:rsidRPr="00787196">
        <w:rPr>
          <w:rFonts w:cs="Arial"/>
          <w:szCs w:val="24"/>
        </w:rPr>
        <w:instrText xml:space="preserve"> ADDIN EN.CITE &lt;EndNote&gt;&lt;Cite&gt;&lt;Year&gt;1978&lt;/Year&gt;&lt;RecNum&gt;200&lt;/RecNum&gt;&lt;DisplayText&gt;(Cox, 1978)&lt;/DisplayText&gt;&lt;record&gt;&lt;rec-number&gt;200&lt;/rec-number&gt;&lt;foreign-keys&gt;&lt;key app="EN" db-id="pprx5af0eezz5resrauvszthwfd2xp5txea9"&gt;200&lt;/key&gt;&lt;/foreign-keys&gt;&lt;ref-type name="Book"&gt;6&lt;/ref-type&gt;&lt;contributors&gt;&lt;authors&gt;&lt;author&gt;Cox, Tom&lt;/author&gt;&lt;/authors&gt;&lt;/contributors&gt;&lt;titles&gt;&lt;title&gt;Stress&lt;/title&gt;&lt;/titles&gt;&lt;dates&gt;&lt;year&gt;1978&lt;/year&gt;&lt;/dates&gt;&lt;pub-location&gt;Baltimore&lt;/pub-location&gt;&lt;publisher&gt;University Park Press&lt;/publisher&gt;&lt;isbn&gt;083911219X 9780839112198&lt;/isbn&gt;&lt;accession-num&gt;3609261&lt;/accession-num&gt;&lt;/record&gt;&lt;/Cite&gt;&lt;/EndNote&gt;</w:instrText>
      </w:r>
      <w:r w:rsidRPr="00787196">
        <w:rPr>
          <w:rFonts w:cs="Arial"/>
          <w:szCs w:val="24"/>
        </w:rPr>
        <w:fldChar w:fldCharType="separate"/>
      </w:r>
      <w:r w:rsidR="00573AF4" w:rsidRPr="00787196">
        <w:rPr>
          <w:rFonts w:cs="Arial"/>
          <w:noProof/>
          <w:szCs w:val="24"/>
        </w:rPr>
        <w:t>(Cox, 1978)</w:t>
      </w:r>
      <w:r w:rsidRPr="00787196">
        <w:rPr>
          <w:rFonts w:cs="Arial"/>
          <w:szCs w:val="24"/>
        </w:rPr>
        <w:fldChar w:fldCharType="end"/>
      </w:r>
      <w:r w:rsidRPr="00787196">
        <w:rPr>
          <w:rFonts w:cs="Arial"/>
          <w:i/>
          <w:szCs w:val="24"/>
        </w:rPr>
        <w:t>.</w:t>
      </w:r>
      <w:r w:rsidRPr="00787196">
        <w:rPr>
          <w:rFonts w:cs="Arial"/>
          <w:szCs w:val="24"/>
        </w:rPr>
        <w:t xml:space="preserve"> </w:t>
      </w:r>
    </w:p>
    <w:p w14:paraId="389DFA44" w14:textId="38108AD7" w:rsidR="006E6250" w:rsidRPr="00787196" w:rsidRDefault="0002068E" w:rsidP="00573AF4">
      <w:pPr>
        <w:rPr>
          <w:rFonts w:cs="Arial"/>
          <w:szCs w:val="24"/>
        </w:rPr>
      </w:pPr>
      <w:r w:rsidRPr="00787196">
        <w:rPr>
          <w:rFonts w:cs="Arial"/>
          <w:szCs w:val="24"/>
        </w:rPr>
        <w:t xml:space="preserve">Likewise, </w:t>
      </w:r>
      <w:r w:rsidR="00061325" w:rsidRPr="00787196">
        <w:rPr>
          <w:rFonts w:cs="Arial"/>
          <w:szCs w:val="24"/>
        </w:rPr>
        <w:t xml:space="preserve">Cohen and colleagues </w:t>
      </w:r>
      <w:r w:rsidR="00061325" w:rsidRPr="00787196">
        <w:rPr>
          <w:rFonts w:cs="Arial"/>
          <w:szCs w:val="24"/>
        </w:rPr>
        <w:fldChar w:fldCharType="begin"/>
      </w:r>
      <w:r w:rsidR="00573AF4" w:rsidRPr="00787196">
        <w:rPr>
          <w:rFonts w:cs="Arial"/>
          <w:szCs w:val="24"/>
        </w:rPr>
        <w:instrText xml:space="preserve"> ADDIN EN.CITE &lt;EndNote&gt;&lt;Cite ExcludeAuth="1"&gt;&lt;Year&gt;1995&lt;/Year&gt;&lt;RecNum&gt;103&lt;/RecNum&gt;&lt;Suffix&gt;`; p.3&lt;/Suffix&gt;&lt;DisplayText&gt;(1995; p.3)&lt;/DisplayText&gt;&lt;record&gt;&lt;rec-number&gt;103&lt;/rec-number&gt;&lt;foreign-keys&gt;&lt;key app="EN" db-id="pprx5af0eezz5resrauvszthwfd2xp5txea9"&gt;103&lt;/key&gt;&lt;/foreign-keys&gt;&lt;ref-type name="Book"&gt;6&lt;/ref-type&gt;&lt;contributors&gt;&lt;authors&gt;&lt;author&gt;Cohen, Sheldon&lt;/author&gt;&lt;author&gt;Kessler, Ronald C.&lt;/author&gt;&lt;author&gt;Gordon, Lynn Underwood&lt;/author&gt;&lt;/authors&gt;&lt;/contributors&gt;&lt;titles&gt;&lt;title&gt;Measuring stress : a guide for health and social scientists&lt;/title&gt;&lt;/titles&gt;&lt;dates&gt;&lt;year&gt;1995&lt;/year&gt;&lt;/dates&gt;&lt;pub-location&gt;New York&lt;/pub-location&gt;&lt;publisher&gt;Oxford University Press&lt;/publisher&gt;&lt;isbn&gt;0195086414 9780195086416&lt;/isbn&gt;&lt;accession-num&gt;30075945&lt;/accession-num&gt;&lt;/record&gt;&lt;/Cite&gt;&lt;/EndNote&gt;</w:instrText>
      </w:r>
      <w:r w:rsidR="00061325" w:rsidRPr="00787196">
        <w:rPr>
          <w:rFonts w:cs="Arial"/>
          <w:szCs w:val="24"/>
        </w:rPr>
        <w:fldChar w:fldCharType="separate"/>
      </w:r>
      <w:r w:rsidR="00573AF4" w:rsidRPr="00787196">
        <w:rPr>
          <w:rFonts w:cs="Arial"/>
          <w:noProof/>
          <w:szCs w:val="24"/>
        </w:rPr>
        <w:t>(1995; p.3)</w:t>
      </w:r>
      <w:r w:rsidR="00061325" w:rsidRPr="00787196">
        <w:rPr>
          <w:rFonts w:cs="Arial"/>
          <w:szCs w:val="24"/>
        </w:rPr>
        <w:fldChar w:fldCharType="end"/>
      </w:r>
      <w:r w:rsidR="00061325" w:rsidRPr="00787196">
        <w:rPr>
          <w:rFonts w:cs="Arial"/>
          <w:szCs w:val="24"/>
        </w:rPr>
        <w:t xml:space="preserve"> define stress as “</w:t>
      </w:r>
      <w:r w:rsidR="00061325" w:rsidRPr="00787196">
        <w:rPr>
          <w:rFonts w:cs="Arial"/>
          <w:i/>
          <w:szCs w:val="24"/>
        </w:rPr>
        <w:t>a process in which environmental demands tax or exceed the adaptive capacity of an organism, resulting in psychological and biological changes that may place person at risk for disease</w:t>
      </w:r>
      <w:r w:rsidR="00061325" w:rsidRPr="00787196">
        <w:rPr>
          <w:rFonts w:cs="Arial"/>
          <w:i/>
          <w:iCs/>
          <w:szCs w:val="24"/>
        </w:rPr>
        <w:t>”</w:t>
      </w:r>
      <w:r w:rsidR="00573AF4" w:rsidRPr="00787196">
        <w:rPr>
          <w:rFonts w:cs="Arial"/>
          <w:i/>
          <w:iCs/>
          <w:szCs w:val="24"/>
        </w:rPr>
        <w:t xml:space="preserve"> (p3)</w:t>
      </w:r>
    </w:p>
    <w:p w14:paraId="1BCD0064" w14:textId="3A304462" w:rsidR="006D6F72" w:rsidRPr="00787196" w:rsidRDefault="00061325" w:rsidP="00573AF4">
      <w:pPr>
        <w:spacing w:before="0" w:after="0"/>
        <w:rPr>
          <w:rFonts w:cs="Arial"/>
          <w:szCs w:val="24"/>
        </w:rPr>
      </w:pPr>
      <w:r w:rsidRPr="00787196">
        <w:rPr>
          <w:rFonts w:cs="Arial"/>
          <w:szCs w:val="24"/>
        </w:rPr>
        <w:t>Th</w:t>
      </w:r>
      <w:r w:rsidR="0002068E" w:rsidRPr="00787196">
        <w:rPr>
          <w:rFonts w:cs="Arial"/>
          <w:szCs w:val="24"/>
        </w:rPr>
        <w:t>ese</w:t>
      </w:r>
      <w:r w:rsidRPr="00787196">
        <w:rPr>
          <w:rFonts w:cs="Arial"/>
          <w:szCs w:val="24"/>
        </w:rPr>
        <w:t xml:space="preserve"> definition</w:t>
      </w:r>
      <w:r w:rsidR="0002068E" w:rsidRPr="00787196">
        <w:rPr>
          <w:rFonts w:cs="Arial"/>
          <w:szCs w:val="24"/>
        </w:rPr>
        <w:t>s</w:t>
      </w:r>
      <w:r w:rsidRPr="00787196">
        <w:rPr>
          <w:rFonts w:cs="Arial"/>
          <w:szCs w:val="24"/>
        </w:rPr>
        <w:t xml:space="preserve"> emphasise the adaptive capacity of an individual. This capacity is subjective and varies </w:t>
      </w:r>
      <w:r w:rsidR="0002068E" w:rsidRPr="00787196">
        <w:rPr>
          <w:rFonts w:cs="Arial"/>
          <w:szCs w:val="24"/>
        </w:rPr>
        <w:t xml:space="preserve">from </w:t>
      </w:r>
      <w:r w:rsidR="00573AF4" w:rsidRPr="00787196">
        <w:rPr>
          <w:rFonts w:cs="Arial"/>
          <w:szCs w:val="24"/>
        </w:rPr>
        <w:t xml:space="preserve">person to person. Both groups of authors </w:t>
      </w:r>
      <w:r w:rsidRPr="00787196">
        <w:rPr>
          <w:rFonts w:cs="Arial"/>
          <w:szCs w:val="24"/>
        </w:rPr>
        <w:t>explained stress under objective stressful events, coping processes and personality factors. When this stress levels exceed the adapti</w:t>
      </w:r>
      <w:r w:rsidR="0002068E" w:rsidRPr="00787196">
        <w:rPr>
          <w:rFonts w:cs="Arial"/>
          <w:szCs w:val="24"/>
        </w:rPr>
        <w:t>ve capacity the individual may become</w:t>
      </w:r>
      <w:r w:rsidRPr="00787196">
        <w:rPr>
          <w:rFonts w:cs="Arial"/>
          <w:szCs w:val="24"/>
        </w:rPr>
        <w:t xml:space="preserve"> vulnerable to a disease.</w:t>
      </w:r>
    </w:p>
    <w:p w14:paraId="68BC3A97" w14:textId="77777777" w:rsidR="006D6F72" w:rsidRPr="00787196" w:rsidRDefault="006D6F72">
      <w:pPr>
        <w:spacing w:before="0" w:after="0" w:line="240" w:lineRule="auto"/>
        <w:jc w:val="left"/>
        <w:rPr>
          <w:rFonts w:cs="Arial"/>
          <w:szCs w:val="24"/>
        </w:rPr>
      </w:pPr>
      <w:r w:rsidRPr="00787196">
        <w:rPr>
          <w:rFonts w:cs="Arial"/>
          <w:szCs w:val="24"/>
        </w:rPr>
        <w:br w:type="page"/>
      </w:r>
    </w:p>
    <w:p w14:paraId="56F659FA" w14:textId="4D766CD0" w:rsidR="0002068E" w:rsidRPr="00787196" w:rsidRDefault="00061325" w:rsidP="007332C4">
      <w:pPr>
        <w:rPr>
          <w:rFonts w:cs="Arial"/>
          <w:szCs w:val="24"/>
        </w:rPr>
      </w:pPr>
      <w:r w:rsidRPr="00787196">
        <w:rPr>
          <w:rFonts w:cs="Arial"/>
          <w:szCs w:val="24"/>
        </w:rPr>
        <w:lastRenderedPageBreak/>
        <w:t xml:space="preserve">Perceived stress is explained as something that is subjectively experienced by an individual when they believe that their demands exceed their ability to cope </w:t>
      </w:r>
      <w:r w:rsidRPr="00787196">
        <w:rPr>
          <w:rFonts w:cs="Arial"/>
          <w:szCs w:val="24"/>
        </w:rPr>
        <w:fldChar w:fldCharType="begin"/>
      </w:r>
      <w:r w:rsidRPr="00787196">
        <w:rPr>
          <w:rFonts w:cs="Arial"/>
          <w:szCs w:val="24"/>
        </w:rPr>
        <w:instrText xml:space="preserve"> ADDIN EN.CITE &lt;EndNote&gt;&lt;Cite&gt;&lt;Author&gt;Lazarus&lt;/Author&gt;&lt;Year&gt;1984&lt;/Year&gt;&lt;RecNum&gt;152&lt;/RecNum&gt;&lt;DisplayText&gt;(Lazarus and Folkman, 1984)&lt;/DisplayText&gt;&lt;record&gt;&lt;rec-number&gt;152&lt;/rec-number&gt;&lt;foreign-keys&gt;&lt;key app="EN" db-id="xf0vwtv58a0w9wezwe9vp0fn0wwt2fp5srs0"&gt;152&lt;/key&gt;&lt;/foreign-keys&gt;&lt;ref-type name="Book"&gt;6&lt;/ref-type&gt;&lt;contributors&gt;&lt;authors&gt;&lt;author&gt;Richard S. Lazarus&lt;/author&gt;&lt;author&gt;Susan Folkman&lt;/author&gt;&lt;/authors&gt;&lt;/contributors&gt;&lt;titles&gt;&lt;title&gt;Stress, appraisal, and coping&lt;/title&gt;&lt;/titles&gt;&lt;dates&gt;&lt;year&gt;1984&lt;/year&gt;&lt;/dates&gt;&lt;pub-location&gt;New York&lt;/pub-location&gt;&lt;publisher&gt;Springer&lt;/publisher&gt;&lt;/record&gt;&lt;/Cite&gt;&lt;/EndNote&gt;</w:instrText>
      </w:r>
      <w:r w:rsidRPr="00787196">
        <w:rPr>
          <w:rFonts w:cs="Arial"/>
          <w:szCs w:val="24"/>
        </w:rPr>
        <w:fldChar w:fldCharType="separate"/>
      </w:r>
      <w:r w:rsidRPr="00787196">
        <w:rPr>
          <w:rFonts w:cs="Arial"/>
          <w:szCs w:val="24"/>
        </w:rPr>
        <w:t>(Lazarus and Folkman, 1984)</w:t>
      </w:r>
      <w:r w:rsidRPr="00787196">
        <w:rPr>
          <w:rFonts w:cs="Arial"/>
          <w:szCs w:val="24"/>
        </w:rPr>
        <w:fldChar w:fldCharType="end"/>
      </w:r>
      <w:r w:rsidRPr="00787196">
        <w:rPr>
          <w:rFonts w:cs="Arial"/>
          <w:szCs w:val="24"/>
        </w:rPr>
        <w:t>.</w:t>
      </w:r>
      <w:r w:rsidR="0002068E" w:rsidRPr="00787196">
        <w:rPr>
          <w:rFonts w:cs="Arial"/>
          <w:szCs w:val="24"/>
        </w:rPr>
        <w:t xml:space="preserve"> This lead to the development of ‘Transactional Model of stress’ </w:t>
      </w:r>
      <w:r w:rsidR="0002068E" w:rsidRPr="00787196">
        <w:rPr>
          <w:rFonts w:cs="Arial"/>
          <w:szCs w:val="24"/>
        </w:rPr>
        <w:fldChar w:fldCharType="begin"/>
      </w:r>
      <w:r w:rsidR="0002068E" w:rsidRPr="00787196">
        <w:rPr>
          <w:rFonts w:cs="Arial"/>
          <w:szCs w:val="24"/>
        </w:rPr>
        <w:instrText xml:space="preserve"> ADDIN EN.CITE &lt;EndNote&gt;&lt;Cite&gt;&lt;Author&gt;Lazarus&lt;/Author&gt;&lt;Year&gt;1987&lt;/Year&gt;&lt;RecNum&gt;0&lt;/RecNum&gt;&lt;IDText&gt;Transactional theory and research on emotions and coping&lt;/IDText&gt;&lt;DisplayText&gt;(Lazarus and Folkman, 1987)&lt;/DisplayText&gt;&lt;record&gt;&lt;isbn&gt;1099-0984&lt;/isbn&gt;&lt;titles&gt;&lt;title&gt;Transactional theory and research on emotions and coping&lt;/title&gt;&lt;secondary-title&gt;European Journal of personality&lt;/secondary-title&gt;&lt;/titles&gt;&lt;pages&gt;141-169&lt;/pages&gt;&lt;number&gt;3&lt;/number&gt;&lt;contributors&gt;&lt;authors&gt;&lt;author&gt;Lazarus, Richard S.&lt;/author&gt;&lt;author&gt;Folkman, Susan&lt;/author&gt;&lt;/authors&gt;&lt;/contributors&gt;&lt;added-date format="utc"&gt;1377762704&lt;/added-date&gt;&lt;ref-type name="Journal Article"&gt;17&lt;/ref-type&gt;&lt;dates&gt;&lt;year&gt;1987&lt;/year&gt;&lt;/dates&gt;&lt;rec-number&gt;1158&lt;/rec-number&gt;&lt;publisher&gt;Wiley Online Library&lt;/publisher&gt;&lt;last-updated-date format="utc"&gt;1385713712&lt;/last-updated-date&gt;&lt;volume&gt;1&lt;/volume&gt;&lt;/record&gt;&lt;/Cite&gt;&lt;/EndNote&gt;</w:instrText>
      </w:r>
      <w:r w:rsidR="0002068E" w:rsidRPr="00787196">
        <w:rPr>
          <w:rFonts w:cs="Arial"/>
          <w:szCs w:val="24"/>
        </w:rPr>
        <w:fldChar w:fldCharType="separate"/>
      </w:r>
      <w:r w:rsidR="0002068E" w:rsidRPr="00787196">
        <w:rPr>
          <w:rFonts w:cs="Arial"/>
          <w:szCs w:val="24"/>
        </w:rPr>
        <w:t>(Lazarus and Folkman, 1987)</w:t>
      </w:r>
      <w:r w:rsidR="0002068E" w:rsidRPr="00787196">
        <w:rPr>
          <w:rFonts w:cs="Arial"/>
          <w:szCs w:val="24"/>
        </w:rPr>
        <w:fldChar w:fldCharType="end"/>
      </w:r>
      <w:r w:rsidR="0002068E" w:rsidRPr="00787196">
        <w:rPr>
          <w:rFonts w:cs="Arial"/>
          <w:szCs w:val="24"/>
        </w:rPr>
        <w:t>. This model introduced the concept of cognitive appraisal and transaction between the individual and the environment to elicit a stress response. This model was elaborated earlier under the coping strategies section.</w:t>
      </w:r>
    </w:p>
    <w:p w14:paraId="1F96E41D" w14:textId="193EB4F9" w:rsidR="006E6250" w:rsidRPr="00787196" w:rsidRDefault="006E6250" w:rsidP="00226A04">
      <w:pPr>
        <w:pStyle w:val="Heading4"/>
      </w:pPr>
      <w:r w:rsidRPr="00787196">
        <w:t>Stress mechanisms</w:t>
      </w:r>
      <w:r w:rsidR="00933A74" w:rsidRPr="00787196">
        <w:t xml:space="preserve"> and</w:t>
      </w:r>
      <w:r w:rsidRPr="00787196">
        <w:t xml:space="preserve"> health</w:t>
      </w:r>
    </w:p>
    <w:p w14:paraId="196EAEEA" w14:textId="42B0D350" w:rsidR="006E6250" w:rsidRPr="00787196" w:rsidRDefault="006E6250" w:rsidP="00727B08">
      <w:pPr>
        <w:spacing w:before="0" w:after="0"/>
        <w:rPr>
          <w:rFonts w:cs="Arial"/>
          <w:szCs w:val="24"/>
        </w:rPr>
      </w:pPr>
      <w:r w:rsidRPr="00787196">
        <w:rPr>
          <w:rFonts w:cs="Arial"/>
          <w:szCs w:val="24"/>
        </w:rPr>
        <w:t xml:space="preserve">Various models of stress have been explored in the past. Models such as the Cannon’s </w:t>
      </w:r>
      <w:r w:rsidRPr="00787196">
        <w:rPr>
          <w:rFonts w:cs="Arial"/>
          <w:szCs w:val="24"/>
        </w:rPr>
        <w:fldChar w:fldCharType="begin"/>
      </w:r>
      <w:r w:rsidRPr="00787196">
        <w:rPr>
          <w:rFonts w:cs="Arial"/>
          <w:szCs w:val="24"/>
        </w:rPr>
        <w:instrText xml:space="preserve"> ADDIN EN.CITE &lt;EndNote&gt;&lt;Cite ExcludeAuth="1"&gt;&lt;Author&gt;Cannon&lt;/Author&gt;&lt;Year&gt;1939&lt;/Year&gt;&lt;RecNum&gt;0&lt;/RecNum&gt;&lt;IDText&gt;The wisdom of the body. 1932&lt;/IDText&gt;&lt;DisplayText&gt;(1939)&lt;/DisplayText&gt;&lt;record&gt;&lt;titles&gt;&lt;title&gt;The wisdom of the body. 1932&lt;/title&gt;&lt;secondary-title&gt;NY Norton&lt;/secondary-title&gt;&lt;/titles&gt;&lt;contributors&gt;&lt;authors&gt;&lt;author&gt;Cannon, Walter B.&lt;/author&gt;&lt;/authors&gt;&lt;/contributors&gt;&lt;added-date format="utc"&gt;1390402736&lt;/added-date&gt;&lt;ref-type name="Journal Article"&gt;17&lt;/ref-type&gt;&lt;dates&gt;&lt;year&gt;1939&lt;/year&gt;&lt;/dates&gt;&lt;rec-number&gt;1938&lt;/rec-number&gt;&lt;last-updated-date format="utc"&gt;1390402736&lt;/last-updated-date&gt;&lt;/record&gt;&lt;/Cite&gt;&lt;/EndNote&gt;</w:instrText>
      </w:r>
      <w:r w:rsidRPr="00787196">
        <w:rPr>
          <w:rFonts w:cs="Arial"/>
          <w:szCs w:val="24"/>
        </w:rPr>
        <w:fldChar w:fldCharType="separate"/>
      </w:r>
      <w:r w:rsidRPr="00787196">
        <w:rPr>
          <w:rFonts w:cs="Arial"/>
          <w:szCs w:val="24"/>
        </w:rPr>
        <w:t>(1939)</w:t>
      </w:r>
      <w:r w:rsidRPr="00787196">
        <w:rPr>
          <w:rFonts w:cs="Arial"/>
          <w:szCs w:val="24"/>
        </w:rPr>
        <w:fldChar w:fldCharType="end"/>
      </w:r>
      <w:r w:rsidRPr="00787196">
        <w:rPr>
          <w:rFonts w:cs="Arial"/>
          <w:szCs w:val="24"/>
        </w:rPr>
        <w:t xml:space="preserve"> fight or flight model and Selye’s </w:t>
      </w:r>
      <w:r w:rsidRPr="00787196">
        <w:rPr>
          <w:rFonts w:cs="Arial"/>
          <w:szCs w:val="24"/>
        </w:rPr>
        <w:fldChar w:fldCharType="begin"/>
      </w:r>
      <w:r w:rsidRPr="00787196">
        <w:rPr>
          <w:rFonts w:cs="Arial"/>
          <w:szCs w:val="24"/>
        </w:rPr>
        <w:instrText xml:space="preserve"> ADDIN EN.CITE &lt;EndNote&gt;&lt;Cite ExcludeAuth="1"&gt;&lt;Author&gt;Selye&lt;/Author&gt;&lt;Year&gt;1956&lt;/Year&gt;&lt;RecNum&gt;0&lt;/RecNum&gt;&lt;IDText&gt;The stress of life&lt;/IDText&gt;&lt;DisplayText&gt;(1956)&lt;/DisplayText&gt;&lt;record&gt;&lt;titles&gt;&lt;title&gt;The stress of life&lt;/title&gt;&lt;/titles&gt;&lt;contributors&gt;&lt;authors&gt;&lt;author&gt;Selye, Hans&lt;/author&gt;&lt;/authors&gt;&lt;/contributors&gt;&lt;added-date format="utc"&gt;1390403025&lt;/added-date&gt;&lt;ref-type name="Book"&gt;6&lt;/ref-type&gt;&lt;dates&gt;&lt;year&gt;1956&lt;/year&gt;&lt;/dates&gt;&lt;rec-number&gt;1939&lt;/rec-number&gt;&lt;publisher&gt;McGraw-Hill&lt;/publisher&gt;&lt;last-updated-date format="utc"&gt;1390403123&lt;/last-updated-date&gt;&lt;/record&gt;&lt;/Cite&gt;&lt;/EndNote&gt;</w:instrText>
      </w:r>
      <w:r w:rsidRPr="00787196">
        <w:rPr>
          <w:rFonts w:cs="Arial"/>
          <w:szCs w:val="24"/>
        </w:rPr>
        <w:fldChar w:fldCharType="separate"/>
      </w:r>
      <w:r w:rsidRPr="00787196">
        <w:rPr>
          <w:rFonts w:cs="Arial"/>
          <w:szCs w:val="24"/>
        </w:rPr>
        <w:t>(1956)</w:t>
      </w:r>
      <w:r w:rsidRPr="00787196">
        <w:rPr>
          <w:rFonts w:cs="Arial"/>
          <w:szCs w:val="24"/>
        </w:rPr>
        <w:fldChar w:fldCharType="end"/>
      </w:r>
      <w:r w:rsidRPr="00787196">
        <w:rPr>
          <w:rFonts w:cs="Arial"/>
          <w:szCs w:val="24"/>
        </w:rPr>
        <w:t xml:space="preserve"> General Adaptation Syndrome (GAS) based on as stimulus-response framework. </w:t>
      </w:r>
    </w:p>
    <w:p w14:paraId="0DE54C42" w14:textId="503E1715" w:rsidR="00C043C3" w:rsidRPr="00787196" w:rsidRDefault="00C043C3" w:rsidP="00727B08">
      <w:pPr>
        <w:spacing w:after="240"/>
        <w:rPr>
          <w:rFonts w:cs="Arial"/>
          <w:szCs w:val="24"/>
        </w:rPr>
      </w:pPr>
      <w:r w:rsidRPr="00787196">
        <w:rPr>
          <w:rFonts w:cs="Arial"/>
          <w:szCs w:val="24"/>
        </w:rPr>
        <w:t>Based on how an individual perceives the stressor (i.e.</w:t>
      </w:r>
      <w:r w:rsidR="00727B08" w:rsidRPr="00787196">
        <w:rPr>
          <w:rFonts w:cs="Arial"/>
          <w:szCs w:val="24"/>
        </w:rPr>
        <w:t xml:space="preserve"> a </w:t>
      </w:r>
      <w:r w:rsidRPr="00787196">
        <w:rPr>
          <w:rFonts w:cs="Arial"/>
          <w:szCs w:val="24"/>
        </w:rPr>
        <w:t>cognitive appraisal</w:t>
      </w:r>
      <w:r w:rsidR="00727B08" w:rsidRPr="00787196">
        <w:rPr>
          <w:rFonts w:cs="Arial"/>
          <w:szCs w:val="24"/>
        </w:rPr>
        <w:t>)</w:t>
      </w:r>
      <w:r w:rsidRPr="00787196">
        <w:rPr>
          <w:rFonts w:cs="Arial"/>
          <w:szCs w:val="24"/>
        </w:rPr>
        <w:t xml:space="preserve"> they have three types of response namely, emotional, physiological and behavioural. </w:t>
      </w:r>
      <w:r w:rsidR="00CB28FC" w:rsidRPr="00787196">
        <w:rPr>
          <w:rFonts w:cs="Arial"/>
          <w:szCs w:val="24"/>
        </w:rPr>
        <w:t xml:space="preserve">Emotional responses </w:t>
      </w:r>
      <w:r w:rsidR="00B70A25" w:rsidRPr="00787196">
        <w:rPr>
          <w:rFonts w:cs="Arial"/>
          <w:szCs w:val="24"/>
        </w:rPr>
        <w:t xml:space="preserve">are usually expressed </w:t>
      </w:r>
      <w:r w:rsidR="004D2C6B" w:rsidRPr="00787196">
        <w:rPr>
          <w:rFonts w:cs="Arial"/>
          <w:szCs w:val="24"/>
        </w:rPr>
        <w:t xml:space="preserve">negatively </w:t>
      </w:r>
      <w:r w:rsidR="00B70A25" w:rsidRPr="00787196">
        <w:rPr>
          <w:rFonts w:cs="Arial"/>
          <w:szCs w:val="24"/>
        </w:rPr>
        <w:t xml:space="preserve">in the form of annoyance, anger, apprehensions, fear, sadness </w:t>
      </w:r>
      <w:r w:rsidR="004D2C6B" w:rsidRPr="00787196">
        <w:rPr>
          <w:rFonts w:cs="Arial"/>
          <w:szCs w:val="24"/>
        </w:rPr>
        <w:t xml:space="preserve">or </w:t>
      </w:r>
      <w:r w:rsidR="00B70A25" w:rsidRPr="00787196">
        <w:rPr>
          <w:rFonts w:cs="Arial"/>
          <w:szCs w:val="24"/>
        </w:rPr>
        <w:t>positive</w:t>
      </w:r>
      <w:r w:rsidR="004D2C6B" w:rsidRPr="00787196">
        <w:rPr>
          <w:rFonts w:cs="Arial"/>
          <w:szCs w:val="24"/>
        </w:rPr>
        <w:t>ly</w:t>
      </w:r>
      <w:r w:rsidR="00B70A25" w:rsidRPr="00787196">
        <w:rPr>
          <w:rFonts w:cs="Arial"/>
          <w:szCs w:val="24"/>
        </w:rPr>
        <w:t xml:space="preserve"> (whilst having adaptive significance)</w:t>
      </w:r>
      <w:r w:rsidR="004D2C6B" w:rsidRPr="00787196">
        <w:rPr>
          <w:rFonts w:cs="Arial"/>
          <w:szCs w:val="24"/>
        </w:rPr>
        <w:t xml:space="preserve"> like being thankful, joyful, hopeful, encouraged and content </w:t>
      </w:r>
      <w:r w:rsidR="004D2C6B" w:rsidRPr="00787196">
        <w:rPr>
          <w:rFonts w:cs="Arial"/>
          <w:szCs w:val="24"/>
        </w:rPr>
        <w:fldChar w:fldCharType="begin"/>
      </w:r>
      <w:r w:rsidR="004D2C6B" w:rsidRPr="00787196">
        <w:rPr>
          <w:rFonts w:cs="Arial"/>
          <w:szCs w:val="24"/>
        </w:rPr>
        <w:instrText xml:space="preserve"> ADDIN EN.CITE &lt;EndNote&gt;&lt;Cite&gt;&lt;Author&gt;Carver&lt;/Author&gt;&lt;Year&gt;2011&lt;/Year&gt;&lt;IDText&gt;Stress, coping and health&lt;/IDText&gt;&lt;DisplayText&gt;(Carver and Vargas, 2011)&lt;/DisplayText&gt;&lt;record&gt;&lt;titles&gt;&lt;title&gt;Stress, coping and health&lt;/title&gt;&lt;secondary-title&gt;The Oxford handbook of health psychology&lt;/secondary-title&gt;&lt;/titles&gt;&lt;pages&gt;162-188&lt;/pages&gt;&lt;contributors&gt;&lt;authors&gt;&lt;author&gt;Carver, Charles S.&lt;/author&gt;&lt;author&gt;Vargas, Sara&lt;/author&gt;&lt;/authors&gt;&lt;/contributors&gt;&lt;added-date format="utc"&gt;1481204575&lt;/added-date&gt;&lt;ref-type name="Journal Article"&gt;17&lt;/ref-type&gt;&lt;dates&gt;&lt;year&gt;2011&lt;/year&gt;&lt;/dates&gt;&lt;rec-number&gt;2658&lt;/rec-number&gt;&lt;last-updated-date format="utc"&gt;1481204575&lt;/last-updated-date&gt;&lt;/record&gt;&lt;/Cite&gt;&lt;/EndNote&gt;</w:instrText>
      </w:r>
      <w:r w:rsidR="004D2C6B" w:rsidRPr="00787196">
        <w:rPr>
          <w:rFonts w:cs="Arial"/>
          <w:szCs w:val="24"/>
        </w:rPr>
        <w:fldChar w:fldCharType="separate"/>
      </w:r>
      <w:r w:rsidR="004D2C6B" w:rsidRPr="00787196">
        <w:rPr>
          <w:rFonts w:cs="Arial"/>
          <w:szCs w:val="24"/>
        </w:rPr>
        <w:t>(Carver and Vargas, 2011)</w:t>
      </w:r>
      <w:r w:rsidR="004D2C6B" w:rsidRPr="00787196">
        <w:rPr>
          <w:rFonts w:cs="Arial"/>
          <w:szCs w:val="24"/>
        </w:rPr>
        <w:fldChar w:fldCharType="end"/>
      </w:r>
      <w:r w:rsidR="004D2C6B" w:rsidRPr="00787196">
        <w:rPr>
          <w:rFonts w:cs="Arial"/>
          <w:szCs w:val="24"/>
        </w:rPr>
        <w:t>.</w:t>
      </w:r>
    </w:p>
    <w:p w14:paraId="2C71272D" w14:textId="54E62FCD" w:rsidR="00FB1674" w:rsidRPr="00787196" w:rsidRDefault="004D2C6B" w:rsidP="007332C4">
      <w:pPr>
        <w:spacing w:after="240"/>
        <w:rPr>
          <w:rFonts w:cs="Arial"/>
          <w:szCs w:val="24"/>
        </w:rPr>
      </w:pPr>
      <w:r w:rsidRPr="00787196">
        <w:rPr>
          <w:rFonts w:cs="Arial"/>
          <w:szCs w:val="24"/>
        </w:rPr>
        <w:t xml:space="preserve">Physiological responses are usually in the form of fight or flight response as </w:t>
      </w:r>
      <w:r w:rsidR="00FB1674" w:rsidRPr="00787196">
        <w:rPr>
          <w:rFonts w:cs="Arial"/>
          <w:szCs w:val="24"/>
        </w:rPr>
        <w:t>Seyle’s (1956) GAS as</w:t>
      </w:r>
      <w:r w:rsidRPr="00787196">
        <w:rPr>
          <w:rFonts w:cs="Arial"/>
          <w:szCs w:val="24"/>
        </w:rPr>
        <w:t xml:space="preserve"> mentioned earlier. </w:t>
      </w:r>
      <w:r w:rsidR="00FB1674" w:rsidRPr="00787196">
        <w:rPr>
          <w:rFonts w:cs="Arial"/>
          <w:szCs w:val="24"/>
        </w:rPr>
        <w:t>In fight or flight response the modern stressors usually lead to a long-term response. The GAS has three stages namely alarm stage, resistance stage and exhaustion stage.</w:t>
      </w:r>
    </w:p>
    <w:p w14:paraId="2630C892" w14:textId="69ADD94E" w:rsidR="00457EA0" w:rsidRPr="00787196" w:rsidRDefault="00FB1674" w:rsidP="002C4FCD">
      <w:pPr>
        <w:spacing w:after="240"/>
        <w:rPr>
          <w:rFonts w:cs="Arial"/>
          <w:szCs w:val="24"/>
        </w:rPr>
      </w:pPr>
      <w:r w:rsidRPr="00787196">
        <w:rPr>
          <w:rFonts w:cs="Arial"/>
          <w:szCs w:val="24"/>
        </w:rPr>
        <w:t>Behaviourally individuals respond to stressors by</w:t>
      </w:r>
      <w:r w:rsidR="00C21440" w:rsidRPr="00787196">
        <w:rPr>
          <w:rFonts w:cs="Arial"/>
          <w:szCs w:val="24"/>
        </w:rPr>
        <w:t xml:space="preserve"> catharsis where they abandon the emotions</w:t>
      </w:r>
      <w:r w:rsidR="00FC1ABF" w:rsidRPr="00787196">
        <w:rPr>
          <w:rFonts w:cs="Arial"/>
          <w:szCs w:val="24"/>
        </w:rPr>
        <w:t xml:space="preserve"> completely, by coping either emotionally or with active problem-solving approach.</w:t>
      </w:r>
      <w:r w:rsidR="006D6F72" w:rsidRPr="00787196">
        <w:rPr>
          <w:rFonts w:cs="Arial"/>
          <w:szCs w:val="24"/>
        </w:rPr>
        <w:t xml:space="preserve"> </w:t>
      </w:r>
      <w:r w:rsidR="00E75B40" w:rsidRPr="00787196">
        <w:rPr>
          <w:rFonts w:cs="Arial"/>
          <w:szCs w:val="24"/>
        </w:rPr>
        <w:t>Individuals experiencing</w:t>
      </w:r>
      <w:r w:rsidR="00C043C3" w:rsidRPr="00787196">
        <w:rPr>
          <w:rFonts w:cs="Arial"/>
          <w:szCs w:val="24"/>
        </w:rPr>
        <w:t xml:space="preserve"> stress </w:t>
      </w:r>
      <w:r w:rsidR="00E75B40" w:rsidRPr="00787196">
        <w:rPr>
          <w:rFonts w:cs="Arial"/>
          <w:szCs w:val="24"/>
        </w:rPr>
        <w:t>are suggested</w:t>
      </w:r>
      <w:r w:rsidR="00C043C3" w:rsidRPr="00787196">
        <w:rPr>
          <w:rFonts w:cs="Arial"/>
          <w:szCs w:val="24"/>
        </w:rPr>
        <w:t xml:space="preserve"> to engage themselves with poor health practices </w:t>
      </w:r>
      <w:r w:rsidR="00457EA0" w:rsidRPr="00787196">
        <w:rPr>
          <w:rFonts w:cs="Arial"/>
          <w:szCs w:val="24"/>
        </w:rPr>
        <w:t>or</w:t>
      </w:r>
      <w:r w:rsidR="00C043C3" w:rsidRPr="00787196">
        <w:rPr>
          <w:rFonts w:cs="Arial"/>
          <w:szCs w:val="24"/>
        </w:rPr>
        <w:t xml:space="preserve"> </w:t>
      </w:r>
      <w:r w:rsidR="00933A74" w:rsidRPr="00787196">
        <w:rPr>
          <w:rFonts w:cs="Arial"/>
          <w:szCs w:val="24"/>
        </w:rPr>
        <w:t xml:space="preserve">health impairing </w:t>
      </w:r>
      <w:r w:rsidR="00C043C3" w:rsidRPr="00787196">
        <w:rPr>
          <w:rFonts w:cs="Arial"/>
          <w:szCs w:val="24"/>
        </w:rPr>
        <w:t>behaviour</w:t>
      </w:r>
      <w:r w:rsidR="00457EA0" w:rsidRPr="00787196">
        <w:rPr>
          <w:rFonts w:cs="Arial"/>
          <w:szCs w:val="24"/>
        </w:rPr>
        <w:t>s</w:t>
      </w:r>
      <w:r w:rsidR="00C043C3" w:rsidRPr="00787196">
        <w:rPr>
          <w:rFonts w:cs="Arial"/>
          <w:szCs w:val="24"/>
        </w:rPr>
        <w:t xml:space="preserve"> such as </w:t>
      </w:r>
      <w:r w:rsidR="00415418" w:rsidRPr="00787196">
        <w:rPr>
          <w:rFonts w:cs="Arial"/>
          <w:szCs w:val="24"/>
        </w:rPr>
        <w:t xml:space="preserve">having adverse </w:t>
      </w:r>
      <w:r w:rsidR="00C043C3" w:rsidRPr="00787196">
        <w:rPr>
          <w:rFonts w:cs="Arial"/>
          <w:szCs w:val="24"/>
        </w:rPr>
        <w:t>smoking</w:t>
      </w:r>
      <w:r w:rsidR="00415418" w:rsidRPr="00787196">
        <w:rPr>
          <w:rFonts w:cs="Arial"/>
          <w:szCs w:val="24"/>
        </w:rPr>
        <w:t xml:space="preserve"> habits</w:t>
      </w:r>
      <w:r w:rsidR="00C043C3" w:rsidRPr="00787196">
        <w:rPr>
          <w:rFonts w:cs="Arial"/>
          <w:szCs w:val="24"/>
        </w:rPr>
        <w:t xml:space="preserve">, </w:t>
      </w:r>
      <w:r w:rsidR="00415418" w:rsidRPr="00787196">
        <w:rPr>
          <w:rFonts w:cs="Arial"/>
          <w:szCs w:val="24"/>
        </w:rPr>
        <w:t xml:space="preserve">consumption of </w:t>
      </w:r>
      <w:r w:rsidR="00C043C3" w:rsidRPr="00787196">
        <w:rPr>
          <w:rFonts w:cs="Arial"/>
          <w:szCs w:val="24"/>
        </w:rPr>
        <w:t xml:space="preserve">alcohol and </w:t>
      </w:r>
      <w:r w:rsidR="00415418" w:rsidRPr="00787196">
        <w:rPr>
          <w:rFonts w:cs="Arial"/>
          <w:szCs w:val="24"/>
        </w:rPr>
        <w:t xml:space="preserve">poor </w:t>
      </w:r>
      <w:r w:rsidR="00C043C3" w:rsidRPr="00787196">
        <w:rPr>
          <w:rFonts w:cs="Arial"/>
          <w:szCs w:val="24"/>
        </w:rPr>
        <w:t xml:space="preserve">eating </w:t>
      </w:r>
      <w:r w:rsidR="00415418" w:rsidRPr="00787196">
        <w:rPr>
          <w:rFonts w:cs="Arial"/>
          <w:szCs w:val="24"/>
        </w:rPr>
        <w:t>habits</w:t>
      </w:r>
      <w:r w:rsidR="00457EA0" w:rsidRPr="00787196">
        <w:rPr>
          <w:rFonts w:cs="Arial"/>
          <w:szCs w:val="24"/>
        </w:rPr>
        <w:t>,</w:t>
      </w:r>
      <w:r w:rsidR="00C043C3" w:rsidRPr="00787196">
        <w:rPr>
          <w:rFonts w:cs="Arial"/>
          <w:szCs w:val="24"/>
        </w:rPr>
        <w:t xml:space="preserve"> thus increas</w:t>
      </w:r>
      <w:r w:rsidR="00457EA0" w:rsidRPr="00787196">
        <w:rPr>
          <w:rFonts w:cs="Arial"/>
          <w:szCs w:val="24"/>
        </w:rPr>
        <w:t>ing</w:t>
      </w:r>
      <w:r w:rsidR="00C043C3" w:rsidRPr="00787196">
        <w:rPr>
          <w:rFonts w:cs="Arial"/>
          <w:szCs w:val="24"/>
        </w:rPr>
        <w:t xml:space="preserve"> the risk of </w:t>
      </w:r>
      <w:r w:rsidR="00457EA0" w:rsidRPr="00787196">
        <w:rPr>
          <w:rFonts w:cs="Arial"/>
          <w:szCs w:val="24"/>
        </w:rPr>
        <w:t>illness</w:t>
      </w:r>
      <w:r w:rsidR="00C043C3" w:rsidRPr="00787196">
        <w:rPr>
          <w:rFonts w:cs="Arial"/>
          <w:szCs w:val="24"/>
        </w:rPr>
        <w:t xml:space="preserve"> </w:t>
      </w:r>
      <w:r w:rsidR="00C043C3" w:rsidRPr="00787196">
        <w:rPr>
          <w:rFonts w:cs="Arial"/>
          <w:szCs w:val="24"/>
        </w:rPr>
        <w:fldChar w:fldCharType="begin"/>
      </w:r>
      <w:r w:rsidR="00C043C3" w:rsidRPr="00787196">
        <w:rPr>
          <w:rFonts w:cs="Arial"/>
          <w:szCs w:val="24"/>
        </w:rPr>
        <w:instrText xml:space="preserve"> ADDIN EN.CITE &lt;EndNote&gt;&lt;Cite&gt;&lt;Author&gt;Cohen&lt;/Author&gt;&lt;Year&gt;1988&lt;/Year&gt;&lt;RecNum&gt;104&lt;/RecNum&gt;&lt;DisplayText&gt;(Cohen and Williamson, 1988)&lt;/DisplayText&gt;&lt;record&gt;&lt;rec-number&gt;104&lt;/rec-number&gt;&lt;foreign-keys&gt;&lt;key app="EN" db-id="pprx5af0eezz5resrauvszthwfd2xp5txea9"&gt;104&lt;/key&gt;&lt;/foreign-keys&gt;&lt;ref-type name="Book Section"&gt;5&lt;/ref-type&gt;&lt;contributors&gt;&lt;authors&gt;&lt;author&gt;Cohen, S&lt;/author&gt;&lt;author&gt;Williamson, G&lt;/author&gt;&lt;/authors&gt;&lt;secondary-authors&gt;&lt;author&gt;Spacapan, S&lt;/author&gt;&lt;author&gt;Oskamp, S&lt;/author&gt;&lt;/secondary-authors&gt;&lt;/contributors&gt;&lt;titles&gt;&lt;title&gt;Perceived stress in a probability sample of the United States&lt;/title&gt;&lt;secondary-title&gt;The social psychology of health&lt;/secondary-title&gt;&lt;/titles&gt;&lt;pages&gt;31-67&lt;/pages&gt;&lt;keywords&gt;&lt;keyword&gt;for:ajw&lt;/keyword&gt;&lt;keyword&gt;norms&lt;/keyword&gt;&lt;keyword&gt;perceived&lt;/keyword&gt;&lt;keyword&gt;population&lt;/keyword&gt;&lt;keyword&gt;pss-14&lt;/keyword&gt;&lt;keyword&gt;questionnaire&lt;/keyword&gt;&lt;keyword&gt;stress&lt;/keyword&gt;&lt;keyword&gt;survey&lt;/keyword&gt;&lt;/keywords&gt;&lt;dates&gt;&lt;year&gt;1988&lt;/year&gt;&lt;/dates&gt;&lt;pub-location&gt;NewBury Park, Cal&lt;/pub-location&gt;&lt;publisher&gt;Sage Publications&lt;/publisher&gt;&lt;accession-num&gt;citeulike:5378008&lt;/accession-num&gt;&lt;urls&gt;&lt;related-urls&gt;&lt;url&gt;citeulike-article-id:5378008&lt;/url&gt;&lt;url&gt;http://www.psy.cmu.edu/~scohen/ &lt;/url&gt;&lt;/related-urls&gt;&lt;/urls&gt;&lt;/record&gt;&lt;/Cite&gt;&lt;/EndNote&gt;</w:instrText>
      </w:r>
      <w:r w:rsidR="00C043C3" w:rsidRPr="00787196">
        <w:rPr>
          <w:rFonts w:cs="Arial"/>
          <w:szCs w:val="24"/>
        </w:rPr>
        <w:fldChar w:fldCharType="separate"/>
      </w:r>
      <w:r w:rsidR="00C043C3" w:rsidRPr="00787196">
        <w:rPr>
          <w:rFonts w:cs="Arial"/>
          <w:szCs w:val="24"/>
        </w:rPr>
        <w:t>(Cohen and Williamson, 1988)</w:t>
      </w:r>
      <w:r w:rsidR="00C043C3" w:rsidRPr="00787196">
        <w:rPr>
          <w:rFonts w:cs="Arial"/>
          <w:szCs w:val="24"/>
        </w:rPr>
        <w:fldChar w:fldCharType="end"/>
      </w:r>
      <w:r w:rsidR="00C043C3" w:rsidRPr="00787196">
        <w:rPr>
          <w:rFonts w:cs="Arial"/>
          <w:szCs w:val="24"/>
        </w:rPr>
        <w:t xml:space="preserve">. </w:t>
      </w:r>
      <w:r w:rsidR="00FC1ABF" w:rsidRPr="00787196">
        <w:rPr>
          <w:rFonts w:cs="Arial"/>
          <w:szCs w:val="24"/>
        </w:rPr>
        <w:t>Other impacts may be increas</w:t>
      </w:r>
      <w:r w:rsidR="007332C4" w:rsidRPr="00787196">
        <w:rPr>
          <w:rFonts w:cs="Arial"/>
          <w:szCs w:val="24"/>
        </w:rPr>
        <w:t xml:space="preserve">e the </w:t>
      </w:r>
      <w:r w:rsidR="00FC1ABF" w:rsidRPr="00787196">
        <w:rPr>
          <w:rFonts w:cs="Arial"/>
          <w:szCs w:val="24"/>
        </w:rPr>
        <w:t>risk of psychosomatic disorders</w:t>
      </w:r>
      <w:r w:rsidR="00933A74" w:rsidRPr="00787196">
        <w:rPr>
          <w:rFonts w:cs="Arial"/>
          <w:szCs w:val="24"/>
        </w:rPr>
        <w:t xml:space="preserve">, </w:t>
      </w:r>
      <w:r w:rsidR="007332C4" w:rsidRPr="00787196">
        <w:rPr>
          <w:rFonts w:cs="Arial"/>
          <w:szCs w:val="24"/>
        </w:rPr>
        <w:t>hypertension</w:t>
      </w:r>
      <w:r w:rsidR="00933A74" w:rsidRPr="00787196">
        <w:rPr>
          <w:rFonts w:cs="Arial"/>
          <w:szCs w:val="24"/>
        </w:rPr>
        <w:t xml:space="preserve">, ulcers </w:t>
      </w:r>
      <w:r w:rsidR="007332C4" w:rsidRPr="00787196">
        <w:rPr>
          <w:rFonts w:cs="Arial"/>
          <w:szCs w:val="24"/>
        </w:rPr>
        <w:t xml:space="preserve">and </w:t>
      </w:r>
      <w:r w:rsidR="00933A74" w:rsidRPr="00787196">
        <w:rPr>
          <w:rFonts w:cs="Arial"/>
          <w:szCs w:val="24"/>
        </w:rPr>
        <w:t xml:space="preserve">migraines </w:t>
      </w:r>
      <w:r w:rsidR="00457EA0" w:rsidRPr="00787196">
        <w:rPr>
          <w:rFonts w:cs="Arial"/>
          <w:szCs w:val="24"/>
        </w:rPr>
        <w:br w:type="page"/>
      </w:r>
    </w:p>
    <w:p w14:paraId="3E14F8E7" w14:textId="7E3D6FAE" w:rsidR="00061325" w:rsidRPr="00787196" w:rsidRDefault="00061325" w:rsidP="00226A04">
      <w:pPr>
        <w:pStyle w:val="Heading4"/>
      </w:pPr>
      <w:r w:rsidRPr="00787196">
        <w:lastRenderedPageBreak/>
        <w:t>Perceived stress, clinical status, oral diseases and dentures</w:t>
      </w:r>
    </w:p>
    <w:p w14:paraId="615DCB55" w14:textId="3BFE29CB" w:rsidR="007332C4" w:rsidRPr="00787196" w:rsidRDefault="00415418" w:rsidP="00457EA0">
      <w:pPr>
        <w:spacing w:after="240"/>
        <w:rPr>
          <w:rFonts w:cs="Arial"/>
          <w:szCs w:val="24"/>
        </w:rPr>
      </w:pPr>
      <w:r w:rsidRPr="00787196">
        <w:rPr>
          <w:rFonts w:cs="Arial"/>
          <w:szCs w:val="24"/>
        </w:rPr>
        <w:t>S</w:t>
      </w:r>
      <w:r w:rsidR="00061325" w:rsidRPr="00787196">
        <w:rPr>
          <w:rFonts w:cs="Arial"/>
          <w:szCs w:val="24"/>
        </w:rPr>
        <w:t xml:space="preserve">tress is </w:t>
      </w:r>
      <w:r w:rsidRPr="00787196">
        <w:rPr>
          <w:rFonts w:cs="Arial"/>
          <w:szCs w:val="24"/>
        </w:rPr>
        <w:t xml:space="preserve">considered </w:t>
      </w:r>
      <w:r w:rsidR="00061325" w:rsidRPr="00787196">
        <w:rPr>
          <w:rFonts w:cs="Arial"/>
          <w:szCs w:val="24"/>
        </w:rPr>
        <w:t>a</w:t>
      </w:r>
      <w:r w:rsidRPr="00787196">
        <w:rPr>
          <w:rFonts w:cs="Arial"/>
          <w:szCs w:val="24"/>
        </w:rPr>
        <w:t>n important</w:t>
      </w:r>
      <w:r w:rsidR="00061325" w:rsidRPr="00787196">
        <w:rPr>
          <w:rFonts w:cs="Arial"/>
          <w:szCs w:val="24"/>
        </w:rPr>
        <w:t xml:space="preserve"> risk </w:t>
      </w:r>
      <w:r w:rsidR="00267C23" w:rsidRPr="00787196">
        <w:rPr>
          <w:rFonts w:cs="Arial"/>
          <w:szCs w:val="24"/>
        </w:rPr>
        <w:t xml:space="preserve">factor </w:t>
      </w:r>
      <w:r w:rsidR="00061325" w:rsidRPr="00787196">
        <w:rPr>
          <w:rFonts w:cs="Arial"/>
          <w:szCs w:val="24"/>
        </w:rPr>
        <w:t xml:space="preserve">both </w:t>
      </w:r>
      <w:r w:rsidRPr="00787196">
        <w:rPr>
          <w:rFonts w:cs="Arial"/>
          <w:szCs w:val="24"/>
        </w:rPr>
        <w:t xml:space="preserve">in terms of </w:t>
      </w:r>
      <w:r w:rsidR="00061325" w:rsidRPr="00787196">
        <w:rPr>
          <w:rFonts w:cs="Arial"/>
          <w:szCs w:val="24"/>
        </w:rPr>
        <w:t xml:space="preserve">physical and </w:t>
      </w:r>
      <w:r w:rsidRPr="00787196">
        <w:rPr>
          <w:rFonts w:cs="Arial"/>
          <w:szCs w:val="24"/>
        </w:rPr>
        <w:t>menta</w:t>
      </w:r>
      <w:r w:rsidR="00061325" w:rsidRPr="00787196">
        <w:rPr>
          <w:rFonts w:cs="Arial"/>
          <w:szCs w:val="24"/>
        </w:rPr>
        <w:t>l</w:t>
      </w:r>
      <w:r w:rsidR="00267C23" w:rsidRPr="00787196">
        <w:rPr>
          <w:rFonts w:cs="Arial"/>
          <w:szCs w:val="24"/>
        </w:rPr>
        <w:t xml:space="preserve"> health</w:t>
      </w:r>
      <w:r w:rsidR="00061325" w:rsidRPr="00787196">
        <w:rPr>
          <w:rFonts w:cs="Arial"/>
          <w:szCs w:val="24"/>
        </w:rPr>
        <w:t xml:space="preserve">. </w:t>
      </w:r>
      <w:r w:rsidRPr="00787196">
        <w:rPr>
          <w:rFonts w:cs="Arial"/>
          <w:szCs w:val="24"/>
        </w:rPr>
        <w:t>Studies suggest that various illnesses (</w:t>
      </w:r>
      <w:r w:rsidR="007263E6" w:rsidRPr="00787196">
        <w:rPr>
          <w:rFonts w:cs="Arial"/>
          <w:szCs w:val="24"/>
        </w:rPr>
        <w:t>e.g.</w:t>
      </w:r>
      <w:r w:rsidRPr="00787196">
        <w:rPr>
          <w:rFonts w:cs="Arial"/>
          <w:szCs w:val="24"/>
        </w:rPr>
        <w:t xml:space="preserve">) respiratory </w:t>
      </w:r>
      <w:r w:rsidR="00061325" w:rsidRPr="00787196">
        <w:rPr>
          <w:rFonts w:cs="Arial"/>
          <w:szCs w:val="24"/>
        </w:rPr>
        <w:fldChar w:fldCharType="begin"/>
      </w:r>
      <w:r w:rsidR="00061325" w:rsidRPr="00787196">
        <w:rPr>
          <w:rFonts w:cs="Arial"/>
          <w:szCs w:val="24"/>
        </w:rPr>
        <w:instrText xml:space="preserve"> ADDIN EN.CITE &lt;EndNote&gt;&lt;Cite&gt;&lt;Author&gt;Cohen&lt;/Author&gt;&lt;Year&gt;1991&lt;/Year&gt;&lt;RecNum&gt;153&lt;/RecNum&gt;&lt;DisplayText&gt;(Cohen et al., 1991)&lt;/DisplayText&gt;&lt;record&gt;&lt;rec-number&gt;153&lt;/rec-number&gt;&lt;foreign-keys&gt;&lt;key app="EN" db-id="xf0vwtv58a0w9wezwe9vp0fn0wwt2fp5srs0"&gt;153&lt;/key&gt;&lt;/foreign-keys&gt;&lt;ref-type name="Journal Article"&gt;17&lt;/ref-type&gt;&lt;contributors&gt;&lt;authors&gt;&lt;author&gt;Cohen, Sheldon&lt;/author&gt;&lt;author&gt;Tyrrell, David A. J.&lt;/author&gt;&lt;author&gt;Smith, Andrew P.&lt;/author&gt;&lt;/authors&gt;&lt;/contributors&gt;&lt;titles&gt;&lt;title&gt;Psychological Stress and Susceptibility to the Common Cold&lt;/title&gt;&lt;secondary-title&gt;New England Journal of Medicine&lt;/secondary-title&gt;&lt;/titles&gt;&lt;periodical&gt;&lt;full-title&gt;New England Journal of Medicine&lt;/full-title&gt;&lt;/periodical&gt;&lt;pages&gt;606-612&lt;/pages&gt;&lt;volume&gt;325&lt;/volume&gt;&lt;number&gt;9&lt;/number&gt;&lt;dates&gt;&lt;year&gt;1991&lt;/year&gt;&lt;/dates&gt;&lt;urls&gt;&lt;related-urls&gt;&lt;url&gt;http://www.nejm.org/doi/full/10.1056/NEJM199108293250903 &lt;/url&gt;&lt;/related-urls&gt;&lt;/urls&gt;&lt;electronic-resource-num&gt;doi:10.1056/NEJM199108293250903&lt;/electronic-resource-num&gt;&lt;/record&gt;&lt;/Cite&gt;&lt;/EndNote&gt;</w:instrText>
      </w:r>
      <w:r w:rsidR="00061325" w:rsidRPr="00787196">
        <w:rPr>
          <w:rFonts w:cs="Arial"/>
          <w:szCs w:val="24"/>
        </w:rPr>
        <w:fldChar w:fldCharType="separate"/>
      </w:r>
      <w:r w:rsidR="00061325" w:rsidRPr="00787196">
        <w:rPr>
          <w:rFonts w:cs="Arial"/>
          <w:szCs w:val="24"/>
        </w:rPr>
        <w:t>(Cohen et al., 1991)</w:t>
      </w:r>
      <w:r w:rsidR="00061325" w:rsidRPr="00787196">
        <w:rPr>
          <w:rFonts w:cs="Arial"/>
          <w:szCs w:val="24"/>
        </w:rPr>
        <w:fldChar w:fldCharType="end"/>
      </w:r>
      <w:r w:rsidR="00061325" w:rsidRPr="00787196">
        <w:rPr>
          <w:rFonts w:cs="Arial"/>
          <w:szCs w:val="24"/>
        </w:rPr>
        <w:t xml:space="preserve">, cardiovascular </w:t>
      </w:r>
      <w:r w:rsidR="00061325" w:rsidRPr="00787196">
        <w:rPr>
          <w:rFonts w:cs="Arial"/>
          <w:szCs w:val="24"/>
        </w:rPr>
        <w:fldChar w:fldCharType="begin"/>
      </w:r>
      <w:r w:rsidR="00061325" w:rsidRPr="00787196">
        <w:rPr>
          <w:rFonts w:cs="Arial"/>
          <w:szCs w:val="24"/>
        </w:rPr>
        <w:instrText xml:space="preserve"> ADDIN EN.CITE &lt;EndNote&gt;&lt;Cite&gt;&lt;Author&gt;Dimsdale&lt;/Author&gt;&lt;Year&gt;2008&lt;/Year&gt;&lt;RecNum&gt;101&lt;/RecNum&gt;&lt;DisplayText&gt;(Dimsdale, 2008)&lt;/DisplayText&gt;&lt;record&gt;&lt;rec-number&gt;101&lt;/rec-number&gt;&lt;foreign-keys&gt;&lt;key app="EN" db-id="xf0vwtv58a0w9wezwe9vp0fn0wwt2fp5srs0"&gt;101&lt;/key&gt;&lt;/foreign-keys&gt;&lt;ref-type name="Journal Article"&gt;17&lt;/ref-type&gt;&lt;contributors&gt;&lt;authors&gt;&lt;author&gt;Dimsdale, Joel E.&lt;/author&gt;&lt;/authors&gt;&lt;/contributors&gt;&lt;titles&gt;&lt;title&gt;Psychological Stress and Cardiovascular Disease&lt;/title&gt;&lt;secondary-title&gt;J Am Coll Cardiol&lt;/secondary-title&gt;&lt;/titles&gt;&lt;periodical&gt;&lt;full-title&gt;J Am Coll Cardiol&lt;/full-title&gt;&lt;/periodical&gt;&lt;pages&gt;1237-1246&lt;/pages&gt;&lt;volume&gt;51&lt;/volume&gt;&lt;number&gt;13&lt;/number&gt;&lt;dates&gt;&lt;year&gt;2008&lt;/year&gt;&lt;pub-dates&gt;&lt;date&gt;April 1, 2008&lt;/date&gt;&lt;/pub-dates&gt;&lt;/dates&gt;&lt;urls&gt;&lt;related-urls&gt;&lt;url&gt;http://content.onlinejacc.org/cgi/content/abstract/51/13/1237 &lt;/url&gt;&lt;/related-urls&gt;&lt;/urls&gt;&lt;electronic-resource-num&gt;10.1016/j.jacc.2007.12.024&lt;/electronic-resource-num&gt;&lt;/record&gt;&lt;/Cite&gt;&lt;/EndNote&gt;</w:instrText>
      </w:r>
      <w:r w:rsidR="00061325" w:rsidRPr="00787196">
        <w:rPr>
          <w:rFonts w:cs="Arial"/>
          <w:szCs w:val="24"/>
        </w:rPr>
        <w:fldChar w:fldCharType="separate"/>
      </w:r>
      <w:r w:rsidR="00061325" w:rsidRPr="00787196">
        <w:rPr>
          <w:rFonts w:cs="Arial"/>
          <w:szCs w:val="24"/>
        </w:rPr>
        <w:t>(Dimsdale, 2008)</w:t>
      </w:r>
      <w:r w:rsidR="00061325" w:rsidRPr="00787196">
        <w:rPr>
          <w:rFonts w:cs="Arial"/>
          <w:szCs w:val="24"/>
        </w:rPr>
        <w:fldChar w:fldCharType="end"/>
      </w:r>
      <w:r w:rsidR="00457EA0" w:rsidRPr="00787196">
        <w:rPr>
          <w:rFonts w:cs="Arial"/>
          <w:szCs w:val="24"/>
        </w:rPr>
        <w:t xml:space="preserve"> and</w:t>
      </w:r>
      <w:r w:rsidR="00061325" w:rsidRPr="00787196">
        <w:rPr>
          <w:rFonts w:cs="Arial"/>
          <w:szCs w:val="24"/>
        </w:rPr>
        <w:t xml:space="preserve"> cancer</w:t>
      </w:r>
      <w:r w:rsidRPr="00787196">
        <w:rPr>
          <w:rFonts w:cs="Arial"/>
          <w:szCs w:val="24"/>
        </w:rPr>
        <w:t>s</w:t>
      </w:r>
      <w:r w:rsidR="00061325" w:rsidRPr="00787196">
        <w:rPr>
          <w:rFonts w:cs="Arial"/>
          <w:szCs w:val="24"/>
        </w:rPr>
        <w:t xml:space="preserve"> </w:t>
      </w:r>
      <w:r w:rsidR="00061325" w:rsidRPr="00787196">
        <w:rPr>
          <w:rFonts w:cs="Arial"/>
          <w:szCs w:val="24"/>
        </w:rPr>
        <w:fldChar w:fldCharType="begin"/>
      </w:r>
      <w:r w:rsidR="00061325" w:rsidRPr="00787196">
        <w:rPr>
          <w:rFonts w:cs="Arial"/>
          <w:szCs w:val="24"/>
        </w:rPr>
        <w:instrText xml:space="preserve"> ADDIN EN.CITE &lt;EndNote&gt;&lt;Cite&gt;&lt;Author&gt;Mundy-Bosse&lt;/Author&gt;&lt;Year&gt;2011&lt;/Year&gt;&lt;RecNum&gt;154&lt;/RecNum&gt;&lt;DisplayText&gt;(Mundy-Bosse et al., 2011)&lt;/DisplayText&gt;&lt;record&gt;&lt;rec-number&gt;154&lt;/rec-number&gt;&lt;foreign-keys&gt;&lt;key app="EN" db-id="xf0vwtv58a0w9wezwe9vp0fn0wwt2fp5srs0"&gt;154&lt;/key&gt;&lt;/foreign-keys&gt;&lt;ref-type name="Journal Article"&gt;17&lt;/ref-type&gt;&lt;contributors&gt;&lt;authors&gt;&lt;author&gt;Mundy-Bosse, Bethany L.&lt;/author&gt;&lt;author&gt;Thornton, Lisa M.&lt;/author&gt;&lt;author&gt;Yang, Hae-Chung&lt;/author&gt;&lt;author&gt;Andersen, Barbara L.&lt;/author&gt;&lt;author&gt;Carson, William E.&lt;/author&gt;&lt;/authors&gt;&lt;/contributors&gt;&lt;titles&gt;&lt;title&gt;Psychological stress is associated with altered levels of myeloid-derived suppressor cells in breast cancer patients&lt;/title&gt;&lt;secondary-title&gt;Cellular Immunology&lt;/secondary-title&gt;&lt;/titles&gt;&lt;periodical&gt;&lt;full-title&gt;Cellular Immunology&lt;/full-title&gt;&lt;/periodical&gt;&lt;pages&gt;80-87&lt;/pages&gt;&lt;volume&gt;270&lt;/volume&gt;&lt;number&gt;1&lt;/number&gt;&lt;keywords&gt;&lt;keyword&gt;Stress&lt;/keyword&gt;&lt;keyword&gt;Myeloid-derived suppressor cells&lt;/keyword&gt;&lt;keyword&gt;MDSC&lt;/keyword&gt;&lt;keyword&gt;Pro-inflammatory cytokines&lt;/keyword&gt;&lt;/keywords&gt;&lt;dates&gt;&lt;year&gt;2011&lt;/year&gt;&lt;/dates&gt;&lt;urls&gt;&lt;related-urls&gt;&lt;url&gt;http://www.sciencedirect.com/science/article/pii/S0008874911000906 &lt;/url&gt;&lt;/related-urls&gt;&lt;/urls&gt;&lt;/record&gt;&lt;/Cite&gt;&lt;/EndNote&gt;</w:instrText>
      </w:r>
      <w:r w:rsidR="00061325" w:rsidRPr="00787196">
        <w:rPr>
          <w:rFonts w:cs="Arial"/>
          <w:szCs w:val="24"/>
        </w:rPr>
        <w:fldChar w:fldCharType="separate"/>
      </w:r>
      <w:r w:rsidR="00061325" w:rsidRPr="00787196">
        <w:rPr>
          <w:rFonts w:cs="Arial"/>
          <w:szCs w:val="24"/>
        </w:rPr>
        <w:t>(Mundy-Bosse et al., 2011)</w:t>
      </w:r>
      <w:r w:rsidR="00061325" w:rsidRPr="00787196">
        <w:rPr>
          <w:rFonts w:cs="Arial"/>
          <w:szCs w:val="24"/>
        </w:rPr>
        <w:fldChar w:fldCharType="end"/>
      </w:r>
      <w:r w:rsidR="00061325" w:rsidRPr="00787196">
        <w:rPr>
          <w:rFonts w:cs="Arial"/>
          <w:szCs w:val="24"/>
        </w:rPr>
        <w:t xml:space="preserve"> have stress as </w:t>
      </w:r>
      <w:r w:rsidR="00457EA0" w:rsidRPr="00787196">
        <w:rPr>
          <w:rFonts w:cs="Arial"/>
          <w:szCs w:val="24"/>
        </w:rPr>
        <w:t>an</w:t>
      </w:r>
      <w:r w:rsidR="00061325" w:rsidRPr="00787196">
        <w:rPr>
          <w:rFonts w:cs="Arial"/>
          <w:szCs w:val="24"/>
        </w:rPr>
        <w:t xml:space="preserve"> </w:t>
      </w:r>
      <w:r w:rsidR="007332C4" w:rsidRPr="00787196">
        <w:rPr>
          <w:rFonts w:cs="Arial"/>
          <w:szCs w:val="24"/>
        </w:rPr>
        <w:t>underlying factor.</w:t>
      </w:r>
    </w:p>
    <w:p w14:paraId="2D9856F3" w14:textId="75213117" w:rsidR="00933A74" w:rsidRPr="00787196" w:rsidRDefault="00933A74" w:rsidP="00226A04">
      <w:pPr>
        <w:pStyle w:val="Heading4"/>
      </w:pPr>
      <w:r w:rsidRPr="00787196">
        <w:t>Effects on oral health</w:t>
      </w:r>
    </w:p>
    <w:p w14:paraId="49A94B40" w14:textId="7F17D531" w:rsidR="00061325" w:rsidRPr="00787196" w:rsidRDefault="00EE0C11" w:rsidP="00457EA0">
      <w:pPr>
        <w:rPr>
          <w:rFonts w:cs="Arial"/>
          <w:szCs w:val="24"/>
        </w:rPr>
      </w:pPr>
      <w:r w:rsidRPr="00787196">
        <w:rPr>
          <w:rFonts w:cs="Arial"/>
          <w:szCs w:val="24"/>
        </w:rPr>
        <w:t xml:space="preserve">Studies suggest that </w:t>
      </w:r>
      <w:r w:rsidR="00061325" w:rsidRPr="00787196">
        <w:rPr>
          <w:rFonts w:cs="Arial"/>
          <w:szCs w:val="24"/>
        </w:rPr>
        <w:t xml:space="preserve">In </w:t>
      </w:r>
      <w:r w:rsidRPr="00787196">
        <w:rPr>
          <w:rFonts w:cs="Arial"/>
          <w:szCs w:val="24"/>
        </w:rPr>
        <w:t xml:space="preserve">terms </w:t>
      </w:r>
      <w:r w:rsidR="00061325" w:rsidRPr="00787196">
        <w:rPr>
          <w:rFonts w:cs="Arial"/>
          <w:szCs w:val="24"/>
        </w:rPr>
        <w:t>o</w:t>
      </w:r>
      <w:r w:rsidRPr="00787196">
        <w:rPr>
          <w:rFonts w:cs="Arial"/>
          <w:szCs w:val="24"/>
        </w:rPr>
        <w:t>f</w:t>
      </w:r>
      <w:r w:rsidR="00061325" w:rsidRPr="00787196">
        <w:rPr>
          <w:rFonts w:cs="Arial"/>
          <w:szCs w:val="24"/>
        </w:rPr>
        <w:t xml:space="preserve"> oral health, stress </w:t>
      </w:r>
      <w:r w:rsidRPr="00787196">
        <w:rPr>
          <w:rFonts w:cs="Arial"/>
          <w:szCs w:val="24"/>
        </w:rPr>
        <w:t>due to</w:t>
      </w:r>
      <w:r w:rsidR="00061325" w:rsidRPr="00787196">
        <w:rPr>
          <w:rFonts w:cs="Arial"/>
          <w:szCs w:val="24"/>
        </w:rPr>
        <w:t xml:space="preserve"> life event</w:t>
      </w:r>
      <w:r w:rsidRPr="00787196">
        <w:rPr>
          <w:rFonts w:cs="Arial"/>
          <w:szCs w:val="24"/>
        </w:rPr>
        <w:t>s</w:t>
      </w:r>
      <w:r w:rsidR="00061325" w:rsidRPr="00787196">
        <w:rPr>
          <w:rFonts w:cs="Arial"/>
          <w:szCs w:val="24"/>
        </w:rPr>
        <w:t xml:space="preserve"> such as upheaval of a native led to an increase in dental caries </w:t>
      </w:r>
      <w:r w:rsidR="00061325" w:rsidRPr="00787196">
        <w:rPr>
          <w:rFonts w:cs="Arial"/>
          <w:szCs w:val="24"/>
        </w:rPr>
        <w:fldChar w:fldCharType="begin"/>
      </w:r>
      <w:r w:rsidR="00061325" w:rsidRPr="00787196">
        <w:rPr>
          <w:rFonts w:cs="Arial"/>
          <w:szCs w:val="24"/>
        </w:rPr>
        <w:instrText xml:space="preserve"> ADDIN EN.CITE &lt;EndNote&gt;&lt;Cite&gt;&lt;Author&gt;Sutton&lt;/Author&gt;&lt;Year&gt;1993&lt;/Year&gt;&lt;RecNum&gt;39&lt;/RecNum&gt;&lt;DisplayText&gt;(Sutton, 1993)&lt;/DisplayText&gt;&lt;record&gt;&lt;rec-number&gt;39&lt;/rec-number&gt;&lt;foreign-keys&gt;&lt;key app="EN" db-id="xf0vwtv58a0w9wezwe9vp0fn0wwt2fp5srs0"&gt;39&lt;/key&gt;&lt;/foreign-keys&gt;&lt;ref-type name="Journal Article"&gt;17&lt;/ref-type&gt;&lt;contributors&gt;&lt;authors&gt;&lt;author&gt;Sutton, P. R. N.&lt;/author&gt;&lt;/authors&gt;&lt;/contributors&gt;&lt;titles&gt;&lt;title&gt;Psychosomatic dental disease: Is mental stress in adults followed by acute dental caries in all racial groups?&lt;/title&gt;&lt;secondary-title&gt;Medical Hypotheses&lt;/secondary-title&gt;&lt;/titles&gt;&lt;periodical&gt;&lt;full-title&gt;Medical Hypotheses&lt;/full-title&gt;&lt;/periodical&gt;&lt;pages&gt;279-281&lt;/pages&gt;&lt;volume&gt;41&lt;/volume&gt;&lt;number&gt;3&lt;/number&gt;&lt;dates&gt;&lt;year&gt;1993&lt;/year&gt;&lt;/dates&gt;&lt;urls&gt;&lt;related-urls&gt;&lt;url&gt;http://www.sciencedirect.com/science/article/pii/030698779390248O &lt;/url&gt;&lt;/related-urls&gt;&lt;/urls&gt;&lt;/record&gt;&lt;/Cite&gt;&lt;/EndNote&gt;</w:instrText>
      </w:r>
      <w:r w:rsidR="00061325" w:rsidRPr="00787196">
        <w:rPr>
          <w:rFonts w:cs="Arial"/>
          <w:szCs w:val="24"/>
        </w:rPr>
        <w:fldChar w:fldCharType="separate"/>
      </w:r>
      <w:r w:rsidR="00061325" w:rsidRPr="00787196">
        <w:rPr>
          <w:rFonts w:cs="Arial"/>
          <w:szCs w:val="24"/>
        </w:rPr>
        <w:t>(Sutton, 1993)</w:t>
      </w:r>
      <w:r w:rsidR="00061325" w:rsidRPr="00787196">
        <w:rPr>
          <w:rFonts w:cs="Arial"/>
          <w:szCs w:val="24"/>
        </w:rPr>
        <w:fldChar w:fldCharType="end"/>
      </w:r>
      <w:r w:rsidR="00061325" w:rsidRPr="00787196">
        <w:rPr>
          <w:rFonts w:cs="Arial"/>
          <w:szCs w:val="24"/>
        </w:rPr>
        <w:t>. Stress can also influence periodontal diseases occurrence in an individual (Hugoson, 2002). Marcenes and Sheiham</w:t>
      </w:r>
      <w:r w:rsidR="00457EA0" w:rsidRPr="00787196">
        <w:rPr>
          <w:rFonts w:cs="Arial"/>
          <w:szCs w:val="24"/>
        </w:rPr>
        <w:t>’s</w:t>
      </w:r>
      <w:r w:rsidR="00061325" w:rsidRPr="00787196">
        <w:rPr>
          <w:rFonts w:cs="Arial"/>
          <w:szCs w:val="24"/>
        </w:rPr>
        <w:t xml:space="preserve"> </w:t>
      </w:r>
      <w:r w:rsidR="00061325" w:rsidRPr="00787196">
        <w:rPr>
          <w:rFonts w:cs="Arial"/>
          <w:szCs w:val="24"/>
        </w:rPr>
        <w:fldChar w:fldCharType="begin"/>
      </w:r>
      <w:r w:rsidR="00061325" w:rsidRPr="00787196">
        <w:rPr>
          <w:rFonts w:cs="Arial"/>
          <w:szCs w:val="24"/>
        </w:rPr>
        <w:instrText xml:space="preserve"> ADDIN EN.CITE &lt;EndNote&gt;&lt;Cite ExcludeAuth="1"&gt;&lt;Year&gt;1992&lt;/Year&gt;&lt;RecNum&gt;38&lt;/RecNum&gt;&lt;DisplayText&gt;(1992)&lt;/DisplayText&gt;&lt;record&gt;&lt;rec-number&gt;38&lt;/rec-number&gt;&lt;foreign-keys&gt;&lt;key app="EN" db-id="xf0vwtv58a0w9wezwe9vp0fn0wwt2fp5srs0"&gt;38&lt;/key&gt;&lt;/foreign-keys&gt;&lt;ref-type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061325" w:rsidRPr="00787196">
        <w:rPr>
          <w:rFonts w:cs="Arial"/>
          <w:szCs w:val="24"/>
        </w:rPr>
        <w:fldChar w:fldCharType="separate"/>
      </w:r>
      <w:r w:rsidR="00061325" w:rsidRPr="00787196">
        <w:rPr>
          <w:rFonts w:cs="Arial"/>
          <w:szCs w:val="24"/>
        </w:rPr>
        <w:t>(1992)</w:t>
      </w:r>
      <w:r w:rsidR="00061325" w:rsidRPr="00787196">
        <w:rPr>
          <w:rFonts w:cs="Arial"/>
          <w:szCs w:val="24"/>
        </w:rPr>
        <w:fldChar w:fldCharType="end"/>
      </w:r>
      <w:r w:rsidR="00061325" w:rsidRPr="00787196">
        <w:rPr>
          <w:rFonts w:cs="Arial"/>
          <w:szCs w:val="24"/>
        </w:rPr>
        <w:t xml:space="preserve"> cross-sectional study of 164 male workers in Brazil aged 35-44 years showed </w:t>
      </w:r>
      <w:r w:rsidR="00EE0A12" w:rsidRPr="00787196">
        <w:rPr>
          <w:rFonts w:cs="Arial"/>
          <w:szCs w:val="24"/>
        </w:rPr>
        <w:t xml:space="preserve">that </w:t>
      </w:r>
      <w:r w:rsidR="00061325" w:rsidRPr="00787196">
        <w:rPr>
          <w:rFonts w:cs="Arial"/>
          <w:szCs w:val="24"/>
        </w:rPr>
        <w:t xml:space="preserve">perceived stress was </w:t>
      </w:r>
      <w:r w:rsidRPr="00787196">
        <w:rPr>
          <w:rFonts w:cs="Arial"/>
          <w:szCs w:val="24"/>
        </w:rPr>
        <w:t xml:space="preserve">strongly </w:t>
      </w:r>
      <w:r w:rsidR="00061325" w:rsidRPr="00787196">
        <w:rPr>
          <w:rFonts w:cs="Arial"/>
          <w:szCs w:val="24"/>
        </w:rPr>
        <w:t xml:space="preserve">associated with </w:t>
      </w:r>
      <w:r w:rsidRPr="00787196">
        <w:rPr>
          <w:rFonts w:cs="Arial"/>
          <w:szCs w:val="24"/>
        </w:rPr>
        <w:t xml:space="preserve">their poor </w:t>
      </w:r>
      <w:r w:rsidR="00061325" w:rsidRPr="00787196">
        <w:rPr>
          <w:rFonts w:cs="Arial"/>
          <w:szCs w:val="24"/>
        </w:rPr>
        <w:t>periodontal health</w:t>
      </w:r>
      <w:r w:rsidRPr="00787196">
        <w:rPr>
          <w:rFonts w:cs="Arial"/>
          <w:szCs w:val="24"/>
        </w:rPr>
        <w:t xml:space="preserve"> even after</w:t>
      </w:r>
      <w:r w:rsidR="00061325" w:rsidRPr="00787196">
        <w:rPr>
          <w:rFonts w:cs="Arial"/>
          <w:szCs w:val="24"/>
        </w:rPr>
        <w:t xml:space="preserve"> controlling SES. Workers with high </w:t>
      </w:r>
      <w:r w:rsidR="00262AB0" w:rsidRPr="00787196">
        <w:rPr>
          <w:rFonts w:cs="Arial"/>
          <w:szCs w:val="24"/>
        </w:rPr>
        <w:t xml:space="preserve">demands at </w:t>
      </w:r>
      <w:r w:rsidR="00061325" w:rsidRPr="00787196">
        <w:rPr>
          <w:rFonts w:cs="Arial"/>
          <w:szCs w:val="24"/>
        </w:rPr>
        <w:t>work-</w:t>
      </w:r>
      <w:r w:rsidR="00262AB0" w:rsidRPr="00787196">
        <w:rPr>
          <w:rFonts w:cs="Arial"/>
          <w:szCs w:val="24"/>
        </w:rPr>
        <w:t>reported</w:t>
      </w:r>
      <w:r w:rsidR="00061325" w:rsidRPr="00787196">
        <w:rPr>
          <w:rFonts w:cs="Arial"/>
          <w:szCs w:val="24"/>
        </w:rPr>
        <w:t xml:space="preserve"> </w:t>
      </w:r>
      <w:r w:rsidR="00262AB0" w:rsidRPr="00787196">
        <w:rPr>
          <w:rFonts w:cs="Arial"/>
          <w:szCs w:val="24"/>
        </w:rPr>
        <w:t>gingival</w:t>
      </w:r>
      <w:r w:rsidR="00061325" w:rsidRPr="00787196">
        <w:rPr>
          <w:rFonts w:cs="Arial"/>
          <w:szCs w:val="24"/>
        </w:rPr>
        <w:t xml:space="preserve"> bleeding and pockets. Stress was higher in patients with rapid progressive periodontitis </w:t>
      </w:r>
      <w:r w:rsidR="00262AB0" w:rsidRPr="00787196">
        <w:rPr>
          <w:rFonts w:cs="Arial"/>
          <w:szCs w:val="24"/>
        </w:rPr>
        <w:t>than those having</w:t>
      </w:r>
      <w:r w:rsidR="00061325" w:rsidRPr="00787196">
        <w:rPr>
          <w:rFonts w:cs="Arial"/>
          <w:szCs w:val="24"/>
        </w:rPr>
        <w:t xml:space="preserve"> chronic adult periodontitis (Monteiro da Silva, 1996). </w:t>
      </w:r>
    </w:p>
    <w:p w14:paraId="3C4FCBAF" w14:textId="5C45BDCE" w:rsidR="00933A74" w:rsidRPr="00787196" w:rsidRDefault="00933A74" w:rsidP="00226A04">
      <w:pPr>
        <w:pStyle w:val="Heading4"/>
      </w:pPr>
      <w:r w:rsidRPr="00787196">
        <w:t>Causes of stress in oral health</w:t>
      </w:r>
    </w:p>
    <w:p w14:paraId="7EB8B422" w14:textId="697EB0C1" w:rsidR="00061325" w:rsidRPr="00787196" w:rsidRDefault="00061325" w:rsidP="00061325">
      <w:pPr>
        <w:rPr>
          <w:rFonts w:cs="Arial"/>
          <w:szCs w:val="24"/>
        </w:rPr>
      </w:pPr>
      <w:r w:rsidRPr="00787196">
        <w:rPr>
          <w:rFonts w:cs="Arial"/>
          <w:szCs w:val="24"/>
        </w:rPr>
        <w:t xml:space="preserve">Studies have focussed on the perceived stress due to dental life events such as tooth loss and receiving new dentures </w:t>
      </w:r>
      <w:r w:rsidRPr="00787196">
        <w:rPr>
          <w:rFonts w:cs="Arial"/>
          <w:szCs w:val="24"/>
        </w:rPr>
        <w:fldChar w:fldCharType="begin"/>
      </w:r>
      <w:r w:rsidRPr="00787196">
        <w:rPr>
          <w:rFonts w:cs="Arial"/>
          <w:szCs w:val="24"/>
        </w:rPr>
        <w:instrText xml:space="preserve"> ADDIN EN.CITE &lt;EndNote&gt;&lt;Cite&gt;&lt;Author&gt;Bergendal&lt;/Author&gt;&lt;Year&gt;1989&lt;/Year&gt;&lt;RecNum&gt;0&lt;/RecNum&gt;&lt;IDText&gt;The relative importance of tooth loss and denture wearing in Swedish adults&lt;/IDText&gt;&lt;DisplayText&gt;(Bergendal, 1989)&lt;/DisplayText&gt;&lt;record&gt;&lt;isbn&gt;0265-539X&lt;/isbn&gt;&lt;titles&gt;&lt;title&gt;The relative importance of tooth loss and denture wearing in Swedish adults&lt;/title&gt;&lt;secondary-title&gt;Community dental health&lt;/secondary-title&gt;&lt;/titles&gt;&lt;pages&gt;103&lt;/pages&gt;&lt;number&gt;2&lt;/number&gt;&lt;contributors&gt;&lt;authors&gt;&lt;author&gt;Bergendal, B.&lt;/author&gt;&lt;/authors&gt;&lt;/contributors&gt;&lt;added-date format="utc"&gt;1361537388&lt;/added-date&gt;&lt;ref-type name="Journal Article"&gt;17&lt;/ref-type&gt;&lt;dates&gt;&lt;year&gt;1989&lt;/year&gt;&lt;/dates&gt;&lt;rec-number&gt;537&lt;/rec-number&gt;&lt;last-updated-date format="utc"&gt;1361537388&lt;/last-updated-date&gt;&lt;volume&gt;6&lt;/volume&gt;&lt;/record&gt;&lt;/Cite&gt;&lt;/EndNote&gt;</w:instrText>
      </w:r>
      <w:r w:rsidRPr="00787196">
        <w:rPr>
          <w:rFonts w:cs="Arial"/>
          <w:szCs w:val="24"/>
        </w:rPr>
        <w:fldChar w:fldCharType="separate"/>
      </w:r>
      <w:r w:rsidRPr="00787196">
        <w:rPr>
          <w:rFonts w:cs="Arial"/>
          <w:szCs w:val="24"/>
        </w:rPr>
        <w:t>(Bergendal, 1989)</w:t>
      </w:r>
      <w:r w:rsidRPr="00787196">
        <w:rPr>
          <w:rFonts w:cs="Arial"/>
          <w:szCs w:val="24"/>
        </w:rPr>
        <w:fldChar w:fldCharType="end"/>
      </w:r>
      <w:r w:rsidRPr="00787196">
        <w:rPr>
          <w:rFonts w:cs="Arial"/>
          <w:szCs w:val="24"/>
        </w:rPr>
        <w:t xml:space="preserve">. Perceived stress due to dental life events are rated higher than many other life events </w:t>
      </w:r>
      <w:r w:rsidRPr="00787196">
        <w:rPr>
          <w:rFonts w:cs="Arial"/>
          <w:szCs w:val="24"/>
        </w:rPr>
        <w:fldChar w:fldCharType="begin">
          <w:fldData xml:space="preserve">PEVuZE5vdGU+PENpdGU+PEF1dGhvcj5LbG9jazwvQXV0aG9yPjxZZWFyPjIwMDI8L1llYXI+PFJl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PEVuZE5vdGU+PENpdGU+PEF1dGhvcj5LbG9jazwvQXV0aG9yPjxZZWFyPjIwMDI8L1llYXI+PFJl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(Klock and Haugejorden, 2002)</w:t>
      </w:r>
      <w:r w:rsidRPr="00787196">
        <w:rPr>
          <w:rFonts w:cs="Arial"/>
          <w:szCs w:val="24"/>
        </w:rPr>
        <w:fldChar w:fldCharType="end"/>
      </w:r>
      <w:r w:rsidRPr="00787196">
        <w:rPr>
          <w:rFonts w:cs="Arial"/>
          <w:szCs w:val="24"/>
        </w:rPr>
        <w:t xml:space="preserve">. </w:t>
      </w:r>
    </w:p>
    <w:p w14:paraId="0EE36D0C" w14:textId="0F2CA294" w:rsidR="00061325" w:rsidRPr="00787196" w:rsidRDefault="00061325" w:rsidP="00061325">
      <w:pPr>
        <w:spacing w:before="0" w:after="0"/>
        <w:rPr>
          <w:rFonts w:cs="Arial"/>
          <w:szCs w:val="24"/>
        </w:rPr>
      </w:pPr>
      <w:r w:rsidRPr="00787196">
        <w:rPr>
          <w:rFonts w:cs="Arial"/>
          <w:szCs w:val="24"/>
        </w:rPr>
        <w:t xml:space="preserve">In a questionnaire survey </w:t>
      </w:r>
      <w:r w:rsidR="00511323" w:rsidRPr="00787196">
        <w:rPr>
          <w:rFonts w:cs="Arial"/>
          <w:szCs w:val="24"/>
        </w:rPr>
        <w:t>with</w:t>
      </w:r>
      <w:r w:rsidRPr="00787196">
        <w:rPr>
          <w:rFonts w:cs="Arial"/>
          <w:szCs w:val="24"/>
        </w:rPr>
        <w:t xml:space="preserve"> 311 </w:t>
      </w:r>
      <w:r w:rsidR="00511323" w:rsidRPr="00787196">
        <w:rPr>
          <w:rFonts w:cs="Arial"/>
          <w:szCs w:val="24"/>
        </w:rPr>
        <w:t xml:space="preserve">Swedish </w:t>
      </w:r>
      <w:r w:rsidRPr="00787196">
        <w:rPr>
          <w:rFonts w:cs="Arial"/>
          <w:szCs w:val="24"/>
        </w:rPr>
        <w:t xml:space="preserve">adults, the relative readjustment needed when receiving new dentures </w:t>
      </w:r>
      <w:r w:rsidR="00511323" w:rsidRPr="00787196">
        <w:rPr>
          <w:rFonts w:cs="Arial"/>
          <w:szCs w:val="24"/>
        </w:rPr>
        <w:t>was</w:t>
      </w:r>
      <w:r w:rsidRPr="00787196">
        <w:rPr>
          <w:rFonts w:cs="Arial"/>
          <w:szCs w:val="24"/>
        </w:rPr>
        <w:t xml:space="preserve"> compared with 46 everyday life events </w:t>
      </w:r>
      <w:r w:rsidR="00511323" w:rsidRPr="00787196">
        <w:rPr>
          <w:rFonts w:cs="Arial"/>
          <w:szCs w:val="24"/>
        </w:rPr>
        <w:t>using</w:t>
      </w:r>
      <w:r w:rsidRPr="00787196">
        <w:rPr>
          <w:rFonts w:cs="Arial"/>
          <w:szCs w:val="24"/>
        </w:rPr>
        <w:t xml:space="preserve"> the Social Readjustment and Rating Questionnaire (SRRS)</w:t>
      </w:r>
      <w:r w:rsidR="00511323" w:rsidRPr="00787196">
        <w:rPr>
          <w:rFonts w:cs="Arial"/>
          <w:szCs w:val="24"/>
        </w:rPr>
        <w:t xml:space="preserve"> </w:t>
      </w:r>
      <w:r w:rsidR="00511323" w:rsidRPr="00787196">
        <w:rPr>
          <w:rFonts w:cs="Arial"/>
          <w:szCs w:val="24"/>
        </w:rPr>
        <w:fldChar w:fldCharType="begin"/>
      </w:r>
      <w:r w:rsidR="00511323" w:rsidRPr="00787196">
        <w:rPr>
          <w:rFonts w:cs="Arial"/>
          <w:szCs w:val="24"/>
        </w:rPr>
        <w:instrText xml:space="preserve"> ADDIN EN.CITE &lt;EndNote&gt;&lt;Cite&gt;&lt;Author&gt;Bergendal&lt;/Author&gt;&lt;Year&gt;1989&lt;/Year&gt;&lt;RecNum&gt;0&lt;/RecNum&gt;&lt;IDText&gt;The relative importance of tooth loss and denture wearing in Swedish adults&lt;/IDText&gt;&lt;DisplayText&gt;(Bergendal, 1989)&lt;/DisplayText&gt;&lt;record&gt;&lt;isbn&gt;0265-539X&lt;/isbn&gt;&lt;titles&gt;&lt;title&gt;The relative importance of tooth loss and denture wearing in Swedish adults&lt;/title&gt;&lt;secondary-title&gt;Community dental health&lt;/secondary-title&gt;&lt;/titles&gt;&lt;pages&gt;103&lt;/pages&gt;&lt;number&gt;2&lt;/number&gt;&lt;contributors&gt;&lt;authors&gt;&lt;author&gt;Bergendal, B.&lt;/author&gt;&lt;/authors&gt;&lt;/contributors&gt;&lt;added-date format="utc"&gt;1361537388&lt;/added-date&gt;&lt;ref-type name="Journal Article"&gt;17&lt;/ref-type&gt;&lt;dates&gt;&lt;year&gt;1989&lt;/year&gt;&lt;/dates&gt;&lt;rec-number&gt;537&lt;/rec-number&gt;&lt;last-updated-date format="utc"&gt;1361537388&lt;/last-updated-date&gt;&lt;volume&gt;6&lt;/volume&gt;&lt;/record&gt;&lt;/Cite&gt;&lt;/EndNote&gt;</w:instrText>
      </w:r>
      <w:r w:rsidR="00511323" w:rsidRPr="00787196">
        <w:rPr>
          <w:rFonts w:cs="Arial"/>
          <w:szCs w:val="24"/>
        </w:rPr>
        <w:fldChar w:fldCharType="separate"/>
      </w:r>
      <w:r w:rsidR="00511323" w:rsidRPr="00787196">
        <w:rPr>
          <w:rFonts w:cs="Arial"/>
          <w:szCs w:val="24"/>
        </w:rPr>
        <w:t>(Bergendal, 1989)</w:t>
      </w:r>
      <w:r w:rsidR="00511323" w:rsidRPr="00787196">
        <w:rPr>
          <w:rFonts w:cs="Arial"/>
          <w:szCs w:val="24"/>
        </w:rPr>
        <w:fldChar w:fldCharType="end"/>
      </w:r>
      <w:r w:rsidRPr="00787196">
        <w:rPr>
          <w:rFonts w:cs="Arial"/>
          <w:szCs w:val="24"/>
        </w:rPr>
        <w:t xml:space="preserve">. The results showed that receiving new dentures was ranked </w:t>
      </w:r>
      <w:r w:rsidR="006B0702" w:rsidRPr="00787196">
        <w:rPr>
          <w:rFonts w:cs="Arial"/>
          <w:szCs w:val="24"/>
        </w:rPr>
        <w:t>33</w:t>
      </w:r>
      <w:r w:rsidR="006B0702" w:rsidRPr="00787196">
        <w:rPr>
          <w:rFonts w:cs="Arial"/>
          <w:szCs w:val="24"/>
          <w:vertAlign w:val="superscript"/>
        </w:rPr>
        <w:t>rd</w:t>
      </w:r>
      <w:r w:rsidR="006B0702" w:rsidRPr="00787196">
        <w:rPr>
          <w:rFonts w:cs="Arial"/>
          <w:szCs w:val="24"/>
        </w:rPr>
        <w:t xml:space="preserve">, </w:t>
      </w:r>
      <w:r w:rsidRPr="00787196">
        <w:rPr>
          <w:rFonts w:cs="Arial"/>
          <w:szCs w:val="24"/>
        </w:rPr>
        <w:t xml:space="preserve">higher than life events such as tooth loss, marriage, retirement, changing work domestic issues etc. </w:t>
      </w:r>
      <w:r w:rsidR="00EE0A12" w:rsidRPr="00787196">
        <w:rPr>
          <w:rFonts w:cs="Arial"/>
          <w:szCs w:val="24"/>
        </w:rPr>
        <w:t>However</w:t>
      </w:r>
      <w:r w:rsidR="006B0702" w:rsidRPr="00787196">
        <w:rPr>
          <w:rFonts w:cs="Arial"/>
          <w:szCs w:val="24"/>
        </w:rPr>
        <w:t>,</w:t>
      </w:r>
      <w:r w:rsidRPr="00787196">
        <w:rPr>
          <w:rFonts w:cs="Arial"/>
          <w:szCs w:val="24"/>
        </w:rPr>
        <w:t xml:space="preserve"> this study has only compared these two dental life events of receiving dentures and tooth loss</w:t>
      </w:r>
      <w:r w:rsidR="006B0702" w:rsidRPr="00787196">
        <w:rPr>
          <w:rFonts w:cs="Arial"/>
          <w:szCs w:val="24"/>
        </w:rPr>
        <w:t xml:space="preserve"> against more general stressors</w:t>
      </w:r>
      <w:r w:rsidRPr="00787196">
        <w:rPr>
          <w:rFonts w:cs="Arial"/>
          <w:szCs w:val="24"/>
        </w:rPr>
        <w:t xml:space="preserve">. </w:t>
      </w:r>
    </w:p>
    <w:p w14:paraId="628D4B82" w14:textId="77777777" w:rsidR="00EE0A12" w:rsidRPr="00787196" w:rsidRDefault="006B0702" w:rsidP="005C5A79">
      <w:pPr>
        <w:spacing w:before="0" w:after="0"/>
        <w:rPr>
          <w:rFonts w:cs="Arial"/>
          <w:szCs w:val="24"/>
        </w:rPr>
      </w:pPr>
      <w:r w:rsidRPr="00787196">
        <w:rPr>
          <w:rFonts w:cs="Arial"/>
          <w:szCs w:val="24"/>
        </w:rPr>
        <w:t>S</w:t>
      </w:r>
      <w:r w:rsidR="00061325" w:rsidRPr="00787196">
        <w:rPr>
          <w:rFonts w:cs="Arial"/>
          <w:szCs w:val="24"/>
        </w:rPr>
        <w:t>imilar stud</w:t>
      </w:r>
      <w:r w:rsidRPr="00787196">
        <w:rPr>
          <w:rFonts w:cs="Arial"/>
          <w:szCs w:val="24"/>
        </w:rPr>
        <w:t>ies were</w:t>
      </w:r>
      <w:r w:rsidR="00061325" w:rsidRPr="00787196">
        <w:rPr>
          <w:rFonts w:cs="Arial"/>
          <w:szCs w:val="24"/>
        </w:rPr>
        <w:t xml:space="preserve"> conducted in Norway </w:t>
      </w:r>
      <w:r w:rsidR="00061325" w:rsidRPr="00787196">
        <w:rPr>
          <w:rFonts w:cs="Arial"/>
          <w:szCs w:val="24"/>
        </w:rPr>
        <w:fldChar w:fldCharType="begin">
          <w:fldData xml:space="preserve">PEVuZE5vdGU+PENpdGU+PEF1dGhvcj5IYXVnZWpvcmRlbjwvQXV0aG9yPjxZZWFyPjE5OTM8L1ll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PEVuZE5vdGU+PENpdGU+PEF1dGhvcj5IYXVnZWpvcmRlbjwvQXV0aG9yPjxZZWFyPjE5OTM8L1ll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00061325" w:rsidRPr="00787196">
        <w:rPr>
          <w:rFonts w:cs="Arial"/>
          <w:szCs w:val="24"/>
        </w:rPr>
      </w:r>
      <w:r w:rsidR="00061325" w:rsidRPr="00787196">
        <w:rPr>
          <w:rFonts w:cs="Arial"/>
          <w:szCs w:val="24"/>
        </w:rPr>
        <w:fldChar w:fldCharType="separate"/>
      </w:r>
      <w:r w:rsidRPr="00787196">
        <w:rPr>
          <w:rFonts w:cs="Arial"/>
          <w:szCs w:val="24"/>
        </w:rPr>
        <w:t>(Haugejorden et al., 1993, Klock and Haugejorden, 2002)</w:t>
      </w:r>
      <w:r w:rsidR="00061325" w:rsidRPr="00787196">
        <w:rPr>
          <w:rFonts w:cs="Arial"/>
          <w:szCs w:val="24"/>
        </w:rPr>
        <w:fldChar w:fldCharType="end"/>
      </w:r>
      <w:r w:rsidR="004A4328" w:rsidRPr="00787196">
        <w:rPr>
          <w:rFonts w:cs="Arial"/>
          <w:szCs w:val="24"/>
        </w:rPr>
        <w:t xml:space="preserve">. </w:t>
      </w:r>
    </w:p>
    <w:p w14:paraId="6C95157D" w14:textId="2E663BB8" w:rsidR="00EE0A12" w:rsidRPr="00787196" w:rsidRDefault="00EE0A12">
      <w:pPr>
        <w:spacing w:before="0" w:after="0" w:line="240" w:lineRule="auto"/>
        <w:jc w:val="left"/>
        <w:rPr>
          <w:rFonts w:cs="Arial"/>
          <w:szCs w:val="24"/>
        </w:rPr>
      </w:pPr>
    </w:p>
    <w:p w14:paraId="02688F01" w14:textId="6196ADC4" w:rsidR="00061325" w:rsidRPr="00787196" w:rsidRDefault="00061325" w:rsidP="005C5A79">
      <w:pPr>
        <w:spacing w:before="0" w:after="0"/>
        <w:rPr>
          <w:rFonts w:cs="Arial"/>
          <w:szCs w:val="24"/>
        </w:rPr>
      </w:pPr>
      <w:r w:rsidRPr="00787196">
        <w:rPr>
          <w:rFonts w:cs="Arial"/>
          <w:szCs w:val="24"/>
        </w:rPr>
        <w:t>The former again compared dental events against general life events. Receiving</w:t>
      </w:r>
      <w:r w:rsidR="004A4328" w:rsidRPr="00787196">
        <w:rPr>
          <w:rFonts w:cs="Arial"/>
          <w:szCs w:val="24"/>
        </w:rPr>
        <w:t xml:space="preserve"> dentures was ranked</w:t>
      </w:r>
      <w:r w:rsidRPr="00787196">
        <w:rPr>
          <w:rFonts w:cs="Arial"/>
          <w:szCs w:val="24"/>
        </w:rPr>
        <w:t xml:space="preserve"> 33</w:t>
      </w:r>
      <w:r w:rsidR="004A4328" w:rsidRPr="00787196">
        <w:rPr>
          <w:rFonts w:cs="Arial"/>
          <w:szCs w:val="24"/>
          <w:vertAlign w:val="superscript"/>
        </w:rPr>
        <w:t>rd</w:t>
      </w:r>
      <w:r w:rsidR="004A4328" w:rsidRPr="00787196">
        <w:rPr>
          <w:rFonts w:cs="Arial"/>
          <w:szCs w:val="24"/>
        </w:rPr>
        <w:t xml:space="preserve"> as was the case with</w:t>
      </w:r>
      <w:r w:rsidRPr="00787196">
        <w:rPr>
          <w:rFonts w:cs="Arial"/>
          <w:szCs w:val="24"/>
        </w:rPr>
        <w:t xml:space="preserve"> Bergendal </w:t>
      </w:r>
      <w:r w:rsidRPr="00787196">
        <w:rPr>
          <w:rFonts w:cs="Arial"/>
          <w:szCs w:val="24"/>
        </w:rPr>
        <w:fldChar w:fldCharType="begin"/>
      </w:r>
      <w:r w:rsidRPr="00787196">
        <w:rPr>
          <w:rFonts w:cs="Arial"/>
          <w:szCs w:val="24"/>
        </w:rPr>
        <w:instrText xml:space="preserve"> ADDIN EN.CITE &lt;EndNote&gt;&lt;Cite ExcludeAuth="1"&gt;&lt;Author&gt;Bergendal&lt;/Author&gt;&lt;Year&gt;1989&lt;/Year&gt;&lt;RecNum&gt;0&lt;/RecNum&gt;&lt;IDText&gt;The relative importance of tooth loss and denture wearing in Swedish adults&lt;/IDText&gt;&lt;DisplayText&gt;(1989)&lt;/DisplayText&gt;&lt;record&gt;&lt;isbn&gt;0265-539X&lt;/isbn&gt;&lt;titles&gt;&lt;title&gt;The relative importance of tooth loss and denture wearing in Swedish adults&lt;/title&gt;&lt;secondary-title&gt;Community dental health&lt;/secondary-title&gt;&lt;/titles&gt;&lt;pages&gt;103&lt;/pages&gt;&lt;number&gt;2&lt;/number&gt;&lt;contributors&gt;&lt;authors&gt;&lt;author&gt;Bergendal, B.&lt;/author&gt;&lt;/authors&gt;&lt;/contributors&gt;&lt;added-date format="utc"&gt;1361537388&lt;/added-date&gt;&lt;ref-type name="Journal Article"&gt;17&lt;/ref-type&gt;&lt;dates&gt;&lt;year&gt;1989&lt;/year&gt;&lt;/dates&gt;&lt;rec-number&gt;537&lt;/rec-number&gt;&lt;last-updated-date format="utc"&gt;1361537388&lt;/last-updated-date&gt;&lt;volume&gt;6&lt;/volume&gt;&lt;/record&gt;&lt;/Cite&gt;&lt;/EndNote&gt;</w:instrText>
      </w:r>
      <w:r w:rsidRPr="00787196">
        <w:rPr>
          <w:rFonts w:cs="Arial"/>
          <w:szCs w:val="24"/>
        </w:rPr>
        <w:fldChar w:fldCharType="separate"/>
      </w:r>
      <w:r w:rsidRPr="00787196">
        <w:rPr>
          <w:rFonts w:cs="Arial"/>
          <w:szCs w:val="24"/>
        </w:rPr>
        <w:t>(1989)</w:t>
      </w:r>
      <w:r w:rsidRPr="00787196">
        <w:rPr>
          <w:rFonts w:cs="Arial"/>
          <w:szCs w:val="24"/>
        </w:rPr>
        <w:fldChar w:fldCharType="end"/>
      </w:r>
      <w:r w:rsidR="004A4328" w:rsidRPr="00787196">
        <w:rPr>
          <w:rFonts w:cs="Arial"/>
          <w:szCs w:val="24"/>
        </w:rPr>
        <w:t>. This study</w:t>
      </w:r>
      <w:r w:rsidRPr="00787196">
        <w:rPr>
          <w:rFonts w:cs="Arial"/>
          <w:szCs w:val="24"/>
        </w:rPr>
        <w:t xml:space="preserve"> </w:t>
      </w:r>
      <w:r w:rsidR="00457EA0" w:rsidRPr="00787196">
        <w:rPr>
          <w:rFonts w:cs="Arial"/>
          <w:szCs w:val="24"/>
        </w:rPr>
        <w:t xml:space="preserve">suggested </w:t>
      </w:r>
      <w:r w:rsidR="004A4328" w:rsidRPr="00787196">
        <w:rPr>
          <w:rFonts w:cs="Arial"/>
          <w:szCs w:val="24"/>
        </w:rPr>
        <w:t>further that</w:t>
      </w:r>
      <w:r w:rsidRPr="00787196">
        <w:rPr>
          <w:rFonts w:cs="Arial"/>
          <w:szCs w:val="24"/>
        </w:rPr>
        <w:t xml:space="preserve"> coping skills </w:t>
      </w:r>
      <w:r w:rsidR="00457EA0" w:rsidRPr="00787196">
        <w:rPr>
          <w:rFonts w:cs="Arial"/>
          <w:szCs w:val="24"/>
        </w:rPr>
        <w:t xml:space="preserve">are </w:t>
      </w:r>
      <w:r w:rsidRPr="00787196">
        <w:rPr>
          <w:rFonts w:cs="Arial"/>
          <w:szCs w:val="24"/>
        </w:rPr>
        <w:t xml:space="preserve">required for individuals receiving dentures. </w:t>
      </w:r>
      <w:r w:rsidR="00B45FBE" w:rsidRPr="00787196">
        <w:rPr>
          <w:rFonts w:cs="Arial"/>
          <w:szCs w:val="24"/>
        </w:rPr>
        <w:t xml:space="preserve">The latter study assessed coping skills and predictors of ability to cope with dental life events using a short form of Social Readjustment Rating Questionnaire (SSRQ). The results were similar to that of the former. </w:t>
      </w:r>
      <w:r w:rsidRPr="00787196">
        <w:rPr>
          <w:rFonts w:cs="Arial"/>
          <w:szCs w:val="24"/>
        </w:rPr>
        <w:t xml:space="preserve">Although receiving dentures </w:t>
      </w:r>
      <w:r w:rsidR="004A4328" w:rsidRPr="00787196">
        <w:rPr>
          <w:rFonts w:cs="Arial"/>
          <w:szCs w:val="24"/>
        </w:rPr>
        <w:t>is</w:t>
      </w:r>
      <w:r w:rsidRPr="00787196">
        <w:rPr>
          <w:rFonts w:cs="Arial"/>
          <w:szCs w:val="24"/>
        </w:rPr>
        <w:t xml:space="preserve"> not an oral disease or a condition, the pe</w:t>
      </w:r>
      <w:r w:rsidR="005C5A79" w:rsidRPr="00787196">
        <w:rPr>
          <w:rFonts w:cs="Arial"/>
          <w:szCs w:val="24"/>
        </w:rPr>
        <w:t xml:space="preserve">rceived stress was higher than cause </w:t>
      </w:r>
      <w:r w:rsidRPr="00787196">
        <w:rPr>
          <w:rFonts w:cs="Arial"/>
          <w:szCs w:val="24"/>
        </w:rPr>
        <w:t>of tooth loss by oral diseases such as periodont</w:t>
      </w:r>
      <w:r w:rsidR="004A4328" w:rsidRPr="00787196">
        <w:rPr>
          <w:rFonts w:cs="Arial"/>
          <w:szCs w:val="24"/>
        </w:rPr>
        <w:t>itis</w:t>
      </w:r>
      <w:r w:rsidRPr="00787196">
        <w:rPr>
          <w:rFonts w:cs="Arial"/>
          <w:szCs w:val="24"/>
        </w:rPr>
        <w:t>.</w:t>
      </w:r>
    </w:p>
    <w:p w14:paraId="1BDBFB40" w14:textId="232880E2" w:rsidR="00061325" w:rsidRPr="00787196" w:rsidRDefault="00061325" w:rsidP="00226A04">
      <w:pPr>
        <w:pStyle w:val="Heading4"/>
      </w:pPr>
      <w:r w:rsidRPr="00787196">
        <w:t>Perceived stress and OHQoL</w:t>
      </w:r>
    </w:p>
    <w:p w14:paraId="4F9DDEAF" w14:textId="4CECFD4F" w:rsidR="00061325" w:rsidRPr="00787196" w:rsidRDefault="00061325" w:rsidP="00457EA0">
      <w:pPr>
        <w:spacing w:before="0"/>
        <w:rPr>
          <w:rFonts w:cs="Arial"/>
          <w:szCs w:val="24"/>
        </w:rPr>
      </w:pPr>
      <w:r w:rsidRPr="00787196">
        <w:rPr>
          <w:rFonts w:cs="Arial"/>
          <w:szCs w:val="24"/>
        </w:rPr>
        <w:t xml:space="preserve">Perceived stress has been associated with negative views of oral health </w:t>
      </w:r>
      <w:r w:rsidRPr="00787196">
        <w:rPr>
          <w:rFonts w:cs="Arial"/>
          <w:szCs w:val="24"/>
        </w:rPr>
        <w:fldChar w:fldCharType="begin"/>
      </w:r>
      <w:r w:rsidRPr="00787196">
        <w:rPr>
          <w:rFonts w:cs="Arial"/>
          <w:szCs w:val="24"/>
        </w:rPr>
        <w:instrText xml:space="preserve"> ADDIN EN.CITE &lt;EndNote&gt;&lt;Cite&gt;&lt;Author&gt;Locker&lt;/Author&gt;&lt;Year&gt;2000&lt;/Year&gt;&lt;RecNum&gt;0&lt;/RecNum&gt;&lt;IDText&gt;Deprivation and oral health: a review&lt;/IDText&gt;&lt;DisplayText&gt;(Locker, 2000)&lt;/DisplayText&gt;&lt;record&gt;&lt;rec-number&gt;213&lt;/rec-number&gt;&lt;foreign-keys&gt;&lt;key app="EN" db-id="xf0vwtv58a0w9wezwe9vp0fn0wwt2fp5srs0"&gt;213&lt;/key&gt;&lt;/foreign-keys&gt;&lt;ref-type name="Journal Article"&gt;17&lt;/ref-type&gt;&lt;contributors&gt;&lt;authors&gt;&lt;author&gt;Locker, D.&lt;/author&gt;&lt;/authors&gt;&lt;/contributors&gt;&lt;titles&gt;&lt;title&gt;Deprivation and oral health: a review&lt;/title&gt;&lt;secondary-title&gt;Community Dentistry and Oral Epidemiology&lt;/secondary-title&gt;&lt;/titles&gt;&lt;periodical&gt;&lt;full-title&gt;Community Dentistry and Oral Epidemiology&lt;/full-title&gt;&lt;/periodical&gt;&lt;pages&gt;161-169&lt;/pages&gt;&lt;volume&gt;28&lt;/volume&gt;&lt;number&gt;3&lt;/number&gt;&lt;keywords&gt;&lt;keyword&gt;deprivation&lt;/keyword&gt;&lt;keyword&gt;oral health&lt;/keyword&gt;&lt;keyword&gt;socioeconomic status&lt;/keyword&gt;&lt;/keywords&gt;&lt;dates&gt;&lt;year&gt;2000&lt;/year&gt;&lt;/dates&gt;&lt;publisher&gt;Munksgaard International Publishers&lt;/publisher&gt;&lt;urls&gt;&lt;related-urls&gt;&lt;url&gt;http://dx.doi.org/10.1034/j.1600-0528.2000.280301.x &lt;/url&gt;&lt;/related-urls&gt;&lt;/urls&gt;&lt;/record&gt;&lt;/Cite&gt;&lt;/EndNote&gt;</w:instrText>
      </w:r>
      <w:r w:rsidRPr="00787196">
        <w:rPr>
          <w:rFonts w:cs="Arial"/>
          <w:szCs w:val="24"/>
        </w:rPr>
        <w:fldChar w:fldCharType="separate"/>
      </w:r>
      <w:r w:rsidRPr="00787196">
        <w:rPr>
          <w:rFonts w:cs="Arial"/>
          <w:szCs w:val="24"/>
        </w:rPr>
        <w:t>(Locker, 2000)</w:t>
      </w:r>
      <w:r w:rsidRPr="00787196">
        <w:rPr>
          <w:rFonts w:cs="Arial"/>
          <w:szCs w:val="24"/>
        </w:rPr>
        <w:fldChar w:fldCharType="end"/>
      </w:r>
      <w:r w:rsidR="00511323" w:rsidRPr="00787196">
        <w:rPr>
          <w:rFonts w:cs="Arial"/>
          <w:szCs w:val="24"/>
        </w:rPr>
        <w:t xml:space="preserve"> and</w:t>
      </w:r>
      <w:r w:rsidRPr="00787196">
        <w:rPr>
          <w:rFonts w:cs="Arial"/>
          <w:szCs w:val="24"/>
        </w:rPr>
        <w:t xml:space="preserve"> low self-rating</w:t>
      </w:r>
      <w:r w:rsidR="00511323" w:rsidRPr="00787196">
        <w:rPr>
          <w:rFonts w:cs="Arial"/>
          <w:szCs w:val="24"/>
        </w:rPr>
        <w:t>s</w:t>
      </w:r>
      <w:r w:rsidRPr="00787196">
        <w:rPr>
          <w:rFonts w:cs="Arial"/>
          <w:szCs w:val="24"/>
        </w:rPr>
        <w:t xml:space="preserve"> of oral health by adults despite adjustments for age, gender, income and missing teeth </w:t>
      </w:r>
      <w:r w:rsidRPr="00787196">
        <w:rPr>
          <w:rFonts w:cs="Arial"/>
          <w:szCs w:val="24"/>
        </w:rPr>
        <w:fldChar w:fldCharType="begin"/>
      </w:r>
      <w:r w:rsidRPr="00787196">
        <w:rPr>
          <w:rFonts w:cs="Arial"/>
          <w:szCs w:val="24"/>
        </w:rPr>
        <w:instrText xml:space="preserve"> ADDIN EN.CITE &lt;EndNote&gt;&lt;Cite&gt;&lt;Year&gt;2005&lt;/Year&gt;&lt;RecNum&gt;101&lt;/RecNum&gt;&lt;DisplayText&gt;(Sanders and Spencer, 2005)&lt;/DisplayText&gt;&lt;record&gt;&lt;rec-number&gt;101&lt;/rec-number&gt;&lt;foreign-keys&gt;&lt;key app="EN" db-id="pprx5af0eezz5resrauvszthwfd2xp5txea9"&gt;101&lt;/key&gt;&lt;/foreign-keys&gt;&lt;ref-type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Pr="00787196">
        <w:rPr>
          <w:rFonts w:cs="Arial"/>
          <w:szCs w:val="24"/>
        </w:rPr>
        <w:fldChar w:fldCharType="separate"/>
      </w:r>
      <w:r w:rsidRPr="00787196">
        <w:rPr>
          <w:rFonts w:cs="Arial"/>
          <w:szCs w:val="24"/>
        </w:rPr>
        <w:t>(Sanders and Spencer, 2005)</w:t>
      </w:r>
      <w:r w:rsidRPr="00787196">
        <w:rPr>
          <w:rFonts w:cs="Arial"/>
          <w:szCs w:val="24"/>
        </w:rPr>
        <w:fldChar w:fldCharType="end"/>
      </w:r>
      <w:r w:rsidRPr="00787196">
        <w:rPr>
          <w:rFonts w:cs="Arial"/>
          <w:szCs w:val="24"/>
        </w:rPr>
        <w:t>. Such associations have been shown across ethn</w:t>
      </w:r>
      <w:r w:rsidR="00511323" w:rsidRPr="00787196">
        <w:rPr>
          <w:rFonts w:cs="Arial"/>
          <w:szCs w:val="24"/>
        </w:rPr>
        <w:t>ic</w:t>
      </w:r>
      <w:r w:rsidRPr="00787196">
        <w:rPr>
          <w:rFonts w:cs="Arial"/>
          <w:szCs w:val="24"/>
        </w:rPr>
        <w:t xml:space="preserve"> groups </w:t>
      </w:r>
      <w:r w:rsidRPr="00787196">
        <w:rPr>
          <w:rFonts w:cs="Arial"/>
          <w:szCs w:val="24"/>
        </w:rPr>
        <w:fldChar w:fldCharType="begin"/>
      </w:r>
      <w:r w:rsidRPr="00787196">
        <w:rPr>
          <w:rFonts w:cs="Arial"/>
          <w:szCs w:val="24"/>
        </w:rPr>
        <w:instrText xml:space="preserve"> ADDIN EN.CITE &lt;EndNote&gt;&lt;Cite&gt;&lt;Author&gt;Watson&lt;/Author&gt;&lt;Year&gt;2008&lt;/Year&gt;&lt;RecNum&gt;59&lt;/RecNum&gt;&lt;DisplayText&gt;(Watson et al., 2008)&lt;/DisplayText&gt;&lt;record&gt;&lt;rec-number&gt;59&lt;/rec-number&gt;&lt;foreign-keys&gt;&lt;key app="EN" db-id="xf0vwtv58a0w9wezwe9vp0fn0wwt2fp5srs0"&gt;59&lt;/key&gt;&lt;/foreign-keys&gt;&lt;ref-type name="Journal Article"&gt;17&lt;/ref-type&gt;&lt;contributors&gt;&lt;authors&gt;&lt;author&gt;Watson, Jennifer&lt;/author&gt;&lt;author&gt;Logan, Henrietta&lt;/author&gt;&lt;author&gt;Tomar, Scott&lt;/author&gt;&lt;/authors&gt;&lt;/contributors&gt;&lt;titles&gt;&lt;title&gt;The influence of active coping and perceived stress on health disparities in a multi-ethnic low income sample&lt;/title&gt;&lt;secondary-title&gt;BMC Public Health&lt;/secondary-title&gt;&lt;/titles&gt;&lt;periodical&gt;&lt;full-title&gt;BMC Public Health&lt;/full-title&gt;&lt;/periodical&gt;&lt;pages&gt;41&lt;/pages&gt;&lt;volume&gt;8&lt;/volume&gt;&lt;number&gt;1&lt;/number&gt;&lt;dates&gt;&lt;year&gt;2008&lt;/year&gt;&lt;/dates&gt;&lt;isbn&gt;1471-2458&lt;/isbn&gt;&lt;accession-num&gt;doi:10.1186/1471-2458-8-41&lt;/accession-num&gt;&lt;urls&gt;&lt;related-urls&gt;&lt;url&gt;http://www.biomedcentral.com/1471-2458/8/41 &lt;/url&gt;&lt;/related-urls&gt;&lt;/urls&gt;&lt;/record&gt;&lt;/Cite&gt;&lt;/EndNote&gt;</w:instrText>
      </w:r>
      <w:r w:rsidRPr="00787196">
        <w:rPr>
          <w:rFonts w:cs="Arial"/>
          <w:szCs w:val="24"/>
        </w:rPr>
        <w:fldChar w:fldCharType="separate"/>
      </w:r>
      <w:r w:rsidRPr="00787196">
        <w:rPr>
          <w:rFonts w:cs="Arial"/>
          <w:szCs w:val="24"/>
        </w:rPr>
        <w:t>(Watson et al., 2008)</w:t>
      </w:r>
      <w:r w:rsidRPr="00787196">
        <w:rPr>
          <w:rFonts w:cs="Arial"/>
          <w:szCs w:val="24"/>
        </w:rPr>
        <w:fldChar w:fldCharType="end"/>
      </w:r>
      <w:r w:rsidRPr="00787196">
        <w:rPr>
          <w:rFonts w:cs="Arial"/>
          <w:szCs w:val="24"/>
        </w:rPr>
        <w:t xml:space="preserve">. </w:t>
      </w:r>
    </w:p>
    <w:p w14:paraId="77980210" w14:textId="52054D6E" w:rsidR="00061325" w:rsidRPr="00787196" w:rsidRDefault="00061325" w:rsidP="00457EA0">
      <w:pPr>
        <w:spacing w:before="0"/>
        <w:rPr>
          <w:rFonts w:cs="Arial"/>
          <w:szCs w:val="24"/>
        </w:rPr>
      </w:pPr>
      <w:r w:rsidRPr="00787196">
        <w:rPr>
          <w:rFonts w:cs="Arial"/>
          <w:szCs w:val="24"/>
        </w:rPr>
        <w:t xml:space="preserve">A cross-sectional study of 3678 Australian adults (aged 18-91 years) </w:t>
      </w:r>
      <w:r w:rsidR="00B45FBE" w:rsidRPr="00787196">
        <w:rPr>
          <w:rFonts w:cs="Arial"/>
          <w:szCs w:val="24"/>
        </w:rPr>
        <w:t>related perceived</w:t>
      </w:r>
      <w:r w:rsidRPr="00787196">
        <w:rPr>
          <w:rFonts w:cs="Arial"/>
          <w:szCs w:val="24"/>
        </w:rPr>
        <w:t xml:space="preserve"> stress with higher OHIP-14 scores. Similar association</w:t>
      </w:r>
      <w:r w:rsidR="00933A74" w:rsidRPr="00787196">
        <w:rPr>
          <w:rFonts w:cs="Arial"/>
          <w:szCs w:val="24"/>
        </w:rPr>
        <w:t>s</w:t>
      </w:r>
      <w:r w:rsidRPr="00787196">
        <w:rPr>
          <w:rFonts w:cs="Arial"/>
          <w:szCs w:val="24"/>
        </w:rPr>
        <w:t xml:space="preserve"> were found </w:t>
      </w:r>
      <w:r w:rsidR="00457EA0" w:rsidRPr="00787196">
        <w:rPr>
          <w:rFonts w:cs="Arial"/>
          <w:szCs w:val="24"/>
        </w:rPr>
        <w:t xml:space="preserve">in </w:t>
      </w:r>
      <w:r w:rsidRPr="00787196">
        <w:rPr>
          <w:rFonts w:cs="Arial"/>
          <w:szCs w:val="24"/>
        </w:rPr>
        <w:t xml:space="preserve">a study </w:t>
      </w:r>
      <w:r w:rsidR="00B45FBE" w:rsidRPr="00787196">
        <w:rPr>
          <w:rFonts w:cs="Arial"/>
          <w:szCs w:val="24"/>
        </w:rPr>
        <w:t>among</w:t>
      </w:r>
      <w:r w:rsidRPr="00787196">
        <w:rPr>
          <w:rFonts w:cs="Arial"/>
          <w:szCs w:val="24"/>
        </w:rPr>
        <w:t xml:space="preserve"> 225 elders in Toronto </w:t>
      </w:r>
      <w:r w:rsidRPr="00787196">
        <w:rPr>
          <w:rFonts w:cs="Arial"/>
          <w:szCs w:val="24"/>
        </w:rPr>
        <w:fldChar w:fldCharType="begin"/>
      </w:r>
      <w:r w:rsidRPr="00787196">
        <w:rPr>
          <w:rFonts w:cs="Arial"/>
          <w:szCs w:val="24"/>
        </w:rPr>
        <w:instrText xml:space="preserve"> ADDIN EN.CITE &lt;EndNote&gt;&lt;Cite&gt;&lt;Author&gt;Locker&lt;/Author&gt;&lt;Year&gt;2001&lt;/Year&gt;&lt;RecNum&gt;0&lt;/RecNum&gt;&lt;IDText&gt;Comparison of the GOHAI and OHIP-14 as measures of the oral health-related quality of life of the elderly&lt;/IDText&gt;&lt;DisplayText&gt;(Locker et al., 2001)&lt;/DisplayText&gt;&lt;record&gt;&lt;dates&gt;&lt;pub-dates&gt;&lt;date&gt;Oct&lt;/date&gt;&lt;/pub-dates&gt;&lt;year&gt;2001&lt;/year&gt;&lt;/dates&gt;&lt;isbn&gt;0301-5661 (Print)&amp;#xD;0301-5661&lt;/isbn&gt;&lt;titles&gt;&lt;title&gt;Comparison of the GOHAI and OHIP-14 as measures of the oral health-related quality of life of the elderly&lt;/title&gt;&lt;secondary-title&gt;Community Dent Oral Epidemiol&lt;/secondary-title&gt;&lt;alt-title&gt;Community dentistry and oral epidemiology&lt;/alt-title&gt;&lt;/titles&gt;&lt;pages&gt;373-81&lt;/pages&gt;&lt;number&gt;5&lt;/number&gt;&lt;contributors&gt;&lt;authors&gt;&lt;author&gt;Locker, D.&lt;/author&gt;&lt;author&gt;Matear, D.&lt;/author&gt;&lt;author&gt;Stephens, M.&lt;/author&gt;&lt;author&gt;Lawrence, H.&lt;/author&gt;&lt;author&gt;Payne, B.&lt;/author&gt;&lt;/authors&gt;&lt;/contributors&gt;&lt;edition&gt;2001/09/13&lt;/edition&gt;&lt;language&gt;eng&lt;/language&gt;&lt;added-date format="utc"&gt;1374065288&lt;/added-date&gt;&lt;ref-type name="Journal Article"&gt;17&lt;/ref-type&gt;&lt;auth-address&gt;Community Dental Health Services Research Unit, Faculty of Dentistry, University of Toronto, Ontario, Canada. david.locker@utoronto.ca&lt;/auth-address&gt;&lt;remote-database-provider&gt;Nlm&lt;/remote-database-provider&gt;&lt;rec-number&gt;1068&lt;/rec-number&gt;&lt;last-updated-date format="utc"&gt;1374065288&lt;/last-updated-date&gt;&lt;accession-num&gt;11553110&lt;/accession-num&gt;&lt;volume&gt;29&lt;/volume&gt;&lt;/record&gt;&lt;/Cite&gt;&lt;/EndNote&gt;</w:instrText>
      </w:r>
      <w:r w:rsidRPr="00787196">
        <w:rPr>
          <w:rFonts w:cs="Arial"/>
          <w:szCs w:val="24"/>
        </w:rPr>
        <w:fldChar w:fldCharType="separate"/>
      </w:r>
      <w:r w:rsidRPr="00787196">
        <w:rPr>
          <w:rFonts w:cs="Arial"/>
          <w:szCs w:val="24"/>
        </w:rPr>
        <w:t>(Locker et al., 2001)</w:t>
      </w:r>
      <w:r w:rsidRPr="00787196">
        <w:rPr>
          <w:rFonts w:cs="Arial"/>
          <w:szCs w:val="24"/>
        </w:rPr>
        <w:fldChar w:fldCharType="end"/>
      </w:r>
      <w:r w:rsidRPr="00787196">
        <w:rPr>
          <w:rFonts w:cs="Arial"/>
          <w:szCs w:val="24"/>
        </w:rPr>
        <w:t>. The sample included a large proportion of denture wearers (71%)</w:t>
      </w:r>
      <w:r w:rsidR="00B45FBE" w:rsidRPr="00787196">
        <w:rPr>
          <w:rFonts w:cs="Arial"/>
          <w:szCs w:val="24"/>
        </w:rPr>
        <w:t>,</w:t>
      </w:r>
      <w:r w:rsidRPr="00787196">
        <w:rPr>
          <w:rFonts w:cs="Arial"/>
          <w:szCs w:val="24"/>
        </w:rPr>
        <w:t xml:space="preserve"> suggesting an association between perceived stress and OHQoL in denture wearers. </w:t>
      </w:r>
      <w:r w:rsidR="00B45FBE" w:rsidRPr="00787196">
        <w:rPr>
          <w:rFonts w:cs="Arial"/>
          <w:szCs w:val="24"/>
        </w:rPr>
        <w:t>T</w:t>
      </w:r>
      <w:r w:rsidRPr="00787196">
        <w:rPr>
          <w:rFonts w:cs="Arial"/>
          <w:szCs w:val="24"/>
        </w:rPr>
        <w:t>hese studies were cross-sectional,</w:t>
      </w:r>
      <w:r w:rsidR="00B45FBE" w:rsidRPr="00787196">
        <w:rPr>
          <w:rFonts w:cs="Arial"/>
          <w:szCs w:val="24"/>
        </w:rPr>
        <w:t xml:space="preserve"> thus</w:t>
      </w:r>
      <w:r w:rsidRPr="00787196">
        <w:rPr>
          <w:rFonts w:cs="Arial"/>
          <w:szCs w:val="24"/>
        </w:rPr>
        <w:t xml:space="preserve"> a causal relationship cannot be established </w:t>
      </w:r>
      <w:r w:rsidRPr="00787196">
        <w:rPr>
          <w:rFonts w:cs="Arial"/>
          <w:szCs w:val="24"/>
        </w:rPr>
        <w:fldChar w:fldCharType="begin"/>
      </w:r>
      <w:r w:rsidRPr="00787196">
        <w:rPr>
          <w:rFonts w:cs="Arial"/>
          <w:szCs w:val="24"/>
        </w:rPr>
        <w:instrText xml:space="preserve"> ADDIN EN.CITE &lt;EndNote&gt;&lt;Cite&gt;&lt;Author&gt;Sanders&lt;/Author&gt;&lt;Year&gt;2005&lt;/Year&gt;&lt;RecNum&gt;0&lt;/RecNum&gt;&lt;IDText&gt;Why do poor adults rate their oral health poorly?&lt;/IDText&gt;&lt;DisplayText&gt;(Sanders and Spencer, 2005)&lt;/DisplayText&gt;&lt;record&gt;&lt;rec-number&gt;57&lt;/rec-number&gt;&lt;foreign-keys&gt;&lt;key app="EN" db-id="xf0vwtv58a0w9wezwe9vp0fn0wwt2fp5srs0"&gt;57&lt;/key&gt;&lt;/foreign-keys&gt;&lt;ref-type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Pr="00787196">
        <w:rPr>
          <w:rFonts w:cs="Arial"/>
          <w:szCs w:val="24"/>
        </w:rPr>
        <w:fldChar w:fldCharType="separate"/>
      </w:r>
      <w:r w:rsidRPr="00787196">
        <w:rPr>
          <w:rFonts w:cs="Arial"/>
          <w:szCs w:val="24"/>
        </w:rPr>
        <w:t>(Sanders and Spencer, 2005)</w:t>
      </w:r>
      <w:r w:rsidRPr="00787196">
        <w:rPr>
          <w:rFonts w:cs="Arial"/>
          <w:szCs w:val="24"/>
        </w:rPr>
        <w:fldChar w:fldCharType="end"/>
      </w:r>
      <w:r w:rsidRPr="00787196">
        <w:rPr>
          <w:rFonts w:cs="Arial"/>
          <w:szCs w:val="24"/>
        </w:rPr>
        <w:t xml:space="preserve">. </w:t>
      </w:r>
    </w:p>
    <w:p w14:paraId="0D822EA1" w14:textId="77777777" w:rsidR="00457EA0" w:rsidRPr="00787196" w:rsidRDefault="00933A74" w:rsidP="00457EA0">
      <w:pPr>
        <w:spacing w:before="0" w:after="0"/>
        <w:rPr>
          <w:rFonts w:cs="Arial"/>
          <w:szCs w:val="24"/>
        </w:rPr>
      </w:pPr>
      <w:r w:rsidRPr="00787196">
        <w:rPr>
          <w:rFonts w:cs="Arial"/>
          <w:szCs w:val="24"/>
        </w:rPr>
        <w:t>The l</w:t>
      </w:r>
      <w:r w:rsidR="00061325" w:rsidRPr="00787196">
        <w:rPr>
          <w:rFonts w:cs="Arial"/>
          <w:szCs w:val="24"/>
        </w:rPr>
        <w:t>iterature on the effect of perceived stress on OHQoL in denture</w:t>
      </w:r>
      <w:r w:rsidRPr="00787196">
        <w:rPr>
          <w:rFonts w:cs="Arial"/>
          <w:szCs w:val="24"/>
        </w:rPr>
        <w:t xml:space="preserve"> wearers</w:t>
      </w:r>
      <w:r w:rsidR="00457EA0" w:rsidRPr="00787196">
        <w:rPr>
          <w:rFonts w:cs="Arial"/>
          <w:szCs w:val="24"/>
        </w:rPr>
        <w:t xml:space="preserve"> i</w:t>
      </w:r>
      <w:r w:rsidR="00061325" w:rsidRPr="00787196">
        <w:rPr>
          <w:rFonts w:cs="Arial"/>
          <w:szCs w:val="24"/>
        </w:rPr>
        <w:t>s limited. T</w:t>
      </w:r>
      <w:r w:rsidR="00457EA0" w:rsidRPr="00787196">
        <w:rPr>
          <w:rFonts w:cs="Arial"/>
          <w:szCs w:val="24"/>
        </w:rPr>
        <w:t>wo</w:t>
      </w:r>
      <w:r w:rsidR="00061325" w:rsidRPr="00787196">
        <w:rPr>
          <w:rFonts w:cs="Arial"/>
          <w:szCs w:val="24"/>
        </w:rPr>
        <w:t xml:space="preserve"> studies (Table</w:t>
      </w:r>
      <w:r w:rsidR="00511323" w:rsidRPr="00787196">
        <w:rPr>
          <w:rFonts w:cs="Arial"/>
          <w:szCs w:val="24"/>
        </w:rPr>
        <w:t xml:space="preserve"> 2-</w:t>
      </w:r>
      <w:r w:rsidR="00644972" w:rsidRPr="00787196">
        <w:rPr>
          <w:rFonts w:cs="Arial"/>
          <w:szCs w:val="24"/>
        </w:rPr>
        <w:t>3</w:t>
      </w:r>
      <w:r w:rsidR="00061325" w:rsidRPr="00787196">
        <w:rPr>
          <w:rFonts w:cs="Arial"/>
          <w:szCs w:val="24"/>
        </w:rPr>
        <w:t xml:space="preserve">), discussed perceived stress and its relationship with oral health status and OHQoL in denture wearers </w:t>
      </w:r>
      <w:r w:rsidR="00061325"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LCBMb2NrZXIgYW5kIEFsbGVuLCAyMDAyKTwvRGlzcGxheVRleHQ+PHJlY29yZD48ZGF0ZXM+PHB1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</w:fldData>
        </w:fldChar>
      </w:r>
      <w:r w:rsidR="00061325" w:rsidRPr="00787196">
        <w:rPr>
          <w:rFonts w:cs="Arial"/>
          <w:szCs w:val="24"/>
        </w:rPr>
        <w:instrText xml:space="preserve"> ADDIN EN.CITE </w:instrText>
      </w:r>
      <w:r w:rsidR="00061325"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LCBMb2NrZXIgYW5kIEFsbGVuLCAyMDAyKTwvRGlzcGxheVRleHQ+PHJlY29yZD48ZGF0ZXM+PHB1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</w:fldData>
        </w:fldChar>
      </w:r>
      <w:r w:rsidR="00061325" w:rsidRPr="00787196">
        <w:rPr>
          <w:rFonts w:cs="Arial"/>
          <w:szCs w:val="24"/>
        </w:rPr>
        <w:instrText xml:space="preserve"> ADDIN EN.CITE.DATA </w:instrText>
      </w:r>
      <w:r w:rsidR="00061325" w:rsidRPr="00787196">
        <w:rPr>
          <w:rFonts w:cs="Arial"/>
          <w:szCs w:val="24"/>
        </w:rPr>
      </w:r>
      <w:r w:rsidR="00061325" w:rsidRPr="00787196">
        <w:rPr>
          <w:rFonts w:cs="Arial"/>
          <w:szCs w:val="24"/>
        </w:rPr>
        <w:fldChar w:fldCharType="end"/>
      </w:r>
      <w:r w:rsidR="00061325" w:rsidRPr="00787196">
        <w:rPr>
          <w:rFonts w:cs="Arial"/>
          <w:szCs w:val="24"/>
        </w:rPr>
      </w:r>
      <w:r w:rsidR="00061325" w:rsidRPr="00787196">
        <w:rPr>
          <w:rFonts w:cs="Arial"/>
          <w:szCs w:val="24"/>
        </w:rPr>
        <w:fldChar w:fldCharType="separate"/>
      </w:r>
      <w:r w:rsidR="00061325" w:rsidRPr="00787196">
        <w:rPr>
          <w:rFonts w:cs="Arial"/>
          <w:szCs w:val="24"/>
        </w:rPr>
        <w:t>(Locker et al., 2001, Locker and Allen, 2002)</w:t>
      </w:r>
      <w:r w:rsidR="00061325" w:rsidRPr="00787196">
        <w:rPr>
          <w:rFonts w:cs="Arial"/>
          <w:szCs w:val="24"/>
        </w:rPr>
        <w:fldChar w:fldCharType="end"/>
      </w:r>
      <w:r w:rsidR="00061325" w:rsidRPr="00787196">
        <w:rPr>
          <w:rFonts w:cs="Arial"/>
          <w:szCs w:val="24"/>
        </w:rPr>
        <w:t>.</w:t>
      </w:r>
    </w:p>
    <w:p w14:paraId="7AFBF8C6" w14:textId="77777777" w:rsidR="00457EA0" w:rsidRPr="00787196" w:rsidRDefault="00457EA0">
      <w:pPr>
        <w:spacing w:before="0" w:after="0" w:line="240" w:lineRule="auto"/>
        <w:jc w:val="left"/>
        <w:rPr>
          <w:rFonts w:cs="Arial"/>
          <w:szCs w:val="24"/>
        </w:rPr>
      </w:pPr>
      <w:r w:rsidRPr="00787196">
        <w:rPr>
          <w:rFonts w:cs="Arial"/>
          <w:szCs w:val="24"/>
        </w:rPr>
        <w:br w:type="page"/>
      </w:r>
    </w:p>
    <w:p w14:paraId="37BFE534" w14:textId="230DDD7C" w:rsidR="00625F21" w:rsidRPr="00787196" w:rsidRDefault="00061325" w:rsidP="00457EA0">
      <w:pPr>
        <w:spacing w:before="0"/>
        <w:rPr>
          <w:rFonts w:cs="Arial"/>
          <w:szCs w:val="24"/>
        </w:rPr>
      </w:pPr>
      <w:r w:rsidRPr="00787196">
        <w:rPr>
          <w:rFonts w:cs="Arial"/>
          <w:szCs w:val="24"/>
        </w:rPr>
        <w:lastRenderedPageBreak/>
        <w:t xml:space="preserve">No study </w:t>
      </w:r>
      <w:r w:rsidR="00295EA3" w:rsidRPr="00787196">
        <w:rPr>
          <w:rFonts w:cs="Arial"/>
          <w:szCs w:val="24"/>
        </w:rPr>
        <w:t xml:space="preserve">was </w:t>
      </w:r>
      <w:r w:rsidRPr="00787196">
        <w:rPr>
          <w:rFonts w:cs="Arial"/>
          <w:szCs w:val="24"/>
        </w:rPr>
        <w:t>identified that explored the social factors and other pathways that may mediate the effects of perceived stress on OHQoL in denture wearers. Hence</w:t>
      </w:r>
      <w:r w:rsidR="00295EA3" w:rsidRPr="00787196">
        <w:rPr>
          <w:rFonts w:cs="Arial"/>
          <w:szCs w:val="24"/>
        </w:rPr>
        <w:t>,</w:t>
      </w:r>
      <w:r w:rsidRPr="00787196">
        <w:rPr>
          <w:rFonts w:cs="Arial"/>
          <w:szCs w:val="24"/>
        </w:rPr>
        <w:t xml:space="preserve"> it cannot be affirmed that perceived stress levels predict denture success by mediating or confounding OHQoL. But these existing associations provide a rationale to further explore whether perceived stress levels mediate or confound OHQoL in denture wearers.</w:t>
      </w:r>
    </w:p>
    <w:p w14:paraId="1EBEB484" w14:textId="7AAE385C" w:rsidR="006B7AF3" w:rsidRPr="00787196" w:rsidRDefault="00705358" w:rsidP="00EE0A12">
      <w:pPr>
        <w:pStyle w:val="Heading3"/>
        <w:rPr>
          <w:rStyle w:val="fontstyle01"/>
          <w:rFonts w:cs="Latha"/>
          <w:color w:val="auto"/>
          <w:sz w:val="26"/>
          <w:szCs w:val="22"/>
        </w:rPr>
      </w:pPr>
      <w:bookmarkStart w:id="92" w:name="_Toc488655628"/>
      <w:r w:rsidRPr="00787196">
        <w:rPr>
          <w:rStyle w:val="fontstyle01"/>
          <w:rFonts w:cs="Latha"/>
          <w:color w:val="auto"/>
          <w:sz w:val="26"/>
          <w:szCs w:val="22"/>
        </w:rPr>
        <w:t>Subjective Socio-Economic Status</w:t>
      </w:r>
      <w:bookmarkEnd w:id="92"/>
    </w:p>
    <w:p w14:paraId="4F40A10C" w14:textId="4992C9A0" w:rsidR="003161E8" w:rsidRPr="00787196" w:rsidRDefault="006B7AF3" w:rsidP="006B7AF3">
      <w:r w:rsidRPr="00787196">
        <w:t xml:space="preserve">Subjective socio-economic status (SES) </w:t>
      </w:r>
      <w:r w:rsidR="003161E8" w:rsidRPr="00787196">
        <w:t xml:space="preserve">considers </w:t>
      </w:r>
      <w:r w:rsidRPr="00787196">
        <w:t>an individual’s perception o</w:t>
      </w:r>
      <w:r w:rsidR="003161E8" w:rsidRPr="00787196">
        <w:t>f</w:t>
      </w:r>
      <w:r w:rsidRPr="00787196">
        <w:t xml:space="preserve"> how they rank themselves in relation to others.</w:t>
      </w:r>
      <w:r w:rsidR="00163501" w:rsidRPr="00787196">
        <w:t xml:space="preserve"> Jackman and Jackman </w:t>
      </w:r>
      <w:r w:rsidR="00163501" w:rsidRPr="00787196">
        <w:fldChar w:fldCharType="begin"/>
      </w:r>
      <w:r w:rsidR="00163501" w:rsidRPr="00787196">
        <w:instrText xml:space="preserve"> ADDIN EN.CITE &lt;EndNote&gt;&lt;Cite ExcludeAuth="1"&gt;&lt;Author&gt;Jackman&lt;/Author&gt;&lt;Year&gt;1973&lt;/Year&gt;&lt;IDText&gt;An interpretation of the relation between objective and subjective social status&lt;/IDText&gt;&lt;DisplayText&gt;(1973)&lt;/DisplayText&gt;&lt;record&gt;&lt;dates&gt;&lt;pub-dates&gt;&lt;date&gt;Oct&lt;/date&gt;&lt;/pub-dates&gt;&lt;year&gt;1973&lt;/year&gt;&lt;/dates&gt;&lt;keywords&gt;&lt;keyword&gt;Adult&lt;/keyword&gt;&lt;keyword&gt;Educational Status&lt;/keyword&gt;&lt;keyword&gt;Humans&lt;/keyword&gt;&lt;keyword&gt;Identification (Psychology)&lt;/keyword&gt;&lt;keyword&gt;Income&lt;/keyword&gt;&lt;keyword&gt;Occupations&lt;/keyword&gt;&lt;keyword&gt;*Self Concept&lt;/keyword&gt;&lt;keyword&gt;*Social Behavior&lt;/keyword&gt;&lt;keyword&gt;*Social Class&lt;/keyword&gt;&lt;keyword&gt;United States&lt;/keyword&gt;&lt;/keywords&gt;&lt;isbn&gt;0003-1224 (Print)&amp;#xD;0003-1224&lt;/isbn&gt;&lt;titles&gt;&lt;title&gt;An interpretation of the relation between objective and subjective social status&lt;/title&gt;&lt;secondary-title&gt;Am Sociol Rev&lt;/secondary-title&gt;&lt;alt-title&gt;American sociological review&lt;/alt-title&gt;&lt;/titles&gt;&lt;pages&gt;569-82&lt;/pages&gt;&lt;number&gt;5&lt;/number&gt;&lt;contributors&gt;&lt;authors&gt;&lt;author&gt;Jackman, M. R.&lt;/author&gt;&lt;author&gt;Jackman, R. W.&lt;/author&gt;&lt;/authors&gt;&lt;/contributors&gt;&lt;edition&gt;1973/10/01&lt;/edition&gt;&lt;language&gt;eng&lt;/language&gt;&lt;added-date format="utc"&gt;1386068850&lt;/added-date&gt;&lt;ref-type name="Journal Article"&gt;17&lt;/ref-type&gt;&lt;remote-database-provider&gt;NLM&lt;/remote-database-provider&gt;&lt;rec-number&gt;1855&lt;/rec-number&gt;&lt;last-updated-date format="utc"&gt;1386068850&lt;/last-updated-date&gt;&lt;accession-num&gt;4745630&lt;/accession-num&gt;&lt;volume&gt;38&lt;/volume&gt;&lt;/record&gt;&lt;/Cite&gt;&lt;/EndNote&gt;</w:instrText>
      </w:r>
      <w:r w:rsidR="00163501" w:rsidRPr="00787196">
        <w:fldChar w:fldCharType="separate"/>
      </w:r>
      <w:r w:rsidR="00163501" w:rsidRPr="00787196">
        <w:t>(1973)</w:t>
      </w:r>
      <w:r w:rsidR="00163501" w:rsidRPr="00787196">
        <w:fldChar w:fldCharType="end"/>
      </w:r>
      <w:r w:rsidR="00163501" w:rsidRPr="00787196">
        <w:t xml:space="preserve"> defined Subjective SES as “the individual’s perception of his own position in the social hierarchy”. </w:t>
      </w:r>
      <w:r w:rsidR="0088735C" w:rsidRPr="00787196">
        <w:t>However, how</w:t>
      </w:r>
      <w:r w:rsidRPr="00787196">
        <w:t xml:space="preserve"> subjective SES influences health</w:t>
      </w:r>
      <w:r w:rsidR="0088735C" w:rsidRPr="00787196">
        <w:t xml:space="preserve"> and the mechanism of the associations</w:t>
      </w:r>
      <w:r w:rsidRPr="00787196">
        <w:t xml:space="preserve"> is </w:t>
      </w:r>
      <w:r w:rsidR="0088735C" w:rsidRPr="00787196">
        <w:t>not explicit</w:t>
      </w:r>
      <w:r w:rsidRPr="00787196">
        <w:t xml:space="preserve">. </w:t>
      </w:r>
    </w:p>
    <w:p w14:paraId="332B31B8" w14:textId="29DC2963" w:rsidR="00F67EF8" w:rsidRPr="00787196" w:rsidRDefault="00163501" w:rsidP="006B7AF3">
      <w:r w:rsidRPr="00787196">
        <w:t>People use non-</w:t>
      </w:r>
      <w:r w:rsidR="006B7AF3" w:rsidRPr="00787196">
        <w:t>economic criteria to interpret and judge their own socio-</w:t>
      </w:r>
      <w:r w:rsidRPr="00787196">
        <w:t>economic status</w:t>
      </w:r>
      <w:r w:rsidR="006B7AF3" w:rsidRPr="00787196">
        <w:t xml:space="preserve"> (Singh-Manoux et al., 2003). Factors such as prestige</w:t>
      </w:r>
      <w:r w:rsidRPr="00787196">
        <w:t xml:space="preserve"> also</w:t>
      </w:r>
      <w:r w:rsidR="006B7AF3" w:rsidRPr="00787196">
        <w:t xml:space="preserve"> influence subjective</w:t>
      </w:r>
      <w:r w:rsidRPr="00787196">
        <w:t xml:space="preserve"> </w:t>
      </w:r>
      <w:r w:rsidR="006B7AF3" w:rsidRPr="00787196">
        <w:t>SES</w:t>
      </w:r>
      <w:r w:rsidRPr="00787196">
        <w:t xml:space="preserve"> so that it</w:t>
      </w:r>
      <w:r w:rsidR="006B7AF3" w:rsidRPr="00787196">
        <w:t xml:space="preserve"> is considered as a reflection of the cognitive averaging of </w:t>
      </w:r>
      <w:r w:rsidRPr="00787196">
        <w:t>the standard</w:t>
      </w:r>
      <w:r w:rsidR="006B7AF3" w:rsidRPr="00787196">
        <w:t xml:space="preserve"> markers of SES. It is</w:t>
      </w:r>
      <w:r w:rsidRPr="00787196">
        <w:t xml:space="preserve"> </w:t>
      </w:r>
      <w:r w:rsidR="006B7AF3" w:rsidRPr="00787196">
        <w:t xml:space="preserve">thought to add a social element to the association between SES and </w:t>
      </w:r>
      <w:r w:rsidRPr="00787196">
        <w:t>health outcomes</w:t>
      </w:r>
      <w:r w:rsidR="006B7AF3" w:rsidRPr="00787196">
        <w:t xml:space="preserve"> (Nock and Rossi, 1979)</w:t>
      </w:r>
      <w:r w:rsidRPr="00787196">
        <w:t xml:space="preserve"> and may serve as </w:t>
      </w:r>
      <w:r w:rsidR="006B7AF3" w:rsidRPr="00787196">
        <w:t>a better</w:t>
      </w:r>
      <w:r w:rsidRPr="00787196">
        <w:t xml:space="preserve"> </w:t>
      </w:r>
      <w:r w:rsidR="006B7AF3" w:rsidRPr="00787196">
        <w:t xml:space="preserve">marker </w:t>
      </w:r>
      <w:r w:rsidRPr="00787196">
        <w:t>for</w:t>
      </w:r>
      <w:r w:rsidR="006B7AF3" w:rsidRPr="00787196">
        <w:t xml:space="preserve"> self-reported health outcomes </w:t>
      </w:r>
      <w:r w:rsidR="00F67EF8" w:rsidRPr="00787196">
        <w:fldChar w:fldCharType="begin">
          <w:fldData xml:space="preserve">PEVuZE5vdGU+PENpdGU+PEF1dGhvcj5Pc3Ryb3ZlPC9BdXRob3I+PFllYXI+MjAwMDwvWWVhcj48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==
</w:fldData>
        </w:fldChar>
      </w:r>
      <w:r w:rsidR="00F67EF8" w:rsidRPr="00787196">
        <w:instrText xml:space="preserve"> ADDIN EN.CITE </w:instrText>
      </w:r>
      <w:r w:rsidR="00F67EF8" w:rsidRPr="00787196">
        <w:fldChar w:fldCharType="begin">
          <w:fldData xml:space="preserve">PEVuZE5vdGU+PENpdGU+PEF1dGhvcj5Pc3Ryb3ZlPC9BdXRob3I+PFllYXI+MjAwMDwvWWVhcj48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==
</w:fldData>
        </w:fldChar>
      </w:r>
      <w:r w:rsidR="00F67EF8" w:rsidRPr="00787196">
        <w:instrText xml:space="preserve"> ADDIN EN.CITE.DATA </w:instrText>
      </w:r>
      <w:r w:rsidR="00F67EF8" w:rsidRPr="00787196">
        <w:fldChar w:fldCharType="end"/>
      </w:r>
      <w:r w:rsidR="00F67EF8" w:rsidRPr="00787196">
        <w:fldChar w:fldCharType="separate"/>
      </w:r>
      <w:r w:rsidR="00F67EF8" w:rsidRPr="00787196">
        <w:t>(Ostrove et al., 2000, Operario et al., 2004, Hu et al., 2005, Franzini and Fernandez-Esquer, 2006)</w:t>
      </w:r>
      <w:r w:rsidR="00F67EF8" w:rsidRPr="00787196">
        <w:fldChar w:fldCharType="end"/>
      </w:r>
      <w:r w:rsidR="008C40DD" w:rsidRPr="00787196">
        <w:t>.</w:t>
      </w:r>
    </w:p>
    <w:p w14:paraId="69C9C3AA" w14:textId="53514087" w:rsidR="00EB5F2C" w:rsidRPr="00787196" w:rsidRDefault="00273DBC" w:rsidP="006B7AF3">
      <w:r w:rsidRPr="00787196">
        <w:t xml:space="preserve">An individual’s perception of </w:t>
      </w:r>
      <w:r w:rsidR="0088735C" w:rsidRPr="00787196">
        <w:t xml:space="preserve">their position </w:t>
      </w:r>
      <w:r w:rsidRPr="00787196">
        <w:t>in the soc</w:t>
      </w:r>
      <w:r w:rsidR="0088735C" w:rsidRPr="00787196">
        <w:t xml:space="preserve">iety and </w:t>
      </w:r>
      <w:r w:rsidR="005C5A79" w:rsidRPr="00787196">
        <w:t>its hierarchy</w:t>
      </w:r>
      <w:r w:rsidRPr="00787196">
        <w:t xml:space="preserve"> may </w:t>
      </w:r>
      <w:r w:rsidR="005C5A79" w:rsidRPr="00787196">
        <w:t>generate emotions</w:t>
      </w:r>
      <w:r w:rsidRPr="00787196">
        <w:t xml:space="preserve"> that </w:t>
      </w:r>
      <w:r w:rsidR="0088735C" w:rsidRPr="00787196">
        <w:t>reflect on</w:t>
      </w:r>
      <w:r w:rsidRPr="00787196">
        <w:t xml:space="preserve"> </w:t>
      </w:r>
      <w:r w:rsidR="0088735C" w:rsidRPr="00787196">
        <w:t xml:space="preserve">their </w:t>
      </w:r>
      <w:r w:rsidRPr="00787196">
        <w:t xml:space="preserve">physiological processes </w:t>
      </w:r>
      <w:r w:rsidR="0088735C" w:rsidRPr="00787196">
        <w:t xml:space="preserve">on </w:t>
      </w:r>
      <w:r w:rsidRPr="00787196">
        <w:t>neuroanatomical structures</w:t>
      </w:r>
      <w:r w:rsidR="0088735C" w:rsidRPr="00787196">
        <w:t>.</w:t>
      </w:r>
      <w:r w:rsidRPr="00787196">
        <w:t xml:space="preserve"> This may eventually lead to an increased biological vulnerability. Indirectly, adoption of unhealthy behaviours may occur </w:t>
      </w:r>
      <w:r w:rsidRPr="00787196">
        <w:fldChar w:fldCharType="begin"/>
      </w:r>
      <w:r w:rsidRPr="00787196">
        <w:instrText xml:space="preserve"> ADDIN EN.CITE &lt;EndNote&gt;&lt;Cite&gt;&lt;Author&gt;R.&lt;/Author&gt;&lt;Year&gt;1992&lt;/Year&gt;&lt;IDText&gt;Income distribution and life expectancy&lt;/IDText&gt;&lt;DisplayText&gt;(Wilkinson, 1992)&lt;/DisplayText&gt;&lt;record&gt;&lt;dates&gt;&lt;pub-dates&gt;&lt;date&gt;1992-01-18 00:00:00&lt;/date&gt;&lt;/pub-dates&gt;&lt;year&gt;1992&lt;/year&gt;&lt;/dates&gt;&lt;titles&gt;&lt;title&gt;Income distribution and life expectancy&lt;/title&gt;&lt;secondary-title&gt;BMJ&lt;/secondary-title&gt;&lt;/titles&gt;&lt;pages&gt;165-168&lt;/pages&gt;&lt;urls&gt;&lt;pdf-urls&gt;&lt;url&gt;http://www.bmj.com/bmj/304/6820/165.full.pdf&lt;/url&gt;&lt;/pdf-urls&gt;&lt;/urls&gt;&lt;number&gt;6820&lt;/number&gt;&lt;contributors&gt;&lt;authors&gt;&lt;author&gt;R. G. Wilkinson&lt;/author&gt;&lt;/authors&gt;&lt;/contributors&gt;&lt;added-date format="utc"&gt;1469778555&lt;/added-date&gt;&lt;ref-type name="Journal Article"&gt;17&lt;/ref-type&gt;&lt;rec-number&gt;2332&lt;/rec-number&gt;&lt;last-updated-date format="utc"&gt;1469778555&lt;/last-updated-date&gt;&lt;electronic-resource-num&gt;10.1136/bmj.304.6820.165&lt;/electronic-resource-num&gt;&lt;volume&gt;304&lt;/volume&gt;&lt;/record&gt;&lt;/Cite&gt;&lt;/EndNote&gt;</w:instrText>
      </w:r>
      <w:r w:rsidRPr="00787196">
        <w:fldChar w:fldCharType="separate"/>
      </w:r>
      <w:r w:rsidRPr="00787196">
        <w:t>(Wilkinson, 1992)</w:t>
      </w:r>
      <w:r w:rsidRPr="00787196">
        <w:fldChar w:fldCharType="end"/>
      </w:r>
      <w:r w:rsidR="008C40DD" w:rsidRPr="00787196">
        <w:t>.</w:t>
      </w:r>
      <w:r w:rsidR="00A653BD" w:rsidRPr="00787196">
        <w:t xml:space="preserve"> </w:t>
      </w:r>
      <w:r w:rsidR="006B7AF3" w:rsidRPr="00787196">
        <w:t xml:space="preserve">Singh-Manoux and colleagues </w:t>
      </w:r>
      <w:r w:rsidRPr="00787196">
        <w:fldChar w:fldCharType="begin"/>
      </w:r>
      <w:r w:rsidRPr="00787196">
        <w:instrText xml:space="preserve"> ADDIN EN.CITE &lt;EndNote&gt;&lt;Cite ExcludeAuth="1"&gt;&lt;Author&gt;Singh-Manoux&lt;/Author&gt;&lt;Year&gt;2005&lt;/Year&gt;&lt;IDText&gt;Does Subjective Social Status Predict Health and Change in Health Status Better Than Objective Status?&lt;/IDText&gt;&lt;DisplayText&gt;(2005)&lt;/DisplayText&gt;&lt;record&gt;&lt;dates&gt;&lt;pub-dates&gt;&lt;date&gt;November 1, 2005&lt;/date&gt;&lt;/pub-dates&gt;&lt;year&gt;2005&lt;/year&gt;&lt;/dates&gt;&lt;urls&gt;&lt;related-urls&gt;&lt;url&gt;http://www.psychosomaticmedicine.org/content/67/6/855.abstract&lt;/url&gt;&lt;/related-urls&gt;&lt;/urls&gt;&lt;titles&gt;&lt;title&gt;Does Subjective Social Status Predict Health and Change in Health Status Better Than Objective Status?&lt;/title&gt;&lt;secondary-title&gt;Psychosomatic Medicine&lt;/secondary-title&gt;&lt;/titles&gt;&lt;pages&gt;855-861&lt;/pages&gt;&lt;number&gt;6&lt;/number&gt;&lt;contributors&gt;&lt;authors&gt;&lt;author&gt;Singh-Manoux, Archana&lt;/author&gt;&lt;author&gt;Marmot, Michael G.&lt;/author&gt;&lt;author&gt;Adler, Nancy E.&lt;/author&gt;&lt;/authors&gt;&lt;/contributors&gt;&lt;added-date format="utc"&gt;1469778555&lt;/added-date&gt;&lt;ref-type name="Journal Article"&gt;17&lt;/ref-type&gt;&lt;rec-number&gt;2355&lt;/rec-number&gt;&lt;last-updated-date format="utc"&gt;1469778555&lt;/last-updated-date&gt;&lt;electronic-resource-num&gt;10.1097/01.psy.0000188434.52941.a0&lt;/electronic-resource-num&gt;&lt;volume&gt;67&lt;/volume&gt;&lt;/record&gt;&lt;/Cite&gt;&lt;/EndNote&gt;</w:instrText>
      </w:r>
      <w:r w:rsidRPr="00787196">
        <w:fldChar w:fldCharType="separate"/>
      </w:r>
      <w:r w:rsidRPr="00787196">
        <w:t>(2005)</w:t>
      </w:r>
      <w:r w:rsidRPr="00787196">
        <w:fldChar w:fldCharType="end"/>
      </w:r>
      <w:r w:rsidR="006B7AF3" w:rsidRPr="00787196">
        <w:t xml:space="preserve"> </w:t>
      </w:r>
      <w:r w:rsidR="00A653BD" w:rsidRPr="00787196">
        <w:t xml:space="preserve">gave </w:t>
      </w:r>
      <w:r w:rsidR="006B7AF3" w:rsidRPr="00787196">
        <w:t>three different hypotheses</w:t>
      </w:r>
      <w:r w:rsidR="00E7121B" w:rsidRPr="00787196">
        <w:t xml:space="preserve"> to explain the effect of</w:t>
      </w:r>
      <w:r w:rsidRPr="00787196">
        <w:t xml:space="preserve"> subjective</w:t>
      </w:r>
      <w:r w:rsidR="006B7AF3" w:rsidRPr="00787196">
        <w:t xml:space="preserve"> SES </w:t>
      </w:r>
      <w:r w:rsidR="00E7121B" w:rsidRPr="00787196">
        <w:t>on health</w:t>
      </w:r>
      <w:r w:rsidR="006B7AF3" w:rsidRPr="00787196">
        <w:t xml:space="preserve">. Firstly, as </w:t>
      </w:r>
      <w:r w:rsidR="00A653BD" w:rsidRPr="00787196">
        <w:t xml:space="preserve">a </w:t>
      </w:r>
      <w:r w:rsidR="006B7AF3" w:rsidRPr="00787196">
        <w:t>measure of social position</w:t>
      </w:r>
      <w:r w:rsidR="00A653BD" w:rsidRPr="00787196">
        <w:t xml:space="preserve"> based on their</w:t>
      </w:r>
      <w:r w:rsidR="006B7AF3" w:rsidRPr="00787196">
        <w:t xml:space="preserve"> past and perce</w:t>
      </w:r>
      <w:r w:rsidR="00A653BD" w:rsidRPr="00787196">
        <w:t xml:space="preserve">ptions of </w:t>
      </w:r>
      <w:r w:rsidR="006B7AF3" w:rsidRPr="00787196">
        <w:t>future</w:t>
      </w:r>
      <w:r w:rsidR="00A653BD" w:rsidRPr="00787196">
        <w:t>.</w:t>
      </w:r>
      <w:r w:rsidR="006B7AF3" w:rsidRPr="00787196">
        <w:t xml:space="preserve"> </w:t>
      </w:r>
    </w:p>
    <w:p w14:paraId="2D3587F0" w14:textId="77777777" w:rsidR="00EB5F2C" w:rsidRPr="00787196" w:rsidRDefault="00EB5F2C">
      <w:pPr>
        <w:spacing w:before="0" w:after="0" w:line="240" w:lineRule="auto"/>
        <w:jc w:val="left"/>
      </w:pPr>
      <w:r w:rsidRPr="00787196">
        <w:br w:type="page"/>
      </w:r>
    </w:p>
    <w:p w14:paraId="382720E7" w14:textId="4A4D50B3" w:rsidR="003972A7" w:rsidRPr="00787196" w:rsidRDefault="006B7AF3" w:rsidP="006B7AF3">
      <w:r w:rsidRPr="00787196">
        <w:lastRenderedPageBreak/>
        <w:t xml:space="preserve">Secondly, </w:t>
      </w:r>
      <w:r w:rsidR="00E7121B" w:rsidRPr="00787196">
        <w:t xml:space="preserve">the </w:t>
      </w:r>
      <w:r w:rsidRPr="00787196">
        <w:t>hierarchy</w:t>
      </w:r>
      <w:r w:rsidR="00E7121B" w:rsidRPr="00787196">
        <w:t>-</w:t>
      </w:r>
      <w:r w:rsidRPr="00787196">
        <w:t>health relationship</w:t>
      </w:r>
      <w:r w:rsidR="00E7121B" w:rsidRPr="00787196">
        <w:t xml:space="preserve"> that</w:t>
      </w:r>
      <w:r w:rsidRPr="00787196">
        <w:t xml:space="preserve"> sees subjective SES as crucial in assessing </w:t>
      </w:r>
      <w:r w:rsidR="00E7121B" w:rsidRPr="00787196">
        <w:t xml:space="preserve">the </w:t>
      </w:r>
      <w:r w:rsidR="00A55A47" w:rsidRPr="00787196">
        <w:t xml:space="preserve">relative </w:t>
      </w:r>
      <w:r w:rsidRPr="00787196">
        <w:t>position of an individual in t</w:t>
      </w:r>
      <w:r w:rsidR="00E7121B" w:rsidRPr="00787196">
        <w:t>he</w:t>
      </w:r>
      <w:r w:rsidR="00A55A47" w:rsidRPr="00787196">
        <w:t xml:space="preserve"> hierarchy of the </w:t>
      </w:r>
      <w:r w:rsidR="00E7121B" w:rsidRPr="00787196">
        <w:t>soci</w:t>
      </w:r>
      <w:r w:rsidR="00A55A47" w:rsidRPr="00787196">
        <w:t>ety</w:t>
      </w:r>
      <w:r w:rsidR="00DA2B7E" w:rsidRPr="00787196">
        <w:t xml:space="preserve"> they live in.</w:t>
      </w:r>
      <w:r w:rsidRPr="00787196">
        <w:t xml:space="preserve"> This concept </w:t>
      </w:r>
      <w:r w:rsidR="00DA2B7E" w:rsidRPr="00787196">
        <w:t xml:space="preserve"> </w:t>
      </w:r>
      <w:r w:rsidRPr="00787196">
        <w:t xml:space="preserve">explains the SES and health link </w:t>
      </w:r>
      <w:r w:rsidR="00E7121B" w:rsidRPr="00787196">
        <w:t>in a</w:t>
      </w:r>
      <w:r w:rsidRPr="00787196">
        <w:t xml:space="preserve"> better way th</w:t>
      </w:r>
      <w:r w:rsidR="00E7121B" w:rsidRPr="00787196">
        <w:t xml:space="preserve">an objective SES </w:t>
      </w:r>
      <w:r w:rsidR="00E7121B" w:rsidRPr="00787196">
        <w:fldChar w:fldCharType="begin"/>
      </w:r>
      <w:r w:rsidR="00E7121B" w:rsidRPr="00787196">
        <w:instrText xml:space="preserve"> ADDIN EN.CITE &lt;EndNote&gt;&lt;Cite&gt;&lt;Author&gt;Wilkinson&lt;/Author&gt;&lt;Year&gt;2002&lt;/Year&gt;&lt;IDText&gt;Unhealthy societies: the afflictions of inequality&lt;/IDText&gt;&lt;DisplayText&gt;(Wilkinson, 2002)&lt;/DisplayText&gt;&lt;record&gt;&lt;isbn&gt;020342168X&lt;/isbn&gt;&lt;titles&gt;&lt;title&gt;Unhealthy societies: the afflictions of inequality&lt;/title&gt;&lt;/titles&gt;&lt;contributors&gt;&lt;authors&gt;&lt;author&gt;Wilkinson, Richard G.&lt;/author&gt;&lt;/authors&gt;&lt;/contributors&gt;&lt;added-date format="utc"&gt;1386301884&lt;/added-date&gt;&lt;ref-type name="Book"&gt;6&lt;/ref-type&gt;&lt;dates&gt;&lt;year&gt;2002&lt;/year&gt;&lt;/dates&gt;&lt;rec-number&gt;1874&lt;/rec-number&gt;&lt;publisher&gt;Routledge&lt;/publisher&gt;&lt;last-updated-date format="utc"&gt;1386301884&lt;/last-updated-date&gt;&lt;/record&gt;&lt;/Cite&gt;&lt;/EndNote&gt;</w:instrText>
      </w:r>
      <w:r w:rsidR="00E7121B" w:rsidRPr="00787196">
        <w:fldChar w:fldCharType="separate"/>
      </w:r>
      <w:r w:rsidR="00E7121B" w:rsidRPr="00787196">
        <w:t>(Wilkinson, 2002)</w:t>
      </w:r>
      <w:r w:rsidR="00E7121B" w:rsidRPr="00787196">
        <w:fldChar w:fldCharType="end"/>
      </w:r>
      <w:r w:rsidR="00E7121B" w:rsidRPr="00787196">
        <w:t>.</w:t>
      </w:r>
      <w:r w:rsidR="00DA2B7E" w:rsidRPr="00787196">
        <w:t xml:space="preserve"> </w:t>
      </w:r>
      <w:r w:rsidR="003972A7" w:rsidRPr="00787196">
        <w:t>For instance, objective indicators such as the position in an occupation may generate the same ratings for two different individuals working the same position for an occupation (e.g. a HR manager) but those who work for a more prestigious organisation or a corporation might want to rate their subjective status higher than the other.</w:t>
      </w:r>
    </w:p>
    <w:p w14:paraId="05B63349" w14:textId="46F34024" w:rsidR="008C40DD" w:rsidRPr="00787196" w:rsidRDefault="003972A7" w:rsidP="008C40DD">
      <w:r w:rsidRPr="00787196">
        <w:t xml:space="preserve">The third perspective was reverse causation or common method variance. The association between subjective SES and health may be </w:t>
      </w:r>
      <w:r w:rsidR="002D4F5C" w:rsidRPr="00787196">
        <w:t>false,</w:t>
      </w:r>
      <w:r w:rsidRPr="00787196">
        <w:t xml:space="preserve"> based on the possibility that individual assessments of SES can be mediated by other factors like health status etc. due to response bias. However, the test-retest reliability demonstrated by this measure has consistently shown to be adequate in </w:t>
      </w:r>
      <w:r w:rsidR="00DA2B7E" w:rsidRPr="00787196">
        <w:t xml:space="preserve">various </w:t>
      </w:r>
      <w:r w:rsidRPr="00787196">
        <w:t xml:space="preserve">samples in </w:t>
      </w:r>
      <w:r w:rsidR="00DA2B7E" w:rsidRPr="00787196">
        <w:t xml:space="preserve">variety of </w:t>
      </w:r>
      <w:r w:rsidR="008C40DD" w:rsidRPr="00787196">
        <w:t>populations. The</w:t>
      </w:r>
      <w:r w:rsidR="002D4F5C" w:rsidRPr="00787196">
        <w:t xml:space="preserve"> results shown by these studies may justify the overruling</w:t>
      </w:r>
      <w:r w:rsidR="008C40DD" w:rsidRPr="00787196">
        <w:t xml:space="preserve"> the argument of response bias.</w:t>
      </w:r>
    </w:p>
    <w:p w14:paraId="29B1CC99" w14:textId="5F328564" w:rsidR="002D4F5C" w:rsidRPr="00787196" w:rsidRDefault="002D4F5C" w:rsidP="008C40DD">
      <w:r w:rsidRPr="00787196">
        <w:t xml:space="preserve">Despite these findings, the  </w:t>
      </w:r>
      <w:r w:rsidR="00DA2B7E" w:rsidRPr="00787196">
        <w:t>association</w:t>
      </w:r>
      <w:r w:rsidRPr="00787196">
        <w:t xml:space="preserve"> between SES and health require </w:t>
      </w:r>
      <w:r w:rsidR="003D6ADA" w:rsidRPr="00787196">
        <w:t>in depth observation</w:t>
      </w:r>
      <w:r w:rsidRPr="00787196">
        <w:t xml:space="preserve"> </w:t>
      </w:r>
      <w:r w:rsidRPr="00787196">
        <w:fldChar w:fldCharType="begin"/>
      </w:r>
      <w:r w:rsidRPr="00787196">
        <w:instrText xml:space="preserve"> ADDIN EN.CITE &lt;EndNote&gt;&lt;Cite&gt;&lt;Author&gt;Singh-Manoux&lt;/Author&gt;&lt;Year&gt;2005&lt;/Year&gt;&lt;IDText&gt;Does Subjective Social Status Predict Health and Change in Health Status Better Than Objective Status?&lt;/IDText&gt;&lt;DisplayText&gt;(Singh-Manoux et al., 2005)&lt;/DisplayText&gt;&lt;record&gt;&lt;dates&gt;&lt;pub-dates&gt;&lt;date&gt;November 1, 2005&lt;/date&gt;&lt;/pub-dates&gt;&lt;year&gt;2005&lt;/year&gt;&lt;/dates&gt;&lt;urls&gt;&lt;related-urls&gt;&lt;url&gt;http://www.psychosomaticmedicine.org/content/67/6/855.abstract&lt;/url&gt;&lt;/related-urls&gt;&lt;/urls&gt;&lt;titles&gt;&lt;title&gt;Does Subjective Social Status Predict Health and Change in Health Status Better Than Objective Status?&lt;/title&gt;&lt;secondary-title&gt;Psychosomatic Medicine&lt;/secondary-title&gt;&lt;/titles&gt;&lt;pages&gt;855-861&lt;/pages&gt;&lt;number&gt;6&lt;/number&gt;&lt;contributors&gt;&lt;authors&gt;&lt;author&gt;Singh-Manoux, Archana&lt;/author&gt;&lt;author&gt;Marmot, Michael G.&lt;/author&gt;&lt;author&gt;Adler, Nancy E.&lt;/author&gt;&lt;/authors&gt;&lt;/contributors&gt;&lt;added-date format="utc"&gt;1469778555&lt;/added-date&gt;&lt;ref-type name="Journal Article"&gt;17&lt;/ref-type&gt;&lt;rec-number&gt;2355&lt;/rec-number&gt;&lt;last-updated-date format="utc"&gt;1469778555&lt;/last-updated-date&gt;&lt;electronic-resource-num&gt;10.1097/01.psy.0000188434.52941.a0&lt;/electronic-resource-num&gt;&lt;volume&gt;67&lt;/volume&gt;&lt;/record&gt;&lt;/Cite&gt;&lt;/EndNote&gt;</w:instrText>
      </w:r>
      <w:r w:rsidRPr="00787196">
        <w:fldChar w:fldCharType="separate"/>
      </w:r>
      <w:r w:rsidRPr="00787196">
        <w:t>(Singh-Manoux et al., 2005)</w:t>
      </w:r>
      <w:r w:rsidRPr="00787196">
        <w:fldChar w:fldCharType="end"/>
      </w:r>
      <w:r w:rsidR="008C40DD" w:rsidRPr="00787196">
        <w:t xml:space="preserve">, especially as it </w:t>
      </w:r>
      <w:r w:rsidR="003D6ADA" w:rsidRPr="00787196">
        <w:t>has</w:t>
      </w:r>
      <w:r w:rsidR="008C40DD" w:rsidRPr="00787196">
        <w:t xml:space="preserve"> not been studied in relation to denture success.</w:t>
      </w:r>
    </w:p>
    <w:p w14:paraId="476B4F5C" w14:textId="790F04E8" w:rsidR="00C00B33" w:rsidRPr="00787196" w:rsidRDefault="00C00B33" w:rsidP="00226A04">
      <w:pPr>
        <w:pStyle w:val="Heading4"/>
      </w:pPr>
      <w:r w:rsidRPr="00787196">
        <w:t>Subjective SES, clinical status, dentures and OHQoL</w:t>
      </w:r>
    </w:p>
    <w:p w14:paraId="7AB11524" w14:textId="20963574" w:rsidR="002B3A0E" w:rsidRPr="00787196" w:rsidRDefault="00C00B33" w:rsidP="002B3A0E">
      <w:r w:rsidRPr="00787196">
        <w:t xml:space="preserve">Few studies have investigated associations between subjective SES and health. Sanders and colleagues </w:t>
      </w:r>
      <w:r w:rsidRPr="00787196">
        <w:fldChar w:fldCharType="begin"/>
      </w:r>
      <w:r w:rsidR="00AE3E7A" w:rsidRPr="00787196">
        <w:instrText xml:space="preserve"> ADDIN EN.CITE &lt;EndNote&gt;&lt;Cite ExcludeAuth="1"&gt;&lt;Author&gt;Sanders&lt;/Author&gt;&lt;Year&gt;2006&lt;/Year&gt;&lt;IDText&gt;The shape of the socioeconomic–oral health gradient: implications for theoretical explanations&lt;/IDText&gt;&lt;DisplayText&gt;(2006a)&lt;/DisplayText&gt;&lt;record&gt;&lt;keywords&gt;&lt;keyword&gt;dental health surveys&lt;/keyword&gt;&lt;keyword&gt;income&lt;/keyword&gt;&lt;keyword&gt;inequalities&lt;/keyword&gt;&lt;keyword&gt;middle aged&lt;/keyword&gt;&lt;keyword&gt;social hierarchy&lt;/keyword&gt;&lt;/keywords&gt;&lt;urls&gt;&lt;related-urls&gt;&lt;url&gt;http://dx.doi.org/10.1111/j.1600-0528.2006.00286.x&lt;/url&gt;&lt;/related-urls&gt;&lt;/urls&gt;&lt;titles&gt;&lt;title&gt;The shape of the socioeconomic–oral health gradient: implications for theoretical explanations&lt;/title&gt;&lt;secondary-title&gt;Community Dentistry and Oral Epidemiology&lt;/secondary-title&gt;&lt;/titles&gt;&lt;pages&gt;310-319&lt;/pages&gt;&lt;number&gt;4&lt;/number&gt;&lt;contributors&gt;&lt;authors&gt;&lt;author&gt;Sanders, Anne E.&lt;/author&gt;&lt;author&gt;Slade, Gary D.&lt;/author&gt;&lt;author&gt;Turrell, Gavin&lt;/author&gt;&lt;author&gt;John Spencer, A.&lt;/author&gt;&lt;author&gt;Marcenes, Wagner&lt;/author&gt;&lt;/authors&gt;&lt;/contributors&gt;&lt;added-date format="utc"&gt;1469778554&lt;/added-date&gt;&lt;ref-type name="Journal Article"&gt;17&lt;/ref-type&gt;&lt;dates&gt;&lt;year&gt;2006&lt;/year&gt;&lt;/dates&gt;&lt;rec-number&gt;2253&lt;/rec-number&gt;&lt;publisher&gt;Blackwell Publishing Ltd&lt;/publisher&gt;&lt;last-updated-date format="utc"&gt;1469778554&lt;/last-updated-date&gt;&lt;volume&gt;34&lt;/volume&gt;&lt;/record&gt;&lt;/Cite&gt;&lt;/EndNote&gt;</w:instrText>
      </w:r>
      <w:r w:rsidRPr="00787196">
        <w:fldChar w:fldCharType="separate"/>
      </w:r>
      <w:r w:rsidR="00AE3E7A" w:rsidRPr="00787196">
        <w:t>(2006a)</w:t>
      </w:r>
      <w:r w:rsidRPr="00787196">
        <w:fldChar w:fldCharType="end"/>
      </w:r>
      <w:r w:rsidR="00BD4BE0" w:rsidRPr="00787196">
        <w:t xml:space="preserve"> studied 2915 Australian adults aged 43-57 years. </w:t>
      </w:r>
      <w:r w:rsidR="00B635BD" w:rsidRPr="00787196">
        <w:t>Individuals placing themselves on a lower</w:t>
      </w:r>
      <w:r w:rsidR="00BD4BE0" w:rsidRPr="00787196">
        <w:t xml:space="preserve"> subjective SES (using the MacArthur Scale of Subjective Social Status) more likely to ha</w:t>
      </w:r>
      <w:r w:rsidR="00B635BD" w:rsidRPr="00787196">
        <w:t>d</w:t>
      </w:r>
      <w:r w:rsidR="00BD4BE0" w:rsidRPr="00787196">
        <w:t xml:space="preserve"> less than 24 teeth, rate</w:t>
      </w:r>
      <w:r w:rsidR="00877CFF" w:rsidRPr="00787196">
        <w:t>d</w:t>
      </w:r>
      <w:r w:rsidR="00BD4BE0" w:rsidRPr="00787196">
        <w:t xml:space="preserve"> their oral health as poor or fair and were less satisfied with their chewing ability.</w:t>
      </w:r>
      <w:r w:rsidR="002B3A0E" w:rsidRPr="00787196">
        <w:br w:type="page"/>
      </w:r>
    </w:p>
    <w:p w14:paraId="35C14172" w14:textId="72F8B4CA" w:rsidR="00434686" w:rsidRPr="00787196" w:rsidRDefault="00BD4BE0" w:rsidP="002B3A0E">
      <w:r w:rsidRPr="00787196">
        <w:lastRenderedPageBreak/>
        <w:t xml:space="preserve">Lower subjective SES was also </w:t>
      </w:r>
      <w:r w:rsidR="00134ECF" w:rsidRPr="00787196">
        <w:t xml:space="preserve">associated with lower </w:t>
      </w:r>
      <w:r w:rsidRPr="00787196">
        <w:t>OHQoL. Hence, lower subjective SES</w:t>
      </w:r>
      <w:r w:rsidR="00134ECF" w:rsidRPr="00787196">
        <w:t xml:space="preserve"> was seen as to be associated with higher </w:t>
      </w:r>
      <w:r w:rsidR="007263E6" w:rsidRPr="00787196">
        <w:t>prevalence</w:t>
      </w:r>
      <w:r w:rsidR="00134ECF" w:rsidRPr="00787196">
        <w:t xml:space="preserve"> of oral health conditions</w:t>
      </w:r>
      <w:r w:rsidR="00434686" w:rsidRPr="00787196">
        <w:t xml:space="preserve"> even after variables such as age, sex</w:t>
      </w:r>
      <w:r w:rsidR="00134ECF" w:rsidRPr="00787196">
        <w:t>,</w:t>
      </w:r>
      <w:r w:rsidR="00434686" w:rsidRPr="00787196">
        <w:t xml:space="preserve"> country, habits such as smoking; alcohol </w:t>
      </w:r>
      <w:r w:rsidR="00134ECF" w:rsidRPr="00787196">
        <w:t>consumption</w:t>
      </w:r>
      <w:r w:rsidR="00434686" w:rsidRPr="00787196">
        <w:t xml:space="preserve">, body mass index, tooth brushing </w:t>
      </w:r>
      <w:r w:rsidR="00134ECF" w:rsidRPr="00787196">
        <w:t xml:space="preserve">frequency </w:t>
      </w:r>
      <w:r w:rsidR="00434686" w:rsidRPr="00787196">
        <w:t xml:space="preserve">and interdental cleaning. </w:t>
      </w:r>
      <w:r w:rsidR="00134ECF" w:rsidRPr="00787196">
        <w:t xml:space="preserve">However, </w:t>
      </w:r>
      <w:r w:rsidR="00434686" w:rsidRPr="00787196">
        <w:t xml:space="preserve">this study does not clearly </w:t>
      </w:r>
      <w:r w:rsidR="00134ECF" w:rsidRPr="00787196">
        <w:t xml:space="preserve">suggest </w:t>
      </w:r>
      <w:r w:rsidR="00434686" w:rsidRPr="00787196">
        <w:t xml:space="preserve">a causal </w:t>
      </w:r>
      <w:r w:rsidR="00134ECF" w:rsidRPr="00787196">
        <w:t>association</w:t>
      </w:r>
      <w:r w:rsidR="00434686" w:rsidRPr="00787196">
        <w:t>.</w:t>
      </w:r>
    </w:p>
    <w:p w14:paraId="6977DDE8" w14:textId="143F6E77" w:rsidR="00434686" w:rsidRPr="00787196" w:rsidRDefault="00434686" w:rsidP="002B3A0E">
      <w:r w:rsidRPr="00787196">
        <w:t xml:space="preserve">No studies were found </w:t>
      </w:r>
      <w:r w:rsidR="002B3A0E" w:rsidRPr="00787196">
        <w:t xml:space="preserve">to </w:t>
      </w:r>
      <w:r w:rsidRPr="00787196">
        <w:t>have investigated subjective SES in denture wearers. In this study, we consider SES as a confounding variable that may influence denture success to improve OHQoL in denture wearers.</w:t>
      </w:r>
    </w:p>
    <w:p w14:paraId="4FD66B1C" w14:textId="6C377E0F" w:rsidR="00061325" w:rsidRPr="00787196" w:rsidRDefault="00061325" w:rsidP="00D9694A">
      <w:pPr>
        <w:pStyle w:val="Heading3"/>
        <w:rPr>
          <w:rFonts w:cs="Arial"/>
        </w:rPr>
      </w:pPr>
      <w:bookmarkStart w:id="93" w:name="_Toc488655629"/>
      <w:r w:rsidRPr="00787196">
        <w:t>Summary</w:t>
      </w:r>
      <w:bookmarkEnd w:id="93"/>
      <w:r w:rsidRPr="00787196">
        <w:t xml:space="preserve"> </w:t>
      </w:r>
    </w:p>
    <w:p w14:paraId="6FD7F845" w14:textId="28669A88" w:rsidR="00061325" w:rsidRPr="00787196" w:rsidRDefault="00061325" w:rsidP="00A67E9C">
      <w:r w:rsidRPr="00787196">
        <w:t xml:space="preserve">The individual </w:t>
      </w:r>
      <w:r w:rsidR="00BF1DBB" w:rsidRPr="00787196">
        <w:t xml:space="preserve">factors </w:t>
      </w:r>
      <w:r w:rsidRPr="00787196">
        <w:t xml:space="preserve">discussed in this </w:t>
      </w:r>
      <w:r w:rsidR="00BF1DBB" w:rsidRPr="00787196">
        <w:t>section</w:t>
      </w:r>
      <w:r w:rsidRPr="00787196">
        <w:t xml:space="preserve"> suggest that the impact on OHQoL in denture wearers </w:t>
      </w:r>
      <w:r w:rsidR="00BF1DBB" w:rsidRPr="00787196">
        <w:t xml:space="preserve">may </w:t>
      </w:r>
      <w:r w:rsidRPr="00787196">
        <w:t xml:space="preserve">be </w:t>
      </w:r>
      <w:r w:rsidR="00BF1DBB" w:rsidRPr="00787196">
        <w:t xml:space="preserve">predicted or </w:t>
      </w:r>
      <w:r w:rsidRPr="00787196">
        <w:t>moderated by them. Factors such as</w:t>
      </w:r>
      <w:r w:rsidR="00BF1DBB" w:rsidRPr="00787196">
        <w:t xml:space="preserve"> coping strategies, a</w:t>
      </w:r>
      <w:r w:rsidRPr="00787196">
        <w:t xml:space="preserve">geing expectations, </w:t>
      </w:r>
      <w:r w:rsidR="00BF1DBB" w:rsidRPr="00787196">
        <w:t>c</w:t>
      </w:r>
      <w:r w:rsidRPr="00787196">
        <w:t xml:space="preserve">oncern about oral health </w:t>
      </w:r>
      <w:r w:rsidR="00BF1DBB" w:rsidRPr="00787196">
        <w:t xml:space="preserve">and perceived stress, </w:t>
      </w:r>
      <w:r w:rsidRPr="00787196">
        <w:t xml:space="preserve">all show some associations with oral health status, oral health related behaviours and oral health related quality of life in denture wearers. Albeit, the pathways </w:t>
      </w:r>
      <w:r w:rsidR="00BF1DBB" w:rsidRPr="00787196">
        <w:t>of these associations cannot be studied as</w:t>
      </w:r>
      <w:r w:rsidRPr="00787196">
        <w:t xml:space="preserve"> most </w:t>
      </w:r>
      <w:r w:rsidR="00DE5F8C" w:rsidRPr="00787196">
        <w:t xml:space="preserve">of the studies </w:t>
      </w:r>
      <w:r w:rsidRPr="00787196">
        <w:t xml:space="preserve">were cross-sectional </w:t>
      </w:r>
      <w:r w:rsidR="00DE5F8C" w:rsidRPr="00787196">
        <w:t>and lacked a</w:t>
      </w:r>
      <w:r w:rsidRPr="00787196">
        <w:t xml:space="preserve"> theoretical basis. The simultaneous effects of individual factors</w:t>
      </w:r>
      <w:r w:rsidR="00DE5F8C" w:rsidRPr="00787196">
        <w:t xml:space="preserve"> along with environmental factors (discussed in the next section)</w:t>
      </w:r>
      <w:r w:rsidRPr="00787196">
        <w:t xml:space="preserve"> might mediate or confound </w:t>
      </w:r>
      <w:r w:rsidR="00DE5F8C" w:rsidRPr="00787196">
        <w:t xml:space="preserve">effects on </w:t>
      </w:r>
      <w:r w:rsidRPr="00787196">
        <w:t xml:space="preserve">OHQoL in </w:t>
      </w:r>
      <w:r w:rsidR="00DE5F8C" w:rsidRPr="00787196">
        <w:t>denture wearing in</w:t>
      </w:r>
      <w:r w:rsidRPr="00787196">
        <w:t xml:space="preserve">dividuals. </w:t>
      </w:r>
    </w:p>
    <w:p w14:paraId="4B5C6CDF" w14:textId="77777777" w:rsidR="00061325" w:rsidRPr="00787196" w:rsidRDefault="00061325" w:rsidP="00061325">
      <w:pPr>
        <w:spacing w:before="0" w:after="0" w:line="240" w:lineRule="auto"/>
      </w:pPr>
      <w:r w:rsidRPr="00787196">
        <w:br w:type="page"/>
      </w:r>
    </w:p>
    <w:p w14:paraId="33C97FF4" w14:textId="6B8563A6" w:rsidR="00061325" w:rsidRPr="00787196" w:rsidRDefault="00705358" w:rsidP="00222B42">
      <w:pPr>
        <w:pStyle w:val="Heading2"/>
      </w:pPr>
      <w:bookmarkStart w:id="94" w:name="_Toc488655630"/>
      <w:r w:rsidRPr="00787196">
        <w:lastRenderedPageBreak/>
        <w:t>Environmental factors and OHQoL in denture wearers</w:t>
      </w:r>
      <w:bookmarkEnd w:id="94"/>
    </w:p>
    <w:p w14:paraId="543E7E6B" w14:textId="09E7D601" w:rsidR="00061325" w:rsidRPr="00787196" w:rsidRDefault="000C6D4E" w:rsidP="00AE3CFB">
      <w:pPr>
        <w:rPr>
          <w:rFonts w:cs="Arial"/>
          <w:szCs w:val="24"/>
        </w:rPr>
      </w:pPr>
      <w:r w:rsidRPr="00787196">
        <w:rPr>
          <w:rFonts w:cs="Arial"/>
          <w:szCs w:val="24"/>
        </w:rPr>
        <w:t>E</w:t>
      </w:r>
      <w:r w:rsidR="00061325" w:rsidRPr="00787196">
        <w:rPr>
          <w:rFonts w:cs="Arial"/>
          <w:szCs w:val="24"/>
        </w:rPr>
        <w:t xml:space="preserve">nvironment may be divided into social and physical </w:t>
      </w:r>
      <w:r w:rsidR="00625F21" w:rsidRPr="00787196">
        <w:rPr>
          <w:rFonts w:cs="Arial"/>
          <w:szCs w:val="24"/>
        </w:rPr>
        <w:t>aspects</w:t>
      </w:r>
      <w:r w:rsidR="00061325" w:rsidRPr="00787196">
        <w:rPr>
          <w:rFonts w:cs="Arial"/>
          <w:szCs w:val="24"/>
        </w:rPr>
        <w:t xml:space="preserve"> </w:t>
      </w:r>
      <w:r w:rsidR="00061325" w:rsidRPr="00787196">
        <w:rPr>
          <w:rFonts w:cs="Arial"/>
          <w:szCs w:val="24"/>
        </w:rPr>
        <w:fldChar w:fldCharType="begin"/>
      </w:r>
      <w:r w:rsidR="00061325" w:rsidRPr="00787196">
        <w:rPr>
          <w:rFonts w:cs="Arial"/>
          <w:szCs w:val="24"/>
        </w:rPr>
        <w:instrText xml:space="preserve"> ADDIN EN.CITE &lt;EndNote&gt;&lt;Cite&gt;&lt;Author&gt;Eyler&lt;/Author&gt;&lt;Year&gt;2002&lt;/Year&gt;&lt;RecNum&gt;146&lt;/RecNum&gt;&lt;DisplayText&gt;(Eyler et al., 2002)&lt;/DisplayText&gt;&lt;record&gt;&lt;rec-number&gt;146&lt;/rec-number&gt;&lt;foreign-keys&gt;&lt;key app="EN" db-id="pprx5af0eezz5resrauvszthwfd2xp5txea9"&gt;146&lt;/key&gt;&lt;/foreign-keys&gt;&lt;ref-type name="Journal Article"&gt;17&lt;/ref-type&gt;&lt;contributors&gt;&lt;authors&gt;&lt;author&gt;Eyler, A. E.&lt;/author&gt;&lt;author&gt;Wilcox, S.&lt;/author&gt;&lt;author&gt;Matson-Koffman, D.&lt;/author&gt;&lt;author&gt;Evenson, K. R.&lt;/author&gt;&lt;author&gt;Sanderson, B.&lt;/author&gt;&lt;author&gt;Thompson, J.&lt;/author&gt;&lt;author&gt;Wilbur, J.&lt;/author&gt;&lt;author&gt;Rohm-Young, D.&lt;/author&gt;&lt;/authors&gt;&lt;/contributors&gt;&lt;auth-address&gt;School of Public Health, Prevention Research Center, Saint Louis University, St. Louis, Missouri 63104, USA.&lt;/auth-address&gt;&lt;titles&gt;&lt;title&gt;Correlates of physical activity among women from diverse racial/ethnic groups&lt;/title&gt;&lt;secondary-title&gt;Journal of women&amp;apos;s health &amp;amp; gender-based medicine&lt;/secondary-title&gt;&lt;/titles&gt;&lt;periodical&gt;&lt;full-title&gt;Journal of women&amp;apos;s health &amp;amp; gender-based medicine&lt;/full-title&gt;&lt;/periodical&gt;&lt;pages&gt;239-53&lt;/pages&gt;&lt;volume&gt;11&lt;/volume&gt;&lt;number&gt;3&lt;/number&gt;&lt;keywords&gt;&lt;keyword&gt;Continental Population Groups&lt;/keyword&gt;&lt;keyword&gt;Ethnic Groups&lt;/keyword&gt;&lt;keyword&gt;Exercise&lt;/keyword&gt;&lt;keyword&gt;Female&lt;/keyword&gt;&lt;keyword&gt;Health Behavior&lt;/keyword&gt;&lt;keyword&gt;Humans&lt;/keyword&gt;&lt;keyword&gt;Life Style&lt;/keyword&gt;&lt;keyword&gt;Social Class&lt;/keyword&gt;&lt;keyword&gt;United States&lt;/keyword&gt;&lt;keyword&gt;Women&amp;apos;s Health&lt;/keyword&gt;&lt;/keywords&gt;&lt;dates&gt;&lt;year&gt;2002&lt;/year&gt;&lt;/dates&gt;&lt;urls&gt;&lt;related-urls&gt;&lt;url&gt;http://ukpmc.ac.uk/abstract/MED/11988134 &lt;/url&gt;&lt;/related-urls&gt;&lt;/urls&gt;&lt;/record&gt;&lt;/Cite&gt;&lt;/EndNote&gt;</w:instrText>
      </w:r>
      <w:r w:rsidR="00061325" w:rsidRPr="00787196">
        <w:rPr>
          <w:rFonts w:cs="Arial"/>
          <w:szCs w:val="24"/>
        </w:rPr>
        <w:fldChar w:fldCharType="separate"/>
      </w:r>
      <w:r w:rsidR="00061325" w:rsidRPr="00787196">
        <w:rPr>
          <w:rFonts w:cs="Arial"/>
          <w:szCs w:val="24"/>
        </w:rPr>
        <w:t>(Eyler et al., 2002)</w:t>
      </w:r>
      <w:r w:rsidR="00061325" w:rsidRPr="00787196">
        <w:rPr>
          <w:rFonts w:cs="Arial"/>
          <w:szCs w:val="24"/>
        </w:rPr>
        <w:fldChar w:fldCharType="end"/>
      </w:r>
      <w:r w:rsidR="00061325" w:rsidRPr="00787196">
        <w:rPr>
          <w:rFonts w:cs="Arial"/>
          <w:szCs w:val="24"/>
        </w:rPr>
        <w:t xml:space="preserve">. The social environment comprises interpersonal or social factors which involves family, friends, socio-economic status, healthcare experts and providers </w:t>
      </w:r>
      <w:r w:rsidR="00061325" w:rsidRPr="00787196">
        <w:rPr>
          <w:rFonts w:cs="Arial"/>
          <w:szCs w:val="24"/>
        </w:rPr>
        <w:fldChar w:fldCharType="begin"/>
      </w:r>
      <w:r w:rsidR="00061325" w:rsidRPr="00787196">
        <w:rPr>
          <w:rFonts w:cs="Arial"/>
          <w:szCs w:val="24"/>
        </w:rPr>
        <w:instrText xml:space="preserve"> ADDIN EN.CITE &lt;EndNote&gt;&lt;Cite&gt;&lt;Author&gt;McLeroy&lt;/Author&gt;&lt;Year&gt;1988&lt;/Year&gt;&lt;RecNum&gt;147&lt;/RecNum&gt;&lt;DisplayText&gt;(McLeroy et al., 1988)&lt;/DisplayText&gt;&lt;record&gt;&lt;rec-number&gt;147&lt;/rec-number&gt;&lt;foreign-keys&gt;&lt;key app="EN" db-id="pprx5af0eezz5resrauvszthwfd2xp5txea9"&gt;147&lt;/key&gt;&lt;/foreign-keys&gt;&lt;ref-type name="Journal Article"&gt;17&lt;/ref-type&gt;&lt;contributors&gt;&lt;authors&gt;&lt;author&gt;McLeroy, Kenneth R.&lt;/author&gt;&lt;author&gt;Bibeau, Daniel&lt;/author&gt;&lt;author&gt;Steckler, Allan&lt;/author&gt;&lt;author&gt;Glanz, Karen&lt;/author&gt;&lt;/authors&gt;&lt;/contributors&gt;&lt;titles&gt;&lt;title&gt;An Ecological Perspective on Health Promotion Programs&lt;/title&gt;&lt;secondary-title&gt;Health Education &amp;amp; Behavior&lt;/secondary-title&gt;&lt;/titles&gt;&lt;periodical&gt;&lt;full-title&gt;Health Education &amp;amp; Behavior&lt;/full-title&gt;&lt;/periodical&gt;&lt;pages&gt;351-377&lt;/pages&gt;&lt;volume&gt;15&lt;/volume&gt;&lt;number&gt;4&lt;/number&gt;&lt;dates&gt;&lt;year&gt;1988&lt;/year&gt;&lt;pub-dates&gt;&lt;date&gt;December 1, 1988&lt;/date&gt;&lt;/pub-dates&gt;&lt;/dates&gt;&lt;urls&gt;&lt;related-urls&gt;&lt;url&gt;http://heb.sagepub.com/content/15/4/351.abstract &lt;/url&gt;&lt;/related-urls&gt;&lt;/urls&gt;&lt;electronic-resource-num&gt;10.1177/109019818801500401&lt;/electronic-resource-num&gt;&lt;/record&gt;&lt;/Cite&gt;&lt;/EndNote&gt;</w:instrText>
      </w:r>
      <w:r w:rsidR="00061325" w:rsidRPr="00787196">
        <w:rPr>
          <w:rFonts w:cs="Arial"/>
          <w:szCs w:val="24"/>
        </w:rPr>
        <w:fldChar w:fldCharType="separate"/>
      </w:r>
      <w:r w:rsidR="00061325" w:rsidRPr="00787196">
        <w:rPr>
          <w:rFonts w:cs="Arial"/>
          <w:szCs w:val="24"/>
        </w:rPr>
        <w:t>(McLeroy et al., 1988)</w:t>
      </w:r>
      <w:r w:rsidR="00061325" w:rsidRPr="00787196">
        <w:rPr>
          <w:rFonts w:cs="Arial"/>
          <w:szCs w:val="24"/>
        </w:rPr>
        <w:fldChar w:fldCharType="end"/>
      </w:r>
      <w:r w:rsidR="00A67E9C" w:rsidRPr="00787196">
        <w:rPr>
          <w:rFonts w:cs="Arial"/>
          <w:szCs w:val="24"/>
        </w:rPr>
        <w:t xml:space="preserve">. </w:t>
      </w:r>
      <w:r w:rsidR="00061325" w:rsidRPr="00787196">
        <w:rPr>
          <w:rFonts w:cs="Arial"/>
          <w:szCs w:val="24"/>
        </w:rPr>
        <w:t xml:space="preserve">The physical environment comprises an individual’s home, locality, neighbourhood and workplace </w:t>
      </w:r>
      <w:r w:rsidR="00061325" w:rsidRPr="00787196">
        <w:rPr>
          <w:rFonts w:cs="Arial"/>
          <w:szCs w:val="24"/>
        </w:rPr>
        <w:fldChar w:fldCharType="begin"/>
      </w:r>
      <w:r w:rsidR="00061325" w:rsidRPr="00787196">
        <w:rPr>
          <w:rFonts w:cs="Arial"/>
          <w:szCs w:val="24"/>
        </w:rPr>
        <w:instrText xml:space="preserve"> ADDIN EN.CITE &lt;EndNote&gt;&lt;Cite&gt;&lt;Author&gt;Yen&lt;/Author&gt;&lt;Year&gt;1999&lt;/Year&gt;&lt;RecNum&gt;148&lt;/RecNum&gt;&lt;DisplayText&gt;(Yen and Syme, 1999)&lt;/DisplayText&gt;&lt;record&gt;&lt;rec-number&gt;148&lt;/rec-number&gt;&lt;foreign-keys&gt;&lt;key app="EN" db-id="pprx5af0eezz5resrauvszthwfd2xp5txea9"&gt;148&lt;/key&gt;&lt;/foreign-keys&gt;&lt;ref-type name="Journal Article"&gt;17&lt;/ref-type&gt;&lt;contributors&gt;&lt;authors&gt;&lt;author&gt;Yen, I. H.&lt;/author&gt;&lt;author&gt;Syme, S. Leonard&lt;/author&gt;&lt;/authors&gt;&lt;/contributors&gt;&lt;titles&gt;&lt;title&gt;The Social Environment and Health: A Discussion of the Epidemiologic Literature&lt;/title&gt;&lt;secondary-title&gt;Annual Review of Public Health&lt;/secondary-title&gt;&lt;/titles&gt;&lt;periodical&gt;&lt;full-title&gt;Annual Review of Public Health&lt;/full-title&gt;&lt;/periodical&gt;&lt;pages&gt;287-308&lt;/pages&gt;&lt;volume&gt;20&lt;/volume&gt;&lt;number&gt;1&lt;/number&gt;&lt;dates&gt;&lt;year&gt;1999&lt;/year&gt;&lt;/dates&gt;&lt;urls&gt;&lt;related-urls&gt;&lt;url&gt;http://www.annualreviews.org/doi/abs/10.1146/annurev.publhealth.20.1.287 &lt;/url&gt;&lt;/related-urls&gt;&lt;/urls&gt;&lt;electronic-resource-num&gt;doi:10.1146/annurev.publhealth.20.1.287&lt;/electronic-resource-num&gt;&lt;/record&gt;&lt;/Cite&gt;&lt;/EndNote&gt;</w:instrText>
      </w:r>
      <w:r w:rsidR="00061325" w:rsidRPr="00787196">
        <w:rPr>
          <w:rFonts w:cs="Arial"/>
          <w:szCs w:val="24"/>
        </w:rPr>
        <w:fldChar w:fldCharType="separate"/>
      </w:r>
      <w:r w:rsidR="00061325" w:rsidRPr="00787196">
        <w:rPr>
          <w:rFonts w:cs="Arial"/>
          <w:szCs w:val="24"/>
        </w:rPr>
        <w:t>(Yen and Syme, 1999)</w:t>
      </w:r>
      <w:r w:rsidR="00061325" w:rsidRPr="00787196">
        <w:rPr>
          <w:rFonts w:cs="Arial"/>
          <w:szCs w:val="24"/>
        </w:rPr>
        <w:fldChar w:fldCharType="end"/>
      </w:r>
      <w:r w:rsidR="00061325" w:rsidRPr="00787196">
        <w:rPr>
          <w:rFonts w:cs="Arial"/>
          <w:szCs w:val="24"/>
        </w:rPr>
        <w:t xml:space="preserve">. The review identified </w:t>
      </w:r>
      <w:r w:rsidR="00AE3CFB" w:rsidRPr="00787196">
        <w:rPr>
          <w:rFonts w:cs="Arial"/>
          <w:szCs w:val="24"/>
        </w:rPr>
        <w:t>several</w:t>
      </w:r>
      <w:r w:rsidR="000C296F" w:rsidRPr="00787196">
        <w:rPr>
          <w:rFonts w:cs="Arial"/>
          <w:szCs w:val="24"/>
        </w:rPr>
        <w:t xml:space="preserve"> </w:t>
      </w:r>
      <w:r w:rsidR="00061325" w:rsidRPr="00787196">
        <w:rPr>
          <w:rFonts w:cs="Arial"/>
          <w:szCs w:val="24"/>
        </w:rPr>
        <w:t xml:space="preserve">socio-demographic </w:t>
      </w:r>
      <w:r w:rsidR="003749E6" w:rsidRPr="00787196">
        <w:rPr>
          <w:rFonts w:cs="Arial"/>
          <w:szCs w:val="24"/>
        </w:rPr>
        <w:t xml:space="preserve">factors </w:t>
      </w:r>
      <w:r w:rsidR="00061325" w:rsidRPr="00787196">
        <w:rPr>
          <w:rFonts w:cs="Arial"/>
          <w:szCs w:val="24"/>
        </w:rPr>
        <w:t>associated with OHQoL in denture wearers (</w:t>
      </w:r>
      <w:r w:rsidR="00061325" w:rsidRPr="00787196">
        <w:rPr>
          <w:rFonts w:cs="Arial"/>
          <w:szCs w:val="24"/>
        </w:rPr>
        <w:fldChar w:fldCharType="begin"/>
      </w:r>
      <w:r w:rsidR="00061325" w:rsidRPr="00787196">
        <w:rPr>
          <w:rFonts w:cs="Arial"/>
          <w:szCs w:val="24"/>
        </w:rPr>
        <w:instrText xml:space="preserve"> REF _Ref374070276 \h  \* MERGEFORMAT </w:instrText>
      </w:r>
      <w:r w:rsidR="00061325" w:rsidRPr="00787196">
        <w:rPr>
          <w:rFonts w:cs="Arial"/>
          <w:szCs w:val="24"/>
        </w:rPr>
      </w:r>
      <w:r w:rsidR="00061325" w:rsidRPr="00787196">
        <w:rPr>
          <w:rFonts w:cs="Arial"/>
          <w:szCs w:val="24"/>
        </w:rPr>
        <w:fldChar w:fldCharType="separate"/>
      </w:r>
      <w:r w:rsidR="00C069BC" w:rsidRPr="00787196">
        <w:rPr>
          <w:rFonts w:cs="Arial"/>
          <w:szCs w:val="24"/>
        </w:rPr>
        <w:t>Table 2</w:t>
      </w:r>
      <w:r w:rsidR="00C069BC" w:rsidRPr="00787196">
        <w:rPr>
          <w:rFonts w:cs="Arial"/>
          <w:szCs w:val="24"/>
        </w:rPr>
        <w:noBreakHyphen/>
        <w:t>5</w:t>
      </w:r>
      <w:r w:rsidR="00061325" w:rsidRPr="00787196">
        <w:rPr>
          <w:rFonts w:cs="Arial"/>
          <w:szCs w:val="24"/>
        </w:rPr>
        <w:fldChar w:fldCharType="end"/>
      </w:r>
      <w:r w:rsidR="00061325" w:rsidRPr="00787196">
        <w:rPr>
          <w:rFonts w:cs="Arial"/>
          <w:szCs w:val="24"/>
        </w:rPr>
        <w:t>)</w:t>
      </w:r>
    </w:p>
    <w:p w14:paraId="7C84B359" w14:textId="51580CC0" w:rsidR="00061325" w:rsidRPr="00787196" w:rsidRDefault="00061325" w:rsidP="00D9694A">
      <w:pPr>
        <w:pStyle w:val="Heading3"/>
      </w:pPr>
      <w:bookmarkStart w:id="95" w:name="_Toc488655631"/>
      <w:r w:rsidRPr="00787196">
        <w:t>Socioeconomic status (SES)</w:t>
      </w:r>
      <w:bookmarkEnd w:id="95"/>
    </w:p>
    <w:p w14:paraId="09E14D6E" w14:textId="24F3B0C1" w:rsidR="00061325" w:rsidRPr="00787196" w:rsidRDefault="00061325" w:rsidP="00A67E9C">
      <w:pPr>
        <w:rPr>
          <w:rFonts w:cs="Arial"/>
          <w:szCs w:val="24"/>
        </w:rPr>
      </w:pPr>
      <w:r w:rsidRPr="00787196">
        <w:rPr>
          <w:rFonts w:cs="Arial"/>
          <w:szCs w:val="24"/>
        </w:rPr>
        <w:t xml:space="preserve">People from higher SES </w:t>
      </w:r>
      <w:r w:rsidR="003749E6" w:rsidRPr="00787196">
        <w:rPr>
          <w:rFonts w:cs="Arial"/>
          <w:szCs w:val="24"/>
        </w:rPr>
        <w:t xml:space="preserve">group </w:t>
      </w:r>
      <w:r w:rsidRPr="00787196">
        <w:rPr>
          <w:rFonts w:cs="Arial"/>
          <w:szCs w:val="24"/>
        </w:rPr>
        <w:t xml:space="preserve">have better health and lower mortality </w:t>
      </w:r>
      <w:r w:rsidRPr="00787196">
        <w:rPr>
          <w:rFonts w:cs="Arial"/>
          <w:szCs w:val="24"/>
        </w:rPr>
        <w:fldChar w:fldCharType="begin"/>
      </w:r>
      <w:r w:rsidRPr="00787196">
        <w:rPr>
          <w:rFonts w:cs="Arial"/>
          <w:szCs w:val="24"/>
        </w:rPr>
        <w:instrText xml:space="preserve"> ADDIN EN.CITE &lt;EndNote&gt;&lt;Cite&gt;&lt;Author&gt;Marmot&lt;/Author&gt;&lt;Year&gt;1991&lt;/Year&gt;&lt;RecNum&gt;0&lt;/RecNum&gt;&lt;IDText&gt;Health inequalities among British civil servants: the Whitehall II study&lt;/IDText&gt;&lt;DisplayText&gt;(Marmot et al., 1991)&lt;/DisplayText&gt;&lt;record&gt;&lt;rec-number&gt;64&lt;/rec-number&gt;&lt;foreign-keys&gt;&lt;key app="EN" db-id="xf0vwtv58a0w9wezwe9vp0fn0wwt2fp5srs0"&gt;64&lt;/key&gt;&lt;/foreign-keys&gt;&lt;ref-type name="Journal Article"&gt;17&lt;/ref-type&gt;&lt;contributors&gt;&lt;authors&gt;&lt;author&gt;Marmot, M. G.&lt;/author&gt;&lt;author&gt;Stansfeld, S.&lt;/author&gt;&lt;author&gt;Patel, C.&lt;/author&gt;&lt;author&gt;North, F.&lt;/author&gt;&lt;author&gt;Head, J.&lt;/author&gt;&lt;author&gt;White, I.&lt;/author&gt;&lt;author&gt;Brunner, E.&lt;/author&gt;&lt;author&gt;Feeney, A.&lt;/author&gt;&lt;author&gt;Marmot, M. G.&lt;/author&gt;&lt;author&gt;Smith, G. Davey&lt;/author&gt;&lt;/authors&gt;&lt;/contributors&gt;&lt;titles&gt;&lt;title&gt;Health inequalities among British civil servants: the Whitehall II study&lt;/title&gt;&lt;secondary-title&gt;The Lancet&lt;/secondary-title&gt;&lt;/titles&gt;&lt;periodical&gt;&lt;full-title&gt;The Lancet&lt;/full-title&gt;&lt;/periodical&gt;&lt;pages&gt;1387-1393&lt;/pages&gt;&lt;volume&gt;337&lt;/volume&gt;&lt;number&gt;8754&lt;/number&gt;&lt;dates&gt;&lt;year&gt;1991&lt;/year&gt;&lt;/dates&gt;&lt;urls&gt;&lt;related-urls&gt;&lt;url&gt;http://www.sciencedirect.com/science/article/pii/014067369193068K &lt;/url&gt;&lt;/related-urls&gt;&lt;/urls&gt;&lt;/record&gt;&lt;/Cite&gt;&lt;/EndNote&gt;</w:instrText>
      </w:r>
      <w:r w:rsidRPr="00787196">
        <w:rPr>
          <w:rFonts w:cs="Arial"/>
          <w:szCs w:val="24"/>
        </w:rPr>
        <w:fldChar w:fldCharType="separate"/>
      </w:r>
      <w:r w:rsidRPr="00787196">
        <w:rPr>
          <w:rFonts w:cs="Arial"/>
          <w:szCs w:val="24"/>
        </w:rPr>
        <w:t>(Marmot et al., 1991)</w:t>
      </w:r>
      <w:r w:rsidRPr="00787196">
        <w:rPr>
          <w:rFonts w:cs="Arial"/>
          <w:szCs w:val="24"/>
        </w:rPr>
        <w:fldChar w:fldCharType="end"/>
      </w:r>
      <w:r w:rsidRPr="00787196">
        <w:rPr>
          <w:rFonts w:cs="Arial"/>
          <w:szCs w:val="24"/>
        </w:rPr>
        <w:t xml:space="preserve">. SES reflects an individual’s social position </w:t>
      </w:r>
      <w:r w:rsidRPr="00787196">
        <w:rPr>
          <w:rFonts w:cs="Arial"/>
          <w:szCs w:val="24"/>
        </w:rPr>
        <w:fldChar w:fldCharType="begin"/>
      </w:r>
      <w:r w:rsidRPr="00787196">
        <w:rPr>
          <w:rFonts w:cs="Arial"/>
          <w:szCs w:val="24"/>
        </w:rPr>
        <w:instrText xml:space="preserve"> ADDIN EN.CITE &lt;EndNote&gt;&lt;Cite&gt;&lt;Author&gt;Adler&lt;/Author&gt;&lt;Year&gt;2003&lt;/Year&gt;&lt;RecNum&gt;0&lt;/RecNum&gt;&lt;IDText&gt;The Role of Psychosocial Processes in Explaining the Gradient Between Socioeconomic Status and Health&lt;/IDText&gt;&lt;DisplayText&gt;(Adler and Snibbe, 2003)&lt;/DisplayText&gt;&lt;record&gt;&lt;rec-number&gt;138&lt;/rec-number&gt;&lt;foreign-keys&gt;&lt;key app="EN" db-id="pprx5af0eezz5resrauvszthwfd2xp5txea9"&gt;138&lt;/key&gt;&lt;/foreign-keys&gt;&lt;ref-type name="Journal Article"&gt;17&lt;/ref-type&gt;&lt;contributors&gt;&lt;authors&gt;&lt;author&gt;Adler, N. E.&lt;/author&gt;&lt;author&gt;Snibbe, A. C.&lt;/author&gt;&lt;/authors&gt;&lt;/contributors&gt;&lt;auth-address&gt;Univ. of California, San Francisco, 3333 California St., San Francisco, CA 94143-0848, United States&lt;/auth-address&gt;&lt;titles&gt;&lt;title&gt;The Role of Psychosocial Processes in Explaining the Gradient Between Socioeconomic Status and Health&lt;/title&gt;&lt;secondary-title&gt;Current Directions in Psychological Science&lt;/secondary-title&gt;&lt;/titles&gt;&lt;periodical&gt;&lt;full-title&gt;Current Directions in Psychological Science&lt;/full-title&gt;&lt;/periodical&gt;&lt;pages&gt;119-123&lt;/pages&gt;&lt;volume&gt;12&lt;/volume&gt;&lt;number&gt;4&lt;/number&gt;&lt;keywords&gt;&lt;keyword&gt;bio&lt;/keyword&gt;&lt;keyword&gt;explanation&lt;/keyword&gt;&lt;keyword&gt;health&lt;/keyword&gt;&lt;keyword&gt;income&lt;/keyword&gt;&lt;keyword&gt;mechanisms&lt;/keyword&gt;&lt;keyword&gt;mortality&lt;/keyword&gt;&lt;keyword&gt;psychosocial&lt;/keyword&gt;&lt;keyword&gt;ses&lt;/keyword&gt;&lt;/keywords&gt;&lt;dates&gt;&lt;year&gt;2003&lt;/year&gt;&lt;/dates&gt;&lt;accession-num&gt;adler03&lt;/accession-num&gt;&lt;urls&gt;&lt;related-urls&gt;&lt;url&gt;citeulike-article-id:1938933&lt;/url&gt;&lt;url&gt;http://www.scopus.com/record/display.url?view=extended&amp;amp;origin=resultslist&amp;amp;eid=2-s2.0-0042919356 &lt;/url&gt;&lt;/related-urls&gt;&lt;/urls&gt;&lt;/record&gt;&lt;/Cite&gt;&lt;/EndNote&gt;</w:instrText>
      </w:r>
      <w:r w:rsidRPr="00787196">
        <w:rPr>
          <w:rFonts w:cs="Arial"/>
          <w:szCs w:val="24"/>
        </w:rPr>
        <w:fldChar w:fldCharType="separate"/>
      </w:r>
      <w:r w:rsidRPr="00787196">
        <w:rPr>
          <w:rFonts w:cs="Arial"/>
          <w:szCs w:val="24"/>
        </w:rPr>
        <w:t>(Adler and Snibbe, 2003)</w:t>
      </w:r>
      <w:r w:rsidRPr="00787196">
        <w:rPr>
          <w:rFonts w:cs="Arial"/>
          <w:szCs w:val="24"/>
        </w:rPr>
        <w:fldChar w:fldCharType="end"/>
      </w:r>
      <w:r w:rsidRPr="00787196">
        <w:rPr>
          <w:rFonts w:cs="Arial"/>
          <w:szCs w:val="24"/>
        </w:rPr>
        <w:t xml:space="preserve"> and is </w:t>
      </w:r>
      <w:r w:rsidR="000C6D4E" w:rsidRPr="00787196">
        <w:rPr>
          <w:rFonts w:cs="Arial"/>
          <w:szCs w:val="24"/>
        </w:rPr>
        <w:t>considered</w:t>
      </w:r>
      <w:r w:rsidRPr="00787196">
        <w:rPr>
          <w:rFonts w:cs="Arial"/>
          <w:szCs w:val="24"/>
        </w:rPr>
        <w:t xml:space="preserve"> an indicator of their resources </w:t>
      </w:r>
      <w:r w:rsidRPr="00787196">
        <w:rPr>
          <w:rFonts w:cs="Arial"/>
          <w:szCs w:val="24"/>
        </w:rPr>
        <w:fldChar w:fldCharType="begin"/>
      </w:r>
      <w:r w:rsidRPr="00787196">
        <w:rPr>
          <w:rFonts w:cs="Arial"/>
          <w:szCs w:val="24"/>
        </w:rPr>
        <w:instrText xml:space="preserve"> ADDIN EN.CITE &lt;EndNote&gt;&lt;Cite&gt;&lt;Author&gt;Fujishiro&lt;/Author&gt;&lt;Year&gt;2010&lt;/Year&gt;&lt;RecNum&gt;0&lt;/RecNum&gt;&lt;IDText&gt;What does “occupation”  represent as an indicator of socioeconomic status?: Exploring occupational prestige and health&lt;/IDText&gt;&lt;DisplayText&gt;(Fujishiro et al., 2010)&lt;/DisplayText&gt;&lt;record&gt;&lt;rec-number&gt;143&lt;/rec-number&gt;&lt;foreign-keys&gt;&lt;key app="EN" db-id="pprx5af0eezz5resrauvszthwfd2xp5txea9"&gt;143&lt;/key&gt;&lt;/foreign-keys&gt;&lt;ref-type name="Journal Article"&gt;17&lt;/ref-type&gt;&lt;contributors&gt;&lt;authors&gt;&lt;author&gt;Fujishiro, Kaori&lt;/author&gt;&lt;author&gt;Xu, Jun&lt;/author&gt;&lt;author&gt;Gong, Fang&lt;/author&gt;&lt;/authors&gt;&lt;/contributors&gt;&lt;titles&gt;&lt;title&gt;What does “occupation”  represent as an indicator of socioeconomic status?: Exploring occupational prestige and health&lt;/title&gt;&lt;secondary-title&gt;Social Science &amp;amp;amp; Medicine&lt;/secondary-title&gt;&lt;/titles&gt;&lt;periodical&gt;&lt;full-title&gt;Social Science &amp;amp;amp; Medicine&lt;/full-title&gt;&lt;/periodical&gt;&lt;pages&gt;2100-2107&lt;/pages&gt;&lt;volume&gt;71&lt;/volume&gt;&lt;number&gt;12&lt;/number&gt;&lt;keywords&gt;&lt;keyword&gt;USA&lt;/keyword&gt;&lt;keyword&gt;Socioeconomic status&lt;/keyword&gt;&lt;keyword&gt;Self-rated health&lt;/keyword&gt;&lt;keyword&gt;Job strain&lt;/keyword&gt;&lt;keyword&gt;Job satisfaction&lt;/keyword&gt;&lt;keyword&gt;Social standing&lt;/keyword&gt;&lt;/keywords&gt;&lt;dates&gt;&lt;year&gt;2010&lt;/year&gt;&lt;/dates&gt;&lt;urls&gt;&lt;related-urls&gt;&lt;url&gt;http://www.sciencedirect.com/science/article/pii/S0277953610006908 &lt;/url&gt;&lt;/related-urls&gt;&lt;/urls&gt;&lt;/record&gt;&lt;/Cite&gt;&lt;/EndNote&gt;</w:instrText>
      </w:r>
      <w:r w:rsidRPr="00787196">
        <w:rPr>
          <w:rFonts w:cs="Arial"/>
          <w:szCs w:val="24"/>
        </w:rPr>
        <w:fldChar w:fldCharType="separate"/>
      </w:r>
      <w:r w:rsidRPr="00787196">
        <w:rPr>
          <w:rFonts w:cs="Arial"/>
          <w:szCs w:val="24"/>
        </w:rPr>
        <w:t>(Fujishiro et al., 2010)</w:t>
      </w:r>
      <w:r w:rsidRPr="00787196">
        <w:rPr>
          <w:rFonts w:cs="Arial"/>
          <w:szCs w:val="24"/>
        </w:rPr>
        <w:fldChar w:fldCharType="end"/>
      </w:r>
      <w:r w:rsidR="00C927FF" w:rsidRPr="00787196">
        <w:rPr>
          <w:rFonts w:cs="Arial"/>
          <w:szCs w:val="24"/>
        </w:rPr>
        <w:t xml:space="preserve"> and</w:t>
      </w:r>
      <w:r w:rsidR="000C296F" w:rsidRPr="00787196">
        <w:rPr>
          <w:rFonts w:cs="Arial"/>
          <w:szCs w:val="24"/>
        </w:rPr>
        <w:t xml:space="preserve"> one of the major correlates of both general and oral health </w:t>
      </w:r>
      <w:r w:rsidR="000C296F" w:rsidRPr="00787196">
        <w:rPr>
          <w:rFonts w:cs="Arial"/>
          <w:szCs w:val="24"/>
        </w:rPr>
        <w:fldChar w:fldCharType="begin"/>
      </w:r>
      <w:r w:rsidR="000C296F" w:rsidRPr="00787196">
        <w:rPr>
          <w:rFonts w:cs="Arial"/>
          <w:szCs w:val="24"/>
        </w:rPr>
        <w:instrText xml:space="preserve"> ADDIN EN.CITE &lt;EndNote&gt;&lt;Cite&gt;&lt;Author&gt;Siegrist&lt;/Author&gt;&lt;Year&gt;2004&lt;/Year&gt;&lt;RecNum&gt;0&lt;/RecNum&gt;&lt;IDText&gt;Health inequalities and the psychosocial environment-two scientific challenges&lt;/IDText&gt;&lt;DisplayText&gt;(Siegrist and Marmot, 2004)&lt;/DisplayText&gt;&lt;record&gt;&lt;dates&gt;&lt;pub-dates&gt;&lt;date&gt;Apr&lt;/date&gt;&lt;/pub-dates&gt;&lt;year&gt;2004&lt;/year&gt;&lt;/dates&gt;&lt;isbn&gt;0277-9536 (Print)&amp;#xD;0277-9536&lt;/isbn&gt;&lt;titles&gt;&lt;title&gt;Health inequalities and the psychosocial environment-two scientific challenges&lt;/title&gt;&lt;secondary-title&gt;Soc Sci Med&lt;/secondary-title&gt;&lt;alt-title&gt;Social science &amp;amp; medicine (1982)&lt;/alt-title&gt;&lt;/titles&gt;&lt;pages&gt;1463-73&lt;/pages&gt;&lt;number&gt;8&lt;/number&gt;&lt;contributors&gt;&lt;authors&gt;&lt;author&gt;Siegrist, J.&lt;/author&gt;&lt;author&gt;Marmot, M.&lt;/author&gt;&lt;/authors&gt;&lt;/contributors&gt;&lt;edition&gt;2004/02/05&lt;/edition&gt;&lt;language&gt;eng&lt;/language&gt;&lt;added-date format="utc"&gt;1386069541&lt;/added-date&gt;&lt;ref-type name="Journal Article"&gt;17&lt;/ref-type&gt;&lt;auth-address&gt;Department of Medical Sociology, Heinrich Heine Universitat, University of Duesseldorf, Universitaetstrasse 1, P.O. Box 10 10 07, D-40001, 40225 Duesseldorf, Germany. siegrist@uni-duesseldorf.de&lt;/auth-address&gt;&lt;remote-database-provider&gt;NLM&lt;/remote-database-provider&gt;&lt;rec-number&gt;1856&lt;/rec-number&gt;&lt;last-updated-date format="utc"&gt;1386069541&lt;/last-updated-date&gt;&lt;accession-num&gt;14759690&lt;/accession-num&gt;&lt;electronic-resource-num&gt;10.1016/s0277-9536(03)00349-6&lt;/electronic-resource-num&gt;&lt;volume&gt;58&lt;/volume&gt;&lt;/record&gt;&lt;/Cite&gt;&lt;/EndNote&gt;</w:instrText>
      </w:r>
      <w:r w:rsidR="000C296F" w:rsidRPr="00787196">
        <w:rPr>
          <w:rFonts w:cs="Arial"/>
          <w:szCs w:val="24"/>
        </w:rPr>
        <w:fldChar w:fldCharType="separate"/>
      </w:r>
      <w:r w:rsidR="000C296F" w:rsidRPr="00787196">
        <w:rPr>
          <w:rFonts w:cs="Arial"/>
          <w:szCs w:val="24"/>
        </w:rPr>
        <w:t>(Siegrist and Marmot, 2004)</w:t>
      </w:r>
      <w:r w:rsidR="000C296F" w:rsidRPr="00787196">
        <w:rPr>
          <w:rFonts w:cs="Arial"/>
          <w:szCs w:val="24"/>
        </w:rPr>
        <w:fldChar w:fldCharType="end"/>
      </w:r>
    </w:p>
    <w:p w14:paraId="23641E40" w14:textId="0280E245" w:rsidR="00061325" w:rsidRPr="00787196" w:rsidRDefault="00061325" w:rsidP="002178E5">
      <w:pPr>
        <w:rPr>
          <w:rFonts w:cs="Arial"/>
          <w:b/>
          <w:i/>
          <w:szCs w:val="24"/>
        </w:rPr>
      </w:pPr>
      <w:r w:rsidRPr="00787196">
        <w:rPr>
          <w:rFonts w:cs="Arial"/>
          <w:szCs w:val="24"/>
        </w:rPr>
        <w:t xml:space="preserve">Two types of SES are measured predominantly. </w:t>
      </w:r>
      <w:r w:rsidR="003749E6" w:rsidRPr="00787196">
        <w:rPr>
          <w:rFonts w:cs="Arial"/>
          <w:szCs w:val="24"/>
        </w:rPr>
        <w:t>O</w:t>
      </w:r>
      <w:r w:rsidRPr="00787196">
        <w:rPr>
          <w:rFonts w:cs="Arial"/>
          <w:szCs w:val="24"/>
        </w:rPr>
        <w:t>bjective SES</w:t>
      </w:r>
      <w:r w:rsidR="003749E6" w:rsidRPr="00787196">
        <w:rPr>
          <w:rFonts w:cs="Arial"/>
          <w:szCs w:val="24"/>
        </w:rPr>
        <w:t xml:space="preserve"> is</w:t>
      </w:r>
      <w:r w:rsidRPr="00787196">
        <w:rPr>
          <w:rFonts w:cs="Arial"/>
          <w:szCs w:val="24"/>
        </w:rPr>
        <w:t xml:space="preserve"> measured using an individual’s income, level of education and the status</w:t>
      </w:r>
      <w:r w:rsidR="003749E6" w:rsidRPr="00787196">
        <w:rPr>
          <w:rFonts w:cs="Arial"/>
          <w:szCs w:val="24"/>
        </w:rPr>
        <w:t xml:space="preserve"> or</w:t>
      </w:r>
      <w:r w:rsidRPr="00787196">
        <w:rPr>
          <w:rFonts w:cs="Arial"/>
          <w:szCs w:val="24"/>
        </w:rPr>
        <w:t xml:space="preserve"> position at work </w:t>
      </w:r>
      <w:r w:rsidRPr="00787196">
        <w:rPr>
          <w:rFonts w:cs="Arial"/>
          <w:szCs w:val="24"/>
        </w:rPr>
        <w:fldChar w:fldCharType="begin"/>
      </w:r>
      <w:r w:rsidRPr="00787196">
        <w:rPr>
          <w:rFonts w:cs="Arial"/>
          <w:szCs w:val="24"/>
        </w:rPr>
        <w:instrText xml:space="preserve"> ADDIN EN.CITE &lt;EndNote&gt;&lt;Cite&gt;&lt;Author&gt;Bartley&lt;/Author&gt;&lt;Year&gt;2004&lt;/Year&gt;&lt;RecNum&gt;0&lt;/RecNum&gt;&lt;IDText&gt;Health inequality : an introduction to theories, concepts, and methods&lt;/IDText&gt;&lt;DisplayText&gt;(Bartley, 2004, Saegert et al., 2007)&lt;/DisplayText&gt;&lt;record&gt;&lt;rec-number&gt;285&lt;/rec-number&gt;&lt;foreign-keys&gt;&lt;key app="EN" db-id="pprx5af0eezz5resrauvszthwfd2xp5txea9"&gt;285&lt;/key&gt;&lt;/foreign-keys&gt;&lt;ref-type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remote-database-name&gt;/z-wcorg/&lt;/remote-database-name&gt;&lt;remote-database-provider&gt;http://worldcat.org&lt;/remote-database-provider&gt;&lt;language&gt;English&lt;/language&gt;&lt;/record&gt;&lt;/Cite&gt;&lt;Cite&gt;&lt;Author&gt;Susan&lt;/Author&gt;&lt;Year&gt;2007&lt;/Year&gt;&lt;RecNum&gt;0&lt;/RecNum&gt;&lt;IDText&gt;Report of the APA Task Force on Socioeconomic Status&lt;/IDText&gt;&lt;record&gt;&lt;rec-number&gt;173&lt;/rec-number&gt;&lt;foreign-keys&gt;&lt;key app="EN" db-id="pprx5af0eezz5resrauvszthwfd2xp5txea9"&gt;173&lt;/key&gt;&lt;/foreign-keys&gt;&lt;ref-type name="Report"&gt;27&lt;/ref-type&gt;&lt;contributors&gt;&lt;authors&gt;&lt;author&gt;Susan C. Saegert&lt;/author&gt;&lt;author&gt;Nancy E. Adler&lt;/author&gt;&lt;author&gt;Heather E. Bullock&lt;/author&gt;&lt;author&gt;Ana Mari Cauce&lt;/author&gt;&lt;author&gt;William Ming Liu&lt;/author&gt;&lt;author&gt;Karen F. Wyche&lt;/author&gt;&lt;/authors&gt;&lt;/contributors&gt;&lt;titles&gt;&lt;title&gt;Report of the APA Task Force on Socioeconomic Status&lt;/title&gt;&lt;/titles&gt;&lt;dates&gt;&lt;year&gt;2007&lt;/year&gt;&lt;/dates&gt;&lt;pub-location&gt;Washington, DC&lt;/pub-location&gt;&lt;publisher&gt;American Psychological Association&lt;/publisher&gt;&lt;/record&gt;&lt;/Cite&gt;&lt;/EndNote&gt;</w:instrText>
      </w:r>
      <w:r w:rsidRPr="00787196">
        <w:rPr>
          <w:rFonts w:cs="Arial"/>
          <w:szCs w:val="24"/>
        </w:rPr>
        <w:fldChar w:fldCharType="separate"/>
      </w:r>
      <w:r w:rsidRPr="00787196">
        <w:rPr>
          <w:rFonts w:cs="Arial"/>
          <w:szCs w:val="24"/>
        </w:rPr>
        <w:t>(Bartley, 2004, Saegert et al., 2007)</w:t>
      </w:r>
      <w:r w:rsidRPr="00787196">
        <w:rPr>
          <w:rFonts w:cs="Arial"/>
          <w:szCs w:val="24"/>
        </w:rPr>
        <w:fldChar w:fldCharType="end"/>
      </w:r>
      <w:r w:rsidRPr="00787196">
        <w:rPr>
          <w:rFonts w:cs="Arial"/>
          <w:szCs w:val="24"/>
        </w:rPr>
        <w:t xml:space="preserve"> and subjective SES</w:t>
      </w:r>
      <w:r w:rsidR="000C296F" w:rsidRPr="00787196">
        <w:rPr>
          <w:rFonts w:cs="Arial"/>
          <w:szCs w:val="24"/>
        </w:rPr>
        <w:t xml:space="preserve"> (discussed in the previous section)</w:t>
      </w:r>
      <w:r w:rsidRPr="00787196">
        <w:rPr>
          <w:rFonts w:cs="Arial"/>
          <w:szCs w:val="24"/>
        </w:rPr>
        <w:t xml:space="preserve"> emphasises the individual’s perception of their position in the hierarchy of society </w:t>
      </w:r>
      <w:r w:rsidRPr="00787196">
        <w:rPr>
          <w:rFonts w:cs="Arial"/>
          <w:szCs w:val="24"/>
        </w:rPr>
        <w:fldChar w:fldCharType="begin"/>
      </w:r>
      <w:r w:rsidRPr="00787196">
        <w:rPr>
          <w:rFonts w:cs="Arial"/>
          <w:szCs w:val="24"/>
        </w:rPr>
        <w:instrText xml:space="preserve"> ADDIN EN.CITE &lt;EndNote&gt;&lt;Cite&gt;&lt;Author&gt;Jackman&lt;/Author&gt;&lt;Year&gt;1973&lt;/Year&gt;&lt;RecNum&gt;0&lt;/RecNum&gt;&lt;IDText&gt;An interpretation of the relation between objective and subjective social status&lt;/IDText&gt;&lt;DisplayText&gt;(Jackman and Jackman, 1973)&lt;/DisplayText&gt;&lt;record&gt;&lt;dates&gt;&lt;pub-dates&gt;&lt;date&gt;Oct&lt;/date&gt;&lt;/pub-dates&gt;&lt;year&gt;1973&lt;/year&gt;&lt;/dates&gt;&lt;isbn&gt;0003-1224 (Print)&amp;#xD;0003-1224&lt;/isbn&gt;&lt;titles&gt;&lt;title&gt;An interpretation of the relation between objective and subjective social status&lt;/title&gt;&lt;secondary-title&gt;Am Sociol Rev&lt;/secondary-title&gt;&lt;alt-title&gt;American sociological review&lt;/alt-title&gt;&lt;/titles&gt;&lt;pages&gt;569-82&lt;/pages&gt;&lt;number&gt;5&lt;/number&gt;&lt;contributors&gt;&lt;authors&gt;&lt;author&gt;Jackman, M. R.&lt;/author&gt;&lt;author&gt;Jackman, R. W.&lt;/author&gt;&lt;/authors&gt;&lt;/contributors&gt;&lt;edition&gt;1973/10/01&lt;/edition&gt;&lt;language&gt;eng&lt;/language&gt;&lt;added-date format="utc"&gt;1386068850&lt;/added-date&gt;&lt;ref-type name="Journal Article"&gt;17&lt;/ref-type&gt;&lt;remote-database-provider&gt;NLM&lt;/remote-database-provider&gt;&lt;rec-number&gt;1855&lt;/rec-number&gt;&lt;last-updated-date format="utc"&gt;1386068850&lt;/last-updated-date&gt;&lt;accession-num&gt;4745630&lt;/accession-num&gt;&lt;volume&gt;38&lt;/volume&gt;&lt;/record&gt;&lt;/Cite&gt;&lt;/EndNote&gt;</w:instrText>
      </w:r>
      <w:r w:rsidRPr="00787196">
        <w:rPr>
          <w:rFonts w:cs="Arial"/>
          <w:szCs w:val="24"/>
        </w:rPr>
        <w:fldChar w:fldCharType="separate"/>
      </w:r>
      <w:r w:rsidRPr="00787196">
        <w:rPr>
          <w:rFonts w:cs="Arial"/>
          <w:szCs w:val="24"/>
        </w:rPr>
        <w:t>(Jackman and Jackman, 1973)</w:t>
      </w:r>
      <w:r w:rsidRPr="00787196">
        <w:rPr>
          <w:rFonts w:cs="Arial"/>
          <w:szCs w:val="24"/>
        </w:rPr>
        <w:fldChar w:fldCharType="end"/>
      </w:r>
      <w:r w:rsidRPr="00787196">
        <w:rPr>
          <w:rFonts w:cs="Arial"/>
          <w:szCs w:val="24"/>
        </w:rPr>
        <w:t>. For clarity within this study, objective SES was considered as an environmental characteristic and subjective SES as an individual characteristic.</w:t>
      </w:r>
    </w:p>
    <w:p w14:paraId="52E933F2" w14:textId="248B15DB" w:rsidR="00061325" w:rsidRPr="00787196" w:rsidRDefault="00061325" w:rsidP="00226A04">
      <w:pPr>
        <w:pStyle w:val="Heading4"/>
      </w:pPr>
      <w:r w:rsidRPr="00787196">
        <w:t>Objective SES, clinical status</w:t>
      </w:r>
      <w:r w:rsidR="00AE3CFB" w:rsidRPr="00787196">
        <w:t xml:space="preserve"> and</w:t>
      </w:r>
      <w:r w:rsidRPr="00787196">
        <w:t xml:space="preserve"> health related behaviours </w:t>
      </w:r>
    </w:p>
    <w:p w14:paraId="7BC4EE2D" w14:textId="77777777" w:rsidR="00AE3CFB" w:rsidRPr="00787196" w:rsidRDefault="00061325" w:rsidP="00AE3CFB">
      <w:pPr>
        <w:rPr>
          <w:rFonts w:cs="Arial"/>
          <w:szCs w:val="24"/>
        </w:rPr>
      </w:pPr>
      <w:r w:rsidRPr="00787196">
        <w:rPr>
          <w:rFonts w:cs="Arial"/>
          <w:szCs w:val="24"/>
        </w:rPr>
        <w:t>Objective SES</w:t>
      </w:r>
      <w:r w:rsidR="00AE3CFB" w:rsidRPr="00787196">
        <w:rPr>
          <w:rFonts w:cs="Arial"/>
          <w:szCs w:val="24"/>
        </w:rPr>
        <w:t>,</w:t>
      </w:r>
      <w:r w:rsidRPr="00787196">
        <w:rPr>
          <w:rFonts w:cs="Arial"/>
          <w:szCs w:val="24"/>
        </w:rPr>
        <w:t xml:space="preserve"> has been shown to influence </w:t>
      </w:r>
      <w:r w:rsidR="0004331F" w:rsidRPr="00787196">
        <w:rPr>
          <w:rFonts w:cs="Arial"/>
          <w:szCs w:val="24"/>
        </w:rPr>
        <w:t>numerous</w:t>
      </w:r>
      <w:r w:rsidRPr="00787196">
        <w:rPr>
          <w:rFonts w:cs="Arial"/>
          <w:szCs w:val="24"/>
        </w:rPr>
        <w:t xml:space="preserve"> health problems such as heart disease, cancer, stroke, diabetes, hypertension, infant mortality, arthritis, back ailments, mental illness, kidney diseases and many more ailments </w:t>
      </w:r>
      <w:r w:rsidRPr="00787196">
        <w:rPr>
          <w:rFonts w:cs="Arial"/>
          <w:szCs w:val="24"/>
        </w:rPr>
        <w:fldChar w:fldCharType="begin">
          <w:fldData xml:space="preserve">PEVuZE5vdGU+PENpdGU+PEF1dGhvcj5XaW5rbGVieTwvQXV0aG9yPjxZZWFyPjE5OTI8L1llYXI+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</w:fldData>
        </w:fldChar>
      </w:r>
      <w:r w:rsidRPr="00787196">
        <w:rPr>
          <w:rFonts w:cs="Arial"/>
          <w:szCs w:val="24"/>
        </w:rPr>
        <w:instrText xml:space="preserve"> ADDIN EN.CITE </w:instrText>
      </w:r>
      <w:r w:rsidRPr="00787196">
        <w:rPr>
          <w:rFonts w:cs="Arial"/>
          <w:szCs w:val="24"/>
        </w:rPr>
        <w:fldChar w:fldCharType="begin">
          <w:fldData xml:space="preserve">PEVuZE5vdGU+PENpdGU+PEF1dGhvcj5XaW5rbGVieTwvQXV0aG9yPjxZZWFyPjE5OTI8L1llYXI+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(Winkleby et al., 1992, Damiani et al., 2011, Connolly et al., 2000, Everson et al., 2002, Gruttadauria et al., 2011)</w:t>
      </w:r>
      <w:r w:rsidRPr="00787196">
        <w:rPr>
          <w:rFonts w:cs="Arial"/>
          <w:szCs w:val="24"/>
        </w:rPr>
        <w:fldChar w:fldCharType="end"/>
      </w:r>
      <w:r w:rsidRPr="00787196">
        <w:rPr>
          <w:rFonts w:cs="Arial"/>
          <w:szCs w:val="24"/>
        </w:rPr>
        <w:t xml:space="preserve">. </w:t>
      </w:r>
    </w:p>
    <w:p w14:paraId="02F0B5BC" w14:textId="77777777" w:rsidR="00AE3CFB" w:rsidRPr="00787196" w:rsidRDefault="00AE3CFB">
      <w:pPr>
        <w:spacing w:before="0" w:after="0" w:line="240" w:lineRule="auto"/>
        <w:jc w:val="left"/>
        <w:rPr>
          <w:rFonts w:cs="Arial"/>
          <w:szCs w:val="24"/>
        </w:rPr>
      </w:pPr>
      <w:r w:rsidRPr="00787196">
        <w:rPr>
          <w:rFonts w:cs="Arial"/>
          <w:szCs w:val="24"/>
        </w:rPr>
        <w:br w:type="page"/>
      </w:r>
    </w:p>
    <w:p w14:paraId="577ABBAE" w14:textId="4CF23539" w:rsidR="00061325" w:rsidRPr="00787196" w:rsidRDefault="00061325" w:rsidP="00AE3CFB">
      <w:pPr>
        <w:rPr>
          <w:rFonts w:cs="Arial"/>
          <w:szCs w:val="24"/>
        </w:rPr>
      </w:pPr>
      <w:r w:rsidRPr="00787196">
        <w:rPr>
          <w:rFonts w:cs="Arial"/>
          <w:szCs w:val="24"/>
        </w:rPr>
        <w:lastRenderedPageBreak/>
        <w:t>Such associations across different populations</w:t>
      </w:r>
      <w:r w:rsidR="008149CF" w:rsidRPr="00787196">
        <w:rPr>
          <w:rFonts w:cs="Arial"/>
          <w:szCs w:val="24"/>
        </w:rPr>
        <w:t xml:space="preserve"> and</w:t>
      </w:r>
      <w:r w:rsidRPr="00787196">
        <w:rPr>
          <w:rFonts w:cs="Arial"/>
          <w:szCs w:val="24"/>
        </w:rPr>
        <w:t xml:space="preserve"> social </w:t>
      </w:r>
      <w:r w:rsidR="00B925A1" w:rsidRPr="00787196">
        <w:rPr>
          <w:rFonts w:cs="Arial"/>
          <w:szCs w:val="24"/>
        </w:rPr>
        <w:t>groups suggest</w:t>
      </w:r>
      <w:r w:rsidRPr="00787196">
        <w:rPr>
          <w:rFonts w:cs="Arial"/>
          <w:szCs w:val="24"/>
        </w:rPr>
        <w:t xml:space="preserve"> very strong</w:t>
      </w:r>
      <w:r w:rsidR="008149CF" w:rsidRPr="00787196">
        <w:rPr>
          <w:rFonts w:cs="Arial"/>
          <w:szCs w:val="24"/>
        </w:rPr>
        <w:t xml:space="preserve"> and consistent</w:t>
      </w:r>
      <w:r w:rsidRPr="00787196">
        <w:rPr>
          <w:rFonts w:cs="Arial"/>
          <w:szCs w:val="24"/>
        </w:rPr>
        <w:t xml:space="preserve"> link</w:t>
      </w:r>
      <w:r w:rsidR="008149CF" w:rsidRPr="00787196">
        <w:rPr>
          <w:rFonts w:cs="Arial"/>
          <w:szCs w:val="24"/>
        </w:rPr>
        <w:t>s</w:t>
      </w:r>
      <w:r w:rsidRPr="00787196">
        <w:rPr>
          <w:rFonts w:cs="Arial"/>
          <w:szCs w:val="24"/>
        </w:rPr>
        <w:t xml:space="preserve"> between objective SES and health</w:t>
      </w:r>
      <w:r w:rsidR="00532C0E" w:rsidRPr="00787196">
        <w:rPr>
          <w:rFonts w:cs="Arial"/>
          <w:szCs w:val="24"/>
        </w:rPr>
        <w:t xml:space="preserve"> </w:t>
      </w:r>
      <w:r w:rsidR="00532C0E" w:rsidRPr="00787196">
        <w:rPr>
          <w:rFonts w:cs="Arial"/>
          <w:szCs w:val="24"/>
        </w:rPr>
        <w:fldChar w:fldCharType="begin">
          <w:fldData xml:space="preserve">PEVuZE5vdGU+PENpdGU+PEF1dGhvcj5NYXJtb3Q8L0F1dGhvcj48WWVhcj4yMDAxPC9ZZWFyPjxJ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</w:fldData>
        </w:fldChar>
      </w:r>
      <w:r w:rsidR="003F4F52" w:rsidRPr="00787196">
        <w:rPr>
          <w:rFonts w:cs="Arial"/>
          <w:szCs w:val="24"/>
        </w:rPr>
        <w:instrText xml:space="preserve"> ADDIN EN.CITE </w:instrText>
      </w:r>
      <w:r w:rsidR="003F4F52" w:rsidRPr="00787196">
        <w:rPr>
          <w:rFonts w:cs="Arial"/>
          <w:szCs w:val="24"/>
        </w:rPr>
        <w:fldChar w:fldCharType="begin">
          <w:fldData xml:space="preserve">PEVuZE5vdGU+PENpdGU+PEF1dGhvcj5NYXJtb3Q8L0F1dGhvcj48WWVhcj4yMDAxPC9ZZWFyPjxJ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</w:fldData>
        </w:fldChar>
      </w:r>
      <w:r w:rsidR="003F4F52" w:rsidRPr="00787196">
        <w:rPr>
          <w:rFonts w:cs="Arial"/>
          <w:szCs w:val="24"/>
        </w:rPr>
        <w:instrText xml:space="preserve"> ADDIN EN.CITE.DATA </w:instrText>
      </w:r>
      <w:r w:rsidR="003F4F52" w:rsidRPr="00787196">
        <w:rPr>
          <w:rFonts w:cs="Arial"/>
          <w:szCs w:val="24"/>
        </w:rPr>
      </w:r>
      <w:r w:rsidR="003F4F52" w:rsidRPr="00787196">
        <w:rPr>
          <w:rFonts w:cs="Arial"/>
          <w:szCs w:val="24"/>
        </w:rPr>
        <w:fldChar w:fldCharType="end"/>
      </w:r>
      <w:r w:rsidR="00532C0E" w:rsidRPr="00787196">
        <w:rPr>
          <w:rFonts w:cs="Arial"/>
          <w:szCs w:val="24"/>
        </w:rPr>
      </w:r>
      <w:r w:rsidR="00532C0E" w:rsidRPr="00787196">
        <w:rPr>
          <w:rFonts w:cs="Arial"/>
          <w:szCs w:val="24"/>
        </w:rPr>
        <w:fldChar w:fldCharType="separate"/>
      </w:r>
      <w:r w:rsidR="003F4F52" w:rsidRPr="00787196">
        <w:rPr>
          <w:rFonts w:cs="Arial"/>
          <w:szCs w:val="24"/>
        </w:rPr>
        <w:t>(Marmot and Wilkinson, 2001, Kelly and Bonnefoy, 2007, World Health Organization, 2010)</w:t>
      </w:r>
      <w:r w:rsidR="00532C0E" w:rsidRPr="00787196">
        <w:rPr>
          <w:rFonts w:cs="Arial"/>
          <w:szCs w:val="24"/>
        </w:rPr>
        <w:fldChar w:fldCharType="end"/>
      </w:r>
      <w:r w:rsidRPr="00787196">
        <w:rPr>
          <w:rFonts w:cs="Arial"/>
          <w:szCs w:val="24"/>
        </w:rPr>
        <w:t>. It is almost incontrovertible to question this association with given amount of evidence.</w:t>
      </w:r>
    </w:p>
    <w:p w14:paraId="1A7EEA37" w14:textId="7DA10BB6" w:rsidR="00061325" w:rsidRPr="00787196" w:rsidRDefault="00B925A1" w:rsidP="00061325">
      <w:pPr>
        <w:rPr>
          <w:rFonts w:cs="Arial"/>
          <w:szCs w:val="24"/>
        </w:rPr>
      </w:pPr>
      <w:r w:rsidRPr="00787196">
        <w:rPr>
          <w:rFonts w:cs="Arial"/>
          <w:szCs w:val="24"/>
        </w:rPr>
        <w:t>The links between o</w:t>
      </w:r>
      <w:r w:rsidR="00061325" w:rsidRPr="00787196">
        <w:rPr>
          <w:rFonts w:cs="Arial"/>
          <w:szCs w:val="24"/>
        </w:rPr>
        <w:t xml:space="preserve">ral health and SES </w:t>
      </w:r>
      <w:r w:rsidRPr="00787196">
        <w:rPr>
          <w:rFonts w:cs="Arial"/>
          <w:szCs w:val="24"/>
        </w:rPr>
        <w:t>are equally</w:t>
      </w:r>
      <w:r w:rsidR="00061325" w:rsidRPr="00787196">
        <w:rPr>
          <w:rFonts w:cs="Arial"/>
          <w:szCs w:val="24"/>
        </w:rPr>
        <w:t xml:space="preserve"> well-established phenomenon </w:t>
      </w:r>
      <w:r w:rsidR="00061325" w:rsidRPr="00787196">
        <w:rPr>
          <w:rFonts w:cs="Arial"/>
          <w:szCs w:val="24"/>
        </w:rPr>
        <w:fldChar w:fldCharType="begin">
          <w:fldData xml:space="preserve">PEVuZE5vdGU+PENpdGU+PEF1dGhvcj5Mb2NrZXI8L0F1dGhvcj48WWVhcj4yMDAwPC9ZZWFyPjxS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</w:fldData>
        </w:fldChar>
      </w:r>
      <w:r w:rsidR="00061325" w:rsidRPr="00787196">
        <w:rPr>
          <w:rFonts w:cs="Arial"/>
          <w:szCs w:val="24"/>
        </w:rPr>
        <w:instrText xml:space="preserve"> ADDIN EN.CITE </w:instrText>
      </w:r>
      <w:r w:rsidR="00061325" w:rsidRPr="00787196">
        <w:rPr>
          <w:rFonts w:cs="Arial"/>
          <w:szCs w:val="24"/>
        </w:rPr>
        <w:fldChar w:fldCharType="begin">
          <w:fldData xml:space="preserve">PEVuZE5vdGU+PENpdGU+PEF1dGhvcj5Mb2NrZXI8L0F1dGhvcj48WWVhcj4yMDAwPC9ZZWFyPjxS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</w:fldData>
        </w:fldChar>
      </w:r>
      <w:r w:rsidR="00061325" w:rsidRPr="00787196">
        <w:rPr>
          <w:rFonts w:cs="Arial"/>
          <w:szCs w:val="24"/>
        </w:rPr>
        <w:instrText xml:space="preserve"> ADDIN EN.CITE.DATA </w:instrText>
      </w:r>
      <w:r w:rsidR="00061325" w:rsidRPr="00787196">
        <w:rPr>
          <w:rFonts w:cs="Arial"/>
          <w:szCs w:val="24"/>
        </w:rPr>
      </w:r>
      <w:r w:rsidR="00061325" w:rsidRPr="00787196">
        <w:rPr>
          <w:rFonts w:cs="Arial"/>
          <w:szCs w:val="24"/>
        </w:rPr>
        <w:fldChar w:fldCharType="end"/>
      </w:r>
      <w:r w:rsidR="00061325" w:rsidRPr="00787196">
        <w:rPr>
          <w:rFonts w:cs="Arial"/>
          <w:szCs w:val="24"/>
        </w:rPr>
      </w:r>
      <w:r w:rsidR="00061325" w:rsidRPr="00787196">
        <w:rPr>
          <w:rFonts w:cs="Arial"/>
          <w:szCs w:val="24"/>
        </w:rPr>
        <w:fldChar w:fldCharType="separate"/>
      </w:r>
      <w:r w:rsidR="00061325" w:rsidRPr="00787196">
        <w:rPr>
          <w:rFonts w:cs="Arial"/>
          <w:szCs w:val="24"/>
        </w:rPr>
        <w:t>(Locker, 2000, Watt and Sheiham, 1999, Sheiham et al., 2011)</w:t>
      </w:r>
      <w:r w:rsidR="00061325" w:rsidRPr="00787196">
        <w:rPr>
          <w:rFonts w:cs="Arial"/>
          <w:szCs w:val="24"/>
        </w:rPr>
        <w:fldChar w:fldCharType="end"/>
      </w:r>
      <w:r w:rsidR="00061325" w:rsidRPr="00787196">
        <w:rPr>
          <w:rFonts w:cs="Arial"/>
          <w:szCs w:val="24"/>
        </w:rPr>
        <w:t xml:space="preserve">. Oral health inequalities has been demonstrated in both children and adults </w:t>
      </w:r>
      <w:r w:rsidRPr="00787196">
        <w:rPr>
          <w:rFonts w:cs="Arial"/>
          <w:szCs w:val="24"/>
        </w:rPr>
        <w:t>using</w:t>
      </w:r>
      <w:r w:rsidR="00061325" w:rsidRPr="00787196">
        <w:rPr>
          <w:rFonts w:cs="Arial"/>
          <w:szCs w:val="24"/>
        </w:rPr>
        <w:t xml:space="preserve"> different indicators of objective socio-economic position in different populations </w:t>
      </w:r>
      <w:r w:rsidRPr="00787196">
        <w:rPr>
          <w:rFonts w:cs="Arial"/>
          <w:szCs w:val="24"/>
        </w:rPr>
        <w:t xml:space="preserve">and </w:t>
      </w:r>
      <w:r w:rsidR="00061325" w:rsidRPr="00787196">
        <w:rPr>
          <w:rFonts w:cs="Arial"/>
          <w:szCs w:val="24"/>
        </w:rPr>
        <w:t xml:space="preserve">in different countries </w:t>
      </w:r>
      <w:r w:rsidR="00061325" w:rsidRPr="00787196">
        <w:rPr>
          <w:rFonts w:cs="Arial"/>
          <w:szCs w:val="24"/>
        </w:rPr>
        <w:fldChar w:fldCharType="begin">
          <w:fldData xml:space="preserve">PEVuZE5vdGU+PENpdGU+PEF1dGhvcj5XYXR0PC9BdXRob3I+PFllYXI+MTk5OTwvWWVhcj48UmVj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</w:fldData>
        </w:fldChar>
      </w:r>
      <w:r w:rsidR="00061325" w:rsidRPr="00787196">
        <w:rPr>
          <w:rFonts w:cs="Arial"/>
          <w:szCs w:val="24"/>
        </w:rPr>
        <w:instrText xml:space="preserve"> ADDIN EN.CITE </w:instrText>
      </w:r>
      <w:r w:rsidR="00061325" w:rsidRPr="00787196">
        <w:rPr>
          <w:rFonts w:cs="Arial"/>
          <w:szCs w:val="24"/>
        </w:rPr>
        <w:fldChar w:fldCharType="begin">
          <w:fldData xml:space="preserve">PEVuZE5vdGU+PENpdGU+PEF1dGhvcj5XYXR0PC9BdXRob3I+PFllYXI+MTk5OTwvWWVhcj48UmVj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</w:fldData>
        </w:fldChar>
      </w:r>
      <w:r w:rsidR="00061325" w:rsidRPr="00787196">
        <w:rPr>
          <w:rFonts w:cs="Arial"/>
          <w:szCs w:val="24"/>
        </w:rPr>
        <w:instrText xml:space="preserve"> ADDIN EN.CITE.DATA </w:instrText>
      </w:r>
      <w:r w:rsidR="00061325" w:rsidRPr="00787196">
        <w:rPr>
          <w:rFonts w:cs="Arial"/>
          <w:szCs w:val="24"/>
        </w:rPr>
      </w:r>
      <w:r w:rsidR="00061325" w:rsidRPr="00787196">
        <w:rPr>
          <w:rFonts w:cs="Arial"/>
          <w:szCs w:val="24"/>
        </w:rPr>
        <w:fldChar w:fldCharType="end"/>
      </w:r>
      <w:r w:rsidR="00061325" w:rsidRPr="00787196">
        <w:rPr>
          <w:rFonts w:cs="Arial"/>
          <w:szCs w:val="24"/>
        </w:rPr>
      </w:r>
      <w:r w:rsidR="00061325" w:rsidRPr="00787196">
        <w:rPr>
          <w:rFonts w:cs="Arial"/>
          <w:szCs w:val="24"/>
        </w:rPr>
        <w:fldChar w:fldCharType="separate"/>
      </w:r>
      <w:r w:rsidR="00061325" w:rsidRPr="00787196">
        <w:rPr>
          <w:rFonts w:cs="Arial"/>
          <w:szCs w:val="24"/>
        </w:rPr>
        <w:t>(Watt and Sheiham, 1999, Locker, 2000, Thomson et al., 2004, Harris et al., 2004, López et al., 2006, Sanders et al., 2006a, Sanders et al., 2006b, Franzini and Fernandez-Esquer, 2006, Sabbah et al., 2007)</w:t>
      </w:r>
      <w:r w:rsidR="00061325" w:rsidRPr="00787196">
        <w:rPr>
          <w:rFonts w:cs="Arial"/>
          <w:szCs w:val="24"/>
        </w:rPr>
        <w:fldChar w:fldCharType="end"/>
      </w:r>
      <w:r w:rsidR="00061325" w:rsidRPr="00787196">
        <w:rPr>
          <w:rFonts w:cs="Arial"/>
          <w:szCs w:val="24"/>
        </w:rPr>
        <w:t xml:space="preserve">. </w:t>
      </w:r>
    </w:p>
    <w:p w14:paraId="1F8A6F48" w14:textId="464501C0" w:rsidR="001941CD" w:rsidRPr="00787196" w:rsidRDefault="00061325" w:rsidP="00AE3CFB">
      <w:pPr>
        <w:rPr>
          <w:rStyle w:val="Heading6Char"/>
        </w:rPr>
      </w:pPr>
      <w:r w:rsidRPr="00787196">
        <w:rPr>
          <w:rFonts w:cs="Arial"/>
          <w:szCs w:val="24"/>
        </w:rPr>
        <w:t xml:space="preserve">Reviews have demonstrated that SES indicators such as income, occupation, education were significantly associated with oral diseases like dental caries in adults </w:t>
      </w:r>
      <w:r w:rsidRPr="00787196">
        <w:rPr>
          <w:rFonts w:cs="Arial"/>
          <w:szCs w:val="24"/>
        </w:rPr>
        <w:fldChar w:fldCharType="begin"/>
      </w:r>
      <w:r w:rsidRPr="00787196">
        <w:rPr>
          <w:rFonts w:cs="Arial"/>
          <w:szCs w:val="24"/>
        </w:rPr>
        <w:instrText xml:space="preserve"> ADDIN EN.CITE &lt;EndNote&gt;&lt;Cite&gt;&lt;Author&gt;Costa&lt;/Author&gt;&lt;Year&gt;2012&lt;/Year&gt;&lt;RecNum&gt;232&lt;/RecNum&gt;&lt;DisplayText&gt;(Costa et al., 2012)&lt;/DisplayText&gt;&lt;record&gt;&lt;rec-number&gt;232&lt;/rec-number&gt;&lt;foreign-keys&gt;&lt;key app="EN" db-id="pprx5af0eezz5resrauvszthwfd2xp5txea9"&gt;232&lt;/key&gt;&lt;/foreign-keys&gt;&lt;ref-type name="Journal Article"&gt;17&lt;/ref-type&gt;&lt;contributors&gt;&lt;authors&gt;&lt;author&gt;Costa, Simone M.&lt;/author&gt;&lt;author&gt;Martins, Carolina C.&lt;/author&gt;&lt;author&gt;Bonfim, Maria de Lourdes C.&lt;/author&gt;&lt;author&gt;Zina, LÃvia G.&lt;/author&gt;&lt;author&gt;Paiva, Saul M.&lt;/author&gt;&lt;author&gt;Pordeus, Isabela A.&lt;/author&gt;&lt;author&gt;Abreu, Mauro H. N. G.&lt;/author&gt;&lt;/authors&gt;&lt;/contributors&gt;&lt;titles&gt;&lt;title&gt;A Systematic Review of Socioeconomic Indicators and Dental Caries in Adults&lt;/title&gt;&lt;secondary-title&gt;International Journal of Environmental Research and Public Health&lt;/secondary-title&gt;&lt;/titles&gt;&lt;periodical&gt;&lt;full-title&gt;International Journal of Environmental Research and Public Health&lt;/full-title&gt;&lt;/periodical&gt;&lt;pages&gt;3540-3574&lt;/pages&gt;&lt;volume&gt;9&lt;/volume&gt;&lt;number&gt;10&lt;/number&gt;&lt;dates&gt;&lt;year&gt;2012&lt;/year&gt;&lt;/dates&gt;&lt;isbn&gt;1660-4601&lt;/isbn&gt;&lt;accession-num&gt;doi:10.3390/ijerph9103540&lt;/accession-num&gt;&lt;urls&gt;&lt;related-urls&gt;&lt;url&gt;http://www.mdpi.com/1660-4601/9/10/3540 &lt;/url&gt;&lt;/related-urls&gt;&lt;/urls&gt;&lt;/record&gt;&lt;/Cite&gt;&lt;/EndNote&gt;</w:instrText>
      </w:r>
      <w:r w:rsidRPr="00787196">
        <w:rPr>
          <w:rFonts w:cs="Arial"/>
          <w:szCs w:val="24"/>
        </w:rPr>
        <w:fldChar w:fldCharType="separate"/>
      </w:r>
      <w:r w:rsidRPr="00787196">
        <w:rPr>
          <w:rFonts w:cs="Arial"/>
          <w:szCs w:val="24"/>
        </w:rPr>
        <w:t>(Costa et al., 2012)</w:t>
      </w:r>
      <w:r w:rsidRPr="00787196">
        <w:rPr>
          <w:rFonts w:cs="Arial"/>
          <w:szCs w:val="24"/>
        </w:rPr>
        <w:fldChar w:fldCharType="end"/>
      </w:r>
      <w:r w:rsidRPr="00787196">
        <w:rPr>
          <w:rFonts w:cs="Arial"/>
          <w:szCs w:val="24"/>
        </w:rPr>
        <w:t xml:space="preserve">, Australian Dental Statistics and Research Unit report (2003) on social determinants of oral health found that low income was associated with poor oral health status. particularly with respect to the prevalence of periodontitis and tooth loss </w:t>
      </w:r>
      <w:r w:rsidRPr="00787196">
        <w:rPr>
          <w:rFonts w:cs="Arial"/>
          <w:szCs w:val="24"/>
        </w:rPr>
        <w:fldChar w:fldCharType="begin">
          <w:fldData xml:space="preserve">PEVuZE5vdGU+PENpdGU+PEF1dGhvcj5MYXdyZW5jZTwvQXV0aG9yPjxZZWFyPjIwMDg8L1llYXI+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</w:fldData>
        </w:fldChar>
      </w:r>
      <w:r w:rsidRPr="00787196">
        <w:rPr>
          <w:rFonts w:cs="Arial"/>
          <w:szCs w:val="24"/>
        </w:rPr>
        <w:instrText xml:space="preserve"> ADDIN EN.CITE </w:instrText>
      </w:r>
      <w:r w:rsidRPr="00787196">
        <w:rPr>
          <w:rFonts w:cs="Arial"/>
          <w:szCs w:val="24"/>
        </w:rPr>
        <w:fldChar w:fldCharType="begin">
          <w:fldData xml:space="preserve">PEVuZE5vdGU+PENpdGU+PEF1dGhvcj5MYXdyZW5jZTwvQXV0aG9yPjxZZWFyPjIwMDg8L1llYXI+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(Lawrence et al., 2008, Nguyen et al., 2010, Turrell et al., 2007)</w:t>
      </w:r>
      <w:r w:rsidRPr="00787196">
        <w:rPr>
          <w:rFonts w:cs="Arial"/>
          <w:szCs w:val="24"/>
        </w:rPr>
        <w:fldChar w:fldCharType="end"/>
      </w:r>
      <w:r w:rsidRPr="00787196">
        <w:rPr>
          <w:rFonts w:cs="Arial"/>
          <w:szCs w:val="24"/>
        </w:rPr>
        <w:t>.</w:t>
      </w:r>
    </w:p>
    <w:p w14:paraId="1CDBF008" w14:textId="77777777" w:rsidR="001941CD" w:rsidRPr="00787196" w:rsidRDefault="001941CD" w:rsidP="00226A04">
      <w:pPr>
        <w:pStyle w:val="Heading4"/>
        <w:rPr>
          <w:i/>
        </w:rPr>
      </w:pPr>
      <w:r w:rsidRPr="00787196">
        <w:rPr>
          <w:rStyle w:val="Heading6Char"/>
          <w:i w:val="0"/>
          <w:iCs/>
        </w:rPr>
        <w:t>SES and health</w:t>
      </w:r>
      <w:r w:rsidRPr="00787196">
        <w:rPr>
          <w:i/>
        </w:rPr>
        <w:t xml:space="preserve"> </w:t>
      </w:r>
    </w:p>
    <w:p w14:paraId="44597989" w14:textId="1615851A" w:rsidR="00152CD0" w:rsidRPr="00787196" w:rsidRDefault="00E557EE" w:rsidP="002178E5">
      <w:r w:rsidRPr="00787196">
        <w:t>S</w:t>
      </w:r>
      <w:r w:rsidR="00226A04">
        <w:t>ES</w:t>
      </w:r>
      <w:r w:rsidRPr="00787196">
        <w:t xml:space="preserve"> </w:t>
      </w:r>
      <w:r w:rsidR="000A6D11" w:rsidRPr="00787196">
        <w:t xml:space="preserve">is the </w:t>
      </w:r>
      <w:r w:rsidRPr="00787196">
        <w:t xml:space="preserve">measure of </w:t>
      </w:r>
      <w:r w:rsidR="000A6D11" w:rsidRPr="00787196">
        <w:t>an individual’s</w:t>
      </w:r>
      <w:r w:rsidRPr="00787196">
        <w:t xml:space="preserve"> combined economic and social status and tends to be positively associated with better health. SES is </w:t>
      </w:r>
      <w:r w:rsidR="00B00B6C" w:rsidRPr="00787196">
        <w:t xml:space="preserve">argued </w:t>
      </w:r>
      <w:r w:rsidRPr="00787196">
        <w:t xml:space="preserve">to influence health </w:t>
      </w:r>
      <w:r w:rsidR="00B00B6C" w:rsidRPr="00787196">
        <w:t>in</w:t>
      </w:r>
      <w:r w:rsidR="000A6D11" w:rsidRPr="00787196">
        <w:t xml:space="preserve"> three aspects namely</w:t>
      </w:r>
      <w:r w:rsidR="00B00B6C" w:rsidRPr="00787196">
        <w:t>, with the</w:t>
      </w:r>
      <w:r w:rsidR="000A6D11" w:rsidRPr="00787196">
        <w:t xml:space="preserve"> </w:t>
      </w:r>
      <w:r w:rsidRPr="00787196">
        <w:t xml:space="preserve">ability to </w:t>
      </w:r>
      <w:r w:rsidR="000A6D11" w:rsidRPr="00787196">
        <w:t>benefit from</w:t>
      </w:r>
      <w:r w:rsidRPr="00787196">
        <w:t xml:space="preserve"> health promoting resources and </w:t>
      </w:r>
      <w:r w:rsidR="000A6D11" w:rsidRPr="00787196">
        <w:t>care,</w:t>
      </w:r>
      <w:r w:rsidRPr="00787196">
        <w:t xml:space="preserve"> sociali</w:t>
      </w:r>
      <w:r w:rsidR="000A6D11" w:rsidRPr="00787196">
        <w:t>s</w:t>
      </w:r>
      <w:r w:rsidRPr="00787196">
        <w:t>ation of early health habits and</w:t>
      </w:r>
      <w:r w:rsidR="000A6D11" w:rsidRPr="00787196">
        <w:t xml:space="preserve"> sustaining it </w:t>
      </w:r>
      <w:r w:rsidRPr="00787196">
        <w:t xml:space="preserve">and </w:t>
      </w:r>
      <w:r w:rsidR="000A6D11" w:rsidRPr="00787196">
        <w:t>also</w:t>
      </w:r>
      <w:r w:rsidR="00B00B6C" w:rsidRPr="00787196">
        <w:t xml:space="preserve"> and</w:t>
      </w:r>
      <w:r w:rsidRPr="00787196">
        <w:t xml:space="preserve"> </w:t>
      </w:r>
      <w:r w:rsidR="00B00B6C" w:rsidRPr="00787196">
        <w:t xml:space="preserve">positing that </w:t>
      </w:r>
      <w:r w:rsidRPr="00787196">
        <w:t xml:space="preserve">rather than SES influencing health, health influences </w:t>
      </w:r>
      <w:r w:rsidR="00B00B6C" w:rsidRPr="00787196">
        <w:t>the</w:t>
      </w:r>
      <w:r w:rsidR="000A6D11" w:rsidRPr="00787196">
        <w:t xml:space="preserve"> </w:t>
      </w:r>
      <w:r w:rsidRPr="00787196">
        <w:t xml:space="preserve">SES </w:t>
      </w:r>
      <w:r w:rsidR="000A6D11" w:rsidRPr="00787196">
        <w:t>(i.e.)</w:t>
      </w:r>
      <w:r w:rsidRPr="00787196">
        <w:t xml:space="preserve"> less healthy individuals complete fewer years </w:t>
      </w:r>
      <w:r w:rsidR="000A6D11" w:rsidRPr="00787196">
        <w:t>at</w:t>
      </w:r>
      <w:r w:rsidRPr="00787196">
        <w:t xml:space="preserve"> school, miss work, and earn lower incomes</w:t>
      </w:r>
      <w:r w:rsidR="000A6D11" w:rsidRPr="00787196">
        <w:t xml:space="preserve"> </w:t>
      </w:r>
      <w:r w:rsidR="000A6D11" w:rsidRPr="00787196">
        <w:rPr>
          <w:rFonts w:cs="Arial"/>
          <w:szCs w:val="24"/>
        </w:rPr>
        <w:fldChar w:fldCharType="begin"/>
      </w:r>
      <w:r w:rsidR="000A6D11" w:rsidRPr="00787196">
        <w:rPr>
          <w:rFonts w:cs="Arial"/>
          <w:szCs w:val="24"/>
        </w:rPr>
        <w:instrText xml:space="preserve"> ADDIN EN.CITE &lt;EndNote&gt;&lt;Cite&gt;&lt;Author&gt;Baker&lt;/Author&gt;&lt;Year&gt;2014&lt;/Year&gt;&lt;IDText&gt;Socioeconomic Status, Definition&lt;/IDText&gt;&lt;DisplayText&gt;(Baker, 2014)&lt;/DisplayText&gt;&lt;record&gt;&lt;keywords&gt;&lt;keyword&gt;education&lt;/keyword&gt;&lt;keyword&gt;poverty&lt;/keyword&gt;&lt;keyword&gt;social selection&lt;/keyword&gt;&lt;keyword&gt;socialization&lt;/keyword&gt;&lt;keyword&gt;socioeconomic status&lt;/keyword&gt;&lt;/keywords&gt;&lt;urls&gt;&lt;related-urls&gt;&lt;url&gt;http://dx.doi.org/10.1002/9781118410868.wbehibs395&lt;/url&gt;&lt;/related-urls&gt;&lt;/urls&gt;&lt;isbn&gt;9781118410868&lt;/isbn&gt;&lt;titles&gt;&lt;title&gt;Socioeconomic Status, Definition&lt;/title&gt;&lt;secondary-title&gt;The Wiley Blackwell Encyclopedia of Health, Illness, Behavior, and Society&lt;/secondary-title&gt;&lt;/titles&gt;&lt;contributors&gt;&lt;authors&gt;&lt;author&gt;Baker, Elizabeth H.&lt;/author&gt;&lt;/authors&gt;&lt;/contributors&gt;&lt;added-date format="utc"&gt;1481279165&lt;/added-date&gt;&lt;ref-type name="Book Section"&gt;5&lt;/ref-type&gt;&lt;dates&gt;&lt;year&gt;2014&lt;/year&gt;&lt;/dates&gt;&lt;rec-number&gt;2668&lt;/rec-number&gt;&lt;publisher&gt;John Wiley &amp;amp; Sons, Ltd&lt;/publisher&gt;&lt;last-updated-date format="utc"&gt;1481279165&lt;/last-updated-date&gt;&lt;electronic-resource-num&gt;10.1002/9781118410868.wbehibs395&lt;/electronic-resource-num&gt;&lt;/record&gt;&lt;/Cite&gt;&lt;/EndNote&gt;</w:instrText>
      </w:r>
      <w:r w:rsidR="000A6D11" w:rsidRPr="00787196">
        <w:rPr>
          <w:rFonts w:cs="Arial"/>
          <w:szCs w:val="24"/>
        </w:rPr>
        <w:fldChar w:fldCharType="separate"/>
      </w:r>
      <w:r w:rsidR="000A6D11" w:rsidRPr="00787196">
        <w:rPr>
          <w:rFonts w:cs="Arial"/>
          <w:szCs w:val="24"/>
        </w:rPr>
        <w:t>(Baker, 2014)</w:t>
      </w:r>
      <w:r w:rsidR="000A6D11" w:rsidRPr="00787196">
        <w:rPr>
          <w:rFonts w:cs="Arial"/>
          <w:szCs w:val="24"/>
        </w:rPr>
        <w:fldChar w:fldCharType="end"/>
      </w:r>
      <w:r w:rsidRPr="00787196">
        <w:t>.</w:t>
      </w:r>
    </w:p>
    <w:p w14:paraId="14EB10D9" w14:textId="77777777" w:rsidR="00152CD0" w:rsidRPr="00787196" w:rsidRDefault="00152CD0">
      <w:pPr>
        <w:spacing w:before="0" w:after="0" w:line="240" w:lineRule="auto"/>
        <w:jc w:val="left"/>
      </w:pPr>
      <w:r w:rsidRPr="00787196">
        <w:br w:type="page"/>
      </w:r>
    </w:p>
    <w:p w14:paraId="7450CD25" w14:textId="6F570FE3" w:rsidR="007D33FD" w:rsidRPr="00787196" w:rsidRDefault="000A6D11" w:rsidP="00BA3D35">
      <w:pPr>
        <w:rPr>
          <w:rFonts w:cs="Arial"/>
          <w:szCs w:val="24"/>
        </w:rPr>
      </w:pPr>
      <w:r w:rsidRPr="00787196">
        <w:rPr>
          <w:rFonts w:cs="Arial"/>
          <w:szCs w:val="24"/>
        </w:rPr>
        <w:lastRenderedPageBreak/>
        <w:t>However, t</w:t>
      </w:r>
      <w:r w:rsidR="00B00B6C" w:rsidRPr="00787196">
        <w:rPr>
          <w:rFonts w:cs="Arial"/>
          <w:szCs w:val="24"/>
        </w:rPr>
        <w:t>he social determinants of health</w:t>
      </w:r>
      <w:r w:rsidRPr="00787196">
        <w:rPr>
          <w:rFonts w:cs="Arial"/>
          <w:szCs w:val="24"/>
        </w:rPr>
        <w:t xml:space="preserve"> </w:t>
      </w:r>
      <w:r w:rsidR="00B00B6C" w:rsidRPr="00787196">
        <w:rPr>
          <w:rFonts w:cs="Arial"/>
          <w:szCs w:val="24"/>
        </w:rPr>
        <w:t xml:space="preserve">as explained by the World health organisation describes them as </w:t>
      </w:r>
      <w:r w:rsidR="00BA3D35" w:rsidRPr="00787196">
        <w:rPr>
          <w:rFonts w:cs="Arial"/>
          <w:szCs w:val="24"/>
        </w:rPr>
        <w:t xml:space="preserve">conditions in which people are </w:t>
      </w:r>
      <w:r w:rsidR="00B00B6C" w:rsidRPr="00787196">
        <w:rPr>
          <w:rFonts w:cs="Arial"/>
          <w:szCs w:val="24"/>
        </w:rPr>
        <w:t xml:space="preserve">born, grow, live, work and age that </w:t>
      </w:r>
      <w:r w:rsidR="00BA3D35" w:rsidRPr="00787196">
        <w:rPr>
          <w:rFonts w:cs="Arial"/>
          <w:szCs w:val="24"/>
        </w:rPr>
        <w:t>are shaped by the distribution of money, power and resources at global, national and local levels</w:t>
      </w:r>
      <w:r w:rsidR="007D33FD" w:rsidRPr="00787196">
        <w:rPr>
          <w:rFonts w:cs="Arial"/>
          <w:szCs w:val="24"/>
        </w:rPr>
        <w:t xml:space="preserve"> </w:t>
      </w:r>
      <w:r w:rsidR="007D33FD" w:rsidRPr="00787196">
        <w:rPr>
          <w:rFonts w:cs="Arial"/>
          <w:szCs w:val="24"/>
        </w:rPr>
        <w:fldChar w:fldCharType="begin"/>
      </w:r>
      <w:r w:rsidR="007D33FD" w:rsidRPr="00787196">
        <w:rPr>
          <w:rFonts w:cs="Arial"/>
          <w:szCs w:val="24"/>
        </w:rPr>
        <w:instrText xml:space="preserve"> ADDIN EN.CITE &lt;EndNote&gt;&lt;Cite&gt;&lt;Author&gt;World Health Organisation&lt;/Author&gt;&lt;Year&gt;2016&lt;/Year&gt;&lt;IDText&gt;What are social determinants of health?&lt;/IDText&gt;&lt;DisplayText&gt;(World Health Organisation, 2016)&lt;/DisplayText&gt;&lt;record&gt;&lt;urls&gt;&lt;related-urls&gt;&lt;url&gt;http://www.who.int/social_determinants/sdh_definition/en/&lt;/url&gt;&lt;/related-urls&gt;&lt;/urls&gt;&lt;titles&gt;&lt;title&gt;What are social determinants of health?&lt;/title&gt;&lt;secondary-title&gt;Social determinants of health &lt;/secondary-title&gt;&lt;/titles&gt;&lt;number&gt;December 2016&lt;/number&gt;&lt;contributors&gt;&lt;authors&gt;&lt;author&gt;World Health Organisation,&lt;/author&gt;&lt;/authors&gt;&lt;/contributors&gt;&lt;added-date format="utc"&gt;1481281124&lt;/added-date&gt;&lt;ref-type name="Web Page"&gt;12&lt;/ref-type&gt;&lt;dates&gt;&lt;year&gt;2016&lt;/year&gt;&lt;/dates&gt;&lt;rec-number&gt;2669&lt;/rec-number&gt;&lt;publisher&gt;WHO&lt;/publisher&gt;&lt;last-updated-date format="utc"&gt;1481281438&lt;/last-updated-date&gt;&lt;/record&gt;&lt;/Cite&gt;&lt;/EndNote&gt;</w:instrText>
      </w:r>
      <w:r w:rsidR="007D33FD" w:rsidRPr="00787196">
        <w:rPr>
          <w:rFonts w:cs="Arial"/>
          <w:szCs w:val="24"/>
        </w:rPr>
        <w:fldChar w:fldCharType="separate"/>
      </w:r>
      <w:r w:rsidR="007D33FD" w:rsidRPr="00787196">
        <w:rPr>
          <w:rFonts w:cs="Arial"/>
          <w:szCs w:val="24"/>
        </w:rPr>
        <w:t>(World Health Organisation, 2016)</w:t>
      </w:r>
      <w:r w:rsidR="007D33FD" w:rsidRPr="00787196">
        <w:rPr>
          <w:rFonts w:cs="Arial"/>
          <w:szCs w:val="24"/>
        </w:rPr>
        <w:fldChar w:fldCharType="end"/>
      </w:r>
      <w:r w:rsidR="00BA3D35" w:rsidRPr="00787196">
        <w:rPr>
          <w:rFonts w:cs="Arial"/>
          <w:szCs w:val="24"/>
        </w:rPr>
        <w:t xml:space="preserve">. </w:t>
      </w:r>
      <w:r w:rsidR="007C1151" w:rsidRPr="00787196">
        <w:rPr>
          <w:rFonts w:cs="Arial"/>
          <w:szCs w:val="24"/>
        </w:rPr>
        <w:t xml:space="preserve">Thus </w:t>
      </w:r>
      <w:r w:rsidR="00B00B6C" w:rsidRPr="00787196">
        <w:rPr>
          <w:rFonts w:cs="Arial"/>
          <w:szCs w:val="24"/>
        </w:rPr>
        <w:t xml:space="preserve">objective SES </w:t>
      </w:r>
      <w:r w:rsidR="007C1151" w:rsidRPr="00787196">
        <w:rPr>
          <w:rFonts w:cs="Arial"/>
          <w:szCs w:val="24"/>
        </w:rPr>
        <w:t xml:space="preserve">of individuals </w:t>
      </w:r>
      <w:r w:rsidR="00B00B6C" w:rsidRPr="00787196">
        <w:rPr>
          <w:rFonts w:cs="Arial"/>
          <w:szCs w:val="24"/>
        </w:rPr>
        <w:t xml:space="preserve">and </w:t>
      </w:r>
      <w:r w:rsidR="007C1151" w:rsidRPr="00787196">
        <w:rPr>
          <w:rFonts w:cs="Arial"/>
          <w:szCs w:val="24"/>
        </w:rPr>
        <w:t xml:space="preserve">their </w:t>
      </w:r>
      <w:r w:rsidR="00B00B6C" w:rsidRPr="00787196">
        <w:rPr>
          <w:rFonts w:cs="Arial"/>
          <w:szCs w:val="24"/>
        </w:rPr>
        <w:t xml:space="preserve">social determinants of health overlap conceptually and are directly </w:t>
      </w:r>
      <w:r w:rsidR="00BA3D35" w:rsidRPr="00787196">
        <w:rPr>
          <w:rFonts w:cs="Arial"/>
          <w:szCs w:val="24"/>
        </w:rPr>
        <w:t>res</w:t>
      </w:r>
      <w:r w:rsidR="00B00B6C" w:rsidRPr="00787196">
        <w:rPr>
          <w:rFonts w:cs="Arial"/>
          <w:szCs w:val="24"/>
        </w:rPr>
        <w:t xml:space="preserve">ponsible for </w:t>
      </w:r>
      <w:r w:rsidR="007C1151" w:rsidRPr="00787196">
        <w:rPr>
          <w:rFonts w:cs="Arial"/>
          <w:szCs w:val="24"/>
        </w:rPr>
        <w:t xml:space="preserve">their </w:t>
      </w:r>
      <w:r w:rsidR="00B00B6C" w:rsidRPr="00787196">
        <w:rPr>
          <w:rFonts w:cs="Arial"/>
          <w:szCs w:val="24"/>
        </w:rPr>
        <w:t>health</w:t>
      </w:r>
      <w:r w:rsidR="007C1151" w:rsidRPr="00787196">
        <w:rPr>
          <w:rFonts w:cs="Arial"/>
          <w:szCs w:val="24"/>
        </w:rPr>
        <w:t xml:space="preserve"> status </w:t>
      </w:r>
      <w:r w:rsidR="00B00B6C" w:rsidRPr="00787196">
        <w:rPr>
          <w:rFonts w:cs="Arial"/>
          <w:szCs w:val="24"/>
        </w:rPr>
        <w:t>inequities (i.e.</w:t>
      </w:r>
      <w:r w:rsidR="007D33FD" w:rsidRPr="00787196">
        <w:rPr>
          <w:rFonts w:cs="Arial"/>
          <w:szCs w:val="24"/>
        </w:rPr>
        <w:t>) the</w:t>
      </w:r>
      <w:r w:rsidR="00BA3D35" w:rsidRPr="00787196">
        <w:rPr>
          <w:rFonts w:cs="Arial"/>
          <w:szCs w:val="24"/>
        </w:rPr>
        <w:t xml:space="preserve"> unfair and avoidable differences in health status seen within </w:t>
      </w:r>
      <w:r w:rsidR="00B00B6C" w:rsidRPr="00787196">
        <w:rPr>
          <w:rFonts w:cs="Arial"/>
          <w:szCs w:val="24"/>
        </w:rPr>
        <w:t>populations</w:t>
      </w:r>
      <w:r w:rsidR="00BA3D35" w:rsidRPr="00787196">
        <w:rPr>
          <w:rFonts w:cs="Arial"/>
          <w:szCs w:val="24"/>
        </w:rPr>
        <w:t>.</w:t>
      </w:r>
      <w:r w:rsidR="007D33FD" w:rsidRPr="00787196">
        <w:rPr>
          <w:rFonts w:cs="Arial"/>
          <w:szCs w:val="24"/>
        </w:rPr>
        <w:t xml:space="preserve"> </w:t>
      </w:r>
    </w:p>
    <w:p w14:paraId="0DA59AD2" w14:textId="1117A2CC" w:rsidR="00E06F82" w:rsidRPr="00787196" w:rsidRDefault="007C1151" w:rsidP="007C1151">
      <w:pPr>
        <w:rPr>
          <w:sz w:val="22"/>
        </w:rPr>
      </w:pPr>
      <w:r w:rsidRPr="00787196">
        <w:t xml:space="preserve">Commission on Social Determinants of Health (CSDH), a global network of policy makers, researchers and civil society organizations was created by the World Health Organization (WHO) </w:t>
      </w:r>
      <w:r w:rsidR="00786FFC" w:rsidRPr="00787196">
        <w:t xml:space="preserve">in 2005 </w:t>
      </w:r>
      <w:r w:rsidRPr="00787196">
        <w:t>to give support in tackling the social causes of poor health and avoidable</w:t>
      </w:r>
      <w:r w:rsidR="00786FFC" w:rsidRPr="00787196">
        <w:t xml:space="preserve"> </w:t>
      </w:r>
      <w:r w:rsidRPr="00787196">
        <w:t xml:space="preserve">health inequalities (health inequities). This commission developed a model framework </w:t>
      </w:r>
      <w:r w:rsidR="00786FFC" w:rsidRPr="00787196">
        <w:rPr>
          <w:rFonts w:cs="Arial"/>
          <w:szCs w:val="24"/>
        </w:rPr>
        <w:t xml:space="preserve">(WHO- CSDH model) </w:t>
      </w:r>
      <w:r w:rsidR="00E06F82" w:rsidRPr="00787196">
        <w:t xml:space="preserve">that outlined how the major structural determinants relate to each other, mechanisms involved in generating inequalities in population health. It highlights the overriding importance of the ‘structural determinants’, the socio-economic </w:t>
      </w:r>
      <w:r w:rsidR="00F05460" w:rsidRPr="00787196">
        <w:t xml:space="preserve">status </w:t>
      </w:r>
      <w:r w:rsidR="00E06F82" w:rsidRPr="00787196">
        <w:t xml:space="preserve">and political contexts that </w:t>
      </w:r>
      <w:r w:rsidR="00A71161" w:rsidRPr="00787196">
        <w:t>influences the</w:t>
      </w:r>
      <w:r w:rsidR="00E06F82" w:rsidRPr="00787196">
        <w:t xml:space="preserve"> social hierarchy in any society, and the resulting socio-economic position of its individuals </w:t>
      </w:r>
      <w:r w:rsidR="00A71161" w:rsidRPr="00787196">
        <w:rPr>
          <w:szCs w:val="24"/>
        </w:rPr>
        <w:t>(</w:t>
      </w:r>
      <w:r w:rsidR="00C0537E" w:rsidRPr="00787196">
        <w:rPr>
          <w:szCs w:val="24"/>
        </w:rPr>
        <w:t>Figure 2</w:t>
      </w:r>
      <w:r w:rsidR="00A71161" w:rsidRPr="00787196">
        <w:rPr>
          <w:szCs w:val="24"/>
        </w:rPr>
        <w:t>-5)</w:t>
      </w:r>
      <w:r w:rsidR="00E06F82" w:rsidRPr="00787196">
        <w:rPr>
          <w:sz w:val="22"/>
        </w:rPr>
        <w:t xml:space="preserve"> </w:t>
      </w:r>
    </w:p>
    <w:p w14:paraId="761E829A" w14:textId="77777777" w:rsidR="00EB5F2C" w:rsidRPr="00787196" w:rsidRDefault="00EB5F2C" w:rsidP="00EB5F2C">
      <w:pPr>
        <w:spacing w:before="0"/>
      </w:pPr>
      <w:r w:rsidRPr="00787196">
        <w:t xml:space="preserve">The intermediary determinants then influence the health through the circumstances and risks for disease. People from lower socio-economic groups are born, live, work and age in less favourable circumstances than those from higher SES. These include material and social circumstances (e.g.) housing and working conditions, neighbourhoods; psychosocial factors (e.g.) stress, social support; behavioural and biological factors. The model also includes health services and the importance of fair access to good quality care. The unequal distribution of these intermediary factors is associated varying exposure and vulnerability to health-compromising conditions leading different consequences of ill health thereby constituting the fundamental mechanism through which SES generates health inequalities (Solar and Irwin 2010). </w:t>
      </w:r>
    </w:p>
    <w:p w14:paraId="54980CCF" w14:textId="77777777" w:rsidR="00EB5F2C" w:rsidRPr="00787196" w:rsidRDefault="00EB5F2C" w:rsidP="007C1151">
      <w:pPr>
        <w:rPr>
          <w:sz w:val="22"/>
        </w:rPr>
      </w:pPr>
    </w:p>
    <w:p w14:paraId="2B172D9F" w14:textId="7E178B53" w:rsidR="00E06F82" w:rsidRPr="00787196" w:rsidRDefault="00E06F82" w:rsidP="00C0537E">
      <w:pPr>
        <w:pStyle w:val="Caption"/>
        <w:keepNext/>
        <w:jc w:val="center"/>
        <w:rPr>
          <w:b/>
          <w:bCs/>
          <w:i w:val="0"/>
          <w:iCs w:val="0"/>
          <w:color w:val="auto"/>
          <w:sz w:val="22"/>
          <w:szCs w:val="22"/>
        </w:rPr>
      </w:pPr>
      <w:bookmarkStart w:id="96" w:name="_Toc488655583"/>
      <w:r w:rsidRPr="00787196">
        <w:rPr>
          <w:b/>
          <w:bCs/>
          <w:i w:val="0"/>
          <w:iCs w:val="0"/>
          <w:color w:val="auto"/>
          <w:sz w:val="22"/>
          <w:szCs w:val="22"/>
        </w:rPr>
        <w:lastRenderedPageBreak/>
        <w:t xml:space="preserve">Figure </w:t>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STYLEREF 1 \s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2</w:t>
      </w:r>
      <w:r w:rsidR="00786B0E" w:rsidRPr="00787196">
        <w:rPr>
          <w:b/>
          <w:bCs/>
          <w:i w:val="0"/>
          <w:iCs w:val="0"/>
          <w:color w:val="auto"/>
          <w:sz w:val="22"/>
          <w:szCs w:val="22"/>
        </w:rPr>
        <w:fldChar w:fldCharType="end"/>
      </w:r>
      <w:r w:rsidR="00786B0E" w:rsidRPr="00787196">
        <w:rPr>
          <w:b/>
          <w:bCs/>
          <w:i w:val="0"/>
          <w:iCs w:val="0"/>
          <w:color w:val="auto"/>
          <w:sz w:val="22"/>
          <w:szCs w:val="22"/>
        </w:rPr>
        <w:noBreakHyphen/>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SEQ Figure \* ARABIC \s 1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5</w:t>
      </w:r>
      <w:r w:rsidR="00786B0E" w:rsidRPr="00787196">
        <w:rPr>
          <w:b/>
          <w:bCs/>
          <w:i w:val="0"/>
          <w:iCs w:val="0"/>
          <w:color w:val="auto"/>
          <w:sz w:val="22"/>
          <w:szCs w:val="22"/>
        </w:rPr>
        <w:fldChar w:fldCharType="end"/>
      </w:r>
      <w:r w:rsidR="00C67FF2" w:rsidRPr="00787196">
        <w:rPr>
          <w:b/>
          <w:bCs/>
          <w:i w:val="0"/>
          <w:iCs w:val="0"/>
          <w:color w:val="auto"/>
          <w:sz w:val="22"/>
          <w:szCs w:val="22"/>
        </w:rPr>
        <w:t>.</w:t>
      </w:r>
      <w:r w:rsidR="00C12EF9" w:rsidRPr="00787196">
        <w:rPr>
          <w:b/>
          <w:bCs/>
          <w:i w:val="0"/>
          <w:iCs w:val="0"/>
          <w:color w:val="auto"/>
          <w:sz w:val="22"/>
          <w:szCs w:val="22"/>
        </w:rPr>
        <w:t xml:space="preserve"> </w:t>
      </w:r>
      <w:r w:rsidRPr="00787196">
        <w:rPr>
          <w:b/>
          <w:bCs/>
          <w:i w:val="0"/>
          <w:iCs w:val="0"/>
          <w:color w:val="auto"/>
          <w:sz w:val="22"/>
          <w:szCs w:val="22"/>
        </w:rPr>
        <w:t xml:space="preserve">The WHO CSDH conceptual framework </w:t>
      </w:r>
      <w:r w:rsidR="00C0537E" w:rsidRPr="00787196">
        <w:rPr>
          <w:b/>
          <w:bCs/>
          <w:i w:val="0"/>
          <w:iCs w:val="0"/>
          <w:color w:val="auto"/>
          <w:sz w:val="22"/>
          <w:szCs w:val="22"/>
        </w:rPr>
        <w:fldChar w:fldCharType="begin"/>
      </w:r>
      <w:r w:rsidR="00C0537E" w:rsidRPr="00787196">
        <w:rPr>
          <w:b/>
          <w:bCs/>
          <w:i w:val="0"/>
          <w:iCs w:val="0"/>
          <w:color w:val="auto"/>
          <w:sz w:val="22"/>
          <w:szCs w:val="22"/>
        </w:rPr>
        <w:instrText xml:space="preserve"> ADDIN EN.CITE &lt;EndNote&gt;&lt;Cite&gt;&lt;Author&gt;Solar&lt;/Author&gt;&lt;Year&gt;2007&lt;/Year&gt;&lt;IDText&gt;A conceptual framework for action on the social&lt;/IDText&gt;&lt;DisplayText&gt;(Solar and Irwin, 2007)&lt;/DisplayText&gt;&lt;record&gt;&lt;titles&gt;&lt;title&gt;A conceptual framework for action on the social&amp;#xA;determinants of health&lt;/title&gt;&lt;secondary-title&gt;discussion paper for the Commission on Social Determinants of Health.&lt;/secondary-title&gt;&lt;/titles&gt;&lt;contributors&gt;&lt;authors&gt;&lt;author&gt;Solar, O&lt;/author&gt;&lt;author&gt;Irwin, A&lt;/author&gt;&lt;/authors&gt;&lt;/contributors&gt;&lt;added-date format="utc"&gt;1481284598&lt;/added-date&gt;&lt;ref-type name="Report"&gt;27&lt;/ref-type&gt;&lt;dates&gt;&lt;year&gt;2007&lt;/year&gt;&lt;/dates&gt;&lt;rec-number&gt;2670&lt;/rec-number&gt;&lt;publisher&gt;Commission on Social Determinants of Health&lt;/publisher&gt;&lt;last-updated-date format="utc"&gt;1481284763&lt;/last-updated-date&gt;&lt;/record&gt;&lt;/Cite&gt;&lt;/EndNote&gt;</w:instrText>
      </w:r>
      <w:r w:rsidR="00C0537E" w:rsidRPr="00787196">
        <w:rPr>
          <w:b/>
          <w:bCs/>
          <w:i w:val="0"/>
          <w:iCs w:val="0"/>
          <w:color w:val="auto"/>
          <w:sz w:val="22"/>
          <w:szCs w:val="22"/>
        </w:rPr>
        <w:fldChar w:fldCharType="separate"/>
      </w:r>
      <w:r w:rsidR="00C0537E" w:rsidRPr="00787196">
        <w:rPr>
          <w:b/>
          <w:bCs/>
          <w:i w:val="0"/>
          <w:iCs w:val="0"/>
          <w:color w:val="auto"/>
          <w:sz w:val="22"/>
          <w:szCs w:val="22"/>
        </w:rPr>
        <w:t>(Solar and Irwin, 2007)</w:t>
      </w:r>
      <w:bookmarkEnd w:id="96"/>
      <w:r w:rsidR="00C0537E" w:rsidRPr="00787196">
        <w:rPr>
          <w:b/>
          <w:bCs/>
          <w:i w:val="0"/>
          <w:iCs w:val="0"/>
          <w:color w:val="auto"/>
          <w:sz w:val="22"/>
          <w:szCs w:val="22"/>
        </w:rPr>
        <w:fldChar w:fldCharType="end"/>
      </w:r>
    </w:p>
    <w:p w14:paraId="71BFE17D" w14:textId="45432E58" w:rsidR="00C0537E" w:rsidRPr="00787196" w:rsidRDefault="00E06F82" w:rsidP="00C0537E">
      <w:pPr>
        <w:rPr>
          <w:i/>
          <w:iCs/>
          <w:sz w:val="22"/>
        </w:rPr>
      </w:pPr>
      <w:r w:rsidRPr="00787196">
        <w:rPr>
          <w:noProof/>
        </w:rPr>
        <w:drawing>
          <wp:inline distT="0" distB="0" distL="0" distR="0" wp14:anchorId="0AD4E31B" wp14:editId="6509D83A">
            <wp:extent cx="5731510" cy="3412490"/>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ular.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412490"/>
                    </a:xfrm>
                    <a:prstGeom prst="rect">
                      <a:avLst/>
                    </a:prstGeom>
                  </pic:spPr>
                </pic:pic>
              </a:graphicData>
            </a:graphic>
          </wp:inline>
        </w:drawing>
      </w:r>
      <w:r w:rsidR="00C0537E" w:rsidRPr="00787196">
        <w:rPr>
          <w:i/>
          <w:iCs/>
          <w:sz w:val="22"/>
        </w:rPr>
        <w:t xml:space="preserve">screenshot image: Watt et.al </w:t>
      </w:r>
      <w:r w:rsidR="00C0537E" w:rsidRPr="00787196">
        <w:rPr>
          <w:i/>
          <w:iCs/>
          <w:sz w:val="22"/>
        </w:rPr>
        <w:fldChar w:fldCharType="begin"/>
      </w:r>
      <w:r w:rsidR="00C0537E" w:rsidRPr="00787196">
        <w:rPr>
          <w:i/>
          <w:iCs/>
          <w:sz w:val="22"/>
        </w:rPr>
        <w:instrText xml:space="preserve"> ADDIN EN.CITE &lt;EndNote&gt;&lt;Cite ExcludeAuth="1"&gt;&lt;Author&gt;Watt&lt;/Author&gt;&lt;Year&gt;2015&lt;/Year&gt;&lt;IDText&gt;Social inequalities in oral health: from evidence to action&lt;/IDText&gt;&lt;DisplayText&gt;(2015)&lt;/DisplayText&gt;&lt;record&gt;&lt;urls&gt;&lt;related-urls&gt;&lt;url&gt;http://www.icohirp.com/monograph.html&lt;/url&gt;&lt;/related-urls&gt;&lt;/urls&gt;&lt;titles&gt;&lt;title&gt;Social inequalities in oral health: from evidence to action&lt;/title&gt;&lt;/titles&gt;&lt;number&gt;November 2016&lt;/number&gt;&lt;contributors&gt;&lt;authors&gt;&lt;author&gt;Watt, RG,&lt;/author&gt;&lt;author&gt;Listl, S&lt;/author&gt;&lt;author&gt;Peres, M A&lt;/author&gt;&lt;author&gt;Heilmann, A&lt;/author&gt;&lt;/authors&gt;&lt;/contributors&gt;&lt;added-date format="utc"&gt;1481247255&lt;/added-date&gt;&lt;ref-type name="Web Page"&gt;12&lt;/ref-type&gt;&lt;dates&gt;&lt;year&gt;2015&lt;/year&gt;&lt;/dates&gt;&lt;rec-number&gt;2667&lt;/rec-number&gt;&lt;last-updated-date format="utc"&gt;1481247438&lt;/last-updated-date&gt;&lt;/record&gt;&lt;/Cite&gt;&lt;/EndNote&gt;</w:instrText>
      </w:r>
      <w:r w:rsidR="00C0537E" w:rsidRPr="00787196">
        <w:rPr>
          <w:i/>
          <w:iCs/>
          <w:sz w:val="22"/>
        </w:rPr>
        <w:fldChar w:fldCharType="separate"/>
      </w:r>
      <w:r w:rsidR="00C0537E" w:rsidRPr="00787196">
        <w:rPr>
          <w:i/>
          <w:iCs/>
          <w:sz w:val="22"/>
        </w:rPr>
        <w:t>(2015)</w:t>
      </w:r>
      <w:r w:rsidR="00C0537E" w:rsidRPr="00787196">
        <w:rPr>
          <w:i/>
          <w:iCs/>
          <w:sz w:val="22"/>
        </w:rPr>
        <w:fldChar w:fldCharType="end"/>
      </w:r>
      <w:r w:rsidR="00C0537E" w:rsidRPr="00787196">
        <w:rPr>
          <w:i/>
          <w:iCs/>
          <w:sz w:val="22"/>
        </w:rPr>
        <w:t xml:space="preserve"> </w:t>
      </w:r>
    </w:p>
    <w:p w14:paraId="005E0721" w14:textId="0B85527F" w:rsidR="00EB5091" w:rsidRPr="00787196" w:rsidRDefault="00EB5091">
      <w:pPr>
        <w:spacing w:before="0" w:after="0" w:line="240" w:lineRule="auto"/>
        <w:jc w:val="left"/>
        <w:rPr>
          <w:b/>
          <w:iCs/>
        </w:rPr>
      </w:pPr>
    </w:p>
    <w:p w14:paraId="5C78336E" w14:textId="77777777" w:rsidR="00AE3CFB" w:rsidRPr="00787196" w:rsidRDefault="00AE3CFB" w:rsidP="00226A04">
      <w:pPr>
        <w:pStyle w:val="Heading4"/>
      </w:pPr>
      <w:r w:rsidRPr="00787196">
        <w:t>Mechanisms of SES on health</w:t>
      </w:r>
    </w:p>
    <w:p w14:paraId="16178154" w14:textId="3C89B8F5" w:rsidR="00EB5F2C" w:rsidRPr="00787196" w:rsidRDefault="00AE3CFB" w:rsidP="006C2B50">
      <w:r w:rsidRPr="00787196">
        <w:rPr>
          <w:rFonts w:cs="Arial"/>
          <w:szCs w:val="24"/>
        </w:rPr>
        <w:t>Better education</w:t>
      </w:r>
      <w:r w:rsidR="000E7983" w:rsidRPr="00787196">
        <w:rPr>
          <w:rFonts w:cs="Arial"/>
          <w:szCs w:val="24"/>
        </w:rPr>
        <w:t xml:space="preserve"> levels</w:t>
      </w:r>
      <w:r w:rsidRPr="00787196">
        <w:rPr>
          <w:rFonts w:cs="Arial"/>
          <w:szCs w:val="24"/>
        </w:rPr>
        <w:t xml:space="preserve"> and income </w:t>
      </w:r>
      <w:r w:rsidR="000E7983" w:rsidRPr="00787196">
        <w:rPr>
          <w:rFonts w:cs="Arial"/>
          <w:szCs w:val="24"/>
        </w:rPr>
        <w:t>have been shown to be associated</w:t>
      </w:r>
      <w:r w:rsidRPr="00787196">
        <w:rPr>
          <w:rFonts w:cs="Arial"/>
          <w:szCs w:val="24"/>
        </w:rPr>
        <w:t xml:space="preserve"> with health-</w:t>
      </w:r>
      <w:r w:rsidR="000E7983" w:rsidRPr="00787196">
        <w:rPr>
          <w:rFonts w:cs="Arial"/>
          <w:szCs w:val="24"/>
        </w:rPr>
        <w:t xml:space="preserve">improving </w:t>
      </w:r>
      <w:r w:rsidRPr="00787196">
        <w:rPr>
          <w:rFonts w:cs="Arial"/>
          <w:szCs w:val="24"/>
        </w:rPr>
        <w:t xml:space="preserve">behaviours like reduced smoking, </w:t>
      </w:r>
      <w:r w:rsidR="000E7983" w:rsidRPr="00787196">
        <w:rPr>
          <w:rFonts w:cs="Arial"/>
          <w:szCs w:val="24"/>
        </w:rPr>
        <w:t xml:space="preserve">regular </w:t>
      </w:r>
      <w:r w:rsidRPr="00787196">
        <w:rPr>
          <w:rFonts w:cs="Arial"/>
          <w:szCs w:val="24"/>
        </w:rPr>
        <w:t>visit</w:t>
      </w:r>
      <w:r w:rsidR="000E7983" w:rsidRPr="00787196">
        <w:rPr>
          <w:rFonts w:cs="Arial"/>
          <w:szCs w:val="24"/>
        </w:rPr>
        <w:t xml:space="preserve"> to </w:t>
      </w:r>
      <w:r w:rsidRPr="00787196">
        <w:rPr>
          <w:rFonts w:cs="Arial"/>
          <w:szCs w:val="24"/>
        </w:rPr>
        <w:t xml:space="preserve">dentist and healthy eating habits </w:t>
      </w:r>
      <w:r w:rsidRPr="00787196">
        <w:rPr>
          <w:rFonts w:cs="Arial"/>
          <w:szCs w:val="24"/>
        </w:rPr>
        <w:fldChar w:fldCharType="begin"/>
      </w:r>
      <w:r w:rsidRPr="00787196">
        <w:rPr>
          <w:rFonts w:cs="Arial"/>
          <w:szCs w:val="24"/>
        </w:rPr>
        <w:instrText xml:space="preserve"> ADDIN EN.CITE &lt;EndNote&gt;&lt;Cite&gt;&lt;Author&gt;Sabbah&lt;/Author&gt;&lt;Year&gt;2009&lt;/Year&gt;&lt;RecNum&gt;0&lt;/RecNum&gt;&lt;IDText&gt;The role of health-related behaviors in the socioeconomic disparities in oral health&lt;/IDText&gt;&lt;DisplayText&gt;(Sabbah et al., 2009)&lt;/DisplayText&gt;&lt;record&gt;&lt;rec-number&gt;220&lt;/rec-number&gt;&lt;foreign-keys&gt;&lt;key app="EN" db-id="pprx5af0eezz5resrauvszthwfd2xp5txea9"&gt;220&lt;/key&gt;&lt;/foreign-keys&gt;&lt;ref-type name="Journal Article"&gt;17&lt;/ref-type&gt;&lt;contributors&gt;&lt;authors&gt;&lt;author&gt;Sabbah, Wael&lt;/author&gt;&lt;author&gt;Tsakos, Georgios&lt;/author&gt;&lt;author&gt;Sheiham, Aubrey&lt;/author&gt;&lt;author&gt;Watt, Richard G.&lt;/author&gt;&lt;/authors&gt;&lt;/contributors&gt;&lt;titles&gt;&lt;title&gt;The role of health-related behaviors in the socioeconomic disparities in oral health&lt;/title&gt;&lt;secondary-title&gt;Social Science &amp;amp;amp; Medicine&lt;/secondary-title&gt;&lt;/titles&gt;&lt;periodical&gt;&lt;full-title&gt;Social Science &amp;amp;amp; Medicine&lt;/full-title&gt;&lt;/periodical&gt;&lt;pages&gt;298-303&lt;/pages&gt;&lt;volume&gt;68&lt;/volume&gt;&lt;number&gt;2&lt;/number&gt;&lt;keywords&gt;&lt;keyword&gt;Health behavior&lt;/keyword&gt;&lt;keyword&gt;Health status disparities&lt;/keyword&gt;&lt;keyword&gt;Oral health&lt;/keyword&gt;&lt;keyword&gt;Socioeconomic factors&lt;/keyword&gt;&lt;keyword&gt;USA&lt;/keyword&gt;&lt;/keywords&gt;&lt;dates&gt;&lt;year&gt;2009&lt;/year&gt;&lt;/dates&gt;&lt;urls&gt;&lt;related-urls&gt;&lt;url&gt;http://www.sciencedirect.com/science/article/pii/S0277953608005625 &lt;/url&gt;&lt;/related-urls&gt;&lt;/urls&gt;&lt;/record&gt;&lt;/Cite&gt;&lt;/EndNote&gt;</w:instrText>
      </w:r>
      <w:r w:rsidRPr="00787196">
        <w:rPr>
          <w:rFonts w:cs="Arial"/>
          <w:szCs w:val="24"/>
        </w:rPr>
        <w:fldChar w:fldCharType="separate"/>
      </w:r>
      <w:r w:rsidRPr="00787196">
        <w:rPr>
          <w:rFonts w:cs="Arial"/>
          <w:szCs w:val="24"/>
        </w:rPr>
        <w:t>(Sabbah et al., 2009)</w:t>
      </w:r>
      <w:r w:rsidRPr="00787196">
        <w:rPr>
          <w:rFonts w:cs="Arial"/>
          <w:szCs w:val="24"/>
        </w:rPr>
        <w:fldChar w:fldCharType="end"/>
      </w:r>
      <w:r w:rsidRPr="00787196">
        <w:rPr>
          <w:rFonts w:cs="Arial"/>
          <w:szCs w:val="24"/>
        </w:rPr>
        <w:t xml:space="preserve">. This suggested that health related behaviours might mediate the association between SES and oral health. Education and income status and remained a signiﬁcant determinant of health related behaviours even after adjusting potential confounders. Inducing behaviours like smoking thereby causing periodontal diseases </w:t>
      </w:r>
      <w:r w:rsidRPr="00787196">
        <w:rPr>
          <w:rFonts w:cs="Arial"/>
          <w:szCs w:val="24"/>
        </w:rPr>
        <w:fldChar w:fldCharType="begin"/>
      </w:r>
      <w:r w:rsidRPr="00787196">
        <w:rPr>
          <w:rFonts w:cs="Arial"/>
          <w:szCs w:val="24"/>
        </w:rPr>
        <w:instrText xml:space="preserve"> ADDIN EN.CITE &lt;EndNote&gt;&lt;Cite&gt;&lt;Author&gt;Klinge&lt;/Author&gt;&lt;Year&gt;2005&lt;/Year&gt;&lt;RecNum&gt;0&lt;/RecNum&gt;&lt;IDText&gt;A socio</w:instrText>
      </w:r>
      <w:r w:rsidRPr="00787196">
        <w:rPr>
          <w:rFonts w:ascii="Cambria Math" w:hAnsi="Cambria Math" w:cs="Cambria Math"/>
          <w:szCs w:val="24"/>
        </w:rPr>
        <w:instrText>‐</w:instrText>
      </w:r>
      <w:r w:rsidRPr="00787196">
        <w:rPr>
          <w:rFonts w:cs="Arial"/>
          <w:szCs w:val="24"/>
        </w:rPr>
        <w:instrText>economic perspective on periodontal diseases: a systematic review&lt;/IDText&gt;&lt;DisplayText&gt;(Klinge and Norlund, 2005)&lt;/DisplayText&gt;&lt;record&gt;&lt;isbn&gt;1600-051X&lt;/isbn&gt;&lt;titles&gt;&lt;title&gt;A socio</w:instrText>
      </w:r>
      <w:r w:rsidRPr="00787196">
        <w:rPr>
          <w:rFonts w:ascii="Cambria Math" w:hAnsi="Cambria Math" w:cs="Cambria Math"/>
          <w:szCs w:val="24"/>
        </w:rPr>
        <w:instrText>‐</w:instrText>
      </w:r>
      <w:r w:rsidRPr="00787196">
        <w:rPr>
          <w:rFonts w:cs="Arial"/>
          <w:szCs w:val="24"/>
        </w:rPr>
        <w:instrText>economic perspective on periodontal diseases: a systematic review&lt;/title&gt;&lt;secondary-title&gt;Journal of clinical periodontology&lt;/secondary-title&gt;&lt;/titles&gt;&lt;pages&gt;314-325&lt;/pages&gt;&lt;number&gt;s6&lt;/number&gt;&lt;contributors&gt;&lt;authors&gt;&lt;author&gt;Klinge, Björn&lt;/author&gt;&lt;author&gt;Norlund, Anders&lt;/author&gt;&lt;/authors&gt;&lt;/contributors&gt;&lt;added-date format="utc"&gt;1389180805&lt;/added-date&gt;&lt;ref-type name="Journal Article"&gt;17&lt;/ref-type&gt;&lt;dates&gt;&lt;year&gt;2005&lt;/year&gt;&lt;/dates&gt;&lt;rec-number&gt;1895&lt;/rec-number&gt;&lt;publisher&gt;Wiley Online Library&lt;/publisher&gt;&lt;last-updated-date format="utc"&gt;1389180805&lt;/last-updated-date&gt;&lt;volume&gt;32&lt;/volume&gt;&lt;/record&gt;&lt;/Cite&gt;&lt;/EndNote&gt;</w:instrText>
      </w:r>
      <w:r w:rsidRPr="00787196">
        <w:rPr>
          <w:rFonts w:cs="Arial"/>
          <w:szCs w:val="24"/>
        </w:rPr>
        <w:fldChar w:fldCharType="separate"/>
      </w:r>
      <w:r w:rsidRPr="00787196">
        <w:rPr>
          <w:rFonts w:cs="Arial"/>
          <w:szCs w:val="24"/>
        </w:rPr>
        <w:t>(Klinge and Norlund, 2005)</w:t>
      </w:r>
      <w:r w:rsidRPr="00787196">
        <w:rPr>
          <w:rFonts w:cs="Arial"/>
          <w:szCs w:val="24"/>
        </w:rPr>
        <w:fldChar w:fldCharType="end"/>
      </w:r>
      <w:r w:rsidRPr="00787196">
        <w:rPr>
          <w:rFonts w:cs="Arial"/>
          <w:szCs w:val="24"/>
        </w:rPr>
        <w:t xml:space="preserve"> and oral cancer risk </w:t>
      </w:r>
      <w:r w:rsidRPr="00787196">
        <w:rPr>
          <w:rFonts w:cs="Arial"/>
          <w:szCs w:val="24"/>
        </w:rPr>
        <w:fldChar w:fldCharType="begin"/>
      </w:r>
      <w:r w:rsidRPr="00787196">
        <w:rPr>
          <w:rFonts w:cs="Arial"/>
          <w:szCs w:val="24"/>
        </w:rPr>
        <w:instrText xml:space="preserve"> ADDIN EN.CITE &lt;EndNote&gt;&lt;Cite&gt;&lt;Author&gt;Conway&lt;/Author&gt;&lt;Year&gt;2008&lt;/Year&gt;&lt;RecNum&gt;0&lt;/RecNum&gt;&lt;IDText&gt;Socioeconomic inequalities and oral cancer risk: A systematic review and meta</w:instrText>
      </w:r>
      <w:r w:rsidRPr="00787196">
        <w:rPr>
          <w:rFonts w:ascii="Cambria Math" w:hAnsi="Cambria Math" w:cs="Cambria Math"/>
          <w:szCs w:val="24"/>
        </w:rPr>
        <w:instrText>‐</w:instrText>
      </w:r>
      <w:r w:rsidRPr="00787196">
        <w:rPr>
          <w:rFonts w:cs="Arial"/>
          <w:szCs w:val="24"/>
        </w:rPr>
        <w:instrText>analysis of case</w:instrText>
      </w:r>
      <w:r w:rsidRPr="00787196">
        <w:rPr>
          <w:rFonts w:ascii="Cambria Math" w:hAnsi="Cambria Math" w:cs="Cambria Math"/>
          <w:szCs w:val="24"/>
        </w:rPr>
        <w:instrText>‐</w:instrText>
      </w:r>
      <w:r w:rsidRPr="00787196">
        <w:rPr>
          <w:rFonts w:cs="Arial"/>
          <w:szCs w:val="24"/>
        </w:rPr>
        <w:instrText>control studies&lt;/IDText&gt;&lt;DisplayText&gt;(Conway et al., 2008)&lt;/DisplayText&gt;&lt;record&gt;&lt;isbn&gt;1097-0215&lt;/isbn&gt;&lt;titles&gt;&lt;title&gt;Socioeconomic inequalities and oral cancer risk: A systematic review and meta</w:instrText>
      </w:r>
      <w:r w:rsidRPr="00787196">
        <w:rPr>
          <w:rFonts w:ascii="Cambria Math" w:hAnsi="Cambria Math" w:cs="Cambria Math"/>
          <w:szCs w:val="24"/>
        </w:rPr>
        <w:instrText>‐</w:instrText>
      </w:r>
      <w:r w:rsidRPr="00787196">
        <w:rPr>
          <w:rFonts w:cs="Arial"/>
          <w:szCs w:val="24"/>
        </w:rPr>
        <w:instrText>analysis of case</w:instrText>
      </w:r>
      <w:r w:rsidRPr="00787196">
        <w:rPr>
          <w:rFonts w:ascii="Cambria Math" w:hAnsi="Cambria Math" w:cs="Cambria Math"/>
          <w:szCs w:val="24"/>
        </w:rPr>
        <w:instrText>‐</w:instrText>
      </w:r>
      <w:r w:rsidRPr="00787196">
        <w:rPr>
          <w:rFonts w:cs="Arial"/>
          <w:szCs w:val="24"/>
        </w:rPr>
        <w:instrText>control studies&lt;/title&gt;&lt;secondary-title&gt;International Journal of Cancer&lt;/secondary-title&gt;&lt;/titles&gt;&lt;pages&gt;2811-2819&lt;/pages&gt;&lt;number&gt;12&lt;/number&gt;&lt;contributors&gt;&lt;authors&gt;&lt;author&gt;Conway, David I.&lt;/author&gt;&lt;author&gt;Petticrew, Mark&lt;/author&gt;&lt;author&gt;Marlborough, Helen&lt;/author&gt;&lt;author&gt;Berthiller, Julien&lt;/author&gt;&lt;author&gt;Hashibe, Mia&lt;/author&gt;&lt;author&gt;Macpherson, Lorna&lt;/author&gt;&lt;/authors&gt;&lt;/contributors&gt;&lt;added-date format="utc"&gt;1389182634&lt;/added-date&gt;&lt;ref-type name="Journal Article"&gt;17&lt;/ref-type&gt;&lt;dates&gt;&lt;year&gt;2008&lt;/year&gt;&lt;/dates&gt;&lt;rec-number&gt;1896&lt;/rec-number&gt;&lt;publisher&gt;Wiley Online Library&lt;/publisher&gt;&lt;last-updated-date format="utc"&gt;1389182634&lt;/last-updated-date&gt;&lt;volume&gt;122&lt;/volume&gt;&lt;/record&gt;&lt;/Cite&gt;&lt;/EndNote&gt;</w:instrText>
      </w:r>
      <w:r w:rsidRPr="00787196">
        <w:rPr>
          <w:rFonts w:cs="Arial"/>
          <w:szCs w:val="24"/>
        </w:rPr>
        <w:fldChar w:fldCharType="separate"/>
      </w:r>
      <w:r w:rsidRPr="00787196">
        <w:rPr>
          <w:rFonts w:cs="Arial"/>
          <w:szCs w:val="24"/>
        </w:rPr>
        <w:t>(Conway et al., 2008)</w:t>
      </w:r>
      <w:r w:rsidRPr="00787196">
        <w:rPr>
          <w:rFonts w:cs="Arial"/>
          <w:szCs w:val="24"/>
        </w:rPr>
        <w:fldChar w:fldCharType="end"/>
      </w:r>
      <w:r w:rsidRPr="00787196">
        <w:rPr>
          <w:rFonts w:cs="Arial"/>
          <w:szCs w:val="24"/>
        </w:rPr>
        <w:t xml:space="preserve">. </w:t>
      </w:r>
      <w:r w:rsidR="000E7983" w:rsidRPr="00787196">
        <w:rPr>
          <w:rFonts w:cs="Arial"/>
          <w:szCs w:val="24"/>
        </w:rPr>
        <w:t>Conversely, l</w:t>
      </w:r>
      <w:r w:rsidRPr="00787196">
        <w:rPr>
          <w:rFonts w:cs="Arial"/>
          <w:szCs w:val="24"/>
        </w:rPr>
        <w:t xml:space="preserve">ow levels of education and income were associated with </w:t>
      </w:r>
      <w:r w:rsidR="000E7983" w:rsidRPr="00787196">
        <w:rPr>
          <w:rFonts w:cs="Arial"/>
          <w:szCs w:val="24"/>
        </w:rPr>
        <w:t xml:space="preserve">poorer oral health outcomes such as </w:t>
      </w:r>
      <w:r w:rsidRPr="00787196">
        <w:rPr>
          <w:rFonts w:cs="Arial"/>
          <w:szCs w:val="24"/>
        </w:rPr>
        <w:t xml:space="preserve">increased periodontal attachment loss, weak occlusal surfaces and gingival bleeding </w:t>
      </w:r>
      <w:r w:rsidRPr="00787196">
        <w:rPr>
          <w:rFonts w:cs="Arial"/>
          <w:szCs w:val="24"/>
        </w:rPr>
        <w:fldChar w:fldCharType="begin">
          <w:fldData xml:space="preserve">PEVuZE5vdGU+PENpdGU+PFllYXI+MjAwMzwvWWVhcj48UmVjTnVtPjIxNDwvUmVjTnVtPjxEaXNw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=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PEVuZE5vdGU+PENpdGU+PFllYXI+MjAwMzwvWWVhcj48UmVjTnVtPjIxNDwvUmVjTnVtPjxEaXNw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=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(Paulander et al., 2003, Sabbah et al., 2009)</w:t>
      </w:r>
      <w:r w:rsidRPr="00787196">
        <w:rPr>
          <w:rFonts w:cs="Arial"/>
          <w:szCs w:val="24"/>
        </w:rPr>
        <w:fldChar w:fldCharType="end"/>
      </w:r>
      <w:r w:rsidRPr="00787196">
        <w:rPr>
          <w:rFonts w:cs="Arial"/>
          <w:szCs w:val="24"/>
        </w:rPr>
        <w:t>. Thus, the s</w:t>
      </w:r>
      <w:r w:rsidR="00EB5091" w:rsidRPr="00787196">
        <w:t xml:space="preserve">ocial gradient of oral health is quite similar to that </w:t>
      </w:r>
      <w:r w:rsidR="00077A65" w:rsidRPr="00787196">
        <w:t>of general health</w:t>
      </w:r>
      <w:r w:rsidR="00EB5091" w:rsidRPr="00787196">
        <w:t xml:space="preserve">, indicating a shared set of pathways and influences (Sabbah </w:t>
      </w:r>
      <w:r w:rsidR="007263E6">
        <w:t>et al</w:t>
      </w:r>
      <w:r w:rsidR="00EB5091" w:rsidRPr="00787196">
        <w:t>.</w:t>
      </w:r>
      <w:r w:rsidR="007263E6">
        <w:t>,</w:t>
      </w:r>
      <w:r w:rsidR="00EB5091" w:rsidRPr="00787196">
        <w:t xml:space="preserve"> 2007).</w:t>
      </w:r>
      <w:r w:rsidR="00EB5F2C" w:rsidRPr="00787196">
        <w:br w:type="page"/>
      </w:r>
    </w:p>
    <w:p w14:paraId="3822B05E" w14:textId="13B807FF" w:rsidR="00DA3DCB" w:rsidRPr="00787196" w:rsidRDefault="00EB5091" w:rsidP="00AE3CFB">
      <w:r w:rsidRPr="00787196">
        <w:lastRenderedPageBreak/>
        <w:t xml:space="preserve"> </w:t>
      </w:r>
      <w:r w:rsidR="00077A65" w:rsidRPr="00787196">
        <w:t>Same</w:t>
      </w:r>
      <w:r w:rsidRPr="00787196">
        <w:t xml:space="preserve"> biological, behavioural, psychosocial, environmental and socioeconomic risk factors determine patterns of oral health inequalities.</w:t>
      </w:r>
      <w:r w:rsidR="007E66AE" w:rsidRPr="00787196">
        <w:t xml:space="preserve"> It has also been demonstrated in a wide variety of populations in diverse countries in different outcomes The existence and universal nature of the social gradient in oral health is fundamentally important in understanding the nature, causes and implications for tackling oral health inequalities </w:t>
      </w:r>
      <w:r w:rsidR="007E66AE" w:rsidRPr="00787196">
        <w:fldChar w:fldCharType="begin"/>
      </w:r>
      <w:r w:rsidR="007E66AE" w:rsidRPr="00787196">
        <w:instrText xml:space="preserve"> ADDIN EN.CITE &lt;EndNote&gt;&lt;Cite&gt;&lt;Author&gt;Watt&lt;/Author&gt;&lt;Year&gt;2012&lt;/Year&gt;&lt;IDText&gt;Integrating the common risk factor approach into a social determinants framework&lt;/IDText&gt;&lt;DisplayText&gt;(Watt and Sheiham, 2012)&lt;/DisplayText&gt;&lt;record&gt;&lt;dates&gt;&lt;pub-dates&gt;&lt;date&gt;20120718 DCOM- 20121217&lt;/date&gt;&lt;/pub-dates&gt;&lt;year&gt;2012&lt;/year&gt;&lt;/dates&gt;&lt;titles&gt;&lt;title&gt;Integrating the common risk factor approach into a social determinants framework&lt;/title&gt;&lt;/titles&gt;&lt;number&gt;1600-0528 (Electronic)&lt;/number&gt;&lt;contributors&gt;&lt;authors&gt;&lt;author&gt;Watt, R. G.&lt;/author&gt;&lt;author&gt;Sheiham, A.&lt;/author&gt;&lt;/authors&gt;&lt;/contributors&gt;&lt;language&gt;eng&lt;/language&gt;&lt;added-date format="utc"&gt;1481246875&lt;/added-date&gt;&lt;ref-type name="Journal Article"&gt;17&lt;/ref-type&gt;&lt;auth-address&gt;Department of Epidemiology and Public Health, University College, London, London, UK. r.watt@ucl.ac.uk FAU - Sheiham, Aubrey&lt;/auth-address&gt;&lt;remote-database-provider&gt;2012 Aug&lt;/remote-database-provider&gt;&lt;rec-number&gt;2666&lt;/rec-number&gt;&lt;last-updated-date format="utc"&gt;1481246955&lt;/last-updated-date&gt;&lt;contributors&gt;&lt;translated-authors&gt;&lt;author&gt;Community Dent Oral, Epidemiol&lt;/author&gt;&lt;/translated-authors&gt;&lt;/contributors&gt;&lt;/record&gt;&lt;/Cite&gt;&lt;/EndNote&gt;</w:instrText>
      </w:r>
      <w:r w:rsidR="007E66AE" w:rsidRPr="00787196">
        <w:fldChar w:fldCharType="separate"/>
      </w:r>
      <w:r w:rsidR="007E66AE" w:rsidRPr="00787196">
        <w:t>(Watt and Sheiham, 2012)</w:t>
      </w:r>
      <w:r w:rsidR="007E66AE" w:rsidRPr="00787196">
        <w:fldChar w:fldCharType="end"/>
      </w:r>
      <w:r w:rsidR="007E66AE" w:rsidRPr="00787196">
        <w:t>.</w:t>
      </w:r>
    </w:p>
    <w:p w14:paraId="1362C9FA" w14:textId="167E16DF" w:rsidR="00AE3CFB" w:rsidRPr="00787196" w:rsidRDefault="00AE3CFB" w:rsidP="00AE3CFB">
      <w:r w:rsidRPr="00787196">
        <w:rPr>
          <w:szCs w:val="24"/>
        </w:rPr>
        <w:t xml:space="preserve">Based on the CSDH framework </w:t>
      </w:r>
      <w:r w:rsidRPr="00787196">
        <w:rPr>
          <w:rFonts w:cs="Arial"/>
          <w:szCs w:val="24"/>
        </w:rPr>
        <w:t xml:space="preserve">Watt and Sheiham </w:t>
      </w:r>
      <w:r w:rsidRPr="00787196">
        <w:rPr>
          <w:rFonts w:cs="Arial"/>
          <w:szCs w:val="24"/>
        </w:rPr>
        <w:fldChar w:fldCharType="begin"/>
      </w:r>
      <w:r w:rsidRPr="00787196">
        <w:rPr>
          <w:rFonts w:cs="Arial"/>
          <w:szCs w:val="24"/>
        </w:rPr>
        <w:instrText xml:space="preserve"> ADDIN EN.CITE &lt;EndNote&gt;&lt;Cite ExcludeAuth="1"&gt;&lt;Author&gt;Watt&lt;/Author&gt;&lt;Year&gt;2012&lt;/Year&gt;&lt;IDText&gt;Integrating the common risk factor approach into a social determinants framework&lt;/IDText&gt;&lt;DisplayText&gt;(2012)&lt;/DisplayText&gt;&lt;record&gt;&lt;dates&gt;&lt;pub-dates&gt;&lt;date&gt;20120718 DCOM- 20121217&lt;/date&gt;&lt;/pub-dates&gt;&lt;year&gt;2012&lt;/year&gt;&lt;/dates&gt;&lt;titles&gt;&lt;title&gt;Integrating the common risk factor approach into a social determinants framework&lt;/title&gt;&lt;/titles&gt;&lt;number&gt;1600-0528 (Electronic)&lt;/number&gt;&lt;contributors&gt;&lt;authors&gt;&lt;author&gt;Watt, R. G.&lt;/author&gt;&lt;author&gt;Sheiham, A.&lt;/author&gt;&lt;/authors&gt;&lt;/contributors&gt;&lt;language&gt;eng&lt;/language&gt;&lt;added-date format="utc"&gt;1481246875&lt;/added-date&gt;&lt;ref-type name="Journal Article"&gt;17&lt;/ref-type&gt;&lt;auth-address&gt;Department of Epidemiology and Public Health, University College, London, London, UK. r.watt@ucl.ac.uk FAU - Sheiham, Aubrey&lt;/auth-address&gt;&lt;remote-database-provider&gt;2012 Aug&lt;/remote-database-provider&gt;&lt;rec-number&gt;2666&lt;/rec-number&gt;&lt;last-updated-date format="utc"&gt;1481246955&lt;/last-updated-date&gt;&lt;contributors&gt;&lt;translated-authors&gt;&lt;author&gt;Community Dent Oral, Epidemiol&lt;/author&gt;&lt;/translated-authors&gt;&lt;/contributors&gt;&lt;/record&gt;&lt;/Cite&gt;&lt;/EndNote&gt;</w:instrText>
      </w:r>
      <w:r w:rsidRPr="00787196">
        <w:rPr>
          <w:rFonts w:cs="Arial"/>
          <w:szCs w:val="24"/>
        </w:rPr>
        <w:fldChar w:fldCharType="separate"/>
      </w:r>
      <w:r w:rsidRPr="00787196">
        <w:rPr>
          <w:rFonts w:cs="Arial"/>
          <w:szCs w:val="24"/>
        </w:rPr>
        <w:t>(2012)</w:t>
      </w:r>
      <w:r w:rsidRPr="00787196">
        <w:rPr>
          <w:rFonts w:cs="Arial"/>
          <w:szCs w:val="24"/>
        </w:rPr>
        <w:fldChar w:fldCharType="end"/>
      </w:r>
      <w:r w:rsidRPr="00787196">
        <w:rPr>
          <w:rFonts w:cs="Arial"/>
          <w:szCs w:val="24"/>
        </w:rPr>
        <w:t xml:space="preserve"> developed a new conceptual model for oral health inequalities. The political and economic drivers </w:t>
      </w:r>
      <w:r w:rsidRPr="00787196">
        <w:t>(i.e.) all the social and political mechanisms that generate, reinforce and maintain social hierarchies including macroeconomic policy, educational systems, labour markets, fiscal policy, welfare and health systems were structural determinants.</w:t>
      </w:r>
      <w:r w:rsidRPr="00787196">
        <w:rPr>
          <w:rFonts w:cs="Arial"/>
          <w:szCs w:val="24"/>
        </w:rPr>
        <w:t xml:space="preserve"> C</w:t>
      </w:r>
      <w:r w:rsidRPr="00787196">
        <w:t>ontrary to the other model, individual’s socioeconomic position was the intermediary determinant. Individual’s socio-economic position or SES is a reflection of their social class, occupational status, educational attainment and income level in the social hierarchy.</w:t>
      </w:r>
    </w:p>
    <w:p w14:paraId="74BCFB6D" w14:textId="05494E89" w:rsidR="007E66AE" w:rsidRPr="00787196" w:rsidRDefault="007E66AE" w:rsidP="00C67FF2">
      <w:pPr>
        <w:pStyle w:val="Caption"/>
        <w:keepNext/>
        <w:rPr>
          <w:b/>
          <w:bCs/>
          <w:i w:val="0"/>
          <w:iCs w:val="0"/>
          <w:color w:val="auto"/>
          <w:sz w:val="22"/>
          <w:szCs w:val="22"/>
        </w:rPr>
      </w:pPr>
      <w:bookmarkStart w:id="97" w:name="_Toc488655584"/>
      <w:r w:rsidRPr="00787196">
        <w:rPr>
          <w:b/>
          <w:bCs/>
          <w:i w:val="0"/>
          <w:iCs w:val="0"/>
          <w:color w:val="auto"/>
          <w:sz w:val="22"/>
          <w:szCs w:val="22"/>
        </w:rPr>
        <w:t xml:space="preserve">Figure </w:t>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STYLEREF 1 \s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2</w:t>
      </w:r>
      <w:r w:rsidR="00786B0E" w:rsidRPr="00787196">
        <w:rPr>
          <w:b/>
          <w:bCs/>
          <w:i w:val="0"/>
          <w:iCs w:val="0"/>
          <w:color w:val="auto"/>
          <w:sz w:val="22"/>
          <w:szCs w:val="22"/>
        </w:rPr>
        <w:fldChar w:fldCharType="end"/>
      </w:r>
      <w:r w:rsidR="00786B0E" w:rsidRPr="00787196">
        <w:rPr>
          <w:b/>
          <w:bCs/>
          <w:i w:val="0"/>
          <w:iCs w:val="0"/>
          <w:color w:val="auto"/>
          <w:sz w:val="22"/>
          <w:szCs w:val="22"/>
        </w:rPr>
        <w:noBreakHyphen/>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SEQ Figure \* ARABIC \s 1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6</w:t>
      </w:r>
      <w:r w:rsidR="00786B0E" w:rsidRPr="00787196">
        <w:rPr>
          <w:b/>
          <w:bCs/>
          <w:i w:val="0"/>
          <w:iCs w:val="0"/>
          <w:color w:val="auto"/>
          <w:sz w:val="22"/>
          <w:szCs w:val="22"/>
        </w:rPr>
        <w:fldChar w:fldCharType="end"/>
      </w:r>
      <w:r w:rsidR="00C67FF2" w:rsidRPr="00787196">
        <w:rPr>
          <w:b/>
          <w:bCs/>
          <w:i w:val="0"/>
          <w:iCs w:val="0"/>
          <w:color w:val="auto"/>
          <w:sz w:val="22"/>
          <w:szCs w:val="22"/>
        </w:rPr>
        <w:t>.</w:t>
      </w:r>
      <w:r w:rsidRPr="00787196">
        <w:rPr>
          <w:b/>
          <w:bCs/>
          <w:i w:val="0"/>
          <w:iCs w:val="0"/>
          <w:color w:val="auto"/>
          <w:sz w:val="22"/>
          <w:szCs w:val="22"/>
        </w:rPr>
        <w:t xml:space="preserve"> New conceptual model for oral health inequalities (Watt and Sheiham, 2012)</w:t>
      </w:r>
      <w:bookmarkEnd w:id="97"/>
    </w:p>
    <w:p w14:paraId="14E423BA" w14:textId="5511F1EF" w:rsidR="001941CD" w:rsidRPr="00787196" w:rsidRDefault="007E66AE" w:rsidP="007E66AE">
      <w:pPr>
        <w:jc w:val="left"/>
        <w:rPr>
          <w:i/>
          <w:iCs/>
          <w:sz w:val="22"/>
        </w:rPr>
      </w:pPr>
      <w:r w:rsidRPr="00787196">
        <w:rPr>
          <w:noProof/>
        </w:rPr>
        <w:drawing>
          <wp:inline distT="0" distB="0" distL="0" distR="0" wp14:anchorId="10F6FAE2" wp14:editId="45B90322">
            <wp:extent cx="5977719" cy="3038531"/>
            <wp:effectExtent l="0" t="0" r="444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5977145" cy="3038239"/>
                    </a:xfrm>
                    <a:prstGeom prst="rect">
                      <a:avLst/>
                    </a:prstGeom>
                  </pic:spPr>
                </pic:pic>
              </a:graphicData>
            </a:graphic>
          </wp:inline>
        </w:drawing>
      </w:r>
      <w:r w:rsidR="007263E6" w:rsidRPr="00787196">
        <w:rPr>
          <w:i/>
          <w:iCs/>
          <w:sz w:val="22"/>
        </w:rPr>
        <w:t>Screenshot</w:t>
      </w:r>
      <w:r w:rsidRPr="00787196">
        <w:rPr>
          <w:i/>
          <w:iCs/>
          <w:sz w:val="22"/>
        </w:rPr>
        <w:t xml:space="preserve"> image: Watt and Sheiham (2012)</w:t>
      </w:r>
    </w:p>
    <w:p w14:paraId="4B3AB214" w14:textId="2A55666A" w:rsidR="00F05460" w:rsidRPr="00787196" w:rsidRDefault="00074CB4" w:rsidP="00B41A10">
      <w:pPr>
        <w:rPr>
          <w:szCs w:val="24"/>
        </w:rPr>
      </w:pPr>
      <w:r w:rsidRPr="00787196">
        <w:lastRenderedPageBreak/>
        <w:t>Socioeconomic position therefore is linked to people’s degree of power, prestige and access to resources and support. The model also included the healthcare system as a social determinant of health through recognition of the role of health services in influencing health inequalities.</w:t>
      </w:r>
    </w:p>
    <w:p w14:paraId="609FE62D" w14:textId="4FCF2BEB" w:rsidR="00061325" w:rsidRPr="00787196" w:rsidRDefault="00061325" w:rsidP="00226A04">
      <w:pPr>
        <w:pStyle w:val="Heading4"/>
      </w:pPr>
      <w:r w:rsidRPr="00787196">
        <w:t>Objective SES, OHQoL and denture</w:t>
      </w:r>
      <w:r w:rsidR="00222B42" w:rsidRPr="00787196">
        <w:t>s</w:t>
      </w:r>
    </w:p>
    <w:p w14:paraId="714E310C" w14:textId="06CD259D" w:rsidR="00061325" w:rsidRPr="00787196" w:rsidRDefault="00061325" w:rsidP="00AE3CFB">
      <w:pPr>
        <w:spacing w:after="240"/>
        <w:rPr>
          <w:rFonts w:cs="Arial"/>
          <w:szCs w:val="24"/>
        </w:rPr>
      </w:pPr>
      <w:r w:rsidRPr="00787196">
        <w:rPr>
          <w:rFonts w:cs="Arial"/>
          <w:szCs w:val="24"/>
        </w:rPr>
        <w:t>The association</w:t>
      </w:r>
      <w:r w:rsidR="00AE3CFB" w:rsidRPr="00787196">
        <w:rPr>
          <w:rFonts w:cs="Arial"/>
          <w:szCs w:val="24"/>
        </w:rPr>
        <w:t>s</w:t>
      </w:r>
      <w:r w:rsidRPr="00787196">
        <w:rPr>
          <w:rFonts w:cs="Arial"/>
          <w:szCs w:val="24"/>
        </w:rPr>
        <w:t xml:space="preserve"> between objective SES indicators and OHQoL were prominent </w:t>
      </w:r>
      <w:r w:rsidR="00DC75D7" w:rsidRPr="00787196">
        <w:rPr>
          <w:rFonts w:cs="Arial"/>
          <w:szCs w:val="24"/>
        </w:rPr>
        <w:t>but</w:t>
      </w:r>
      <w:r w:rsidRPr="00787196">
        <w:rPr>
          <w:rFonts w:cs="Arial"/>
          <w:szCs w:val="24"/>
        </w:rPr>
        <w:t xml:space="preserve"> inconsistent in this review. </w:t>
      </w:r>
      <w:r w:rsidR="00AE3CFB" w:rsidRPr="00787196">
        <w:rPr>
          <w:rFonts w:cs="Arial"/>
          <w:szCs w:val="24"/>
        </w:rPr>
        <w:t>Many</w:t>
      </w:r>
      <w:r w:rsidRPr="00787196">
        <w:rPr>
          <w:rFonts w:cs="Arial"/>
          <w:szCs w:val="24"/>
        </w:rPr>
        <w:t xml:space="preserve"> studies showed results with</w:t>
      </w:r>
      <w:r w:rsidR="00DC75D7" w:rsidRPr="00787196">
        <w:rPr>
          <w:rFonts w:cs="Arial"/>
          <w:szCs w:val="24"/>
        </w:rPr>
        <w:t xml:space="preserve"> no</w:t>
      </w:r>
      <w:r w:rsidRPr="00787196">
        <w:rPr>
          <w:rFonts w:cs="Arial"/>
          <w:szCs w:val="24"/>
        </w:rPr>
        <w:t xml:space="preserve"> associations between OHQoL and SES </w:t>
      </w:r>
      <w:r w:rsidRPr="00787196">
        <w:rPr>
          <w:rFonts w:cs="Arial"/>
          <w:szCs w:val="24"/>
        </w:rPr>
        <w:fldChar w:fldCharType="begin">
          <w:fldData xml:space="preserve">PEVuZE5vdGU+PENpdGU+PEF1dGhvcj5BY2hhcnlhPC9BdXRob3I+PFllYXI+MjAwOTwvWWVhcj48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</w:fldData>
        </w:fldChar>
      </w:r>
      <w:r w:rsidR="00394937" w:rsidRPr="00787196">
        <w:rPr>
          <w:rFonts w:cs="Arial"/>
          <w:szCs w:val="24"/>
        </w:rPr>
        <w:instrText xml:space="preserve"> ADDIN EN.CITE </w:instrText>
      </w:r>
      <w:r w:rsidR="00394937" w:rsidRPr="00787196">
        <w:rPr>
          <w:rFonts w:cs="Arial"/>
          <w:szCs w:val="24"/>
        </w:rPr>
        <w:fldChar w:fldCharType="begin">
          <w:fldData xml:space="preserve">PEVuZE5vdGU+PENpdGU+PEF1dGhvcj5BY2hhcnlhPC9BdXRob3I+PFllYXI+MjAwOTwvWWVhcj48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</w:fldData>
        </w:fldChar>
      </w:r>
      <w:r w:rsidR="00394937" w:rsidRPr="00787196">
        <w:rPr>
          <w:rFonts w:cs="Arial"/>
          <w:szCs w:val="24"/>
        </w:rPr>
        <w:instrText xml:space="preserve"> ADDIN EN.CITE.DATA </w:instrText>
      </w:r>
      <w:r w:rsidR="00394937" w:rsidRPr="00787196">
        <w:rPr>
          <w:rFonts w:cs="Arial"/>
          <w:szCs w:val="24"/>
        </w:rPr>
      </w:r>
      <w:r w:rsidR="00394937" w:rsidRPr="00787196">
        <w:rPr>
          <w:rFonts w:cs="Arial"/>
          <w:szCs w:val="24"/>
        </w:rPr>
        <w:fldChar w:fldCharType="end"/>
      </w:r>
      <w:r w:rsidRPr="00787196">
        <w:rPr>
          <w:rFonts w:cs="Arial"/>
          <w:szCs w:val="24"/>
        </w:rPr>
      </w:r>
      <w:r w:rsidRPr="00787196">
        <w:rPr>
          <w:rFonts w:cs="Arial"/>
          <w:szCs w:val="24"/>
        </w:rPr>
        <w:fldChar w:fldCharType="separate"/>
      </w:r>
      <w:r w:rsidR="00394937" w:rsidRPr="00787196">
        <w:rPr>
          <w:rFonts w:cs="Arial"/>
          <w:noProof/>
          <w:szCs w:val="24"/>
        </w:rPr>
        <w:t>(Acharya et al., 2009, Brennan et al., 2008, Kim et al., 2009, Klages et al., 2005, Locker et al., 1994, Hassel et al., 2007, Ikebe et al., 2004, Lahti et al., 2008, Pereira et al., 2009, Pires et al., 2006, Pohjola et al., 2009, Sousa et al., 2009, Srisilapanan et al., 2001, Tabolli et al., 2009, Emami et al., 2010)</w:t>
      </w:r>
      <w:r w:rsidRPr="00787196">
        <w:rPr>
          <w:rFonts w:cs="Arial"/>
          <w:szCs w:val="24"/>
        </w:rPr>
        <w:fldChar w:fldCharType="end"/>
      </w:r>
      <w:r w:rsidRPr="00787196">
        <w:rPr>
          <w:rFonts w:cs="Arial"/>
          <w:szCs w:val="24"/>
        </w:rPr>
        <w:t xml:space="preserve">. </w:t>
      </w:r>
      <w:r w:rsidR="00AE3CFB" w:rsidRPr="00787196">
        <w:rPr>
          <w:rFonts w:cs="Arial"/>
          <w:szCs w:val="24"/>
        </w:rPr>
        <w:t>Other</w:t>
      </w:r>
      <w:r w:rsidRPr="00787196">
        <w:rPr>
          <w:rFonts w:cs="Arial"/>
          <w:szCs w:val="24"/>
        </w:rPr>
        <w:t xml:space="preserve"> studies showed a direct </w:t>
      </w:r>
      <w:r w:rsidR="00DC75D7" w:rsidRPr="00787196">
        <w:rPr>
          <w:rFonts w:cs="Arial"/>
          <w:szCs w:val="24"/>
        </w:rPr>
        <w:t xml:space="preserve">significant </w:t>
      </w:r>
      <w:r w:rsidRPr="00787196">
        <w:rPr>
          <w:rFonts w:cs="Arial"/>
          <w:szCs w:val="24"/>
        </w:rPr>
        <w:t xml:space="preserve">relationship </w:t>
      </w:r>
      <w:r w:rsidR="006E2F11" w:rsidRPr="00787196">
        <w:rPr>
          <w:rFonts w:cs="Arial"/>
          <w:szCs w:val="24"/>
        </w:rPr>
        <w:t xml:space="preserve">between </w:t>
      </w:r>
      <w:r w:rsidRPr="00787196">
        <w:rPr>
          <w:rFonts w:cs="Arial"/>
          <w:szCs w:val="24"/>
        </w:rPr>
        <w:t xml:space="preserve"> </w:t>
      </w:r>
      <w:r w:rsidR="006E2F11" w:rsidRPr="00787196">
        <w:rPr>
          <w:rFonts w:cs="Arial"/>
          <w:szCs w:val="24"/>
        </w:rPr>
        <w:t>better</w:t>
      </w:r>
      <w:r w:rsidRPr="00787196">
        <w:rPr>
          <w:rFonts w:cs="Arial"/>
          <w:szCs w:val="24"/>
        </w:rPr>
        <w:t xml:space="preserve"> levels of education </w:t>
      </w:r>
      <w:r w:rsidR="00E76735" w:rsidRPr="00787196">
        <w:rPr>
          <w:rFonts w:cs="Arial"/>
          <w:szCs w:val="24"/>
        </w:rPr>
        <w:t>and</w:t>
      </w:r>
      <w:r w:rsidRPr="00787196">
        <w:rPr>
          <w:rFonts w:cs="Arial"/>
          <w:szCs w:val="24"/>
        </w:rPr>
        <w:t xml:space="preserve"> better OHQoL </w:t>
      </w:r>
      <w:r w:rsidRPr="00787196">
        <w:rPr>
          <w:rFonts w:cs="Arial"/>
          <w:szCs w:val="24"/>
        </w:rPr>
        <w:fldChar w:fldCharType="begin">
          <w:fldData xml:space="preserve">PEVuZE5vdGU+PENpdGU+PEF1dGhvcj5DYWdsYXlhbjwvQXV0aG9yPjxZZWFyPjIwMDk8L1llYXI+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PEVuZE5vdGU+PENpdGU+PEF1dGhvcj5DYWdsYXlhbjwvQXV0aG9yPjxZZWFyPjIwMDk8L1llYXI+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(Caglayan et al., 2009, Hassel et al., 2006, Marino et al., 2008, Sanders et al., 2004b, Saub et al., 2006, Tsakos et al., 2009, Papaioannou et al., 2011, Gomes et al., 2009, Kushnir et al., 2004, Sanders, 2010)</w:t>
      </w:r>
      <w:r w:rsidRPr="00787196">
        <w:rPr>
          <w:rFonts w:cs="Arial"/>
          <w:szCs w:val="24"/>
        </w:rPr>
        <w:fldChar w:fldCharType="end"/>
      </w:r>
      <w:r w:rsidRPr="00787196">
        <w:rPr>
          <w:rFonts w:cs="Arial"/>
          <w:szCs w:val="24"/>
        </w:rPr>
        <w:t>.</w:t>
      </w:r>
    </w:p>
    <w:p w14:paraId="1CF189F2" w14:textId="31E29CE7" w:rsidR="00A65880" w:rsidRPr="00787196" w:rsidRDefault="00FC396B" w:rsidP="00FC396B">
      <w:pPr>
        <w:rPr>
          <w:rFonts w:cs="Arial"/>
          <w:szCs w:val="24"/>
        </w:rPr>
      </w:pPr>
      <w:r w:rsidRPr="00787196">
        <w:rPr>
          <w:rFonts w:cs="Arial"/>
          <w:szCs w:val="24"/>
        </w:rPr>
        <w:t xml:space="preserve">Emami and colleagues </w:t>
      </w:r>
      <w:r w:rsidRPr="00787196">
        <w:rPr>
          <w:rFonts w:cs="Arial"/>
          <w:szCs w:val="24"/>
        </w:rPr>
        <w:fldChar w:fldCharType="begin"/>
      </w:r>
      <w:r w:rsidRPr="00787196">
        <w:rPr>
          <w:rFonts w:cs="Arial"/>
          <w:szCs w:val="24"/>
        </w:rPr>
        <w:instrText xml:space="preserve"> ADDIN EN.CITE &lt;EndNote&gt;&lt;Cite ExcludeAuth="1"&gt;&lt;Author&gt;Emami&lt;/Author&gt;&lt;Year&gt;2010&lt;/Year&gt;&lt;RecNum&gt;0&lt;/RecNum&gt;&lt;IDText&gt;Better oral health related quality of life: Type of prosthesis or psychological robustness?&lt;/IDText&gt;&lt;DisplayText&gt;(2010)&lt;/DisplayText&gt;&lt;record&gt;&lt;rec-number&gt;195&lt;/rec-number&gt;&lt;foreign-keys&gt;&lt;key app="EN" db-id="xf0vwtv58a0w9wezwe9vp0fn0wwt2fp5srs0"&gt;195&lt;/key&gt;&lt;/foreign-keys&gt;&lt;ref-type name="Journal Article"&gt;17&lt;/ref-type&gt;&lt;contributors&gt;&lt;authors&gt;&lt;author&gt;Emami, E.&lt;/author&gt;&lt;author&gt;Allison, P. J.&lt;/author&gt;&lt;author&gt;de Grandmont, P.&lt;/author&gt;&lt;author&gt;Rompre, P. H.&lt;/author&gt;&lt;author&gt;Feine, J. S.&lt;/author&gt;&lt;/authors&gt;&lt;/contributors&gt;&lt;titles&gt;&lt;title&gt;Better oral health related quality of life: Type of prosthesis or psychological robustness?&lt;/title&gt;&lt;secondary-title&gt;Journal of Dentistry&lt;/secondary-title&gt;&lt;/titles&gt;&lt;periodical&gt;&lt;full-title&gt;Journal of Dentistry&lt;/full-title&gt;&lt;/periodical&gt;&lt;pages&gt;232-236&lt;/pages&gt;&lt;volume&gt;38&lt;/volume&gt;&lt;number&gt;3&lt;/number&gt;&lt;keywords&gt;&lt;keyword&gt;Oral health related quality of life&lt;/keyword&gt;&lt;keyword&gt;Sense of coherence&lt;/keyword&gt;&lt;keyword&gt;Clinical trial&lt;/keyword&gt;&lt;keyword&gt;Conventional dentures&lt;/keyword&gt;&lt;keyword&gt;Mandibular-implant overdentures&lt;/keyword&gt;&lt;/keywords&gt;&lt;dates&gt;&lt;year&gt;2010&lt;/year&gt;&lt;/dates&gt;&lt;urls&gt;&lt;related-urls&gt;&lt;url&gt;http://www.sciencedirect.com/science/article/pii/S0300571209002553 &lt;/url&gt;&lt;/related-urls&gt;&lt;/urls&gt;&lt;/record&gt;&lt;/Cite&gt;&lt;/EndNote&gt;</w:instrText>
      </w:r>
      <w:r w:rsidRPr="00787196">
        <w:rPr>
          <w:rFonts w:cs="Arial"/>
          <w:szCs w:val="24"/>
        </w:rPr>
        <w:fldChar w:fldCharType="separate"/>
      </w:r>
      <w:r w:rsidRPr="00787196">
        <w:rPr>
          <w:rFonts w:cs="Arial"/>
          <w:szCs w:val="24"/>
        </w:rPr>
        <w:t>(2010)</w:t>
      </w:r>
      <w:r w:rsidRPr="00787196">
        <w:rPr>
          <w:rFonts w:cs="Arial"/>
          <w:szCs w:val="24"/>
        </w:rPr>
        <w:fldChar w:fldCharType="end"/>
      </w:r>
      <w:r w:rsidRPr="00787196">
        <w:rPr>
          <w:rFonts w:cs="Arial"/>
          <w:szCs w:val="24"/>
        </w:rPr>
        <w:t xml:space="preserve"> showed strong relationships between OHQoL amongst denture wearers and their level of education. </w:t>
      </w:r>
      <w:r w:rsidR="00A65880" w:rsidRPr="00787196">
        <w:rPr>
          <w:rFonts w:cs="Arial"/>
          <w:szCs w:val="24"/>
        </w:rPr>
        <w:t>H</w:t>
      </w:r>
      <w:r w:rsidRPr="00787196">
        <w:rPr>
          <w:rFonts w:cs="Arial"/>
          <w:szCs w:val="24"/>
        </w:rPr>
        <w:t xml:space="preserve">igher income was associated with </w:t>
      </w:r>
      <w:r w:rsidR="00A65880" w:rsidRPr="00787196">
        <w:rPr>
          <w:rFonts w:cs="Arial"/>
          <w:szCs w:val="24"/>
        </w:rPr>
        <w:t xml:space="preserve">OHQoL in the following studies </w:t>
      </w:r>
      <w:r w:rsidRPr="00787196">
        <w:rPr>
          <w:rFonts w:cs="Arial"/>
          <w:szCs w:val="24"/>
        </w:rPr>
        <w:fldChar w:fldCharType="begin">
          <w:fldData xml:space="preserve">PEVuZE5vdGU+PENpdGU+PEF1dGhvcj5CcmVubmFuPC9BdXRob3I+PFllYXI+MjAxMDwvWWVhcj48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PEVuZE5vdGU+PENpdGU+PEF1dGhvcj5CcmVubmFuPC9BdXRob3I+PFllYXI+MjAxMDwvWWVhcj48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(Brennan and Spencer, 2010, Sanders et al., 2004b, Locker et al., 2009, Locker et al., 1994, Makhija et al., 2006, Guzeldemir et al., 2009, Ikebe et al., 2007, Sanders et al., 2009)</w:t>
      </w:r>
      <w:r w:rsidRPr="00787196">
        <w:rPr>
          <w:rFonts w:cs="Arial"/>
          <w:szCs w:val="24"/>
        </w:rPr>
        <w:fldChar w:fldCharType="end"/>
      </w:r>
      <w:r w:rsidR="00A65880" w:rsidRPr="00787196">
        <w:rPr>
          <w:rFonts w:cs="Arial"/>
          <w:szCs w:val="24"/>
        </w:rPr>
        <w:t xml:space="preserve">. </w:t>
      </w:r>
    </w:p>
    <w:p w14:paraId="3ED27B16" w14:textId="0C65C5C3" w:rsidR="00A65880" w:rsidRPr="00787196" w:rsidRDefault="00A65880" w:rsidP="002178E5">
      <w:pPr>
        <w:rPr>
          <w:rFonts w:cs="Arial"/>
          <w:szCs w:val="24"/>
        </w:rPr>
      </w:pPr>
      <w:r w:rsidRPr="00787196">
        <w:rPr>
          <w:rFonts w:cs="Arial"/>
          <w:szCs w:val="24"/>
        </w:rPr>
        <w:t>S</w:t>
      </w:r>
      <w:r w:rsidR="00FC396B" w:rsidRPr="00787196">
        <w:rPr>
          <w:rFonts w:cs="Arial"/>
          <w:szCs w:val="24"/>
        </w:rPr>
        <w:t>ignificant associations between education level and OHQoL improvement by dentures</w:t>
      </w:r>
      <w:r w:rsidRPr="00787196">
        <w:rPr>
          <w:rFonts w:cs="Arial"/>
          <w:szCs w:val="24"/>
        </w:rPr>
        <w:t xml:space="preserve"> in the following studies</w:t>
      </w:r>
      <w:r w:rsidR="00FC396B" w:rsidRPr="00787196">
        <w:rPr>
          <w:rFonts w:cs="Arial"/>
          <w:szCs w:val="24"/>
        </w:rPr>
        <w:t xml:space="preserve"> </w:t>
      </w:r>
      <w:r w:rsidR="00FC396B" w:rsidRPr="00787196">
        <w:rPr>
          <w:rFonts w:cs="Arial"/>
          <w:szCs w:val="24"/>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TG9uZG9uPC9JRFRleHQ+PERpc3BsYXlUZXh0PihUc2Frb3MgZXQgYWwuLCAyMDA5LCBFbWFtaSBl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</w:fldData>
        </w:fldChar>
      </w:r>
      <w:r w:rsidR="00FC396B" w:rsidRPr="00787196">
        <w:rPr>
          <w:rFonts w:cs="Arial"/>
          <w:szCs w:val="24"/>
        </w:rPr>
        <w:instrText xml:space="preserve"> ADDIN EN.CITE </w:instrText>
      </w:r>
      <w:r w:rsidR="00FC396B" w:rsidRPr="00787196">
        <w:rPr>
          <w:rFonts w:cs="Arial"/>
          <w:szCs w:val="24"/>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TG9uZG9uPC9JRFRleHQ+PERpc3BsYXlUZXh0PihUc2Frb3MgZXQgYWwuLCAyMDA5LCBFbWFtaSBl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</w:fldData>
        </w:fldChar>
      </w:r>
      <w:r w:rsidR="00FC396B" w:rsidRPr="00787196">
        <w:rPr>
          <w:rFonts w:cs="Arial"/>
          <w:szCs w:val="24"/>
        </w:rPr>
        <w:instrText xml:space="preserve"> ADDIN EN.CITE.DATA </w:instrText>
      </w:r>
      <w:r w:rsidR="00FC396B" w:rsidRPr="00787196">
        <w:rPr>
          <w:rFonts w:cs="Arial"/>
          <w:szCs w:val="24"/>
        </w:rPr>
      </w:r>
      <w:r w:rsidR="00FC396B" w:rsidRPr="00787196">
        <w:rPr>
          <w:rFonts w:cs="Arial"/>
          <w:szCs w:val="24"/>
        </w:rPr>
        <w:fldChar w:fldCharType="end"/>
      </w:r>
      <w:r w:rsidR="00FC396B" w:rsidRPr="00787196">
        <w:rPr>
          <w:rFonts w:cs="Arial"/>
          <w:szCs w:val="24"/>
        </w:rPr>
      </w:r>
      <w:r w:rsidR="00FC396B" w:rsidRPr="00787196">
        <w:rPr>
          <w:rFonts w:cs="Arial"/>
          <w:szCs w:val="24"/>
        </w:rPr>
        <w:fldChar w:fldCharType="separate"/>
      </w:r>
      <w:r w:rsidR="00FC396B" w:rsidRPr="00787196">
        <w:rPr>
          <w:rFonts w:cs="Arial"/>
          <w:szCs w:val="24"/>
        </w:rPr>
        <w:t>(Tsakos et al., 2009, Emami et al., 2010, Torres et al., 2011, Abuzar et al., 2012, Lee et al., 2012)</w:t>
      </w:r>
      <w:r w:rsidR="00FC396B" w:rsidRPr="00787196">
        <w:rPr>
          <w:rFonts w:cs="Arial"/>
          <w:szCs w:val="24"/>
        </w:rPr>
        <w:fldChar w:fldCharType="end"/>
      </w:r>
      <w:r w:rsidR="00FC396B" w:rsidRPr="00787196">
        <w:rPr>
          <w:rFonts w:cs="Arial"/>
          <w:szCs w:val="24"/>
        </w:rPr>
        <w:t>.</w:t>
      </w:r>
    </w:p>
    <w:p w14:paraId="2889BB9B" w14:textId="344915F2" w:rsidR="00FC396B" w:rsidRPr="00787196" w:rsidRDefault="00FC396B" w:rsidP="00AE3CFB">
      <w:pPr>
        <w:rPr>
          <w:rFonts w:cs="Arial"/>
          <w:szCs w:val="24"/>
        </w:rPr>
      </w:pPr>
      <w:r w:rsidRPr="00787196">
        <w:rPr>
          <w:rFonts w:cs="Arial"/>
          <w:szCs w:val="24"/>
        </w:rPr>
        <w:t xml:space="preserve">Income levels were also associated with OHQoL improvement </w:t>
      </w:r>
      <w:r w:rsidR="00AE3CFB" w:rsidRPr="00787196">
        <w:rPr>
          <w:rFonts w:cs="Arial"/>
          <w:szCs w:val="24"/>
        </w:rPr>
        <w:t>with</w:t>
      </w:r>
      <w:r w:rsidRPr="00787196">
        <w:rPr>
          <w:rFonts w:cs="Arial"/>
          <w:szCs w:val="24"/>
        </w:rPr>
        <w:t xml:space="preserve"> dentures for some studies </w:t>
      </w:r>
      <w:r w:rsidRPr="00787196">
        <w:rPr>
          <w:rFonts w:cs="Arial"/>
          <w:szCs w:val="24"/>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TG9uZG9uPC9JRFRleHQ+PERpc3BsYXlUZXh0PihUc2Frb3MgZXQgYWwuLCAyMDA5LCBUb3JyZXMg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PEVuZE5vdGU+PENpdGU+PEF1dGhvcj5Uc2Frb3M8L0F1dGhvcj48WWVhcj4yMDA5PC9ZZWFyPjxS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(Tsakos et al., 2009, Torres et al., 2011, Abuzar et al., 2012, Lee et al., 2012)</w:t>
      </w:r>
      <w:r w:rsidRPr="00787196">
        <w:rPr>
          <w:rFonts w:cs="Arial"/>
          <w:szCs w:val="24"/>
        </w:rPr>
        <w:fldChar w:fldCharType="end"/>
      </w:r>
      <w:r w:rsidRPr="00787196">
        <w:rPr>
          <w:rFonts w:cs="Arial"/>
          <w:szCs w:val="24"/>
        </w:rPr>
        <w:t xml:space="preserve"> and not associated in the others </w:t>
      </w:r>
      <w:r w:rsidRPr="00787196">
        <w:rPr>
          <w:rFonts w:cs="Arial"/>
          <w:szCs w:val="24"/>
        </w:rPr>
        <w:fldChar w:fldCharType="begin">
          <w:fldData xml:space="preserve">PEVuZE5vdGU+PENpdGU+PEF1dGhvcj5NaWNoYXVkPC9BdXRob3I+PFllYXI+MjAwODwvWWVhcj48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</w:fldData>
        </w:fldChar>
      </w:r>
      <w:r w:rsidRPr="00787196">
        <w:rPr>
          <w:rFonts w:cs="Arial"/>
          <w:szCs w:val="24"/>
        </w:rPr>
        <w:instrText xml:space="preserve"> ADDIN EN.CITE </w:instrText>
      </w:r>
      <w:r w:rsidRPr="00787196">
        <w:rPr>
          <w:rFonts w:cs="Arial"/>
          <w:szCs w:val="24"/>
        </w:rPr>
        <w:fldChar w:fldCharType="begin">
          <w:fldData xml:space="preserve">PEVuZE5vdGU+PENpdGU+PEF1dGhvcj5NaWNoYXVkPC9BdXRob3I+PFllYXI+MjAwODwvWWVhcj48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(Michaud et al., 2008, Emami et al., 2010, Jabbour et al., 2012)</w:t>
      </w:r>
      <w:r w:rsidRPr="00787196">
        <w:rPr>
          <w:rFonts w:cs="Arial"/>
          <w:szCs w:val="24"/>
        </w:rPr>
        <w:fldChar w:fldCharType="end"/>
      </w:r>
      <w:r w:rsidRPr="00787196">
        <w:rPr>
          <w:rFonts w:cs="Arial"/>
          <w:szCs w:val="24"/>
        </w:rPr>
        <w:t>.</w:t>
      </w:r>
    </w:p>
    <w:p w14:paraId="46EEF463" w14:textId="1C62075A" w:rsidR="00FC396B" w:rsidRPr="00787196" w:rsidRDefault="00152CD0" w:rsidP="001B3DAA">
      <w:pPr>
        <w:rPr>
          <w:rFonts w:cs="Arial"/>
          <w:szCs w:val="24"/>
        </w:rPr>
      </w:pPr>
      <w:r w:rsidRPr="00787196">
        <w:rPr>
          <w:rFonts w:cs="Arial"/>
          <w:szCs w:val="24"/>
        </w:rPr>
        <w:lastRenderedPageBreak/>
        <w:t>Mechanisms for the r</w:t>
      </w:r>
      <w:r w:rsidR="00FC396B" w:rsidRPr="00787196">
        <w:rPr>
          <w:rFonts w:cs="Arial"/>
          <w:szCs w:val="24"/>
        </w:rPr>
        <w:t xml:space="preserve">elationships between objective SES and OHQoL </w:t>
      </w:r>
      <w:r w:rsidR="001B3DAA" w:rsidRPr="00787196">
        <w:rPr>
          <w:rFonts w:cs="Arial"/>
          <w:szCs w:val="24"/>
        </w:rPr>
        <w:t>are</w:t>
      </w:r>
      <w:r w:rsidR="00FC396B" w:rsidRPr="00787196">
        <w:rPr>
          <w:rFonts w:cs="Arial"/>
          <w:szCs w:val="24"/>
        </w:rPr>
        <w:t xml:space="preserve"> relatively unknown. The following section explains health inequalities and how they might influence oral health conceptually. </w:t>
      </w:r>
    </w:p>
    <w:p w14:paraId="582253F4" w14:textId="04BBFB99" w:rsidR="00FC396B" w:rsidRPr="00787196" w:rsidRDefault="00A65880" w:rsidP="00226A04">
      <w:pPr>
        <w:pStyle w:val="Heading4"/>
      </w:pPr>
      <w:bookmarkStart w:id="98" w:name="_Toc346100678"/>
      <w:r w:rsidRPr="00787196">
        <w:t xml:space="preserve">Explanations for </w:t>
      </w:r>
      <w:r w:rsidR="00FC396B" w:rsidRPr="00787196">
        <w:t>Health</w:t>
      </w:r>
      <w:bookmarkEnd w:id="98"/>
      <w:r w:rsidR="00FC396B" w:rsidRPr="00787196">
        <w:t xml:space="preserve"> inequalities</w:t>
      </w:r>
    </w:p>
    <w:p w14:paraId="55E83CE2" w14:textId="77777777" w:rsidR="001B3DAA" w:rsidRPr="00787196" w:rsidRDefault="00FC396B" w:rsidP="001B3DAA">
      <w:pPr>
        <w:spacing w:after="0"/>
        <w:rPr>
          <w:rFonts w:cs="Arial"/>
          <w:szCs w:val="24"/>
        </w:rPr>
      </w:pPr>
      <w:r w:rsidRPr="00787196">
        <w:rPr>
          <w:rFonts w:cs="Arial"/>
          <w:szCs w:val="24"/>
        </w:rPr>
        <w:t xml:space="preserve">Sisson </w:t>
      </w:r>
      <w:r w:rsidRPr="00787196">
        <w:rPr>
          <w:rFonts w:cs="Arial"/>
          <w:szCs w:val="24"/>
        </w:rPr>
        <w:fldChar w:fldCharType="begin"/>
      </w:r>
      <w:r w:rsidRPr="00787196">
        <w:rPr>
          <w:rFonts w:cs="Arial"/>
          <w:szCs w:val="24"/>
        </w:rPr>
        <w:instrText xml:space="preserve"> ADDIN EN.CITE &lt;EndNote&gt;&lt;Cite ExcludeAuth="1"&gt;&lt;Author&gt;Sisson&lt;/Author&gt;&lt;Year&gt;2007&lt;/Year&gt;&lt;RecNum&gt;0&lt;/RecNum&gt;&lt;IDText&gt;Theoretical explanations for social inequalities in oral health&lt;/IDText&gt;&lt;DisplayText&gt;(2007)&lt;/DisplayText&gt;&lt;record&gt;&lt;rec-number&gt;7&lt;/rec-number&gt;&lt;foreign-keys&gt;&lt;key app="EN" db-id="xf0vwtv58a0w9wezwe9vp0fn0wwt2fp5srs0"&gt;7&lt;/key&gt;&lt;/foreign-keys&gt;&lt;ref-type name="Journal Article"&gt;17&lt;/ref-type&gt;&lt;contributors&gt;&lt;authors&gt;&lt;author&gt;Sisson, Kelly Lorraine&lt;/author&gt;&lt;/authors&gt;&lt;/contributors&gt;&lt;titles&gt;&lt;title&gt;Theoretical explanations for social inequalities in oral health&lt;/title&gt;&lt;secondary-title&gt;Community Dentistry and Oral Epidemiology&lt;/secondary-title&gt;&lt;/titles&gt;&lt;periodical&gt;&lt;full-title&gt;Community Dentistry and Oral Epidemiology&lt;/full-title&gt;&lt;/periodical&gt;&lt;pages&gt;81-88&lt;/pages&gt;&lt;volume&gt;35&lt;/volume&gt;&lt;number&gt;2&lt;/number&gt;&lt;keywords&gt;&lt;keyword&gt;health inequality&lt;/keyword&gt;&lt;keyword&gt;oral health&lt;/keyword&gt;&lt;keyword&gt;socioeconomic status&lt;/keyword&gt;&lt;/keywords&gt;&lt;dates&gt;&lt;year&gt;2007&lt;/year&gt;&lt;/dates&gt;&lt;publisher&gt;Blackwell Publishing Ltd&lt;/publisher&gt;&lt;urls&gt;&lt;related-urls&gt;&lt;url&gt;http://dx.doi.org/10.1111/j.1600-0528.2007.00354.x &lt;/url&gt;&lt;/related-urls&gt;&lt;/urls&gt;&lt;/record&gt;&lt;/Cite&gt;&lt;/EndNote&gt;</w:instrText>
      </w:r>
      <w:r w:rsidRPr="00787196">
        <w:rPr>
          <w:rFonts w:cs="Arial"/>
          <w:szCs w:val="24"/>
        </w:rPr>
        <w:fldChar w:fldCharType="separate"/>
      </w:r>
      <w:r w:rsidRPr="00787196">
        <w:rPr>
          <w:rFonts w:cs="Arial"/>
          <w:szCs w:val="24"/>
        </w:rPr>
        <w:t>(2007)</w:t>
      </w:r>
      <w:r w:rsidRPr="00787196">
        <w:rPr>
          <w:rFonts w:cs="Arial"/>
          <w:szCs w:val="24"/>
        </w:rPr>
        <w:fldChar w:fldCharType="end"/>
      </w:r>
      <w:r w:rsidRPr="00787196">
        <w:rPr>
          <w:rFonts w:cs="Arial"/>
          <w:szCs w:val="24"/>
        </w:rPr>
        <w:t xml:space="preserve"> stated that successful oral health interventions</w:t>
      </w:r>
      <w:r w:rsidR="00A65880" w:rsidRPr="00787196">
        <w:rPr>
          <w:rFonts w:cs="Arial"/>
          <w:szCs w:val="24"/>
        </w:rPr>
        <w:t xml:space="preserve"> to reduce health inequalities</w:t>
      </w:r>
      <w:r w:rsidRPr="00787196">
        <w:rPr>
          <w:rFonts w:cs="Arial"/>
          <w:szCs w:val="24"/>
        </w:rPr>
        <w:t xml:space="preserve"> require underpinning by theories of </w:t>
      </w:r>
      <w:r w:rsidR="001B3DAA" w:rsidRPr="00787196">
        <w:rPr>
          <w:rFonts w:cs="Arial"/>
          <w:szCs w:val="24"/>
        </w:rPr>
        <w:t xml:space="preserve">the </w:t>
      </w:r>
      <w:r w:rsidRPr="00787196">
        <w:rPr>
          <w:rFonts w:cs="Arial"/>
          <w:szCs w:val="24"/>
        </w:rPr>
        <w:t xml:space="preserve">mechanisms that cause </w:t>
      </w:r>
      <w:r w:rsidR="001B3DAA" w:rsidRPr="00787196">
        <w:rPr>
          <w:rFonts w:cs="Arial"/>
          <w:szCs w:val="24"/>
        </w:rPr>
        <w:t>these</w:t>
      </w:r>
      <w:r w:rsidRPr="00787196">
        <w:rPr>
          <w:rFonts w:cs="Arial"/>
          <w:szCs w:val="24"/>
        </w:rPr>
        <w:t xml:space="preserve"> health inequalities</w:t>
      </w:r>
      <w:r w:rsidR="002178E5" w:rsidRPr="00787196">
        <w:rPr>
          <w:rFonts w:cs="Arial"/>
          <w:szCs w:val="24"/>
        </w:rPr>
        <w:t>.</w:t>
      </w:r>
      <w:r w:rsidR="001B3DAA" w:rsidRPr="00787196">
        <w:rPr>
          <w:rFonts w:cs="Arial"/>
          <w:szCs w:val="24"/>
        </w:rPr>
        <w:t xml:space="preserve"> </w:t>
      </w:r>
      <w:r w:rsidR="002178E5" w:rsidRPr="00787196">
        <w:rPr>
          <w:rFonts w:cs="Arial"/>
          <w:szCs w:val="24"/>
        </w:rPr>
        <w:t>Hence</w:t>
      </w:r>
      <w:r w:rsidR="001B3DAA" w:rsidRPr="00787196">
        <w:rPr>
          <w:rFonts w:cs="Arial"/>
          <w:szCs w:val="24"/>
        </w:rPr>
        <w:t>,</w:t>
      </w:r>
      <w:r w:rsidRPr="00787196">
        <w:rPr>
          <w:rFonts w:cs="Arial"/>
          <w:szCs w:val="24"/>
        </w:rPr>
        <w:t xml:space="preserve"> </w:t>
      </w:r>
      <w:r w:rsidR="00592ABA" w:rsidRPr="00787196">
        <w:rPr>
          <w:rFonts w:cs="Arial"/>
          <w:szCs w:val="24"/>
        </w:rPr>
        <w:t>it is necessary to review the explanations for the effects of SES to cause health inequalities</w:t>
      </w:r>
      <w:r w:rsidR="001B3DAA" w:rsidRPr="00787196">
        <w:rPr>
          <w:rFonts w:cs="Arial"/>
          <w:szCs w:val="24"/>
        </w:rPr>
        <w:t xml:space="preserve">. </w:t>
      </w:r>
    </w:p>
    <w:p w14:paraId="49E64366" w14:textId="282E55D3" w:rsidR="00FC396B" w:rsidRPr="00787196" w:rsidRDefault="001B3DAA" w:rsidP="00EB5F2C">
      <w:pPr>
        <w:spacing w:after="0"/>
      </w:pPr>
      <w:r w:rsidRPr="00787196">
        <w:rPr>
          <w:rFonts w:cs="Arial"/>
          <w:szCs w:val="24"/>
        </w:rPr>
        <w:t>The following sections</w:t>
      </w:r>
      <w:r w:rsidR="00FC396B" w:rsidRPr="00787196">
        <w:rPr>
          <w:rFonts w:cs="Arial"/>
          <w:szCs w:val="24"/>
        </w:rPr>
        <w:t xml:space="preserve"> concisely review these explanations</w:t>
      </w:r>
      <w:r w:rsidR="00592ABA" w:rsidRPr="00787196">
        <w:rPr>
          <w:rFonts w:cs="Arial"/>
          <w:szCs w:val="24"/>
        </w:rPr>
        <w:t>. For the effects of SES to cause health inequalities</w:t>
      </w:r>
      <w:r w:rsidR="002C2FAF" w:rsidRPr="00787196">
        <w:rPr>
          <w:rFonts w:cs="Arial"/>
          <w:szCs w:val="24"/>
        </w:rPr>
        <w:t xml:space="preserve">, </w:t>
      </w:r>
      <w:r w:rsidR="00FC396B" w:rsidRPr="00787196">
        <w:rPr>
          <w:rFonts w:cs="Arial"/>
          <w:szCs w:val="24"/>
        </w:rPr>
        <w:t xml:space="preserve">behavioural, material, psycho-social and life course </w:t>
      </w:r>
      <w:r w:rsidR="00592ABA" w:rsidRPr="00787196">
        <w:rPr>
          <w:rFonts w:cs="Arial"/>
          <w:szCs w:val="24"/>
        </w:rPr>
        <w:t xml:space="preserve">socio economic </w:t>
      </w:r>
      <w:r w:rsidR="00C92707" w:rsidRPr="00787196">
        <w:rPr>
          <w:rFonts w:cs="Arial"/>
          <w:szCs w:val="24"/>
        </w:rPr>
        <w:t>status</w:t>
      </w:r>
      <w:r w:rsidR="00592ABA" w:rsidRPr="00787196">
        <w:rPr>
          <w:rFonts w:cs="Arial"/>
          <w:szCs w:val="24"/>
        </w:rPr>
        <w:t xml:space="preserve"> </w:t>
      </w:r>
      <w:r w:rsidR="00FC396B" w:rsidRPr="00787196">
        <w:rPr>
          <w:rFonts w:cs="Arial"/>
          <w:szCs w:val="24"/>
        </w:rPr>
        <w:t>perspectives alongside the ecological approach of heath inequalities</w:t>
      </w:r>
      <w:r w:rsidR="00C92707" w:rsidRPr="00787196">
        <w:rPr>
          <w:rFonts w:cs="Arial"/>
          <w:szCs w:val="24"/>
        </w:rPr>
        <w:t xml:space="preserve"> was reviewed</w:t>
      </w:r>
      <w:r w:rsidR="00FC396B" w:rsidRPr="00787196">
        <w:rPr>
          <w:rFonts w:cs="Arial"/>
          <w:szCs w:val="24"/>
        </w:rPr>
        <w:t>.</w:t>
      </w:r>
    </w:p>
    <w:p w14:paraId="52137F2F" w14:textId="77777777" w:rsidR="002C2FAF" w:rsidRPr="00787196" w:rsidRDefault="002C2FAF" w:rsidP="002C2FAF">
      <w:pPr>
        <w:keepNext/>
        <w:keepLines/>
        <w:spacing w:before="200" w:after="0"/>
        <w:outlineLvl w:val="4"/>
        <w:rPr>
          <w:i/>
        </w:rPr>
      </w:pPr>
      <w:r w:rsidRPr="00787196">
        <w:rPr>
          <w:i/>
        </w:rPr>
        <w:t xml:space="preserve">Materialist approach </w:t>
      </w:r>
    </w:p>
    <w:p w14:paraId="603418D4" w14:textId="509DA77A" w:rsidR="00027B44" w:rsidRPr="00787196" w:rsidRDefault="00FC396B" w:rsidP="00027B44">
      <w:pPr>
        <w:spacing w:after="0"/>
        <w:jc w:val="left"/>
        <w:rPr>
          <w:rFonts w:cs="Arial"/>
          <w:szCs w:val="24"/>
        </w:rPr>
      </w:pPr>
      <w:r w:rsidRPr="00787196">
        <w:rPr>
          <w:rFonts w:cs="Arial"/>
          <w:szCs w:val="24"/>
        </w:rPr>
        <w:t>This perspective places emphasis on the external environment</w:t>
      </w:r>
      <w:r w:rsidR="00396FD3" w:rsidRPr="00787196">
        <w:rPr>
          <w:rFonts w:cs="Arial"/>
          <w:szCs w:val="24"/>
        </w:rPr>
        <w:t xml:space="preserve"> and its role on individuals</w:t>
      </w:r>
      <w:r w:rsidRPr="00787196">
        <w:rPr>
          <w:rFonts w:cs="Arial"/>
          <w:szCs w:val="24"/>
        </w:rPr>
        <w:t xml:space="preserve">. Lack of material resources reflects poor income, adverse working, housing conditions, poor food quality </w:t>
      </w:r>
      <w:r w:rsidR="008269E5" w:rsidRPr="00787196">
        <w:rPr>
          <w:rFonts w:cs="Arial"/>
          <w:szCs w:val="24"/>
        </w:rPr>
        <w:t>and other aspects of daily life</w:t>
      </w:r>
      <w:r w:rsidR="001A5DB5" w:rsidRPr="00787196">
        <w:rPr>
          <w:rFonts w:cs="Arial"/>
          <w:szCs w:val="24"/>
        </w:rPr>
        <w:t>.</w:t>
      </w:r>
      <w:r w:rsidRPr="00787196">
        <w:rPr>
          <w:rFonts w:cs="Arial"/>
          <w:szCs w:val="24"/>
        </w:rPr>
        <w:t xml:space="preserve"> </w:t>
      </w:r>
      <w:r w:rsidR="00C92707" w:rsidRPr="00787196">
        <w:rPr>
          <w:rFonts w:cs="Arial"/>
          <w:szCs w:val="24"/>
        </w:rPr>
        <w:t>Low a</w:t>
      </w:r>
      <w:r w:rsidRPr="00787196">
        <w:rPr>
          <w:rFonts w:cs="Arial"/>
          <w:szCs w:val="24"/>
        </w:rPr>
        <w:t>ccess to</w:t>
      </w:r>
      <w:r w:rsidR="00C92707" w:rsidRPr="00787196">
        <w:rPr>
          <w:rFonts w:cs="Arial"/>
          <w:szCs w:val="24"/>
        </w:rPr>
        <w:t xml:space="preserve"> these</w:t>
      </w:r>
      <w:r w:rsidRPr="00787196">
        <w:rPr>
          <w:rFonts w:cs="Arial"/>
          <w:szCs w:val="24"/>
        </w:rPr>
        <w:t xml:space="preserve"> tangible resources </w:t>
      </w:r>
      <w:r w:rsidR="001A5DB5" w:rsidRPr="00787196">
        <w:rPr>
          <w:rFonts w:cs="Arial"/>
          <w:szCs w:val="24"/>
        </w:rPr>
        <w:t>acts as risk to health</w:t>
      </w:r>
      <w:r w:rsidRPr="00787196">
        <w:rPr>
          <w:rFonts w:cs="Arial"/>
          <w:szCs w:val="24"/>
        </w:rPr>
        <w:t>.</w:t>
      </w:r>
      <w:r w:rsidRPr="00787196">
        <w:rPr>
          <w:rFonts w:cs="Arial"/>
        </w:rPr>
        <w:t xml:space="preserve"> </w:t>
      </w:r>
      <w:r w:rsidRPr="00787196">
        <w:rPr>
          <w:rFonts w:cs="Arial"/>
          <w:szCs w:val="24"/>
        </w:rPr>
        <w:t>This perspective has often been questioned as inequalities persist despite increase</w:t>
      </w:r>
      <w:r w:rsidR="001A5DB5" w:rsidRPr="00787196">
        <w:rPr>
          <w:rFonts w:cs="Arial"/>
          <w:szCs w:val="24"/>
        </w:rPr>
        <w:t>s</w:t>
      </w:r>
      <w:r w:rsidRPr="00787196">
        <w:rPr>
          <w:rFonts w:cs="Arial"/>
          <w:szCs w:val="24"/>
        </w:rPr>
        <w:t xml:space="preserve"> in life expectancy </w:t>
      </w:r>
      <w:r w:rsidRPr="00787196">
        <w:rPr>
          <w:rFonts w:cs="Arial"/>
          <w:szCs w:val="24"/>
        </w:rPr>
        <w:fldChar w:fldCharType="begin">
          <w:fldData xml:space="preserve">PEVuZE5vdGU+PENpdGU+PEF1dGhvcj5SaWNoYXJkPC9BdXRob3I+PFllYXI+MTk5NzwvWWVhcj48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=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PEVuZE5vdGU+PENpdGU+PEF1dGhvcj5SaWNoYXJkPC9BdXRob3I+PFllYXI+MTk5NzwvWWVhcj48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=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(Richard, 1997, Wilkinson, 1996, Wilkinson, 1992)</w:t>
      </w:r>
      <w:r w:rsidRPr="00787196">
        <w:rPr>
          <w:rFonts w:cs="Arial"/>
          <w:szCs w:val="24"/>
        </w:rPr>
        <w:fldChar w:fldCharType="end"/>
      </w:r>
      <w:r w:rsidRPr="00787196">
        <w:rPr>
          <w:rFonts w:cs="Arial"/>
          <w:szCs w:val="24"/>
        </w:rPr>
        <w:t xml:space="preserve">. </w:t>
      </w:r>
    </w:p>
    <w:p w14:paraId="3525ACE0" w14:textId="77777777" w:rsidR="00027B44" w:rsidRPr="00787196" w:rsidRDefault="00027B44" w:rsidP="00027B44">
      <w:pPr>
        <w:pStyle w:val="Heading5"/>
      </w:pPr>
      <w:r w:rsidRPr="00787196">
        <w:t xml:space="preserve">Behavioural and Cultural approach </w:t>
      </w:r>
    </w:p>
    <w:p w14:paraId="7F7F5886" w14:textId="3663A364" w:rsidR="00FC396B" w:rsidRPr="00787196" w:rsidRDefault="00FC396B" w:rsidP="00027B44">
      <w:pPr>
        <w:spacing w:after="0"/>
        <w:jc w:val="left"/>
        <w:rPr>
          <w:rFonts w:cs="Arial"/>
        </w:rPr>
      </w:pPr>
      <w:r w:rsidRPr="00787196">
        <w:rPr>
          <w:rFonts w:cs="Arial"/>
          <w:szCs w:val="24"/>
        </w:rPr>
        <w:t xml:space="preserve">The behavioural and cultural approach explains that the differences in norms and values cause individuals from a lower SES </w:t>
      </w:r>
      <w:r w:rsidR="001A5DB5" w:rsidRPr="00787196">
        <w:rPr>
          <w:rFonts w:cs="Arial"/>
          <w:szCs w:val="24"/>
        </w:rPr>
        <w:t xml:space="preserve">to </w:t>
      </w:r>
      <w:r w:rsidRPr="00787196">
        <w:rPr>
          <w:rFonts w:cs="Arial"/>
          <w:szCs w:val="24"/>
        </w:rPr>
        <w:t xml:space="preserve">adopt risky behaviours. This perspective was considered initially in the Black report (1980). </w:t>
      </w:r>
      <w:r w:rsidR="00396FD3" w:rsidRPr="00787196">
        <w:rPr>
          <w:rFonts w:cs="Arial"/>
          <w:szCs w:val="24"/>
        </w:rPr>
        <w:t>D</w:t>
      </w:r>
      <w:r w:rsidRPr="00787196">
        <w:rPr>
          <w:rFonts w:cs="Arial"/>
          <w:szCs w:val="24"/>
        </w:rPr>
        <w:t xml:space="preserve">ifferences between groups </w:t>
      </w:r>
      <w:r w:rsidR="00197D48" w:rsidRPr="00787196">
        <w:rPr>
          <w:rFonts w:cs="Arial"/>
          <w:szCs w:val="24"/>
        </w:rPr>
        <w:t>have been observed based on</w:t>
      </w:r>
      <w:r w:rsidRPr="00787196">
        <w:rPr>
          <w:rFonts w:cs="Arial"/>
          <w:szCs w:val="24"/>
        </w:rPr>
        <w:t xml:space="preserve"> </w:t>
      </w:r>
      <w:r w:rsidR="00197D48" w:rsidRPr="00787196">
        <w:rPr>
          <w:rFonts w:cs="Arial"/>
          <w:szCs w:val="24"/>
        </w:rPr>
        <w:t xml:space="preserve">their </w:t>
      </w:r>
      <w:r w:rsidRPr="00787196">
        <w:rPr>
          <w:rFonts w:cs="Arial"/>
          <w:szCs w:val="24"/>
        </w:rPr>
        <w:t xml:space="preserve">health behaviours such as smoking, attending the dentist, diet and oral hygiene practices </w:t>
      </w:r>
      <w:r w:rsidRPr="00787196">
        <w:rPr>
          <w:rFonts w:cs="Arial"/>
          <w:szCs w:val="24"/>
        </w:rPr>
        <w:fldChar w:fldCharType="begin"/>
      </w:r>
      <w:r w:rsidRPr="00787196">
        <w:rPr>
          <w:rFonts w:cs="Arial"/>
          <w:szCs w:val="24"/>
        </w:rPr>
        <w:instrText xml:space="preserve"> ADDIN EN.CITE &lt;EndNote&gt;&lt;Cite&gt;&lt;Author&gt;Watt&lt;/Author&gt;&lt;Year&gt;1999&lt;/Year&gt;&lt;RecNum&gt;0&lt;/RecNum&gt;&lt;IDText&gt;Health policy: Inequalities in oral health: a review of the evidence and recommendations for action&lt;/IDText&gt;&lt;DisplayText&gt;(Watt and Sheiham, 1999)&lt;/DisplayText&gt;&lt;record&gt;&lt;isbn&gt;0007-0610&lt;/isbn&gt;&lt;titles&gt;&lt;title&gt;Health policy: Inequalities in oral health: a review of the evidence and recommendations for action&lt;/title&gt;&lt;secondary-title&gt;British dental journal&lt;/secondary-title&gt;&lt;/titles&gt;&lt;pages&gt;6-12&lt;/pages&gt;&lt;number&gt;1&lt;/number&gt;&lt;contributors&gt;&lt;authors&gt;&lt;author&gt;Watt, R.&lt;/author&gt;&lt;author&gt;Sheiham, A.&lt;/author&gt;&lt;/authors&gt;&lt;/contributors&gt;&lt;added-date format="utc"&gt;1391176266&lt;/added-date&gt;&lt;ref-type name="Journal Article"&gt;17&lt;/ref-type&gt;&lt;dates&gt;&lt;year&gt;1999&lt;/year&gt;&lt;/dates&gt;&lt;rec-number&gt;1979&lt;/rec-number&gt;&lt;publisher&gt;Nature Publishing Group&lt;/publisher&gt;&lt;last-updated-date format="utc"&gt;1391176266&lt;/last-updated-date&gt;&lt;volume&gt;187&lt;/volume&gt;&lt;/record&gt;&lt;/Cite&gt;&lt;/EndNote&gt;</w:instrText>
      </w:r>
      <w:r w:rsidRPr="00787196">
        <w:rPr>
          <w:rFonts w:cs="Arial"/>
          <w:szCs w:val="24"/>
        </w:rPr>
        <w:fldChar w:fldCharType="separate"/>
      </w:r>
      <w:r w:rsidRPr="00787196">
        <w:rPr>
          <w:rFonts w:cs="Arial"/>
          <w:szCs w:val="24"/>
        </w:rPr>
        <w:t>(Watt and Sheiham, 1999)</w:t>
      </w:r>
      <w:r w:rsidRPr="00787196">
        <w:rPr>
          <w:rFonts w:cs="Arial"/>
          <w:szCs w:val="24"/>
        </w:rPr>
        <w:fldChar w:fldCharType="end"/>
      </w:r>
      <w:r w:rsidR="001A5DB5" w:rsidRPr="00787196">
        <w:rPr>
          <w:rFonts w:cs="Arial"/>
          <w:szCs w:val="24"/>
        </w:rPr>
        <w:t>. However,</w:t>
      </w:r>
      <w:r w:rsidRPr="00787196">
        <w:rPr>
          <w:rFonts w:cs="Arial"/>
          <w:szCs w:val="24"/>
        </w:rPr>
        <w:t xml:space="preserve"> this approach does not explain why these </w:t>
      </w:r>
      <w:r w:rsidR="00197D48" w:rsidRPr="00787196">
        <w:rPr>
          <w:rFonts w:cs="Arial"/>
          <w:szCs w:val="24"/>
        </w:rPr>
        <w:t xml:space="preserve">such </w:t>
      </w:r>
      <w:r w:rsidRPr="00787196">
        <w:rPr>
          <w:rFonts w:cs="Arial"/>
          <w:szCs w:val="24"/>
        </w:rPr>
        <w:t xml:space="preserve">differences </w:t>
      </w:r>
      <w:r w:rsidR="00197D48" w:rsidRPr="00787196">
        <w:rPr>
          <w:rFonts w:cs="Arial"/>
          <w:szCs w:val="24"/>
        </w:rPr>
        <w:t>were found</w:t>
      </w:r>
      <w:r w:rsidRPr="00787196">
        <w:rPr>
          <w:rFonts w:cs="Arial"/>
          <w:szCs w:val="24"/>
        </w:rPr>
        <w:t xml:space="preserve"> between these social </w:t>
      </w:r>
      <w:r w:rsidR="00197D48" w:rsidRPr="00787196">
        <w:rPr>
          <w:rFonts w:cs="Arial"/>
          <w:szCs w:val="24"/>
        </w:rPr>
        <w:t>groups</w:t>
      </w:r>
      <w:r w:rsidRPr="00787196">
        <w:rPr>
          <w:rFonts w:cs="Arial"/>
          <w:szCs w:val="24"/>
        </w:rPr>
        <w:t xml:space="preserve">. </w:t>
      </w:r>
    </w:p>
    <w:p w14:paraId="27BCF93A" w14:textId="50BBC8E0" w:rsidR="00FC396B" w:rsidRPr="00787196" w:rsidRDefault="0056068F" w:rsidP="002178E5">
      <w:pPr>
        <w:rPr>
          <w:rFonts w:cs="Arial"/>
        </w:rPr>
      </w:pPr>
      <w:r w:rsidRPr="00787196">
        <w:t>The direct behavioural m</w:t>
      </w:r>
      <w:r w:rsidR="00FC396B" w:rsidRPr="00787196">
        <w:t>odel</w:t>
      </w:r>
      <w:r w:rsidRPr="00787196">
        <w:t xml:space="preserve"> </w:t>
      </w:r>
      <w:r w:rsidR="00FC396B" w:rsidRPr="00787196">
        <w:rPr>
          <w:rFonts w:cs="Arial"/>
          <w:szCs w:val="24"/>
        </w:rPr>
        <w:t xml:space="preserve">assumes that lower income and status </w:t>
      </w:r>
      <w:r w:rsidR="00197D48" w:rsidRPr="00787196">
        <w:rPr>
          <w:rFonts w:cs="Arial"/>
          <w:szCs w:val="24"/>
        </w:rPr>
        <w:t xml:space="preserve">is associated with </w:t>
      </w:r>
      <w:r w:rsidR="00FC396B" w:rsidRPr="00787196">
        <w:rPr>
          <w:rFonts w:cs="Arial"/>
          <w:szCs w:val="24"/>
        </w:rPr>
        <w:t>lower personality</w:t>
      </w:r>
      <w:r w:rsidR="00197D48" w:rsidRPr="00787196">
        <w:rPr>
          <w:rFonts w:cs="Arial"/>
          <w:szCs w:val="24"/>
        </w:rPr>
        <w:t xml:space="preserve"> traits</w:t>
      </w:r>
      <w:r w:rsidR="00FC396B" w:rsidRPr="00787196">
        <w:rPr>
          <w:rFonts w:cs="Arial"/>
          <w:szCs w:val="24"/>
        </w:rPr>
        <w:t xml:space="preserve">  (e.g.) intelligence, coping styles, internal </w:t>
      </w:r>
      <w:r w:rsidR="00FC396B" w:rsidRPr="00787196">
        <w:rPr>
          <w:rFonts w:cs="Arial"/>
          <w:szCs w:val="24"/>
        </w:rPr>
        <w:lastRenderedPageBreak/>
        <w:t xml:space="preserve">locus of control or sense of coherence </w:t>
      </w:r>
      <w:r w:rsidR="00FC396B" w:rsidRPr="00787196">
        <w:rPr>
          <w:rFonts w:cs="Arial"/>
          <w:szCs w:val="24"/>
        </w:rPr>
        <w:fldChar w:fldCharType="begin"/>
      </w:r>
      <w:r w:rsidR="00FC396B" w:rsidRPr="00787196">
        <w:rPr>
          <w:rFonts w:cs="Arial"/>
          <w:szCs w:val="24"/>
        </w:rPr>
        <w:instrText xml:space="preserve"> ADDIN EN.CITE &lt;EndNote&gt;&lt;Cite&gt;&lt;Author&gt;Bosma&lt;/Author&gt;&lt;Year&gt;1999&lt;/Year&gt;&lt;RecNum&gt;102&lt;/RecNum&gt;&lt;DisplayText&gt;(Bosma et al., 1999)&lt;/DisplayText&gt;&lt;record&gt;&lt;rec-number&gt;102&lt;/rec-number&gt;&lt;foreign-keys&gt;&lt;key app="EN" db-id="ev25zdwxmdpvr6e2pxqxtx5l29r9xxwsxw9w"&gt;102&lt;/key&gt;&lt;/foreign-keys&gt;&lt;ref-type name="Journal Article"&gt;17&lt;/ref-type&gt;&lt;contributors&gt;&lt;authors&gt;&lt;author&gt;Bosma, Hans&lt;/author&gt;&lt;author&gt;Dike van de Mheen, H.&lt;/author&gt;&lt;author&gt;Mackenbach, Johan P.&lt;/author&gt;&lt;/authors&gt;&lt;/contributors&gt;&lt;titles&gt;&lt;title&gt;Social class in childhood and general health in adulthood: questionnaire study of contribution of psychological attributes&lt;/title&gt;&lt;secondary-title&gt;BMJ : British medical journal /&lt;/secondary-title&gt;&lt;/titles&gt;&lt;periodical&gt;&lt;full-title&gt;BMJ : British medical journal /&lt;/full-title&gt;&lt;/periodical&gt;&lt;pages&gt;18&lt;/pages&gt;&lt;volume&gt;318&lt;/volume&gt;&lt;number&gt;7175&lt;/number&gt;&lt;dates&gt;&lt;year&gt;1999&lt;/year&gt;&lt;/dates&gt;&lt;pub-location&gt;London&lt;/pub-location&gt;&lt;publisher&gt;The Association&lt;/publisher&gt;&lt;isbn&gt;0959-8146&lt;/isbn&gt;&lt;remote-database-name&gt;/z-wcorg/&lt;/remote-database-name&gt;&lt;remote-database-provider&gt;http://worldcat.org&lt;/remote-database-provider&gt;&lt;language&gt;English&lt;/language&gt;&lt;/record&gt;&lt;/Cite&gt;&lt;/EndNote&gt;</w:instrText>
      </w:r>
      <w:r w:rsidR="00FC396B" w:rsidRPr="00787196">
        <w:rPr>
          <w:rFonts w:cs="Arial"/>
          <w:szCs w:val="24"/>
        </w:rPr>
        <w:fldChar w:fldCharType="separate"/>
      </w:r>
      <w:r w:rsidR="00FC396B" w:rsidRPr="00787196">
        <w:rPr>
          <w:rFonts w:cs="Arial"/>
          <w:szCs w:val="24"/>
        </w:rPr>
        <w:t>(Bosma et al., 1999)</w:t>
      </w:r>
      <w:r w:rsidR="00FC396B" w:rsidRPr="00787196">
        <w:rPr>
          <w:rFonts w:cs="Arial"/>
          <w:szCs w:val="24"/>
        </w:rPr>
        <w:fldChar w:fldCharType="end"/>
      </w:r>
      <w:r w:rsidR="00FC396B" w:rsidRPr="00787196">
        <w:rPr>
          <w:rFonts w:cs="Arial"/>
          <w:szCs w:val="24"/>
        </w:rPr>
        <w:t xml:space="preserve">. Conversely, people with positive personality traits </w:t>
      </w:r>
      <w:r w:rsidR="001C31A5" w:rsidRPr="00787196">
        <w:rPr>
          <w:rFonts w:cs="Arial"/>
          <w:szCs w:val="24"/>
        </w:rPr>
        <w:t xml:space="preserve">have been related to a higher </w:t>
      </w:r>
      <w:r w:rsidR="00FC396B" w:rsidRPr="00787196">
        <w:rPr>
          <w:rFonts w:cs="Arial"/>
          <w:szCs w:val="24"/>
        </w:rPr>
        <w:t xml:space="preserve">social advantage, better health and </w:t>
      </w:r>
      <w:r w:rsidRPr="00787196">
        <w:rPr>
          <w:rFonts w:cs="Arial"/>
          <w:szCs w:val="24"/>
        </w:rPr>
        <w:t xml:space="preserve">are </w:t>
      </w:r>
      <w:r w:rsidR="00FC396B" w:rsidRPr="00787196">
        <w:rPr>
          <w:rFonts w:cs="Arial"/>
          <w:szCs w:val="24"/>
        </w:rPr>
        <w:t>placed in socially favour</w:t>
      </w:r>
      <w:r w:rsidR="001C31A5" w:rsidRPr="00787196">
        <w:rPr>
          <w:rFonts w:cs="Arial"/>
          <w:szCs w:val="24"/>
        </w:rPr>
        <w:t>able</w:t>
      </w:r>
      <w:r w:rsidR="00FC396B" w:rsidRPr="00787196">
        <w:rPr>
          <w:rFonts w:cs="Arial"/>
          <w:szCs w:val="24"/>
        </w:rPr>
        <w:t xml:space="preserve"> circumstance</w:t>
      </w:r>
      <w:r w:rsidRPr="00787196">
        <w:rPr>
          <w:rFonts w:cs="Arial"/>
          <w:szCs w:val="24"/>
        </w:rPr>
        <w:t>s</w:t>
      </w:r>
      <w:r w:rsidR="00FC396B" w:rsidRPr="00787196">
        <w:rPr>
          <w:rFonts w:cs="Arial"/>
          <w:szCs w:val="24"/>
        </w:rPr>
        <w:t xml:space="preserve"> </w:t>
      </w:r>
      <w:r w:rsidR="00FC396B" w:rsidRPr="00787196">
        <w:rPr>
          <w:rFonts w:cs="Arial"/>
          <w:szCs w:val="24"/>
        </w:rPr>
        <w:fldChar w:fldCharType="begin"/>
      </w:r>
      <w:r w:rsidR="00FC396B" w:rsidRPr="00787196">
        <w:rPr>
          <w:rFonts w:cs="Arial"/>
          <w:szCs w:val="24"/>
        </w:rPr>
        <w:instrText xml:space="preserve"> ADDIN EN.CITE &lt;EndNote&gt;&lt;Cite&gt;&lt;Author&gt;Bartley&lt;/Author&gt;&lt;Year&gt;2004&lt;/Year&gt;&lt;RecNum&gt;285&lt;/RecNum&gt;&lt;DisplayText&gt;(Bartley, 2004)&lt;/DisplayText&gt;&lt;record&gt;&lt;rec-number&gt;285&lt;/rec-number&gt;&lt;foreign-keys&gt;&lt;key app="EN" db-id="pprx5af0eezz5resrauvszthwfd2xp5txea9"&gt;285&lt;/key&gt;&lt;/foreign-keys&gt;&lt;ref-type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9780745627809&lt;/isbn&gt;&lt;remote-database-name&gt;/z-wcorg/&lt;/remote-database-name&gt;&lt;remote-database-provider&gt;http://worldcat.org&lt;/remote-database-provider&gt;&lt;language&gt;English&lt;/language&gt;&lt;/record&gt;&lt;/Cite&gt;&lt;/EndNote&gt;</w:instrText>
      </w:r>
      <w:r w:rsidR="00FC396B" w:rsidRPr="00787196">
        <w:rPr>
          <w:rFonts w:cs="Arial"/>
          <w:szCs w:val="24"/>
        </w:rPr>
        <w:fldChar w:fldCharType="separate"/>
      </w:r>
      <w:r w:rsidR="00FC396B" w:rsidRPr="00787196">
        <w:rPr>
          <w:rFonts w:cs="Arial"/>
          <w:szCs w:val="24"/>
        </w:rPr>
        <w:t>(Bartley, 2004)</w:t>
      </w:r>
      <w:r w:rsidR="00FC396B" w:rsidRPr="00787196">
        <w:rPr>
          <w:rFonts w:cs="Arial"/>
          <w:szCs w:val="24"/>
        </w:rPr>
        <w:fldChar w:fldCharType="end"/>
      </w:r>
      <w:r w:rsidR="00FC396B" w:rsidRPr="00787196">
        <w:rPr>
          <w:rFonts w:cs="Arial"/>
          <w:szCs w:val="24"/>
        </w:rPr>
        <w:t>.</w:t>
      </w:r>
    </w:p>
    <w:p w14:paraId="17B1F473" w14:textId="72056F5C" w:rsidR="00FC396B" w:rsidRPr="00787196" w:rsidRDefault="0056068F" w:rsidP="00FC396B">
      <w:pPr>
        <w:rPr>
          <w:rFonts w:cs="Arial"/>
        </w:rPr>
      </w:pPr>
      <w:r w:rsidRPr="00787196">
        <w:rPr>
          <w:rFonts w:cs="Arial"/>
          <w:szCs w:val="24"/>
        </w:rPr>
        <w:t xml:space="preserve">More cultural </w:t>
      </w:r>
      <w:r w:rsidR="00FC396B" w:rsidRPr="00787196">
        <w:rPr>
          <w:rFonts w:cs="Arial"/>
          <w:szCs w:val="24"/>
        </w:rPr>
        <w:t>hypothes</w:t>
      </w:r>
      <w:r w:rsidRPr="00787196">
        <w:rPr>
          <w:rFonts w:cs="Arial"/>
          <w:szCs w:val="24"/>
        </w:rPr>
        <w:t>es argue</w:t>
      </w:r>
      <w:r w:rsidR="00FC396B" w:rsidRPr="00787196">
        <w:rPr>
          <w:rFonts w:cs="Arial"/>
          <w:szCs w:val="24"/>
        </w:rPr>
        <w:t xml:space="preserve"> that people of lower incomes with adverse health behaviour</w:t>
      </w:r>
      <w:r w:rsidRPr="00787196">
        <w:rPr>
          <w:rFonts w:cs="Arial"/>
          <w:szCs w:val="24"/>
        </w:rPr>
        <w:t>s</w:t>
      </w:r>
      <w:r w:rsidR="00FC396B" w:rsidRPr="00787196">
        <w:rPr>
          <w:rFonts w:cs="Arial"/>
          <w:szCs w:val="24"/>
        </w:rPr>
        <w:t xml:space="preserve"> (e.g. smoking have nothing attributable to their income levels </w:t>
      </w:r>
      <w:r w:rsidRPr="00787196">
        <w:rPr>
          <w:rFonts w:cs="Arial"/>
          <w:szCs w:val="24"/>
        </w:rPr>
        <w:t>that hinders</w:t>
      </w:r>
      <w:r w:rsidR="00FC396B" w:rsidRPr="00787196">
        <w:rPr>
          <w:rFonts w:cs="Arial"/>
          <w:szCs w:val="24"/>
        </w:rPr>
        <w:t xml:space="preserve"> someone to </w:t>
      </w:r>
      <w:r w:rsidR="001C31A5" w:rsidRPr="00787196">
        <w:rPr>
          <w:rFonts w:cs="Arial"/>
          <w:szCs w:val="24"/>
        </w:rPr>
        <w:t xml:space="preserve">reduce or give up </w:t>
      </w:r>
      <w:r w:rsidR="00FC396B" w:rsidRPr="00787196">
        <w:rPr>
          <w:rFonts w:cs="Arial"/>
          <w:szCs w:val="24"/>
        </w:rPr>
        <w:t xml:space="preserve">smoking (Bartley, 2004). Culture </w:t>
      </w:r>
      <w:r w:rsidR="001C31A5" w:rsidRPr="00787196">
        <w:rPr>
          <w:rFonts w:cs="Arial"/>
          <w:szCs w:val="24"/>
        </w:rPr>
        <w:t xml:space="preserve">is suggested </w:t>
      </w:r>
      <w:r w:rsidR="00FC396B" w:rsidRPr="00787196">
        <w:rPr>
          <w:rFonts w:cs="Arial"/>
          <w:szCs w:val="24"/>
        </w:rPr>
        <w:t>to play a</w:t>
      </w:r>
      <w:r w:rsidR="001C31A5" w:rsidRPr="00787196">
        <w:rPr>
          <w:rFonts w:cs="Arial"/>
          <w:szCs w:val="24"/>
        </w:rPr>
        <w:t>n important</w:t>
      </w:r>
      <w:r w:rsidR="00FC396B" w:rsidRPr="00787196">
        <w:rPr>
          <w:rFonts w:cs="Arial"/>
          <w:szCs w:val="24"/>
        </w:rPr>
        <w:t xml:space="preserve"> role </w:t>
      </w:r>
      <w:r w:rsidR="001C31A5" w:rsidRPr="00787196">
        <w:rPr>
          <w:rFonts w:cs="Arial"/>
          <w:szCs w:val="24"/>
        </w:rPr>
        <w:t>on</w:t>
      </w:r>
      <w:r w:rsidR="00FC396B" w:rsidRPr="00787196">
        <w:rPr>
          <w:rFonts w:cs="Arial"/>
          <w:szCs w:val="24"/>
        </w:rPr>
        <w:t xml:space="preserve"> such </w:t>
      </w:r>
      <w:r w:rsidR="001C31A5" w:rsidRPr="00787196">
        <w:rPr>
          <w:rFonts w:cs="Arial"/>
          <w:szCs w:val="24"/>
        </w:rPr>
        <w:t xml:space="preserve">high </w:t>
      </w:r>
      <w:r w:rsidR="00FC396B" w:rsidRPr="00787196">
        <w:rPr>
          <w:rFonts w:cs="Arial"/>
          <w:szCs w:val="24"/>
        </w:rPr>
        <w:t>risk behaviours. Th</w:t>
      </w:r>
      <w:r w:rsidR="001C31A5" w:rsidRPr="00787196">
        <w:rPr>
          <w:rFonts w:cs="Arial"/>
          <w:szCs w:val="24"/>
        </w:rPr>
        <w:t>e</w:t>
      </w:r>
      <w:r w:rsidR="00FC396B" w:rsidRPr="00787196">
        <w:rPr>
          <w:rFonts w:cs="Arial"/>
          <w:szCs w:val="24"/>
        </w:rPr>
        <w:t xml:space="preserve"> alternative </w:t>
      </w:r>
      <w:r w:rsidR="003A7BFA" w:rsidRPr="00787196">
        <w:rPr>
          <w:rFonts w:cs="Arial"/>
          <w:szCs w:val="24"/>
        </w:rPr>
        <w:t xml:space="preserve">hypothesis </w:t>
      </w:r>
      <w:r w:rsidR="00FC396B" w:rsidRPr="00787196">
        <w:rPr>
          <w:rFonts w:cs="Arial"/>
          <w:szCs w:val="24"/>
        </w:rPr>
        <w:t xml:space="preserve">suggests </w:t>
      </w:r>
      <w:r w:rsidR="003A7BFA" w:rsidRPr="00787196">
        <w:rPr>
          <w:rFonts w:cs="Arial"/>
          <w:szCs w:val="24"/>
        </w:rPr>
        <w:t xml:space="preserve">such </w:t>
      </w:r>
      <w:r w:rsidR="00FC396B" w:rsidRPr="00787196">
        <w:rPr>
          <w:rFonts w:cs="Arial"/>
          <w:szCs w:val="24"/>
        </w:rPr>
        <w:t xml:space="preserve">behaviours are not </w:t>
      </w:r>
      <w:r w:rsidR="003A7BFA" w:rsidRPr="00787196">
        <w:rPr>
          <w:rFonts w:cs="Arial"/>
          <w:szCs w:val="24"/>
        </w:rPr>
        <w:t xml:space="preserve">by choice </w:t>
      </w:r>
      <w:r w:rsidR="00FC396B" w:rsidRPr="00787196">
        <w:rPr>
          <w:rFonts w:cs="Arial"/>
          <w:szCs w:val="24"/>
        </w:rPr>
        <w:t xml:space="preserve">but rather </w:t>
      </w:r>
      <w:r w:rsidR="003A7BFA" w:rsidRPr="00787196">
        <w:rPr>
          <w:rFonts w:cs="Arial"/>
          <w:szCs w:val="24"/>
        </w:rPr>
        <w:t>associated to the</w:t>
      </w:r>
      <w:r w:rsidR="00FC396B" w:rsidRPr="00787196">
        <w:rPr>
          <w:rFonts w:cs="Arial"/>
          <w:szCs w:val="24"/>
        </w:rPr>
        <w:t xml:space="preserve"> cultural norms. These norms differ </w:t>
      </w:r>
      <w:r w:rsidR="003A7BFA" w:rsidRPr="00787196">
        <w:rPr>
          <w:rFonts w:cs="Arial"/>
          <w:szCs w:val="24"/>
        </w:rPr>
        <w:t xml:space="preserve">among </w:t>
      </w:r>
      <w:r w:rsidR="00FC396B" w:rsidRPr="00787196">
        <w:rPr>
          <w:rFonts w:cs="Arial"/>
          <w:szCs w:val="24"/>
        </w:rPr>
        <w:t>various social groups and explain the social patterning of behaviours.</w:t>
      </w:r>
    </w:p>
    <w:p w14:paraId="66EEBB56" w14:textId="77777777" w:rsidR="00027B44" w:rsidRPr="00787196" w:rsidRDefault="00027B44" w:rsidP="00027B44">
      <w:pPr>
        <w:pStyle w:val="Heading5"/>
      </w:pPr>
      <w:r w:rsidRPr="00787196">
        <w:t>Psychosocial Explanations</w:t>
      </w:r>
    </w:p>
    <w:p w14:paraId="1BAA2181" w14:textId="0D3A27E0" w:rsidR="00A4362C" w:rsidRPr="00787196" w:rsidRDefault="0056068F" w:rsidP="00FC396B">
      <w:pPr>
        <w:rPr>
          <w:rFonts w:cs="Arial"/>
          <w:szCs w:val="24"/>
        </w:rPr>
      </w:pPr>
      <w:r w:rsidRPr="00787196">
        <w:rPr>
          <w:rFonts w:cs="Arial"/>
          <w:szCs w:val="24"/>
        </w:rPr>
        <w:t xml:space="preserve">Psychosocial explanations recognise </w:t>
      </w:r>
      <w:r w:rsidR="00FC396B" w:rsidRPr="00787196">
        <w:rPr>
          <w:rFonts w:cs="Arial"/>
          <w:szCs w:val="24"/>
        </w:rPr>
        <w:t>the social context in which behaviour</w:t>
      </w:r>
      <w:r w:rsidR="00A4362C" w:rsidRPr="00787196">
        <w:rPr>
          <w:rFonts w:cs="Arial"/>
          <w:szCs w:val="24"/>
        </w:rPr>
        <w:t>s are chosen</w:t>
      </w:r>
      <w:r w:rsidR="00FC396B" w:rsidRPr="00787196">
        <w:rPr>
          <w:rFonts w:cs="Arial"/>
          <w:szCs w:val="24"/>
        </w:rPr>
        <w:t xml:space="preserve">. </w:t>
      </w:r>
      <w:r w:rsidR="00A4362C" w:rsidRPr="00787196">
        <w:rPr>
          <w:rFonts w:cs="Arial"/>
          <w:szCs w:val="24"/>
        </w:rPr>
        <w:t>The psychosocial</w:t>
      </w:r>
      <w:r w:rsidRPr="00787196">
        <w:rPr>
          <w:rFonts w:cs="Arial"/>
          <w:szCs w:val="24"/>
        </w:rPr>
        <w:t xml:space="preserve"> a</w:t>
      </w:r>
      <w:r w:rsidR="00FC396B" w:rsidRPr="00787196">
        <w:rPr>
          <w:rFonts w:cs="Arial"/>
          <w:szCs w:val="24"/>
        </w:rPr>
        <w:t xml:space="preserve">pproach </w:t>
      </w:r>
      <w:r w:rsidR="007C6F81" w:rsidRPr="00787196">
        <w:rPr>
          <w:rFonts w:cs="Arial"/>
          <w:szCs w:val="24"/>
        </w:rPr>
        <w:t>states the</w:t>
      </w:r>
      <w:r w:rsidR="00FC396B" w:rsidRPr="00787196">
        <w:rPr>
          <w:rFonts w:cs="Arial"/>
          <w:szCs w:val="24"/>
        </w:rPr>
        <w:t xml:space="preserve"> differences in psychological traits and resources available </w:t>
      </w:r>
      <w:r w:rsidR="0071453D" w:rsidRPr="00787196">
        <w:rPr>
          <w:rFonts w:cs="Arial"/>
          <w:szCs w:val="24"/>
        </w:rPr>
        <w:t xml:space="preserve">among </w:t>
      </w:r>
      <w:r w:rsidR="00FC396B" w:rsidRPr="00787196">
        <w:rPr>
          <w:rFonts w:cs="Arial"/>
          <w:szCs w:val="24"/>
        </w:rPr>
        <w:t>various socioeconomic groups</w:t>
      </w:r>
      <w:r w:rsidR="00F72DE5" w:rsidRPr="00787196">
        <w:rPr>
          <w:rFonts w:cs="Arial"/>
          <w:szCs w:val="24"/>
        </w:rPr>
        <w:t xml:space="preserve"> lead to health inequalities</w:t>
      </w:r>
      <w:r w:rsidR="00FC396B" w:rsidRPr="00787196">
        <w:rPr>
          <w:rFonts w:cs="Arial"/>
          <w:szCs w:val="24"/>
        </w:rPr>
        <w:t xml:space="preserve">. </w:t>
      </w:r>
      <w:r w:rsidR="00F72DE5" w:rsidRPr="00787196">
        <w:rPr>
          <w:rFonts w:cs="Arial"/>
          <w:szCs w:val="24"/>
        </w:rPr>
        <w:t>People</w:t>
      </w:r>
      <w:r w:rsidR="00FC396B" w:rsidRPr="00787196">
        <w:rPr>
          <w:rFonts w:cs="Arial"/>
          <w:szCs w:val="24"/>
        </w:rPr>
        <w:t xml:space="preserve"> from lower </w:t>
      </w:r>
      <w:r w:rsidR="00F72DE5" w:rsidRPr="00787196">
        <w:rPr>
          <w:rFonts w:cs="Arial"/>
          <w:szCs w:val="24"/>
        </w:rPr>
        <w:t>,</w:t>
      </w:r>
      <w:r w:rsidR="00FC396B" w:rsidRPr="00787196">
        <w:rPr>
          <w:rFonts w:cs="Arial"/>
          <w:szCs w:val="24"/>
        </w:rPr>
        <w:t>disadvantaged socio-economic background</w:t>
      </w:r>
      <w:r w:rsidR="00A4362C" w:rsidRPr="00787196">
        <w:rPr>
          <w:rFonts w:cs="Arial"/>
          <w:szCs w:val="24"/>
        </w:rPr>
        <w:t>s</w:t>
      </w:r>
      <w:r w:rsidR="00FC396B" w:rsidRPr="00787196">
        <w:rPr>
          <w:rFonts w:cs="Arial"/>
          <w:szCs w:val="24"/>
        </w:rPr>
        <w:t xml:space="preserve"> are </w:t>
      </w:r>
      <w:r w:rsidR="00F72DE5" w:rsidRPr="00787196">
        <w:rPr>
          <w:rFonts w:cs="Arial"/>
          <w:szCs w:val="24"/>
        </w:rPr>
        <w:t xml:space="preserve">theorised </w:t>
      </w:r>
      <w:r w:rsidR="00FC396B" w:rsidRPr="00787196">
        <w:rPr>
          <w:rFonts w:cs="Arial"/>
          <w:szCs w:val="24"/>
        </w:rPr>
        <w:t xml:space="preserve">to </w:t>
      </w:r>
      <w:r w:rsidR="00F72DE5" w:rsidRPr="00787196">
        <w:rPr>
          <w:rFonts w:cs="Arial"/>
          <w:szCs w:val="24"/>
        </w:rPr>
        <w:t>go through</w:t>
      </w:r>
      <w:r w:rsidR="00FC396B" w:rsidRPr="00787196">
        <w:rPr>
          <w:rFonts w:cs="Arial"/>
          <w:szCs w:val="24"/>
        </w:rPr>
        <w:t xml:space="preserve"> higher psychosocial stress </w:t>
      </w:r>
      <w:r w:rsidR="00FC396B" w:rsidRPr="00787196">
        <w:rPr>
          <w:rFonts w:cs="Arial"/>
          <w:szCs w:val="24"/>
        </w:rPr>
        <w:fldChar w:fldCharType="begin"/>
      </w:r>
      <w:r w:rsidR="00FC396B" w:rsidRPr="00787196">
        <w:rPr>
          <w:rFonts w:cs="Arial"/>
          <w:szCs w:val="24"/>
        </w:rPr>
        <w:instrText xml:space="preserve"> ADDIN EN.CITE &lt;EndNote&gt;&lt;Cite&gt;&lt;Author&gt;Marcenes&lt;/Author&gt;&lt;Year&gt;1992&lt;/Year&gt;&lt;RecNum&gt;38&lt;/RecNum&gt;&lt;DisplayText&gt;(Marcenes and Sheiham, 1992)&lt;/DisplayText&gt;&lt;record&gt;&lt;rec-number&gt;38&lt;/rec-number&gt;&lt;foreign-keys&gt;&lt;key app="EN" db-id="xf0vwtv58a0w9wezwe9vp0fn0wwt2fp5srs0"&gt;38&lt;/key&gt;&lt;/foreign-keys&gt;&lt;ref-type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FC396B" w:rsidRPr="00787196">
        <w:rPr>
          <w:rFonts w:cs="Arial"/>
          <w:szCs w:val="24"/>
        </w:rPr>
        <w:fldChar w:fldCharType="separate"/>
      </w:r>
      <w:r w:rsidR="00FC396B" w:rsidRPr="00787196">
        <w:rPr>
          <w:rFonts w:cs="Arial"/>
          <w:szCs w:val="24"/>
        </w:rPr>
        <w:t>(Marcenes and Sheiham, 1992)</w:t>
      </w:r>
      <w:r w:rsidR="00FC396B" w:rsidRPr="00787196">
        <w:rPr>
          <w:rFonts w:cs="Arial"/>
          <w:szCs w:val="24"/>
        </w:rPr>
        <w:fldChar w:fldCharType="end"/>
      </w:r>
      <w:r w:rsidR="00FC396B" w:rsidRPr="00787196">
        <w:rPr>
          <w:rFonts w:cs="Arial"/>
          <w:szCs w:val="24"/>
        </w:rPr>
        <w:t xml:space="preserve"> and perceive</w:t>
      </w:r>
      <w:r w:rsidR="00F72DE5" w:rsidRPr="00787196">
        <w:rPr>
          <w:rFonts w:cs="Arial"/>
          <w:szCs w:val="24"/>
        </w:rPr>
        <w:t>d</w:t>
      </w:r>
      <w:r w:rsidR="00FC396B" w:rsidRPr="00787196">
        <w:rPr>
          <w:rFonts w:cs="Arial"/>
          <w:szCs w:val="24"/>
        </w:rPr>
        <w:t xml:space="preserve"> low social support </w:t>
      </w:r>
      <w:r w:rsidR="00FC396B" w:rsidRPr="00787196">
        <w:rPr>
          <w:rFonts w:cs="Arial"/>
          <w:szCs w:val="24"/>
        </w:rPr>
        <w:fldChar w:fldCharType="begin"/>
      </w:r>
      <w:r w:rsidR="00FC396B" w:rsidRPr="00787196">
        <w:rPr>
          <w:rFonts w:cs="Arial"/>
          <w:szCs w:val="24"/>
        </w:rPr>
        <w:instrText xml:space="preserve"> ADDIN EN.CITE &lt;EndNote&gt;&lt;Cite&gt;&lt;Author&gt;Gore&lt;/Author&gt;&lt;Year&gt;1978&lt;/Year&gt;&lt;RecNum&gt;27&lt;/RecNum&gt;&lt;DisplayText&gt;(Gore, 1978)&lt;/DisplayText&gt;&lt;record&gt;&lt;rec-number&gt;27&lt;/rec-number&gt;&lt;foreign-keys&gt;&lt;key app="EN" db-id="xf0vwtv58a0w9wezwe9vp0fn0wwt2fp5srs0"&gt;27&lt;/key&gt;&lt;/foreign-keys&gt;&lt;ref-type name="Journal Article"&gt;17&lt;/ref-type&gt;&lt;contributors&gt;&lt;authors&gt;&lt;author&gt;Gore, Susan&lt;/author&gt;&lt;/authors&gt;&lt;/contributors&gt;&lt;titles&gt;&lt;title&gt;The Effect of Social Support in Moderating the Health Consequences of Unemployment&lt;/title&gt;&lt;secondary-title&gt;Journal of Health and Social Behavior&lt;/secondary-title&gt;&lt;/titles&gt;&lt;periodical&gt;&lt;full-title&gt;Journal of Health and Social Behavior&lt;/full-title&gt;&lt;/periodical&gt;&lt;pages&gt;157-165&lt;/pages&gt;&lt;volume&gt;19&lt;/volume&gt;&lt;number&gt;2&lt;/number&gt;&lt;dates&gt;&lt;year&gt;1978&lt;/year&gt;&lt;pub-dates&gt;&lt;date&gt;06/01&lt;/date&gt;&lt;/pub-dates&gt;&lt;/dates&gt;&lt;publisher&gt;American Sociological Association&lt;/publisher&gt;&lt;urls&gt;&lt;related-urls&gt;&lt;url&gt;http://www.jstor.org/stable/2136531 &lt;/url&gt;&lt;/related-urls&gt;&lt;/urls&gt;&lt;/record&gt;&lt;/Cite&gt;&lt;/EndNote&gt;</w:instrText>
      </w:r>
      <w:r w:rsidR="00FC396B" w:rsidRPr="00787196">
        <w:rPr>
          <w:rFonts w:cs="Arial"/>
          <w:szCs w:val="24"/>
        </w:rPr>
        <w:fldChar w:fldCharType="separate"/>
      </w:r>
      <w:r w:rsidR="00FC396B" w:rsidRPr="00787196">
        <w:rPr>
          <w:rFonts w:cs="Arial"/>
          <w:szCs w:val="24"/>
        </w:rPr>
        <w:t>(Gore, 1978)</w:t>
      </w:r>
      <w:r w:rsidR="00FC396B" w:rsidRPr="00787196">
        <w:rPr>
          <w:rFonts w:cs="Arial"/>
          <w:szCs w:val="24"/>
        </w:rPr>
        <w:fldChar w:fldCharType="end"/>
      </w:r>
      <w:r w:rsidR="00FC396B" w:rsidRPr="00787196">
        <w:rPr>
          <w:rFonts w:cs="Arial"/>
          <w:szCs w:val="24"/>
        </w:rPr>
        <w:t xml:space="preserve"> than </w:t>
      </w:r>
      <w:r w:rsidR="00A4362C" w:rsidRPr="00787196">
        <w:rPr>
          <w:rFonts w:cs="Arial"/>
          <w:szCs w:val="24"/>
        </w:rPr>
        <w:t>those</w:t>
      </w:r>
      <w:r w:rsidR="00FC396B" w:rsidRPr="00787196">
        <w:rPr>
          <w:rFonts w:cs="Arial"/>
          <w:szCs w:val="24"/>
        </w:rPr>
        <w:t xml:space="preserve"> from higher socioeconomic groups. </w:t>
      </w:r>
    </w:p>
    <w:p w14:paraId="6A1C4389" w14:textId="22E20099" w:rsidR="00FC396B" w:rsidRPr="00787196" w:rsidRDefault="00FC396B" w:rsidP="00FC396B">
      <w:pPr>
        <w:rPr>
          <w:rFonts w:cs="Arial"/>
          <w:szCs w:val="24"/>
        </w:rPr>
      </w:pPr>
      <w:r w:rsidRPr="00787196">
        <w:rPr>
          <w:rFonts w:cs="Arial"/>
          <w:szCs w:val="24"/>
        </w:rPr>
        <w:t>In relation to oral health</w:t>
      </w:r>
      <w:r w:rsidR="00D61452" w:rsidRPr="00787196">
        <w:rPr>
          <w:rFonts w:cs="Arial"/>
          <w:szCs w:val="24"/>
        </w:rPr>
        <w:t>,</w:t>
      </w:r>
      <w:r w:rsidRPr="00787196">
        <w:rPr>
          <w:rFonts w:cs="Arial"/>
          <w:szCs w:val="24"/>
        </w:rPr>
        <w:t xml:space="preserve"> higher levels of stress ha</w:t>
      </w:r>
      <w:r w:rsidR="00D61452" w:rsidRPr="00787196">
        <w:rPr>
          <w:rFonts w:cs="Arial"/>
          <w:szCs w:val="24"/>
        </w:rPr>
        <w:t>s been associated with</w:t>
      </w:r>
      <w:r w:rsidRPr="00787196">
        <w:rPr>
          <w:rFonts w:cs="Arial"/>
          <w:szCs w:val="24"/>
        </w:rPr>
        <w:t xml:space="preserve"> higher risk </w:t>
      </w:r>
      <w:r w:rsidR="00D61452" w:rsidRPr="00787196">
        <w:rPr>
          <w:rFonts w:cs="Arial"/>
          <w:szCs w:val="24"/>
        </w:rPr>
        <w:t xml:space="preserve">oral </w:t>
      </w:r>
      <w:r w:rsidRPr="00787196">
        <w:rPr>
          <w:rFonts w:cs="Arial"/>
          <w:szCs w:val="24"/>
        </w:rPr>
        <w:t xml:space="preserve">diseases </w:t>
      </w:r>
      <w:r w:rsidR="00D61452" w:rsidRPr="00787196">
        <w:rPr>
          <w:rFonts w:cs="Arial"/>
          <w:szCs w:val="24"/>
        </w:rPr>
        <w:t xml:space="preserve">like </w:t>
      </w:r>
      <w:r w:rsidRPr="00787196">
        <w:rPr>
          <w:rFonts w:cs="Arial"/>
          <w:szCs w:val="24"/>
        </w:rPr>
        <w:t xml:space="preserve">periodontitis </w:t>
      </w:r>
      <w:r w:rsidRPr="00787196">
        <w:rPr>
          <w:rFonts w:cs="Arial"/>
          <w:szCs w:val="24"/>
        </w:rPr>
        <w:fldChar w:fldCharType="begin"/>
      </w:r>
      <w:r w:rsidRPr="00787196">
        <w:rPr>
          <w:rFonts w:cs="Arial"/>
          <w:szCs w:val="24"/>
        </w:rPr>
        <w:instrText xml:space="preserve"> ADDIN EN.CITE &lt;EndNote&gt;&lt;Cite&gt;&lt;Author&gt;Marcenes&lt;/Author&gt;&lt;Year&gt;1992&lt;/Year&gt;&lt;RecNum&gt;38&lt;/RecNum&gt;&lt;DisplayText&gt;(Marcenes and Sheiham, 1992)&lt;/DisplayText&gt;&lt;record&gt;&lt;rec-number&gt;38&lt;/rec-number&gt;&lt;foreign-keys&gt;&lt;key app="EN" db-id="xf0vwtv58a0w9wezwe9vp0fn0wwt2fp5srs0"&gt;38&lt;/key&gt;&lt;/foreign-keys&gt;&lt;ref-type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Pr="00787196">
        <w:rPr>
          <w:rFonts w:cs="Arial"/>
          <w:szCs w:val="24"/>
        </w:rPr>
        <w:fldChar w:fldCharType="separate"/>
      </w:r>
      <w:r w:rsidRPr="00787196">
        <w:rPr>
          <w:rFonts w:cs="Arial"/>
          <w:szCs w:val="24"/>
        </w:rPr>
        <w:t>(Marcenes and Sheiham, 1992)</w:t>
      </w:r>
      <w:r w:rsidRPr="00787196">
        <w:rPr>
          <w:rFonts w:cs="Arial"/>
          <w:szCs w:val="24"/>
        </w:rPr>
        <w:fldChar w:fldCharType="end"/>
      </w:r>
      <w:r w:rsidRPr="00787196">
        <w:rPr>
          <w:rFonts w:cs="Arial"/>
          <w:szCs w:val="24"/>
        </w:rPr>
        <w:t xml:space="preserve"> and poor</w:t>
      </w:r>
      <w:r w:rsidR="00D61452" w:rsidRPr="00787196">
        <w:rPr>
          <w:rFonts w:cs="Arial"/>
          <w:szCs w:val="24"/>
        </w:rPr>
        <w:t>er</w:t>
      </w:r>
      <w:r w:rsidRPr="00787196">
        <w:rPr>
          <w:rFonts w:cs="Arial"/>
          <w:szCs w:val="24"/>
        </w:rPr>
        <w:t xml:space="preserve"> oral health related behaviours (e.g.) self-care scores </w:t>
      </w:r>
      <w:r w:rsidRPr="00787196">
        <w:rPr>
          <w:rFonts w:cs="Arial"/>
          <w:szCs w:val="24"/>
        </w:rPr>
        <w:fldChar w:fldCharType="begin"/>
      </w:r>
      <w:r w:rsidRPr="00787196">
        <w:rPr>
          <w:rFonts w:cs="Arial"/>
          <w:szCs w:val="24"/>
        </w:rPr>
        <w:instrText xml:space="preserve"> ADDIN EN.CITE &lt;EndNote&gt;&lt;Cite&gt;&lt;Author&gt;Sanders&lt;/Author&gt;&lt;Year&gt;2005&lt;/Year&gt;&lt;RecNum&gt;57&lt;/RecNum&gt;&lt;DisplayText&gt;(Sanders and Spencer, 2005)&lt;/DisplayText&gt;&lt;record&gt;&lt;rec-number&gt;57&lt;/rec-number&gt;&lt;foreign-keys&gt;&lt;key app="EN" db-id="xf0vwtv58a0w9wezwe9vp0fn0wwt2fp5srs0"&gt;57&lt;/key&gt;&lt;/foreign-keys&gt;&lt;ref-type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Pr="00787196">
        <w:rPr>
          <w:rFonts w:cs="Arial"/>
          <w:szCs w:val="24"/>
        </w:rPr>
        <w:fldChar w:fldCharType="separate"/>
      </w:r>
      <w:r w:rsidRPr="00787196">
        <w:rPr>
          <w:rFonts w:cs="Arial"/>
          <w:szCs w:val="24"/>
        </w:rPr>
        <w:t>(Sanders and Spencer, 2005)</w:t>
      </w:r>
      <w:r w:rsidRPr="00787196">
        <w:rPr>
          <w:rFonts w:cs="Arial"/>
          <w:szCs w:val="24"/>
        </w:rPr>
        <w:fldChar w:fldCharType="end"/>
      </w:r>
      <w:r w:rsidRPr="00787196">
        <w:rPr>
          <w:rFonts w:cs="Arial"/>
          <w:szCs w:val="24"/>
        </w:rPr>
        <w:t xml:space="preserve">. </w:t>
      </w:r>
    </w:p>
    <w:p w14:paraId="5D5EC322" w14:textId="601F093A" w:rsidR="00027B44" w:rsidRPr="00787196" w:rsidRDefault="00027B44" w:rsidP="00027B44">
      <w:pPr>
        <w:pStyle w:val="Heading5"/>
      </w:pPr>
      <w:r w:rsidRPr="00787196">
        <w:t xml:space="preserve">Life course approach </w:t>
      </w:r>
    </w:p>
    <w:p w14:paraId="1B0EE843" w14:textId="405964DF" w:rsidR="00D54533" w:rsidRPr="00787196" w:rsidRDefault="00FC396B" w:rsidP="00FC396B">
      <w:pPr>
        <w:rPr>
          <w:rFonts w:cs="Arial"/>
          <w:szCs w:val="24"/>
        </w:rPr>
      </w:pPr>
      <w:r w:rsidRPr="00787196">
        <w:rPr>
          <w:rFonts w:cs="Arial"/>
          <w:szCs w:val="24"/>
        </w:rPr>
        <w:t xml:space="preserve">The life course </w:t>
      </w:r>
      <w:r w:rsidR="00816E72" w:rsidRPr="00787196">
        <w:rPr>
          <w:rFonts w:cs="Arial"/>
          <w:szCs w:val="24"/>
        </w:rPr>
        <w:t>approach observes</w:t>
      </w:r>
      <w:r w:rsidRPr="00787196">
        <w:rPr>
          <w:rFonts w:cs="Arial"/>
          <w:szCs w:val="24"/>
        </w:rPr>
        <w:t xml:space="preserve"> health at any age based not </w:t>
      </w:r>
      <w:r w:rsidR="00816E72" w:rsidRPr="00787196">
        <w:rPr>
          <w:rFonts w:cs="Arial"/>
          <w:szCs w:val="24"/>
        </w:rPr>
        <w:t xml:space="preserve">just on </w:t>
      </w:r>
      <w:r w:rsidRPr="00787196">
        <w:rPr>
          <w:rFonts w:cs="Arial"/>
          <w:szCs w:val="24"/>
        </w:rPr>
        <w:t>current conditions, but also on living conditions</w:t>
      </w:r>
      <w:r w:rsidR="00A4362C" w:rsidRPr="00787196">
        <w:rPr>
          <w:rFonts w:cs="Arial"/>
          <w:szCs w:val="24"/>
        </w:rPr>
        <w:t>,</w:t>
      </w:r>
      <w:r w:rsidRPr="00787196">
        <w:rPr>
          <w:rFonts w:cs="Arial"/>
          <w:szCs w:val="24"/>
        </w:rPr>
        <w:t xml:space="preserve"> since conception </w:t>
      </w:r>
      <w:r w:rsidRPr="00787196">
        <w:rPr>
          <w:rFonts w:cs="Arial"/>
          <w:szCs w:val="24"/>
        </w:rPr>
        <w:fldChar w:fldCharType="begin"/>
      </w:r>
      <w:r w:rsidRPr="00787196">
        <w:rPr>
          <w:rFonts w:cs="Arial"/>
          <w:szCs w:val="24"/>
        </w:rPr>
        <w:instrText xml:space="preserve"> ADDIN EN.CITE &lt;EndNote&gt;&lt;Cite&gt;&lt;Author&gt;Kawachi&lt;/Author&gt;&lt;Year&gt;2002&lt;/Year&gt;&lt;RecNum&gt;130&lt;/RecNum&gt;&lt;DisplayText&gt;(Kawachi et al., 2002)&lt;/DisplayText&gt;&lt;record&gt;&lt;rec-number&gt;130&lt;/rec-number&gt;&lt;foreign-keys&gt;&lt;key app="EN" db-id="pprx5af0eezz5resrauvszthwfd2xp5txea9"&gt;130&lt;/key&gt;&lt;/foreign-keys&gt;&lt;ref-type name="Journal Article"&gt;17&lt;/ref-type&gt;&lt;contributors&gt;&lt;authors&gt;&lt;author&gt;Kawachi, I.&lt;/author&gt;&lt;author&gt;Subramanian, S. V.&lt;/author&gt;&lt;author&gt;Almeida-Filho, N.&lt;/author&gt;&lt;/authors&gt;&lt;/contributors&gt;&lt;titles&gt;&lt;title&gt;A glossary for health inequalities&lt;/title&gt;&lt;secondary-title&gt;Journal of Epidemiology and Community Health&lt;/secondary-title&gt;&lt;/titles&gt;&lt;periodical&gt;&lt;full-title&gt;Journal of Epidemiology and Community Health&lt;/full-title&gt;&lt;/periodical&gt;&lt;pages&gt;647-652&lt;/pages&gt;&lt;volume&gt;56&lt;/volume&gt;&lt;number&gt;9&lt;/number&gt;&lt;dates&gt;&lt;year&gt;2002&lt;/year&gt;&lt;pub-dates&gt;&lt;date&gt;September 1, 2002&lt;/date&gt;&lt;/pub-dates&gt;&lt;/dates&gt;&lt;urls&gt;&lt;related-urls&gt;&lt;url&gt;http://jech.bmj.com/content/56/9/647.abstract &lt;/url&gt;&lt;/related-urls&gt;&lt;/urls&gt;&lt;electronic-resource-num&gt;10.1136/jech.56.9.647&lt;/electronic-resource-num&gt;&lt;/record&gt;&lt;/Cite&gt;&lt;/EndNote&gt;</w:instrText>
      </w:r>
      <w:r w:rsidRPr="00787196">
        <w:rPr>
          <w:rFonts w:cs="Arial"/>
          <w:szCs w:val="24"/>
        </w:rPr>
        <w:fldChar w:fldCharType="separate"/>
      </w:r>
      <w:r w:rsidRPr="00787196">
        <w:rPr>
          <w:rFonts w:cs="Arial"/>
          <w:szCs w:val="24"/>
        </w:rPr>
        <w:t>(Kawachi et al., 2002)</w:t>
      </w:r>
      <w:r w:rsidRPr="00787196">
        <w:rPr>
          <w:rFonts w:cs="Arial"/>
          <w:szCs w:val="24"/>
        </w:rPr>
        <w:fldChar w:fldCharType="end"/>
      </w:r>
      <w:r w:rsidRPr="00787196">
        <w:rPr>
          <w:rFonts w:cs="Arial"/>
          <w:szCs w:val="24"/>
        </w:rPr>
        <w:t xml:space="preserve">. </w:t>
      </w:r>
    </w:p>
    <w:p w14:paraId="407F849F" w14:textId="77777777" w:rsidR="00D54533" w:rsidRPr="00787196" w:rsidRDefault="00D54533">
      <w:pPr>
        <w:spacing w:before="0" w:after="0" w:line="240" w:lineRule="auto"/>
        <w:jc w:val="left"/>
        <w:rPr>
          <w:rFonts w:cs="Arial"/>
          <w:szCs w:val="24"/>
        </w:rPr>
      </w:pPr>
      <w:r w:rsidRPr="00787196">
        <w:rPr>
          <w:rFonts w:cs="Arial"/>
          <w:szCs w:val="24"/>
        </w:rPr>
        <w:br w:type="page"/>
      </w:r>
    </w:p>
    <w:p w14:paraId="3F4F6B34" w14:textId="76833149" w:rsidR="00515B3A" w:rsidRPr="00787196" w:rsidRDefault="00FC396B" w:rsidP="00074CB4">
      <w:pPr>
        <w:rPr>
          <w:rFonts w:cs="Arial"/>
          <w:szCs w:val="24"/>
        </w:rPr>
      </w:pPr>
      <w:r w:rsidRPr="00787196">
        <w:rPr>
          <w:rFonts w:cs="Arial"/>
          <w:szCs w:val="24"/>
        </w:rPr>
        <w:lastRenderedPageBreak/>
        <w:t xml:space="preserve">This is the comprehensive </w:t>
      </w:r>
      <w:r w:rsidR="00816E72" w:rsidRPr="00787196">
        <w:rPr>
          <w:rFonts w:cs="Arial"/>
          <w:szCs w:val="24"/>
        </w:rPr>
        <w:t>approach in describing</w:t>
      </w:r>
      <w:r w:rsidRPr="00787196">
        <w:rPr>
          <w:rFonts w:cs="Arial"/>
          <w:szCs w:val="24"/>
        </w:rPr>
        <w:t xml:space="preserve"> inequalities in oral health</w:t>
      </w:r>
      <w:r w:rsidR="00816E72" w:rsidRPr="00787196">
        <w:rPr>
          <w:rFonts w:cs="Arial"/>
          <w:szCs w:val="24"/>
        </w:rPr>
        <w:t xml:space="preserve">. This approach </w:t>
      </w:r>
      <w:r w:rsidRPr="00787196">
        <w:rPr>
          <w:rFonts w:cs="Arial"/>
          <w:szCs w:val="24"/>
        </w:rPr>
        <w:t xml:space="preserve">presents </w:t>
      </w:r>
      <w:r w:rsidR="00816E72" w:rsidRPr="00787196">
        <w:rPr>
          <w:rFonts w:cs="Arial"/>
          <w:szCs w:val="24"/>
        </w:rPr>
        <w:t xml:space="preserve">oral health inequalities as </w:t>
      </w:r>
      <w:r w:rsidRPr="00787196">
        <w:rPr>
          <w:rFonts w:cs="Arial"/>
          <w:szCs w:val="24"/>
        </w:rPr>
        <w:t xml:space="preserve">an interaction of materialist, behavioural and psychosocial factors over time. </w:t>
      </w:r>
      <w:r w:rsidR="00E3473B" w:rsidRPr="00787196">
        <w:rPr>
          <w:rFonts w:cs="Arial"/>
          <w:szCs w:val="24"/>
        </w:rPr>
        <w:t>Apart from</w:t>
      </w:r>
      <w:r w:rsidR="00A4362C" w:rsidRPr="00787196">
        <w:rPr>
          <w:rFonts w:cs="Arial"/>
          <w:szCs w:val="24"/>
        </w:rPr>
        <w:t xml:space="preserve"> </w:t>
      </w:r>
      <w:r w:rsidR="00E3473B" w:rsidRPr="00787196">
        <w:rPr>
          <w:rFonts w:cs="Arial"/>
          <w:szCs w:val="24"/>
        </w:rPr>
        <w:t xml:space="preserve">explaining </w:t>
      </w:r>
      <w:r w:rsidRPr="00787196">
        <w:rPr>
          <w:rFonts w:cs="Arial"/>
          <w:szCs w:val="24"/>
        </w:rPr>
        <w:t xml:space="preserve">development of dental disease in individuals, </w:t>
      </w:r>
      <w:r w:rsidR="00E3473B" w:rsidRPr="00787196">
        <w:rPr>
          <w:rFonts w:cs="Arial"/>
          <w:szCs w:val="24"/>
        </w:rPr>
        <w:t xml:space="preserve">this approach also </w:t>
      </w:r>
      <w:r w:rsidR="007C6F81" w:rsidRPr="00787196">
        <w:rPr>
          <w:rFonts w:cs="Arial"/>
          <w:szCs w:val="24"/>
        </w:rPr>
        <w:t>explains</w:t>
      </w:r>
      <w:r w:rsidR="00E3473B" w:rsidRPr="00787196">
        <w:rPr>
          <w:rFonts w:cs="Arial"/>
          <w:szCs w:val="24"/>
        </w:rPr>
        <w:t xml:space="preserve"> the </w:t>
      </w:r>
      <w:r w:rsidRPr="00787196">
        <w:rPr>
          <w:rFonts w:cs="Arial"/>
          <w:szCs w:val="24"/>
        </w:rPr>
        <w:t>persistence of health inequalities despite improv</w:t>
      </w:r>
      <w:r w:rsidR="00E3473B" w:rsidRPr="00787196">
        <w:rPr>
          <w:rFonts w:cs="Arial"/>
          <w:szCs w:val="24"/>
        </w:rPr>
        <w:t>ing</w:t>
      </w:r>
      <w:r w:rsidRPr="00787196">
        <w:rPr>
          <w:rFonts w:cs="Arial"/>
          <w:szCs w:val="24"/>
        </w:rPr>
        <w:t xml:space="preserve"> living standards, </w:t>
      </w:r>
      <w:r w:rsidR="00E3473B" w:rsidRPr="00787196">
        <w:rPr>
          <w:rFonts w:cs="Arial"/>
          <w:szCs w:val="24"/>
        </w:rPr>
        <w:t xml:space="preserve">health based </w:t>
      </w:r>
      <w:r w:rsidRPr="00787196">
        <w:rPr>
          <w:rFonts w:cs="Arial"/>
          <w:szCs w:val="24"/>
        </w:rPr>
        <w:t>knowledge</w:t>
      </w:r>
      <w:r w:rsidR="00E3473B" w:rsidRPr="00787196">
        <w:rPr>
          <w:rFonts w:cs="Arial"/>
          <w:szCs w:val="24"/>
        </w:rPr>
        <w:t xml:space="preserve"> and </w:t>
      </w:r>
      <w:r w:rsidRPr="00787196">
        <w:rPr>
          <w:rFonts w:cs="Arial"/>
          <w:szCs w:val="24"/>
        </w:rPr>
        <w:t xml:space="preserve">health </w:t>
      </w:r>
      <w:r w:rsidR="005C5A79" w:rsidRPr="00787196">
        <w:rPr>
          <w:rFonts w:cs="Arial"/>
          <w:szCs w:val="24"/>
        </w:rPr>
        <w:t>promotion over</w:t>
      </w:r>
      <w:r w:rsidR="00E3473B" w:rsidRPr="00787196">
        <w:rPr>
          <w:rFonts w:cs="Arial"/>
          <w:szCs w:val="24"/>
        </w:rPr>
        <w:t xml:space="preserve"> time</w:t>
      </w:r>
      <w:r w:rsidRPr="00787196">
        <w:rPr>
          <w:rFonts w:cs="Arial"/>
          <w:szCs w:val="24"/>
        </w:rPr>
        <w:t>.</w:t>
      </w:r>
    </w:p>
    <w:p w14:paraId="2B05CE43" w14:textId="4ABA5226" w:rsidR="00FC396B" w:rsidRPr="00787196" w:rsidRDefault="00FC396B" w:rsidP="00FC396B">
      <w:pPr>
        <w:rPr>
          <w:rFonts w:cs="Arial"/>
          <w:szCs w:val="24"/>
        </w:rPr>
      </w:pPr>
      <w:r w:rsidRPr="00787196">
        <w:rPr>
          <w:rFonts w:cs="Arial"/>
          <w:szCs w:val="24"/>
        </w:rPr>
        <w:t xml:space="preserve">Nicolau and colleagues (2003) demonstrated that socio-economic and biological risk factors in early life are signiﬁcantly associated with dental caries experience at 13 years of age. </w:t>
      </w:r>
    </w:p>
    <w:p w14:paraId="358C6141" w14:textId="2C3ED38F" w:rsidR="00EB5F2C" w:rsidRPr="00787196" w:rsidRDefault="00335787" w:rsidP="00D54533">
      <w:pPr>
        <w:rPr>
          <w:rFonts w:cs="Arial"/>
          <w:szCs w:val="24"/>
        </w:rPr>
      </w:pPr>
      <w:r w:rsidRPr="00787196">
        <w:rPr>
          <w:rFonts w:cs="Arial"/>
          <w:szCs w:val="24"/>
        </w:rPr>
        <w:t>Thomson and colleagues</w:t>
      </w:r>
      <w:r w:rsidR="001B3DAA" w:rsidRPr="00787196">
        <w:rPr>
          <w:rFonts w:cs="Arial"/>
          <w:szCs w:val="24"/>
        </w:rPr>
        <w:t>’</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 ExcludeAuth="1"&gt;&lt;Author&gt;Thomson&lt;/Author&gt;&lt;Year&gt;2004&lt;/Year&gt;&lt;IDText&gt;Socioeconomic inequalities in oral health in childhood and adulthood in a birth cohort&lt;/IDText&gt;&lt;DisplayText&gt;(2004)&lt;/DisplayText&gt;&lt;record&gt;&lt;keywords&gt;&lt;keyword&gt;caries&lt;/keyword&gt;&lt;keyword&gt;cohort study&lt;/keyword&gt;&lt;keyword&gt;periodontal disease&lt;/keyword&gt;&lt;keyword&gt;socioeconomic status&lt;/keyword&gt;&lt;keyword&gt;tooth loss&lt;/keyword&gt;&lt;/keywords&gt;&lt;urls&gt;&lt;related-urls&gt;&lt;url&gt;http://dx.doi.org/10.1111/j.1600-0528.2004.00173.x&lt;/url&gt;&lt;/related-urls&gt;&lt;/urls&gt;&lt;titles&gt;&lt;title&gt;Socioeconomic inequalities in oral health in childhood and adulthood in a birth cohort&lt;/title&gt;&lt;secondary-title&gt;Community Dentistry and Oral Epidemiology&lt;/secondary-title&gt;&lt;/titles&gt;&lt;pages&gt;345-353&lt;/pages&gt;&lt;number&gt;5&lt;/number&gt;&lt;contributors&gt;&lt;authors&gt;&lt;author&gt;Thomson, W. M.&lt;/author&gt;&lt;author&gt;Poulton, R.&lt;/author&gt;&lt;author&gt;Milne, B. J.&lt;/author&gt;&lt;author&gt;Caspi, A.&lt;/author&gt;&lt;author&gt;Broughton, J. R.&lt;/author&gt;&lt;author&gt;Ayers, K. M. S.&lt;/author&gt;&lt;/authors&gt;&lt;/contributors&gt;&lt;added-date format="utc"&gt;1469778554&lt;/added-date&gt;&lt;ref-type name="Journal Article"&gt;17&lt;/ref-type&gt;&lt;dates&gt;&lt;year&gt;2004&lt;/year&gt;&lt;/dates&gt;&lt;rec-number&gt;2250&lt;/rec-number&gt;&lt;publisher&gt;Munksgaard International Publishers&lt;/publisher&gt;&lt;last-updated-date format="utc"&gt;1469778554&lt;/last-updated-date&gt;&lt;volume&gt;32&lt;/volume&gt;&lt;/record&gt;&lt;/Cite&gt;&lt;/EndNote&gt;</w:instrText>
      </w:r>
      <w:r w:rsidRPr="00787196">
        <w:rPr>
          <w:rFonts w:cs="Arial"/>
          <w:szCs w:val="24"/>
        </w:rPr>
        <w:fldChar w:fldCharType="separate"/>
      </w:r>
      <w:r w:rsidRPr="00787196">
        <w:rPr>
          <w:rFonts w:cs="Arial"/>
          <w:szCs w:val="24"/>
        </w:rPr>
        <w:t>(2004)</w:t>
      </w:r>
      <w:r w:rsidRPr="00787196">
        <w:rPr>
          <w:rFonts w:cs="Arial"/>
          <w:szCs w:val="24"/>
        </w:rPr>
        <w:fldChar w:fldCharType="end"/>
      </w:r>
      <w:r w:rsidRPr="00787196">
        <w:rPr>
          <w:rFonts w:cs="Arial"/>
          <w:szCs w:val="24"/>
        </w:rPr>
        <w:t xml:space="preserve"> </w:t>
      </w:r>
      <w:r w:rsidR="001B3DAA" w:rsidRPr="00787196">
        <w:rPr>
          <w:rFonts w:cs="Arial"/>
          <w:szCs w:val="24"/>
        </w:rPr>
        <w:t>birth cohort</w:t>
      </w:r>
      <w:r w:rsidRPr="00787196">
        <w:rPr>
          <w:rFonts w:cs="Arial"/>
          <w:szCs w:val="24"/>
        </w:rPr>
        <w:t xml:space="preserve"> study </w:t>
      </w:r>
      <w:r w:rsidR="001B3DAA" w:rsidRPr="00787196">
        <w:rPr>
          <w:rFonts w:cs="Arial"/>
          <w:szCs w:val="24"/>
        </w:rPr>
        <w:t>of</w:t>
      </w:r>
      <w:r w:rsidR="00D56BEB" w:rsidRPr="00787196">
        <w:rPr>
          <w:rFonts w:cs="Arial"/>
          <w:szCs w:val="24"/>
        </w:rPr>
        <w:t xml:space="preserve"> 789 in</w:t>
      </w:r>
      <w:r w:rsidR="002C2FAF" w:rsidRPr="00787196">
        <w:rPr>
          <w:rFonts w:cs="Arial"/>
          <w:szCs w:val="24"/>
        </w:rPr>
        <w:t>di</w:t>
      </w:r>
      <w:r w:rsidR="00D56BEB" w:rsidRPr="00787196">
        <w:rPr>
          <w:rFonts w:cs="Arial"/>
          <w:szCs w:val="24"/>
        </w:rPr>
        <w:t xml:space="preserve">viduals in New Zealand </w:t>
      </w:r>
      <w:r w:rsidRPr="00787196">
        <w:rPr>
          <w:rFonts w:cs="Arial"/>
          <w:szCs w:val="24"/>
        </w:rPr>
        <w:t>determine</w:t>
      </w:r>
      <w:r w:rsidR="001B3DAA" w:rsidRPr="00787196">
        <w:rPr>
          <w:rFonts w:cs="Arial"/>
          <w:szCs w:val="24"/>
        </w:rPr>
        <w:t>d</w:t>
      </w:r>
      <w:r w:rsidRPr="00787196">
        <w:rPr>
          <w:rFonts w:cs="Arial"/>
          <w:szCs w:val="24"/>
        </w:rPr>
        <w:t xml:space="preserve"> whether adult oral health </w:t>
      </w:r>
      <w:r w:rsidR="001B3DAA" w:rsidRPr="00787196">
        <w:rPr>
          <w:rFonts w:cs="Arial"/>
          <w:szCs w:val="24"/>
        </w:rPr>
        <w:t>was</w:t>
      </w:r>
      <w:r w:rsidRPr="00787196">
        <w:rPr>
          <w:rFonts w:cs="Arial"/>
          <w:szCs w:val="24"/>
        </w:rPr>
        <w:t xml:space="preserve"> predicted by childhood SES advantage or disadvantage (controlling for childhood oral health) and vice versa based on a life course approach. The study also assessed </w:t>
      </w:r>
      <w:r w:rsidR="001B3DAA" w:rsidRPr="00787196">
        <w:rPr>
          <w:rFonts w:cs="Arial"/>
          <w:szCs w:val="24"/>
        </w:rPr>
        <w:t xml:space="preserve">whether </w:t>
      </w:r>
      <w:r w:rsidR="00D56BEB" w:rsidRPr="00787196">
        <w:rPr>
          <w:rFonts w:cs="Arial"/>
          <w:szCs w:val="24"/>
        </w:rPr>
        <w:t xml:space="preserve">oral health in adulthood </w:t>
      </w:r>
      <w:r w:rsidR="001B3DAA" w:rsidRPr="00787196">
        <w:rPr>
          <w:rFonts w:cs="Arial"/>
          <w:szCs w:val="24"/>
        </w:rPr>
        <w:t>was</w:t>
      </w:r>
      <w:r w:rsidR="00D56BEB" w:rsidRPr="00787196">
        <w:rPr>
          <w:rFonts w:cs="Arial"/>
          <w:szCs w:val="24"/>
        </w:rPr>
        <w:t xml:space="preserve"> affected by changes in SES. </w:t>
      </w:r>
      <w:r w:rsidR="001B3DAA" w:rsidRPr="00787196">
        <w:rPr>
          <w:rFonts w:cs="Arial"/>
          <w:szCs w:val="24"/>
        </w:rPr>
        <w:t>B</w:t>
      </w:r>
      <w:r w:rsidR="00D56BEB" w:rsidRPr="00787196">
        <w:rPr>
          <w:rFonts w:cs="Arial"/>
          <w:szCs w:val="24"/>
        </w:rPr>
        <w:t>oth childhood SES and oral health both determined adult oral health</w:t>
      </w:r>
      <w:r w:rsidR="00E36A54" w:rsidRPr="00787196">
        <w:rPr>
          <w:rFonts w:cs="Arial"/>
          <w:szCs w:val="24"/>
        </w:rPr>
        <w:t xml:space="preserve"> although, the latter association was not as clear cut as the former</w:t>
      </w:r>
      <w:r w:rsidR="00D56BEB" w:rsidRPr="00787196">
        <w:rPr>
          <w:rFonts w:cs="Arial"/>
          <w:szCs w:val="24"/>
        </w:rPr>
        <w:t xml:space="preserve">. </w:t>
      </w:r>
      <w:r w:rsidR="00E36A54" w:rsidRPr="00787196">
        <w:rPr>
          <w:rFonts w:cs="Arial"/>
          <w:szCs w:val="24"/>
        </w:rPr>
        <w:t>Changes in advantage of SES was also associated with changes in adulthood oral health. The study concluded that the life-course approach is a useful paradigm to understand oral health inequalities.</w:t>
      </w:r>
    </w:p>
    <w:p w14:paraId="4EC134A5" w14:textId="77777777" w:rsidR="00027B44" w:rsidRPr="00787196" w:rsidRDefault="00027B44" w:rsidP="00027B44">
      <w:pPr>
        <w:pStyle w:val="Heading5"/>
      </w:pPr>
      <w:r w:rsidRPr="00787196">
        <w:t>Ecological approach</w:t>
      </w:r>
    </w:p>
    <w:p w14:paraId="6CD33240" w14:textId="77777777" w:rsidR="001B3DAA" w:rsidRPr="00787196" w:rsidRDefault="00FC396B" w:rsidP="002178E5">
      <w:pPr>
        <w:rPr>
          <w:rFonts w:cs="Arial"/>
          <w:szCs w:val="24"/>
        </w:rPr>
      </w:pPr>
      <w:r w:rsidRPr="00787196">
        <w:rPr>
          <w:rFonts w:cs="Arial"/>
          <w:szCs w:val="24"/>
        </w:rPr>
        <w:t>The ecological approach focusses on health inequalities based on the relationships and interaction</w:t>
      </w:r>
      <w:r w:rsidR="00FC458F" w:rsidRPr="00787196">
        <w:rPr>
          <w:rFonts w:cs="Arial"/>
          <w:szCs w:val="24"/>
        </w:rPr>
        <w:t>s</w:t>
      </w:r>
      <w:r w:rsidRPr="00787196">
        <w:rPr>
          <w:rFonts w:cs="Arial"/>
          <w:szCs w:val="24"/>
        </w:rPr>
        <w:t xml:space="preserve"> between individuals and their physical and social environments </w:t>
      </w:r>
      <w:r w:rsidRPr="00787196">
        <w:rPr>
          <w:rFonts w:cs="Arial"/>
          <w:szCs w:val="24"/>
        </w:rPr>
        <w:fldChar w:fldCharType="begin"/>
      </w:r>
      <w:r w:rsidRPr="00787196">
        <w:rPr>
          <w:rFonts w:cs="Arial"/>
          <w:szCs w:val="24"/>
        </w:rPr>
        <w:instrText xml:space="preserve"> ADDIN EN.CITE &lt;EndNote&gt;&lt;Cite&gt;&lt;Author&gt;Wilkinson&lt;/Author&gt;&lt;Year&gt;2006&lt;/Year&gt;&lt;RecNum&gt;0&lt;/RecNum&gt;&lt;IDText&gt;The impact of inequality&lt;/IDText&gt;&lt;DisplayText&gt;(Wilkinson, 2006, Wilkinson, 2002)&lt;/DisplayText&gt;&lt;record&gt;&lt;isbn&gt;0037-783X&lt;/isbn&gt;&lt;titles&gt;&lt;title&gt;The impact of inequality&lt;/title&gt;&lt;secondary-title&gt;Social Research: An International Quarterly&lt;/secondary-title&gt;&lt;/titles&gt;&lt;pages&gt;711-732&lt;/pages&gt;&lt;number&gt;2&lt;/number&gt;&lt;contributors&gt;&lt;authors&gt;&lt;author&gt;Wilkinson, Richard G.&lt;/author&gt;&lt;/authors&gt;&lt;/contributors&gt;&lt;added-date format="utc"&gt;1389327497&lt;/added-date&gt;&lt;ref-type name="Journal Article"&gt;17&lt;/ref-type&gt;&lt;dates&gt;&lt;year&gt;2006&lt;/year&gt;&lt;/dates&gt;&lt;rec-number&gt;1909&lt;/rec-number&gt;&lt;publisher&gt;Social Research&lt;/publisher&gt;&lt;last-updated-date format="utc"&gt;1389327497&lt;/last-updated-date&gt;&lt;volume&gt;73&lt;/volume&gt;&lt;/record&gt;&lt;/Cite&gt;&lt;Cite&gt;&lt;Author&gt;Wilkinson&lt;/Author&gt;&lt;Year&gt;2002&lt;/Year&gt;&lt;RecNum&gt;0&lt;/RecNum&gt;&lt;IDText&gt;Unhealthy societies: the afflictions of inequality&lt;/IDText&gt;&lt;record&gt;&lt;isbn&gt;020342168X&lt;/isbn&gt;&lt;titles&gt;&lt;title&gt;Unhealthy societies: the afflictions of inequality&lt;/title&gt;&lt;/titles&gt;&lt;contributors&gt;&lt;authors&gt;&lt;author&gt;Wilkinson, Richard G.&lt;/author&gt;&lt;/authors&gt;&lt;/contributors&gt;&lt;added-date format="utc"&gt;1386301884&lt;/added-date&gt;&lt;ref-type name="Book"&gt;6&lt;/ref-type&gt;&lt;dates&gt;&lt;year&gt;2002&lt;/year&gt;&lt;/dates&gt;&lt;rec-number&gt;1874&lt;/rec-number&gt;&lt;publisher&gt;Routledge&lt;/publisher&gt;&lt;last-updated-date format="utc"&gt;1386301884&lt;/last-updated-date&gt;&lt;/record&gt;&lt;/Cite&gt;&lt;/EndNote&gt;</w:instrText>
      </w:r>
      <w:r w:rsidRPr="00787196">
        <w:rPr>
          <w:rFonts w:cs="Arial"/>
          <w:szCs w:val="24"/>
        </w:rPr>
        <w:fldChar w:fldCharType="separate"/>
      </w:r>
      <w:r w:rsidRPr="00787196">
        <w:rPr>
          <w:rFonts w:cs="Arial"/>
          <w:szCs w:val="24"/>
        </w:rPr>
        <w:t>(Wilkinson, 2006, Wilkinson, 2002)</w:t>
      </w:r>
      <w:r w:rsidRPr="00787196">
        <w:rPr>
          <w:rFonts w:cs="Arial"/>
          <w:szCs w:val="24"/>
        </w:rPr>
        <w:fldChar w:fldCharType="end"/>
      </w:r>
      <w:r w:rsidRPr="00787196">
        <w:rPr>
          <w:rFonts w:cs="Arial"/>
          <w:szCs w:val="24"/>
        </w:rPr>
        <w:t xml:space="preserve">. This approach highlights how existing </w:t>
      </w:r>
      <w:r w:rsidR="009A47C3" w:rsidRPr="00787196">
        <w:rPr>
          <w:rFonts w:cs="Arial"/>
          <w:szCs w:val="24"/>
        </w:rPr>
        <w:t xml:space="preserve">social </w:t>
      </w:r>
      <w:r w:rsidRPr="00787196">
        <w:rPr>
          <w:rFonts w:cs="Arial"/>
          <w:szCs w:val="24"/>
        </w:rPr>
        <w:t>inequalities within</w:t>
      </w:r>
      <w:r w:rsidR="009A47C3" w:rsidRPr="00787196">
        <w:rPr>
          <w:rFonts w:cs="Arial"/>
          <w:szCs w:val="24"/>
        </w:rPr>
        <w:t xml:space="preserve"> a </w:t>
      </w:r>
      <w:r w:rsidRPr="00787196">
        <w:rPr>
          <w:rFonts w:cs="Arial"/>
          <w:szCs w:val="24"/>
        </w:rPr>
        <w:t xml:space="preserve">society can influence the health of its </w:t>
      </w:r>
      <w:r w:rsidR="002178E5" w:rsidRPr="00787196">
        <w:rPr>
          <w:rFonts w:cs="Arial"/>
          <w:szCs w:val="24"/>
        </w:rPr>
        <w:t xml:space="preserve">population. </w:t>
      </w:r>
    </w:p>
    <w:p w14:paraId="12DA5E69" w14:textId="7E546A85" w:rsidR="00FC396B" w:rsidRPr="00787196" w:rsidRDefault="002178E5" w:rsidP="001B3DAA">
      <w:pPr>
        <w:rPr>
          <w:rFonts w:cs="Arial"/>
          <w:szCs w:val="24"/>
        </w:rPr>
      </w:pPr>
      <w:r w:rsidRPr="00787196">
        <w:rPr>
          <w:rFonts w:cs="Arial"/>
          <w:szCs w:val="24"/>
        </w:rPr>
        <w:t>The</w:t>
      </w:r>
      <w:r w:rsidR="00FC396B" w:rsidRPr="00787196">
        <w:rPr>
          <w:rFonts w:cs="Arial"/>
          <w:szCs w:val="24"/>
        </w:rPr>
        <w:t xml:space="preserve"> causal mechanism </w:t>
      </w:r>
      <w:r w:rsidR="009A47C3" w:rsidRPr="00787196">
        <w:rPr>
          <w:rFonts w:cs="Arial"/>
          <w:szCs w:val="24"/>
        </w:rPr>
        <w:t>within</w:t>
      </w:r>
      <w:r w:rsidR="00FC396B" w:rsidRPr="00787196">
        <w:rPr>
          <w:rFonts w:cs="Arial"/>
          <w:szCs w:val="24"/>
        </w:rPr>
        <w:t xml:space="preserve"> this approach focusses on two different perspectives. Firstly, the nature and importance of psychosocial risk factors for health in affluent societies. Secondly, triggers to violence and why it increases with inequality.</w:t>
      </w:r>
      <w:r w:rsidR="001B3DAA" w:rsidRPr="00787196">
        <w:rPr>
          <w:rFonts w:cs="Arial"/>
          <w:szCs w:val="24"/>
        </w:rPr>
        <w:t xml:space="preserve"> G</w:t>
      </w:r>
      <w:r w:rsidR="00FC396B" w:rsidRPr="00787196">
        <w:rPr>
          <w:rFonts w:cs="Arial"/>
          <w:szCs w:val="24"/>
        </w:rPr>
        <w:t xml:space="preserve">reater equality is also associated with “helpfulness” and group membership, while greater inequality is linked with hostility in this approach </w:t>
      </w:r>
      <w:r w:rsidR="00FC396B" w:rsidRPr="00787196">
        <w:rPr>
          <w:rFonts w:cs="Arial"/>
          <w:szCs w:val="24"/>
        </w:rPr>
        <w:fldChar w:fldCharType="begin"/>
      </w:r>
      <w:r w:rsidR="00FC396B" w:rsidRPr="00787196">
        <w:rPr>
          <w:rFonts w:cs="Arial"/>
          <w:szCs w:val="24"/>
        </w:rPr>
        <w:instrText xml:space="preserve"> ADDIN EN.CITE &lt;EndNote&gt;&lt;Cite&gt;&lt;Author&gt;Marmot&lt;/Author&gt;&lt;Year&gt;2001&lt;/Year&gt;&lt;RecNum&gt;0&lt;/RecNum&gt;&lt;IDText&gt;Psychosocial and material pathways in the relation between income and health: a response to Lynch et al&lt;/IDText&gt;&lt;DisplayText&gt;(Marmot and Wilkinson, 2001)&lt;/DisplayText&gt;&lt;record&gt;&lt;titles&gt;&lt;title&gt;Psychosocial and material pathways in the relation between income and health: a response to Lynch et al&lt;/title&gt;&lt;secondary-title&gt;BMJ: British Medical Journal&lt;/secondary-title&gt;&lt;/titles&gt;&lt;pages&gt;1233&lt;/pages&gt;&lt;number&gt;7296&lt;/number&gt;&lt;contributors&gt;&lt;authors&gt;&lt;author&gt;Marmot, Michael&lt;/author&gt;&lt;author&gt;Wilkinson, Richard G.&lt;/author&gt;&lt;/authors&gt;&lt;/contributors&gt;&lt;added-date format="utc"&gt;1389365342&lt;/added-date&gt;&lt;ref-type name="Journal Article"&gt;17&lt;/ref-type&gt;&lt;dates&gt;&lt;year&gt;2001&lt;/year&gt;&lt;/dates&gt;&lt;rec-number&gt;1911&lt;/rec-number&gt;&lt;publisher&gt;BMJ Group&lt;/publisher&gt;&lt;last-updated-date format="utc"&gt;1389365342&lt;/last-updated-date&gt;&lt;volume&gt;322&lt;/volume&gt;&lt;/record&gt;&lt;/Cite&gt;&lt;/EndNote&gt;</w:instrText>
      </w:r>
      <w:r w:rsidR="00FC396B" w:rsidRPr="00787196">
        <w:rPr>
          <w:rFonts w:cs="Arial"/>
          <w:szCs w:val="24"/>
        </w:rPr>
        <w:fldChar w:fldCharType="separate"/>
      </w:r>
      <w:r w:rsidR="00FC396B" w:rsidRPr="00787196">
        <w:rPr>
          <w:rFonts w:cs="Arial"/>
          <w:szCs w:val="24"/>
        </w:rPr>
        <w:t>(Marmot and Wilkinson, 2001)</w:t>
      </w:r>
      <w:r w:rsidR="00FC396B" w:rsidRPr="00787196">
        <w:rPr>
          <w:rFonts w:cs="Arial"/>
          <w:szCs w:val="24"/>
        </w:rPr>
        <w:fldChar w:fldCharType="end"/>
      </w:r>
      <w:r w:rsidR="00FC396B" w:rsidRPr="00787196">
        <w:rPr>
          <w:rFonts w:cs="Arial"/>
          <w:szCs w:val="24"/>
        </w:rPr>
        <w:t xml:space="preserve">. </w:t>
      </w:r>
    </w:p>
    <w:p w14:paraId="3D5DE8EF" w14:textId="5AD734B5" w:rsidR="001B3DAA" w:rsidRPr="00787196" w:rsidRDefault="00FC396B" w:rsidP="00EB5F2C">
      <w:pPr>
        <w:spacing w:before="0" w:after="0"/>
        <w:rPr>
          <w:rFonts w:cs="Arial"/>
          <w:szCs w:val="24"/>
        </w:rPr>
      </w:pPr>
      <w:r w:rsidRPr="00787196">
        <w:rPr>
          <w:rFonts w:cs="Arial"/>
          <w:szCs w:val="24"/>
        </w:rPr>
        <w:lastRenderedPageBreak/>
        <w:t xml:space="preserve">Overall this approach attributes factors such as social dominance, autonomy and the quality of social relations to have an impact on psychosocial well-being which eventually determines the pattern of population health especially in developed countries </w:t>
      </w:r>
      <w:r w:rsidRPr="00787196">
        <w:rPr>
          <w:rFonts w:cs="Arial"/>
          <w:szCs w:val="24"/>
        </w:rPr>
        <w:fldChar w:fldCharType="begin"/>
      </w:r>
      <w:r w:rsidRPr="00787196">
        <w:rPr>
          <w:rFonts w:cs="Arial"/>
          <w:szCs w:val="24"/>
        </w:rPr>
        <w:instrText xml:space="preserve"> ADDIN EN.CITE &lt;EndNote&gt;&lt;Cite&gt;&lt;Author&gt;Marmot&lt;/Author&gt;&lt;Year&gt;2001&lt;/Year&gt;&lt;RecNum&gt;0&lt;/RecNum&gt;&lt;IDText&gt;Psychosocial and material pathways in the relation between income and health: a response to Lynch et al&lt;/IDText&gt;&lt;DisplayText&gt;(Marmot and Wilkinson, 2001)&lt;/DisplayText&gt;&lt;record&gt;&lt;titles&gt;&lt;title&gt;Psychosocial and material pathways in the relation between income and health: a response to Lynch et al&lt;/title&gt;&lt;secondary-title&gt;BMJ: British Medical Journal&lt;/secondary-title&gt;&lt;/titles&gt;&lt;pages&gt;1233&lt;/pages&gt;&lt;number&gt;7296&lt;/number&gt;&lt;contributors&gt;&lt;authors&gt;&lt;author&gt;Marmot, Michael&lt;/author&gt;&lt;author&gt;Wilkinson, Richard G.&lt;/author&gt;&lt;/authors&gt;&lt;/contributors&gt;&lt;added-date format="utc"&gt;1389365342&lt;/added-date&gt;&lt;ref-type name="Journal Article"&gt;17&lt;/ref-type&gt;&lt;dates&gt;&lt;year&gt;2001&lt;/year&gt;&lt;/dates&gt;&lt;rec-number&gt;1911&lt;/rec-number&gt;&lt;publisher&gt;BMJ Group&lt;/publisher&gt;&lt;last-updated-date format="utc"&gt;1389365342&lt;/last-updated-date&gt;&lt;volume&gt;322&lt;/volume&gt;&lt;/record&gt;&lt;/Cite&gt;&lt;/EndNote&gt;</w:instrText>
      </w:r>
      <w:r w:rsidRPr="00787196">
        <w:rPr>
          <w:rFonts w:cs="Arial"/>
          <w:szCs w:val="24"/>
        </w:rPr>
        <w:fldChar w:fldCharType="separate"/>
      </w:r>
      <w:r w:rsidRPr="00787196">
        <w:rPr>
          <w:rFonts w:cs="Arial"/>
          <w:szCs w:val="24"/>
        </w:rPr>
        <w:t>(Marmot and Wilkinson, 2001)</w:t>
      </w:r>
      <w:r w:rsidRPr="00787196">
        <w:rPr>
          <w:rFonts w:cs="Arial"/>
          <w:szCs w:val="24"/>
        </w:rPr>
        <w:fldChar w:fldCharType="end"/>
      </w:r>
      <w:r w:rsidR="002178E5" w:rsidRPr="00787196">
        <w:rPr>
          <w:rFonts w:cs="Arial"/>
          <w:szCs w:val="24"/>
        </w:rPr>
        <w:t>.</w:t>
      </w:r>
    </w:p>
    <w:p w14:paraId="55A43139" w14:textId="77CE1BAD" w:rsidR="00FC396B" w:rsidRPr="00787196" w:rsidRDefault="00FC396B" w:rsidP="00226A04">
      <w:pPr>
        <w:pStyle w:val="Heading4"/>
      </w:pPr>
      <w:r w:rsidRPr="00787196">
        <w:t>Summary</w:t>
      </w:r>
      <w:r w:rsidR="001B3DAA" w:rsidRPr="00787196">
        <w:t xml:space="preserve"> –SES</w:t>
      </w:r>
    </w:p>
    <w:p w14:paraId="54120A99" w14:textId="18BE952B" w:rsidR="00DE6458" w:rsidRPr="00787196" w:rsidRDefault="00462BDB" w:rsidP="001B3DAA">
      <w:pPr>
        <w:rPr>
          <w:rFonts w:cs="Arial"/>
          <w:szCs w:val="24"/>
        </w:rPr>
      </w:pPr>
      <w:r w:rsidRPr="00787196">
        <w:rPr>
          <w:rFonts w:cs="Arial"/>
          <w:szCs w:val="24"/>
        </w:rPr>
        <w:t>A</w:t>
      </w:r>
      <w:r w:rsidR="00F67227" w:rsidRPr="00787196">
        <w:rPr>
          <w:rFonts w:cs="Arial"/>
          <w:szCs w:val="24"/>
        </w:rPr>
        <w:t>bundant</w:t>
      </w:r>
      <w:r w:rsidR="00101D76" w:rsidRPr="00787196">
        <w:rPr>
          <w:rFonts w:cs="Arial"/>
          <w:szCs w:val="24"/>
        </w:rPr>
        <w:t xml:space="preserve"> evidence</w:t>
      </w:r>
      <w:r w:rsidR="00FC05EA" w:rsidRPr="00787196">
        <w:rPr>
          <w:rFonts w:cs="Arial"/>
          <w:szCs w:val="24"/>
        </w:rPr>
        <w:t>s</w:t>
      </w:r>
      <w:r w:rsidR="00101D76" w:rsidRPr="00787196">
        <w:rPr>
          <w:rFonts w:cs="Arial"/>
          <w:szCs w:val="24"/>
        </w:rPr>
        <w:t xml:space="preserve"> </w:t>
      </w:r>
      <w:r w:rsidR="00FC05EA" w:rsidRPr="00787196">
        <w:rPr>
          <w:rFonts w:cs="Arial"/>
          <w:szCs w:val="24"/>
        </w:rPr>
        <w:t>suggest</w:t>
      </w:r>
      <w:r w:rsidR="004A152F" w:rsidRPr="00787196">
        <w:rPr>
          <w:rFonts w:cs="Arial"/>
          <w:szCs w:val="24"/>
        </w:rPr>
        <w:t xml:space="preserve"> oral health</w:t>
      </w:r>
      <w:r w:rsidR="002E3D38" w:rsidRPr="00787196">
        <w:rPr>
          <w:rFonts w:cs="Arial"/>
          <w:szCs w:val="24"/>
        </w:rPr>
        <w:t xml:space="preserve"> outcomes and</w:t>
      </w:r>
      <w:r w:rsidR="004A152F" w:rsidRPr="00787196">
        <w:rPr>
          <w:rFonts w:cs="Arial"/>
          <w:szCs w:val="24"/>
        </w:rPr>
        <w:t xml:space="preserve"> inequalities </w:t>
      </w:r>
      <w:r w:rsidR="002E3D38" w:rsidRPr="00787196">
        <w:rPr>
          <w:rFonts w:cs="Arial"/>
          <w:szCs w:val="24"/>
        </w:rPr>
        <w:t>are influenced by</w:t>
      </w:r>
      <w:r w:rsidR="004A152F" w:rsidRPr="00787196">
        <w:rPr>
          <w:rFonts w:cs="Arial"/>
          <w:szCs w:val="24"/>
        </w:rPr>
        <w:t xml:space="preserve"> underlying social disparities. </w:t>
      </w:r>
    </w:p>
    <w:p w14:paraId="5B687413" w14:textId="22BD2B50" w:rsidR="00FD371A" w:rsidRPr="00787196" w:rsidRDefault="008D619A" w:rsidP="001B3DAA">
      <w:pPr>
        <w:rPr>
          <w:rFonts w:cs="Arial"/>
          <w:szCs w:val="24"/>
        </w:rPr>
      </w:pPr>
      <w:r w:rsidRPr="00787196">
        <w:rPr>
          <w:rFonts w:cs="Arial"/>
          <w:szCs w:val="24"/>
        </w:rPr>
        <w:t>Soci</w:t>
      </w:r>
      <w:r w:rsidR="001B3DAA" w:rsidRPr="00787196">
        <w:rPr>
          <w:rFonts w:cs="Arial"/>
          <w:szCs w:val="24"/>
        </w:rPr>
        <w:t>o-</w:t>
      </w:r>
      <w:r w:rsidRPr="00787196">
        <w:rPr>
          <w:rFonts w:cs="Arial"/>
          <w:szCs w:val="24"/>
        </w:rPr>
        <w:t xml:space="preserve">economic status </w:t>
      </w:r>
      <w:r w:rsidR="002E3D38" w:rsidRPr="00787196">
        <w:rPr>
          <w:rFonts w:cs="Arial"/>
          <w:szCs w:val="24"/>
        </w:rPr>
        <w:t>form</w:t>
      </w:r>
      <w:r w:rsidR="001B3DAA" w:rsidRPr="00787196">
        <w:rPr>
          <w:rFonts w:cs="Arial"/>
          <w:szCs w:val="24"/>
        </w:rPr>
        <w:t>s</w:t>
      </w:r>
      <w:r w:rsidR="002E3D38" w:rsidRPr="00787196">
        <w:rPr>
          <w:rFonts w:cs="Arial"/>
          <w:szCs w:val="24"/>
        </w:rPr>
        <w:t xml:space="preserve"> an integral part of the social </w:t>
      </w:r>
      <w:r w:rsidR="004A152F" w:rsidRPr="00787196">
        <w:rPr>
          <w:rFonts w:cs="Arial"/>
          <w:szCs w:val="24"/>
        </w:rPr>
        <w:t xml:space="preserve">determinants </w:t>
      </w:r>
      <w:r w:rsidR="002E3D38" w:rsidRPr="00787196">
        <w:rPr>
          <w:rFonts w:cs="Arial"/>
          <w:szCs w:val="24"/>
        </w:rPr>
        <w:t xml:space="preserve">which </w:t>
      </w:r>
      <w:r w:rsidR="004A152F" w:rsidRPr="00787196">
        <w:rPr>
          <w:rFonts w:cs="Arial"/>
          <w:szCs w:val="24"/>
        </w:rPr>
        <w:t>are</w:t>
      </w:r>
      <w:r w:rsidR="002E3D38" w:rsidRPr="00787196">
        <w:rPr>
          <w:rFonts w:cs="Arial"/>
          <w:szCs w:val="24"/>
        </w:rPr>
        <w:t xml:space="preserve"> the</w:t>
      </w:r>
      <w:r w:rsidR="004A152F" w:rsidRPr="00787196">
        <w:rPr>
          <w:rFonts w:cs="Arial"/>
          <w:szCs w:val="24"/>
        </w:rPr>
        <w:t xml:space="preserve"> </w:t>
      </w:r>
      <w:r w:rsidR="003F4F52" w:rsidRPr="00787196">
        <w:rPr>
          <w:rFonts w:cs="Arial"/>
          <w:szCs w:val="24"/>
        </w:rPr>
        <w:t xml:space="preserve">fundamental </w:t>
      </w:r>
      <w:r w:rsidR="004A152F" w:rsidRPr="00787196">
        <w:rPr>
          <w:rFonts w:cs="Arial"/>
          <w:szCs w:val="24"/>
        </w:rPr>
        <w:t>structur</w:t>
      </w:r>
      <w:r w:rsidR="003F4F52" w:rsidRPr="00787196">
        <w:rPr>
          <w:rFonts w:cs="Arial"/>
          <w:szCs w:val="24"/>
        </w:rPr>
        <w:t xml:space="preserve">es of social hierarchy </w:t>
      </w:r>
      <w:r w:rsidR="002E3D38" w:rsidRPr="00787196">
        <w:rPr>
          <w:rFonts w:cs="Arial"/>
          <w:szCs w:val="24"/>
        </w:rPr>
        <w:t>that</w:t>
      </w:r>
      <w:r w:rsidR="003F4F52" w:rsidRPr="00787196">
        <w:rPr>
          <w:rFonts w:cs="Arial"/>
          <w:szCs w:val="24"/>
        </w:rPr>
        <w:t xml:space="preserve"> create </w:t>
      </w:r>
      <w:r w:rsidR="004A152F" w:rsidRPr="00787196">
        <w:rPr>
          <w:rFonts w:cs="Arial"/>
          <w:szCs w:val="24"/>
        </w:rPr>
        <w:t xml:space="preserve">the conditions of daily life </w:t>
      </w:r>
      <w:r w:rsidR="003F4F52" w:rsidRPr="00787196">
        <w:rPr>
          <w:rFonts w:cs="Arial"/>
          <w:szCs w:val="24"/>
        </w:rPr>
        <w:t xml:space="preserve">where people live, grow , work and age </w:t>
      </w:r>
      <w:r w:rsidR="004A152F" w:rsidRPr="00787196">
        <w:rPr>
          <w:rFonts w:cs="Arial"/>
          <w:szCs w:val="24"/>
        </w:rPr>
        <w:t xml:space="preserve">that </w:t>
      </w:r>
      <w:r w:rsidR="003F4F52" w:rsidRPr="00787196">
        <w:rPr>
          <w:rFonts w:cs="Arial"/>
          <w:szCs w:val="24"/>
        </w:rPr>
        <w:t xml:space="preserve">lead to their health status and are </w:t>
      </w:r>
      <w:r w:rsidR="002E3D38" w:rsidRPr="00787196">
        <w:rPr>
          <w:rFonts w:cs="Arial"/>
          <w:szCs w:val="24"/>
        </w:rPr>
        <w:t xml:space="preserve">eventually </w:t>
      </w:r>
      <w:r w:rsidR="004A152F" w:rsidRPr="00787196">
        <w:rPr>
          <w:rFonts w:cs="Arial"/>
          <w:szCs w:val="24"/>
        </w:rPr>
        <w:t xml:space="preserve">responsible for health inequities between populations </w:t>
      </w:r>
      <w:r w:rsidR="004A152F" w:rsidRPr="00787196">
        <w:rPr>
          <w:rFonts w:cs="Arial"/>
          <w:szCs w:val="24"/>
        </w:rPr>
        <w:fldChar w:fldCharType="begin"/>
      </w:r>
      <w:r w:rsidR="004A152F" w:rsidRPr="00787196">
        <w:rPr>
          <w:rFonts w:cs="Arial"/>
          <w:szCs w:val="24"/>
        </w:rPr>
        <w:instrText xml:space="preserve"> ADDIN EN.CITE &lt;EndNote&gt;&lt;Cite&gt;&lt;Author&gt;Marmot&lt;/Author&gt;&lt;Year&gt;2007&lt;/Year&gt;&lt;IDText&gt;Closing the gap in a generation: health equity through action on the social determinants of health&lt;/IDText&gt;&lt;DisplayText&gt;(Marmot et al., 2007)&lt;/DisplayText&gt;&lt;record&gt;&lt;dates&gt;&lt;pub-dates&gt;&lt;date&gt;//&lt;/date&gt;&lt;/pub-dates&gt;&lt;year&gt;2007&lt;/year&gt;&lt;/dates&gt;&lt;urls&gt;&lt;related-urls&gt;&lt;url&gt;http://www.sciencedirect.com/science/article/pii/S0140673608616906&lt;/url&gt;&lt;/related-urls&gt;&lt;/urls&gt;&lt;isbn&gt;0140-6736&lt;/isbn&gt;&lt;titles&gt;&lt;title&gt;Closing the gap in a generation: health equity through action on the social determinants of health&lt;/title&gt;&lt;secondary-title&gt;The Lancet&lt;/secondary-title&gt;&lt;/titles&gt;&lt;pages&gt;1661-1669&lt;/pages&gt;&lt;number&gt;9650&lt;/number&gt;&lt;access-date&gt;2008/11/14/&lt;/access-date&gt;&lt;contributors&gt;&lt;authors&gt;&lt;author&gt;Marmot, Michael&lt;/author&gt;&lt;author&gt;Friel, Sharon&lt;/author&gt;&lt;author&gt;Bell, Ruth&lt;/author&gt;&lt;author&gt;Houweling, Tanja A. J.&lt;/author&gt;&lt;author&gt;Taylor, Sebastian&lt;/author&gt;&lt;/authors&gt;&lt;/contributors&gt;&lt;added-date format="utc"&gt;1481227956&lt;/added-date&gt;&lt;ref-type name="Journal Article"&gt;17&lt;/ref-type&gt;&lt;rec-number&gt;2662&lt;/rec-number&gt;&lt;last-updated-date format="utc"&gt;1481244412&lt;/last-updated-date&gt;&lt;electronic-resource-num&gt;http://dx.doi.org/10.1016/S0140-6736(08)61690-6&lt;/electronic-resource-num&gt;&lt;volume&gt;372&lt;/volume&gt;&lt;/record&gt;&lt;/Cite&gt;&lt;/EndNote&gt;</w:instrText>
      </w:r>
      <w:r w:rsidR="004A152F" w:rsidRPr="00787196">
        <w:rPr>
          <w:rFonts w:cs="Arial"/>
          <w:szCs w:val="24"/>
        </w:rPr>
        <w:fldChar w:fldCharType="separate"/>
      </w:r>
      <w:r w:rsidR="004A152F" w:rsidRPr="00787196">
        <w:rPr>
          <w:rFonts w:cs="Arial"/>
          <w:szCs w:val="24"/>
        </w:rPr>
        <w:t>(Marmot et al., 2007)</w:t>
      </w:r>
      <w:r w:rsidR="004A152F" w:rsidRPr="00787196">
        <w:rPr>
          <w:rFonts w:cs="Arial"/>
          <w:szCs w:val="24"/>
        </w:rPr>
        <w:fldChar w:fldCharType="end"/>
      </w:r>
      <w:r w:rsidR="003F4F52" w:rsidRPr="00787196">
        <w:rPr>
          <w:rFonts w:cs="Arial"/>
          <w:szCs w:val="24"/>
        </w:rPr>
        <w:t xml:space="preserve">. </w:t>
      </w:r>
      <w:r w:rsidR="002E3D38" w:rsidRPr="00787196">
        <w:rPr>
          <w:rFonts w:cs="Arial"/>
          <w:szCs w:val="24"/>
        </w:rPr>
        <w:t xml:space="preserve">The </w:t>
      </w:r>
      <w:r w:rsidR="00BD6F40" w:rsidRPr="00787196">
        <w:rPr>
          <w:rFonts w:cs="Arial"/>
          <w:szCs w:val="24"/>
        </w:rPr>
        <w:t>WHO- CSDH model shows how populations are stratified based on income, education, occupation and other socio-economic factors which in turn shape the determinants of health status</w:t>
      </w:r>
      <w:r w:rsidR="002E3D38" w:rsidRPr="00787196">
        <w:rPr>
          <w:rFonts w:cs="Arial"/>
          <w:szCs w:val="24"/>
        </w:rPr>
        <w:t xml:space="preserve"> </w:t>
      </w:r>
      <w:r w:rsidR="00DE6458" w:rsidRPr="00787196">
        <w:rPr>
          <w:rFonts w:cs="Arial"/>
          <w:szCs w:val="24"/>
        </w:rPr>
        <w:t xml:space="preserve">based on their social hierarchy and status </w:t>
      </w:r>
      <w:r w:rsidR="003F4F52" w:rsidRPr="00787196">
        <w:rPr>
          <w:rFonts w:cs="Arial"/>
          <w:szCs w:val="24"/>
        </w:rPr>
        <w:fldChar w:fldCharType="begin"/>
      </w:r>
      <w:r w:rsidR="003F4F52" w:rsidRPr="00787196">
        <w:rPr>
          <w:rFonts w:cs="Arial"/>
          <w:szCs w:val="24"/>
        </w:rPr>
        <w:instrText xml:space="preserve"> ADDIN EN.CITE &lt;EndNote&gt;&lt;Cite&gt;&lt;Author&gt;World Health Organization&lt;/Author&gt;&lt;Year&gt;2010&lt;/Year&gt;&lt;IDText&gt;A conceptual framework for action on the social determinants of health&lt;/IDText&gt;&lt;DisplayText&gt;(World Health Organization, 2010)&lt;/DisplayText&gt;&lt;record&gt;&lt;titles&gt;&lt;title&gt;A conceptual framework for action on the social determinants of health&lt;/title&gt;&lt;/titles&gt;&lt;contributors&gt;&lt;authors&gt;&lt;author&gt;World Health Organization,&lt;/author&gt;&lt;/authors&gt;&lt;/contributors&gt;&lt;added-date format="utc"&gt;1481217358&lt;/added-date&gt;&lt;ref-type name="Journal Article"&gt;17&lt;/ref-type&gt;&lt;dates&gt;&lt;year&gt;2010&lt;/year&gt;&lt;/dates&gt;&lt;rec-number&gt;2660&lt;/rec-number&gt;&lt;publisher&gt;Geneva: World Health Organization&lt;/publisher&gt;&lt;last-updated-date format="utc"&gt;1481245167&lt;/last-updated-date&gt;&lt;/record&gt;&lt;/Cite&gt;&lt;/EndNote&gt;</w:instrText>
      </w:r>
      <w:r w:rsidR="003F4F52" w:rsidRPr="00787196">
        <w:rPr>
          <w:rFonts w:cs="Arial"/>
          <w:szCs w:val="24"/>
        </w:rPr>
        <w:fldChar w:fldCharType="separate"/>
      </w:r>
      <w:r w:rsidR="003F4F52" w:rsidRPr="00787196">
        <w:rPr>
          <w:rFonts w:cs="Arial"/>
          <w:szCs w:val="24"/>
        </w:rPr>
        <w:t>(World Health Organization, 2010)</w:t>
      </w:r>
      <w:r w:rsidR="003F4F52" w:rsidRPr="00787196">
        <w:rPr>
          <w:rFonts w:cs="Arial"/>
          <w:szCs w:val="24"/>
        </w:rPr>
        <w:fldChar w:fldCharType="end"/>
      </w:r>
      <w:r w:rsidR="00BD6F40" w:rsidRPr="00787196">
        <w:rPr>
          <w:rFonts w:cs="Arial"/>
          <w:szCs w:val="24"/>
        </w:rPr>
        <w:t xml:space="preserve">. </w:t>
      </w:r>
    </w:p>
    <w:p w14:paraId="0ED1EDE4" w14:textId="4BE23B43" w:rsidR="00341752" w:rsidRPr="00787196" w:rsidRDefault="008D619A" w:rsidP="001B3DAA">
      <w:pPr>
        <w:rPr>
          <w:rFonts w:cs="Arial"/>
          <w:szCs w:val="24"/>
        </w:rPr>
      </w:pPr>
      <w:r w:rsidRPr="00787196">
        <w:rPr>
          <w:rFonts w:cs="Arial"/>
          <w:szCs w:val="24"/>
        </w:rPr>
        <w:t xml:space="preserve">In terms of oral health inequalities the social gradient is very similar to that of general health </w:t>
      </w:r>
      <w:r w:rsidRPr="00787196">
        <w:rPr>
          <w:rFonts w:cs="Arial"/>
          <w:szCs w:val="24"/>
        </w:rPr>
        <w:fldChar w:fldCharType="begin"/>
      </w:r>
      <w:r w:rsidRPr="00787196">
        <w:rPr>
          <w:rFonts w:cs="Arial"/>
          <w:szCs w:val="24"/>
        </w:rPr>
        <w:instrText xml:space="preserve"> ADDIN EN.CITE &lt;EndNote&gt;&lt;Cite&gt;&lt;Author&gt;Sabbah&lt;/Author&gt;&lt;Year&gt;2007&lt;/Year&gt;&lt;IDText&gt;Social Gradients in Oral and General Health&lt;/IDText&gt;&lt;DisplayText&gt;(Sabbah et al., 2007)&lt;/DisplayText&gt;&lt;record&gt;&lt;dates&gt;&lt;pub-dates&gt;&lt;date&gt;October 1, 2007&lt;/date&gt;&lt;/pub-dates&gt;&lt;year&gt;2007&lt;/year&gt;&lt;/dates&gt;&lt;urls&gt;&lt;related-urls&gt;&lt;url&gt;http://jdr.sagepub.com/content/86/10/992.abstract&lt;/url&gt;&lt;/related-urls&gt;&lt;/urls&gt;&lt;titles&gt;&lt;title&gt;Social Gradients in Oral and General Health&lt;/title&gt;&lt;secondary-title&gt;Journal of Dental Research&lt;/secondary-title&gt;&lt;/titles&gt;&lt;pages&gt;992-996&lt;/pages&gt;&lt;number&gt;10&lt;/number&gt;&lt;contributors&gt;&lt;authors&gt;&lt;author&gt;Sabbah, W.&lt;/author&gt;&lt;author&gt;Tsakos, G.&lt;/author&gt;&lt;author&gt;Chandola, T.&lt;/author&gt;&lt;author&gt;Sheiham, A.&lt;/author&gt;&lt;author&gt;Watt, R. G.&lt;/author&gt;&lt;/authors&gt;&lt;/contributors&gt;&lt;added-date format="utc"&gt;1469778554&lt;/added-date&gt;&lt;ref-type name="Journal Article"&gt;17&lt;/ref-type&gt;&lt;rec-number&gt;2256&lt;/rec-number&gt;&lt;last-updated-date format="utc"&gt;1469778554&lt;/last-updated-date&gt;&lt;electronic-resource-num&gt;10.1177/154405910708601014&lt;/electronic-resource-num&gt;&lt;volume&gt;86&lt;/volume&gt;&lt;/record&gt;&lt;/Cite&gt;&lt;/EndNote&gt;</w:instrText>
      </w:r>
      <w:r w:rsidRPr="00787196">
        <w:rPr>
          <w:rFonts w:cs="Arial"/>
          <w:szCs w:val="24"/>
        </w:rPr>
        <w:fldChar w:fldCharType="separate"/>
      </w:r>
      <w:r w:rsidRPr="00787196">
        <w:rPr>
          <w:rFonts w:cs="Arial"/>
          <w:szCs w:val="24"/>
        </w:rPr>
        <w:t>(Sabbah et al., 2007)</w:t>
      </w:r>
      <w:r w:rsidRPr="00787196">
        <w:rPr>
          <w:rFonts w:cs="Arial"/>
          <w:szCs w:val="24"/>
        </w:rPr>
        <w:fldChar w:fldCharType="end"/>
      </w:r>
      <w:r w:rsidR="00341752" w:rsidRPr="00787196">
        <w:rPr>
          <w:rFonts w:cs="Arial"/>
          <w:szCs w:val="24"/>
        </w:rPr>
        <w:t>. Common biological, behavioural, psychosocial, environmental and socio economic status risk factors determine inequalities in both general and oral health patterns</w:t>
      </w:r>
      <w:r w:rsidR="00435675" w:rsidRPr="00787196">
        <w:rPr>
          <w:rFonts w:cs="Arial"/>
          <w:szCs w:val="24"/>
        </w:rPr>
        <w:t xml:space="preserve"> </w:t>
      </w:r>
      <w:r w:rsidR="00435675" w:rsidRPr="00787196">
        <w:rPr>
          <w:rFonts w:cs="Arial"/>
          <w:szCs w:val="24"/>
        </w:rPr>
        <w:fldChar w:fldCharType="begin"/>
      </w:r>
      <w:r w:rsidR="00435675" w:rsidRPr="00787196">
        <w:rPr>
          <w:rFonts w:cs="Arial"/>
          <w:szCs w:val="24"/>
        </w:rPr>
        <w:instrText xml:space="preserve"> ADDIN EN.CITE &lt;EndNote&gt;&lt;Cite&gt;&lt;Author&gt;Watt&lt;/Author&gt;&lt;Year&gt;2015&lt;/Year&gt;&lt;IDText&gt;Social inequalities in oral health: from evidence to action&lt;/IDText&gt;&lt;DisplayText&gt;(Watt et al., 2015)&lt;/DisplayText&gt;&lt;record&gt;&lt;urls&gt;&lt;related-urls&gt;&lt;url&gt;http://www.icohirp.com/monograph.html&lt;/url&gt;&lt;/related-urls&gt;&lt;/urls&gt;&lt;titles&gt;&lt;title&gt;Social inequalities in oral health: from evidence to action&lt;/title&gt;&lt;/titles&gt;&lt;number&gt;November 2016&lt;/number&gt;&lt;contributors&gt;&lt;authors&gt;&lt;author&gt;Watt, RG,&lt;/author&gt;&lt;author&gt;Listl, S&lt;/author&gt;&lt;author&gt;Peres, M A&lt;/author&gt;&lt;author&gt;Heilmann, A&lt;/author&gt;&lt;/authors&gt;&lt;/contributors&gt;&lt;added-date format="utc"&gt;1481247255&lt;/added-date&gt;&lt;ref-type name="Web Page"&gt;12&lt;/ref-type&gt;&lt;dates&gt;&lt;year&gt;2015&lt;/year&gt;&lt;/dates&gt;&lt;rec-number&gt;2667&lt;/rec-number&gt;&lt;last-updated-date format="utc"&gt;1481247438&lt;/last-updated-date&gt;&lt;/record&gt;&lt;/Cite&gt;&lt;/EndNote&gt;</w:instrText>
      </w:r>
      <w:r w:rsidR="00435675" w:rsidRPr="00787196">
        <w:rPr>
          <w:rFonts w:cs="Arial"/>
          <w:szCs w:val="24"/>
        </w:rPr>
        <w:fldChar w:fldCharType="separate"/>
      </w:r>
      <w:r w:rsidR="00435675" w:rsidRPr="00787196">
        <w:rPr>
          <w:rFonts w:cs="Arial"/>
          <w:szCs w:val="24"/>
        </w:rPr>
        <w:t>(Watt et al., 2015)</w:t>
      </w:r>
      <w:r w:rsidR="00435675" w:rsidRPr="00787196">
        <w:rPr>
          <w:rFonts w:cs="Arial"/>
          <w:szCs w:val="24"/>
        </w:rPr>
        <w:fldChar w:fldCharType="end"/>
      </w:r>
      <w:r w:rsidR="001B3DAA" w:rsidRPr="00787196">
        <w:rPr>
          <w:rFonts w:cs="Arial"/>
          <w:szCs w:val="24"/>
        </w:rPr>
        <w:t xml:space="preserve">. </w:t>
      </w:r>
      <w:r w:rsidR="00435675" w:rsidRPr="00787196">
        <w:rPr>
          <w:rFonts w:cs="Arial"/>
          <w:szCs w:val="24"/>
        </w:rPr>
        <w:t>Watt and Sheiham</w:t>
      </w:r>
      <w:r w:rsidR="001B3DAA" w:rsidRPr="00787196">
        <w:rPr>
          <w:rFonts w:cs="Arial"/>
          <w:szCs w:val="24"/>
        </w:rPr>
        <w:t>’s</w:t>
      </w:r>
      <w:r w:rsidR="00435675" w:rsidRPr="00787196">
        <w:rPr>
          <w:rFonts w:cs="Arial"/>
          <w:szCs w:val="24"/>
        </w:rPr>
        <w:t xml:space="preserve"> </w:t>
      </w:r>
      <w:r w:rsidR="00435675" w:rsidRPr="00787196">
        <w:rPr>
          <w:rFonts w:cs="Arial"/>
          <w:szCs w:val="24"/>
        </w:rPr>
        <w:fldChar w:fldCharType="begin"/>
      </w:r>
      <w:r w:rsidR="00435675" w:rsidRPr="00787196">
        <w:rPr>
          <w:rFonts w:cs="Arial"/>
          <w:szCs w:val="24"/>
        </w:rPr>
        <w:instrText xml:space="preserve"> ADDIN EN.CITE &lt;EndNote&gt;&lt;Cite ExcludeAuth="1"&gt;&lt;Author&gt;Watt&lt;/Author&gt;&lt;Year&gt;2012&lt;/Year&gt;&lt;IDText&gt;Integrating the common risk factor approach into a social determinants framework&lt;/IDText&gt;&lt;DisplayText&gt;(2012)&lt;/DisplayText&gt;&lt;record&gt;&lt;dates&gt;&lt;pub-dates&gt;&lt;date&gt;20120718 DCOM- 20121217&lt;/date&gt;&lt;/pub-dates&gt;&lt;year&gt;2012&lt;/year&gt;&lt;/dates&gt;&lt;titles&gt;&lt;title&gt;Integrating the common risk factor approach into a social determinants framework&lt;/title&gt;&lt;/titles&gt;&lt;number&gt;1600-0528 (Electronic)&lt;/number&gt;&lt;contributors&gt;&lt;authors&gt;&lt;author&gt;Watt, R. G.&lt;/author&gt;&lt;author&gt;Sheiham, A.&lt;/author&gt;&lt;/authors&gt;&lt;/contributors&gt;&lt;language&gt;eng&lt;/language&gt;&lt;added-date format="utc"&gt;1481246875&lt;/added-date&gt;&lt;ref-type name="Journal Article"&gt;17&lt;/ref-type&gt;&lt;auth-address&gt;Department of Epidemiology and Public Health, University College, London, London, UK. r.watt@ucl.ac.uk FAU - Sheiham, Aubrey&lt;/auth-address&gt;&lt;remote-database-provider&gt;2012 Aug&lt;/remote-database-provider&gt;&lt;rec-number&gt;2666&lt;/rec-number&gt;&lt;last-updated-date format="utc"&gt;1481246955&lt;/last-updated-date&gt;&lt;contributors&gt;&lt;translated-authors&gt;&lt;author&gt;Community Dent Oral, Epidemiol&lt;/author&gt;&lt;/translated-authors&gt;&lt;/contributors&gt;&lt;/record&gt;&lt;/Cite&gt;&lt;/EndNote&gt;</w:instrText>
      </w:r>
      <w:r w:rsidR="00435675" w:rsidRPr="00787196">
        <w:rPr>
          <w:rFonts w:cs="Arial"/>
          <w:szCs w:val="24"/>
        </w:rPr>
        <w:fldChar w:fldCharType="separate"/>
      </w:r>
      <w:r w:rsidR="00435675" w:rsidRPr="00787196">
        <w:rPr>
          <w:rFonts w:cs="Arial"/>
          <w:szCs w:val="24"/>
        </w:rPr>
        <w:t>(2012)</w:t>
      </w:r>
      <w:r w:rsidR="00435675" w:rsidRPr="00787196">
        <w:rPr>
          <w:rFonts w:cs="Arial"/>
          <w:szCs w:val="24"/>
        </w:rPr>
        <w:fldChar w:fldCharType="end"/>
      </w:r>
      <w:r w:rsidR="00624199" w:rsidRPr="00787196">
        <w:rPr>
          <w:rFonts w:cs="Arial"/>
          <w:szCs w:val="24"/>
        </w:rPr>
        <w:t xml:space="preserve"> new conceptual model for oral health inequalities </w:t>
      </w:r>
      <w:r w:rsidR="001B3DAA" w:rsidRPr="00787196">
        <w:rPr>
          <w:rFonts w:cs="Arial"/>
          <w:szCs w:val="24"/>
        </w:rPr>
        <w:t>framed</w:t>
      </w:r>
      <w:r w:rsidR="00624199" w:rsidRPr="00787196">
        <w:rPr>
          <w:rFonts w:cs="Arial"/>
          <w:szCs w:val="24"/>
        </w:rPr>
        <w:t xml:space="preserve"> SES as the intermediary determinant or oral health inequalities interlinking through the biological, behavioural, environmental and immediate social circumstances.</w:t>
      </w:r>
    </w:p>
    <w:p w14:paraId="12D1C979" w14:textId="53110C62" w:rsidR="00C57E82" w:rsidRPr="00787196" w:rsidRDefault="00624199" w:rsidP="001B3DAA">
      <w:pPr>
        <w:rPr>
          <w:rFonts w:cs="Arial"/>
          <w:szCs w:val="24"/>
        </w:rPr>
      </w:pPr>
      <w:r w:rsidRPr="00787196">
        <w:rPr>
          <w:rFonts w:cs="Arial"/>
          <w:szCs w:val="24"/>
        </w:rPr>
        <w:t>In this section various expla</w:t>
      </w:r>
      <w:r w:rsidR="00C57E82" w:rsidRPr="00787196">
        <w:rPr>
          <w:rFonts w:cs="Arial"/>
          <w:szCs w:val="24"/>
        </w:rPr>
        <w:t>n</w:t>
      </w:r>
      <w:r w:rsidRPr="00787196">
        <w:rPr>
          <w:rFonts w:cs="Arial"/>
          <w:szCs w:val="24"/>
        </w:rPr>
        <w:t>ation</w:t>
      </w:r>
      <w:r w:rsidR="006E5DD5" w:rsidRPr="00787196">
        <w:rPr>
          <w:rFonts w:cs="Arial"/>
          <w:szCs w:val="24"/>
        </w:rPr>
        <w:t xml:space="preserve">s of </w:t>
      </w:r>
      <w:r w:rsidR="00C57E82" w:rsidRPr="00787196">
        <w:rPr>
          <w:rFonts w:cs="Arial"/>
          <w:szCs w:val="24"/>
        </w:rPr>
        <w:t xml:space="preserve">inequalities </w:t>
      </w:r>
      <w:r w:rsidR="006E5DD5" w:rsidRPr="00787196">
        <w:rPr>
          <w:rFonts w:cs="Arial"/>
          <w:szCs w:val="24"/>
        </w:rPr>
        <w:t xml:space="preserve">were discussed but they </w:t>
      </w:r>
      <w:r w:rsidR="00C57E82" w:rsidRPr="00787196">
        <w:rPr>
          <w:rFonts w:cs="Arial"/>
          <w:szCs w:val="24"/>
        </w:rPr>
        <w:t xml:space="preserve">are not mutually exclusive. They may interact and operate </w:t>
      </w:r>
      <w:r w:rsidR="00E3473B" w:rsidRPr="00787196">
        <w:rPr>
          <w:rFonts w:cs="Arial"/>
          <w:szCs w:val="24"/>
        </w:rPr>
        <w:t>in tandem</w:t>
      </w:r>
      <w:r w:rsidR="00C57E82" w:rsidRPr="00787196">
        <w:rPr>
          <w:rFonts w:cs="Arial"/>
          <w:szCs w:val="24"/>
        </w:rPr>
        <w:t xml:space="preserve"> to </w:t>
      </w:r>
      <w:r w:rsidR="00E3473B" w:rsidRPr="00787196">
        <w:rPr>
          <w:rFonts w:cs="Arial"/>
          <w:szCs w:val="24"/>
        </w:rPr>
        <w:t xml:space="preserve">cause </w:t>
      </w:r>
      <w:r w:rsidR="00C57E82" w:rsidRPr="00787196">
        <w:rPr>
          <w:rFonts w:cs="Arial"/>
          <w:szCs w:val="24"/>
        </w:rPr>
        <w:t xml:space="preserve">inequalities </w:t>
      </w:r>
      <w:r w:rsidR="000B37A6" w:rsidRPr="00787196">
        <w:rPr>
          <w:rFonts w:cs="Arial"/>
          <w:szCs w:val="24"/>
        </w:rPr>
        <w:t>at individual</w:t>
      </w:r>
      <w:r w:rsidR="00C57E82" w:rsidRPr="00787196">
        <w:rPr>
          <w:rFonts w:cs="Arial"/>
          <w:szCs w:val="24"/>
        </w:rPr>
        <w:t xml:space="preserve"> and population </w:t>
      </w:r>
      <w:r w:rsidR="002178E5" w:rsidRPr="00787196">
        <w:rPr>
          <w:rFonts w:cs="Arial"/>
          <w:szCs w:val="24"/>
        </w:rPr>
        <w:t>levels. Objective</w:t>
      </w:r>
      <w:r w:rsidR="00C57E82" w:rsidRPr="00787196">
        <w:rPr>
          <w:rFonts w:cs="Arial"/>
          <w:szCs w:val="24"/>
        </w:rPr>
        <w:t xml:space="preserve"> SES is associated with oral health status, oral health related behaviours and OHQoL in denture wearers. </w:t>
      </w:r>
      <w:r w:rsidR="006E5DD5" w:rsidRPr="00787196">
        <w:rPr>
          <w:rFonts w:cs="Arial"/>
          <w:szCs w:val="24"/>
        </w:rPr>
        <w:t>However, t</w:t>
      </w:r>
      <w:r w:rsidR="00C57E82" w:rsidRPr="00787196">
        <w:rPr>
          <w:rFonts w:cs="Arial"/>
          <w:szCs w:val="24"/>
        </w:rPr>
        <w:t xml:space="preserve">he studies chosen </w:t>
      </w:r>
      <w:r w:rsidR="006E5DD5" w:rsidRPr="00787196">
        <w:rPr>
          <w:rFonts w:cs="Arial"/>
          <w:szCs w:val="24"/>
        </w:rPr>
        <w:t>in this</w:t>
      </w:r>
      <w:r w:rsidR="00C57E82" w:rsidRPr="00787196">
        <w:rPr>
          <w:rFonts w:cs="Arial"/>
          <w:szCs w:val="24"/>
        </w:rPr>
        <w:t xml:space="preserve"> review show these associations but do not </w:t>
      </w:r>
      <w:r w:rsidR="006E5DD5" w:rsidRPr="00787196">
        <w:rPr>
          <w:rFonts w:cs="Arial"/>
          <w:szCs w:val="24"/>
        </w:rPr>
        <w:t xml:space="preserve">specifically </w:t>
      </w:r>
      <w:r w:rsidR="00C57E82" w:rsidRPr="00787196">
        <w:rPr>
          <w:rFonts w:cs="Arial"/>
          <w:szCs w:val="24"/>
        </w:rPr>
        <w:t>explain t</w:t>
      </w:r>
      <w:r w:rsidR="006E5DD5" w:rsidRPr="00787196">
        <w:rPr>
          <w:rFonts w:cs="Arial"/>
          <w:szCs w:val="24"/>
        </w:rPr>
        <w:t>he mechanisms through which they</w:t>
      </w:r>
      <w:r w:rsidR="00C57E82" w:rsidRPr="00787196">
        <w:rPr>
          <w:rFonts w:cs="Arial"/>
          <w:szCs w:val="24"/>
        </w:rPr>
        <w:t xml:space="preserve"> influence OHQoL in denture wearers (Baran et al., 2007,</w:t>
      </w:r>
      <w:r w:rsidR="00FE673E" w:rsidRPr="00787196">
        <w:rPr>
          <w:rFonts w:cs="Arial"/>
          <w:szCs w:val="24"/>
        </w:rPr>
        <w:t xml:space="preserve"> </w:t>
      </w:r>
      <w:r w:rsidR="00C57E82" w:rsidRPr="00787196">
        <w:rPr>
          <w:rFonts w:cs="Arial"/>
          <w:szCs w:val="24"/>
        </w:rPr>
        <w:t xml:space="preserve">Michaud et al., 2008, Emami et al., 2010, </w:t>
      </w:r>
      <w:r w:rsidR="00C57E82" w:rsidRPr="00787196">
        <w:rPr>
          <w:rFonts w:cs="Arial"/>
          <w:szCs w:val="24"/>
        </w:rPr>
        <w:lastRenderedPageBreak/>
        <w:t>Jabbour et al., 2012).</w:t>
      </w:r>
      <w:r w:rsidR="006E5DD5" w:rsidRPr="00787196">
        <w:rPr>
          <w:rFonts w:cs="Arial"/>
          <w:szCs w:val="24"/>
        </w:rPr>
        <w:t xml:space="preserve"> But given the ample existing evidence Objective SES was used as variable to be observe whether it predicts denture success. </w:t>
      </w:r>
    </w:p>
    <w:p w14:paraId="0FFF7F1D" w14:textId="1BECC561" w:rsidR="007D7BA5" w:rsidRPr="00787196" w:rsidRDefault="001B3DAA" w:rsidP="004F119E">
      <w:pPr>
        <w:pStyle w:val="Heading2"/>
      </w:pPr>
      <w:bookmarkStart w:id="99" w:name="_Toc488655632"/>
      <w:r w:rsidRPr="00787196">
        <w:t>Summary</w:t>
      </w:r>
      <w:bookmarkEnd w:id="99"/>
    </w:p>
    <w:p w14:paraId="6CA8177D" w14:textId="199F88EB" w:rsidR="00F3739E" w:rsidRPr="00787196" w:rsidRDefault="007D7BA5" w:rsidP="00D54533">
      <w:pPr>
        <w:rPr>
          <w:rFonts w:cs="Arial"/>
          <w:szCs w:val="24"/>
        </w:rPr>
      </w:pPr>
      <w:r w:rsidRPr="00787196">
        <w:rPr>
          <w:rFonts w:cs="Arial"/>
          <w:szCs w:val="24"/>
        </w:rPr>
        <w:t xml:space="preserve">It has been reported that wearing removable prosthesis demands emotional and functional adjustments in life </w:t>
      </w:r>
      <w:r w:rsidRPr="00787196">
        <w:rPr>
          <w:rFonts w:cs="Arial"/>
          <w:szCs w:val="24"/>
        </w:rPr>
        <w:fldChar w:fldCharType="begin"/>
      </w:r>
      <w:r w:rsidRPr="00787196">
        <w:rPr>
          <w:rFonts w:cs="Arial"/>
          <w:szCs w:val="24"/>
        </w:rPr>
        <w:instrText xml:space="preserve"> ADDIN EN.CITE &lt;EndNote&gt;&lt;Cite&gt;&lt;Author&gt;Fiske&lt;/Author&gt;&lt;Year&gt;1998&lt;/Year&gt;&lt;RecNum&gt;0&lt;/RecNum&gt;&lt;IDText&gt;The emotional effects of tooth loss in edentulous people&lt;/IDText&gt;&lt;DisplayText&gt;(Fiske et al., 1998)&lt;/DisplayText&gt;&lt;record&gt;&lt;urls&gt;&lt;related-urls&gt;&lt;url&gt;http://dx.doi.org/10.1038/sj.bdj.4809551&lt;/url&gt;&lt;/related-urls&gt;&lt;/urls&gt;&lt;titles&gt;&lt;title&gt;The emotional effects of tooth loss in edentulous people&lt;/title&gt;&lt;secondary-title&gt;British Dental Journal&lt;/secondary-title&gt;&lt;/titles&gt;&lt;pages&gt;4&lt;/pages&gt;&lt;number&gt;2&lt;/number&gt;&lt;contributors&gt;&lt;authors&gt;&lt;author&gt;Fiske,J&lt;/author&gt;&lt;author&gt;Davis,D M&lt;/author&gt;&lt;author&gt;Frances,C&lt;/author&gt;&lt;author&gt;Gelbier, S&lt;/author&gt;&lt;/authors&gt;&lt;/contributors&gt;&lt;section&gt;90&lt;/section&gt;&lt;added-date format="utc"&gt;1360572649&lt;/added-date&gt;&lt;ref-type name="Journal Article"&gt;17&lt;/ref-type&gt;&lt;dates&gt;&lt;year&gt;1998&lt;/year&gt;&lt;/dates&gt;&lt;rec-number&gt;463&lt;/rec-number&gt;&lt;last-updated-date format="utc"&gt;1385713712&lt;/last-updated-date&gt;&lt;volume&gt;184&lt;/volume&gt;&lt;/record&gt;&lt;/Cite&gt;&lt;/EndNote&gt;</w:instrText>
      </w:r>
      <w:r w:rsidRPr="00787196">
        <w:rPr>
          <w:rFonts w:cs="Arial"/>
          <w:szCs w:val="24"/>
        </w:rPr>
        <w:fldChar w:fldCharType="separate"/>
      </w:r>
      <w:r w:rsidRPr="00787196">
        <w:rPr>
          <w:rFonts w:cs="Arial"/>
          <w:szCs w:val="24"/>
        </w:rPr>
        <w:t>(Fiske et al., 1998)</w:t>
      </w:r>
      <w:r w:rsidRPr="00787196">
        <w:rPr>
          <w:rFonts w:cs="Arial"/>
          <w:szCs w:val="24"/>
        </w:rPr>
        <w:fldChar w:fldCharType="end"/>
      </w:r>
      <w:r w:rsidR="002178E5" w:rsidRPr="00787196">
        <w:rPr>
          <w:rFonts w:cs="Arial"/>
          <w:szCs w:val="24"/>
        </w:rPr>
        <w:t xml:space="preserve">. </w:t>
      </w:r>
      <w:r w:rsidRPr="00787196">
        <w:rPr>
          <w:rFonts w:cs="Arial"/>
          <w:szCs w:val="24"/>
        </w:rPr>
        <w:t xml:space="preserve">To accept external objects like dentures into the mouth to may require adaptation on a large scale from the patient </w:t>
      </w:r>
      <w:r w:rsidRPr="00787196">
        <w:rPr>
          <w:rFonts w:cs="Arial"/>
          <w:szCs w:val="24"/>
        </w:rPr>
        <w:fldChar w:fldCharType="begin"/>
      </w:r>
      <w:r w:rsidRPr="00787196">
        <w:rPr>
          <w:rFonts w:cs="Arial"/>
          <w:szCs w:val="24"/>
        </w:rPr>
        <w:instrText xml:space="preserve"> ADDIN EN.CITE &lt;EndNote&gt;&lt;Cite&gt;&lt;Author&gt;Hogenius&lt;/Author&gt;&lt;Year&gt;1992&lt;/Year&gt;&lt;RecNum&gt;0&lt;/RecNum&gt;&lt;IDText&gt;Demographical, odontological, and psychological variables in individuals referred for osseointegrated dental implants&lt;/IDText&gt;&lt;DisplayText&gt;(Hogenius et al., 1992)&lt;/DisplayText&gt;&lt;record&gt;&lt;keywords&gt;&lt;keyword&gt;adaptation&lt;/keyword&gt;&lt;keyword&gt;behavioral dentistry&lt;/keyword&gt;&lt;keyword&gt;dental implants&lt;/keyword&gt;&lt;keyword&gt;edentulous&lt;/keyword&gt;&lt;keyword&gt;psychometrics&lt;/keyword&gt;&lt;/keywords&gt;&lt;urls&gt;&lt;related-urls&gt;&lt;url&gt;http://dx.doi.org/10.1111/j.1600-0528.1992.tb01721.x&lt;/url&gt;&lt;/related-urls&gt;&lt;/urls&gt;&lt;isbn&gt;1600-0528&lt;/isbn&gt;&lt;titles&gt;&lt;title&gt;Demographical, odontological, and psychological variables in individuals referred for osseointegrated dental implants&lt;/title&gt;&lt;secondary-title&gt;Community Dentistry and Oral Epidemiology&lt;/secondary-title&gt;&lt;/titles&gt;&lt;pages&gt;224-228&lt;/pages&gt;&lt;number&gt;4&lt;/number&gt;&lt;contributors&gt;&lt;authors&gt;&lt;author&gt;Hogenius, Sylvia&lt;/author&gt;&lt;author&gt;Berggren, Ulf&lt;/author&gt;&lt;author&gt;Blomberg, Stig&lt;/author&gt;&lt;author&gt;Jemt, Torsten&lt;/author&gt;&lt;author&gt;Öhman, Sven-Christer&lt;/author&gt;&lt;/authors&gt;&lt;/contributors&gt;&lt;added-date format="utc"&gt;1370009235&lt;/added-date&gt;&lt;ref-type name="Journal Article"&gt;17&lt;/ref-type&gt;&lt;dates&gt;&lt;year&gt;1992&lt;/year&gt;&lt;/dates&gt;&lt;rec-number&gt;730&lt;/rec-number&gt;&lt;publisher&gt;Blackwell Publishing Ltd&lt;/publisher&gt;&lt;last-updated-date format="utc"&gt;1385713712&lt;/last-updated-date&gt;&lt;electronic-resource-num&gt;10.1111/j.1600-0528.1992.tb01721.x&lt;/electronic-resource-num&gt;&lt;volume&gt;20&lt;/volume&gt;&lt;/record&gt;&lt;/Cite&gt;&lt;/EndNote&gt;</w:instrText>
      </w:r>
      <w:r w:rsidRPr="00787196">
        <w:rPr>
          <w:rFonts w:cs="Arial"/>
          <w:szCs w:val="24"/>
        </w:rPr>
        <w:fldChar w:fldCharType="separate"/>
      </w:r>
      <w:r w:rsidRPr="00787196">
        <w:rPr>
          <w:rFonts w:cs="Arial"/>
          <w:szCs w:val="24"/>
        </w:rPr>
        <w:t>(Hogenius et al., 1992)</w:t>
      </w:r>
      <w:r w:rsidRPr="00787196">
        <w:rPr>
          <w:rFonts w:cs="Arial"/>
          <w:szCs w:val="24"/>
        </w:rPr>
        <w:fldChar w:fldCharType="end"/>
      </w:r>
      <w:r w:rsidRPr="00787196">
        <w:rPr>
          <w:rFonts w:cs="Arial"/>
          <w:szCs w:val="24"/>
        </w:rPr>
        <w:t xml:space="preserve">. Such adaptation to dentures will not just be restricted with functional and physiological aspects, but may require adaptations at an emotional level as well. The ability to adapt to dental prostheses (dentures) especially removable ones, is seen as a challenge in prosthodontic management </w:t>
      </w:r>
      <w:r w:rsidRPr="00787196">
        <w:rPr>
          <w:rFonts w:cs="Arial"/>
          <w:szCs w:val="24"/>
        </w:rPr>
        <w:fldChar w:fldCharType="begin"/>
      </w:r>
      <w:r w:rsidRPr="00787196">
        <w:rPr>
          <w:rFonts w:cs="Arial"/>
          <w:szCs w:val="24"/>
        </w:rPr>
        <w:instrText xml:space="preserve"> ADDIN EN.CITE &lt;EndNote&gt;&lt;Cite&gt;&lt;Author&gt;Müller&lt;/Author&gt;&lt;Year&gt;1993&lt;/Year&gt;&lt;RecNum&gt;0&lt;/RecNum&gt;&lt;IDText&gt;Experimental studies of adaptation to complete dentures related to ageing&lt;/IDText&gt;&lt;DisplayText&gt;(Müller and Hasse‐Sander, 1993)&lt;/DisplayText&gt;&lt;record&gt;&lt;isbn&gt;1741-2358&lt;/isbn&gt;&lt;titles&gt;&lt;title&gt;Experimental studies of adaptation to complete dentures related to ageing&lt;/title&gt;&lt;secondary-title&gt;Gerodontology&lt;/secondary-title&gt;&lt;/titles&gt;&lt;pages&gt;23-27&lt;/pages&gt;&lt;number&gt;1&lt;/number&gt;&lt;contributors&gt;&lt;authors&gt;&lt;author&gt;Müller, Frauke&lt;/author&gt;&lt;author&gt;Hasse‐Sander, Inge&lt;/author&gt;&lt;/authors&gt;&lt;/contributors&gt;&lt;added-date format="utc"&gt;1372343185&lt;/added-date&gt;&lt;ref-type name="Journal Article"&gt;17&lt;/ref-type&gt;&lt;dates&gt;&lt;year&gt;1993&lt;/year&gt;&lt;/dates&gt;&lt;rec-number&gt;805&lt;/rec-number&gt;&lt;publisher&gt;Wiley Online Library&lt;/publisher&gt;&lt;last-updated-date format="utc"&gt;1385713712&lt;/last-updated-date&gt;&lt;volume&gt;10&lt;/volume&gt;&lt;/record&gt;&lt;/Cite&gt;&lt;/EndNote&gt;</w:instrText>
      </w:r>
      <w:r w:rsidRPr="00787196">
        <w:rPr>
          <w:rFonts w:cs="Arial"/>
          <w:szCs w:val="24"/>
        </w:rPr>
        <w:fldChar w:fldCharType="separate"/>
      </w:r>
      <w:r w:rsidRPr="00787196">
        <w:rPr>
          <w:rFonts w:cs="Arial"/>
          <w:szCs w:val="24"/>
        </w:rPr>
        <w:t>(Müller and Hasse</w:t>
      </w:r>
      <w:r w:rsidRPr="00787196">
        <w:rPr>
          <w:rFonts w:ascii="Cambria Math" w:hAnsi="Cambria Math" w:cs="Cambria Math"/>
          <w:szCs w:val="24"/>
        </w:rPr>
        <w:t>‐</w:t>
      </w:r>
      <w:r w:rsidRPr="00787196">
        <w:rPr>
          <w:rFonts w:cs="Arial"/>
          <w:szCs w:val="24"/>
        </w:rPr>
        <w:t>Sander, 1993)</w:t>
      </w:r>
      <w:r w:rsidRPr="00787196">
        <w:rPr>
          <w:rFonts w:cs="Arial"/>
          <w:szCs w:val="24"/>
        </w:rPr>
        <w:fldChar w:fldCharType="end"/>
      </w:r>
      <w:r w:rsidRPr="00787196">
        <w:rPr>
          <w:rFonts w:cs="Arial"/>
          <w:szCs w:val="24"/>
        </w:rPr>
        <w:t>. Coping strategies is a relatively under-explored area in the prosthodontic literature. Based on the evidence discussed in this section, the relationship between coping strategies, oral health status, OHQoL in denture wearers warrant further exploration.</w:t>
      </w:r>
    </w:p>
    <w:p w14:paraId="68676324" w14:textId="1B1AC581" w:rsidR="007D7BA5" w:rsidRPr="00787196" w:rsidRDefault="007D7BA5" w:rsidP="002178E5">
      <w:pPr>
        <w:spacing w:before="0" w:after="240"/>
        <w:ind w:right="-99"/>
        <w:rPr>
          <w:rFonts w:cs="Arial"/>
          <w:szCs w:val="24"/>
        </w:rPr>
      </w:pPr>
      <w:r w:rsidRPr="00787196">
        <w:rPr>
          <w:rFonts w:cs="Arial"/>
          <w:szCs w:val="24"/>
        </w:rPr>
        <w:t xml:space="preserve">With the advent of patient- centred research in dentistry, patients’ own perceptions are given a higher importance in treatment outcomes (Gerdin, et al., 2005; Gibson, et al., 2010). Assessing treatment outcomes based on patient’s perspectives may help achieve successful oral health interventions in patients. </w:t>
      </w:r>
    </w:p>
    <w:p w14:paraId="24D301F3" w14:textId="31E49754" w:rsidR="00D54533" w:rsidRPr="00787196" w:rsidRDefault="007D7BA5" w:rsidP="00E44135">
      <w:pPr>
        <w:spacing w:before="0"/>
        <w:ind w:right="-99"/>
        <w:rPr>
          <w:rFonts w:cs="Arial"/>
          <w:szCs w:val="24"/>
        </w:rPr>
      </w:pPr>
      <w:r w:rsidRPr="00787196">
        <w:rPr>
          <w:rFonts w:cs="Arial"/>
          <w:szCs w:val="24"/>
        </w:rPr>
        <w:t xml:space="preserve">Denture success is considered differently by dentists and patients </w:t>
      </w:r>
      <w:r w:rsidRPr="00787196">
        <w:rPr>
          <w:rFonts w:cs="Arial"/>
          <w:szCs w:val="24"/>
        </w:rPr>
        <w:fldChar w:fldCharType="begin"/>
      </w:r>
      <w:r w:rsidRPr="00787196">
        <w:rPr>
          <w:rFonts w:cs="Arial"/>
          <w:szCs w:val="24"/>
        </w:rPr>
        <w:instrText xml:space="preserve"> ADDIN EN.CITE &lt;EndNote&gt;&lt;Cite&gt;&lt;Author&gt;Wakabayashi&lt;/Author&gt;&lt;Year&gt;1998&lt;/Year&gt;&lt;RecNum&gt;0&lt;/RecNum&gt;&lt;IDText&gt;The influence of some demographic and clinical variables on psychosomatic traits of patients requesting replacement removable partial dentures&lt;/IDText&gt;&lt;DisplayText&gt;(Wakabayashi et al., 1998)&lt;/DisplayText&gt;&lt;record&gt;&lt;isbn&gt;1365-2842&lt;/isbn&gt;&lt;titles&gt;&lt;title&gt;The influence of some demographic and clinical variables on psychosomatic traits of patients requesting replacement removable partial dentures&lt;/title&gt;&lt;secondary-title&gt;Journal of oral rehabilitation&lt;/secondary-title&gt;&lt;/titles&gt;&lt;pages&gt;507-512&lt;/pages&gt;&lt;number&gt;7&lt;/number&gt;&lt;contributors&gt;&lt;authors&gt;&lt;author&gt;Wakabayashi, N.&lt;/author&gt;&lt;author&gt;Yatabe, M.&lt;/author&gt;&lt;author&gt;Ai, M.&lt;/author&gt;&lt;author&gt;Sato, M.&lt;/author&gt;&lt;author&gt;Nakamura, K.&lt;/author&gt;&lt;/authors&gt;&lt;/contributors&gt;&lt;added-date format="utc"&gt;1372318140&lt;/added-date&gt;&lt;ref-type name="Journal Article"&gt;17&lt;/ref-type&gt;&lt;dates&gt;&lt;year&gt;1998&lt;/year&gt;&lt;/dates&gt;&lt;rec-number&gt;794&lt;/rec-number&gt;&lt;publisher&gt;Wiley Online Library&lt;/publisher&gt;&lt;last-updated-date format="utc"&gt;1385713712&lt;/last-updated-date&gt;&lt;volume&gt;25&lt;/volume&gt;&lt;/record&gt;&lt;/Cite&gt;&lt;/EndNote&gt;</w:instrText>
      </w:r>
      <w:r w:rsidRPr="00787196">
        <w:rPr>
          <w:rFonts w:cs="Arial"/>
          <w:szCs w:val="24"/>
        </w:rPr>
        <w:fldChar w:fldCharType="separate"/>
      </w:r>
      <w:r w:rsidRPr="00787196">
        <w:rPr>
          <w:rFonts w:cs="Arial"/>
          <w:szCs w:val="24"/>
        </w:rPr>
        <w:t>(Wakabayashi et al., 1998)</w:t>
      </w:r>
      <w:r w:rsidRPr="00787196">
        <w:rPr>
          <w:rFonts w:cs="Arial"/>
          <w:szCs w:val="24"/>
        </w:rPr>
        <w:fldChar w:fldCharType="end"/>
      </w:r>
      <w:r w:rsidRPr="00787196">
        <w:rPr>
          <w:rFonts w:cs="Arial"/>
          <w:szCs w:val="24"/>
        </w:rPr>
        <w:t>. While the former consider success when certain technical standards are achieved, the latter evaluate success based on personal satisfaction or other subjective assessments.</w:t>
      </w:r>
      <w:r w:rsidR="00AF0DFB" w:rsidRPr="00787196">
        <w:rPr>
          <w:rFonts w:cs="Arial"/>
          <w:szCs w:val="24"/>
        </w:rPr>
        <w:t xml:space="preserve"> </w:t>
      </w:r>
      <w:r w:rsidRPr="00787196">
        <w:rPr>
          <w:rFonts w:cs="Arial"/>
          <w:szCs w:val="24"/>
        </w:rPr>
        <w:t xml:space="preserve">The clinical parameters of dentures such as denture quality, denture processing and fabrication methods and the anatomical features of patients were traditionally regarded as the main factors that determine denture success </w:t>
      </w:r>
      <w:r w:rsidRPr="00787196">
        <w:rPr>
          <w:rFonts w:cs="Arial"/>
          <w:szCs w:val="24"/>
        </w:rPr>
        <w:fldChar w:fldCharType="begin">
          <w:fldData xml:space="preserve">PEVuZE5vdGU+PENpdGU+PEF1dGhvcj5Zb3NoaXp1bWk8L0F1dGhvcj48WWVhcj4xOTY0PC9ZZWFy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PEVuZE5vdGU+PENpdGU+PEF1dGhvcj5Zb3NoaXp1bWk8L0F1dGhvcj48WWVhcj4xOTY0PC9ZZWFy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(Yoshizumi, 1964, Swoope, 1973, Levin and Landesman, 1976)</w:t>
      </w:r>
      <w:r w:rsidRPr="00787196">
        <w:rPr>
          <w:rFonts w:cs="Arial"/>
          <w:szCs w:val="24"/>
        </w:rPr>
        <w:fldChar w:fldCharType="end"/>
      </w:r>
      <w:r w:rsidRPr="00787196">
        <w:rPr>
          <w:rFonts w:cs="Arial"/>
          <w:szCs w:val="24"/>
        </w:rPr>
        <w:t>.</w:t>
      </w:r>
    </w:p>
    <w:p w14:paraId="298E51BA" w14:textId="77777777" w:rsidR="00D54533" w:rsidRPr="00787196" w:rsidRDefault="00D54533">
      <w:pPr>
        <w:spacing w:before="0" w:after="0" w:line="240" w:lineRule="auto"/>
        <w:jc w:val="left"/>
        <w:rPr>
          <w:rFonts w:cs="Arial"/>
          <w:szCs w:val="24"/>
        </w:rPr>
      </w:pPr>
      <w:r w:rsidRPr="00787196">
        <w:rPr>
          <w:rFonts w:cs="Arial"/>
          <w:szCs w:val="24"/>
        </w:rPr>
        <w:br w:type="page"/>
      </w:r>
    </w:p>
    <w:p w14:paraId="4DFE846B" w14:textId="77777777" w:rsidR="007D7BA5" w:rsidRPr="00787196" w:rsidRDefault="007D7BA5" w:rsidP="007D7BA5">
      <w:pPr>
        <w:spacing w:before="0" w:after="0"/>
        <w:ind w:right="-99"/>
        <w:rPr>
          <w:rFonts w:cs="Arial"/>
          <w:szCs w:val="24"/>
        </w:rPr>
      </w:pPr>
      <w:r w:rsidRPr="00787196">
        <w:rPr>
          <w:rFonts w:cs="Arial"/>
          <w:szCs w:val="24"/>
        </w:rPr>
        <w:lastRenderedPageBreak/>
        <w:t xml:space="preserve">Studies have compared these clinical parameters against patient satisfaction. Positive associations between denture quality, the techniques used in construction and fabrication of dentures and patients’ satisfaction </w:t>
      </w:r>
      <w:r w:rsidRPr="00787196">
        <w:rPr>
          <w:rFonts w:cs="Arial"/>
          <w:szCs w:val="24"/>
        </w:rPr>
        <w:fldChar w:fldCharType="begin">
          <w:fldData xml:space="preserve">PEVuZE5vdGU+PENpdGU+PEF1dGhvcj5UdXJieWZpbGw8L0F1dGhvcj48WWVhcj4xOTg5PC9ZZWFy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</w:fldData>
        </w:fldChar>
      </w:r>
      <w:r w:rsidRPr="00787196">
        <w:rPr>
          <w:rFonts w:cs="Arial"/>
          <w:szCs w:val="24"/>
        </w:rPr>
        <w:instrText xml:space="preserve"> ADDIN EN.CITE </w:instrText>
      </w:r>
      <w:r w:rsidRPr="00787196">
        <w:rPr>
          <w:rFonts w:cs="Arial"/>
          <w:szCs w:val="24"/>
        </w:rPr>
        <w:fldChar w:fldCharType="begin">
          <w:fldData xml:space="preserve">PEVuZE5vdGU+PENpdGU+PEF1dGhvcj5UdXJieWZpbGw8L0F1dGhvcj48WWVhcj4xOTg5PC9ZZWFy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(Turbyfill, 1989, van Waas, 1990, Garrett et al., 1996, Sato et al., 2000, Čelebić et al., 2003, Anastassiadou and Robin Heath, 2006, Fenlon and Sherriff, 2008)</w:t>
      </w:r>
      <w:r w:rsidRPr="00787196">
        <w:rPr>
          <w:rFonts w:cs="Arial"/>
          <w:szCs w:val="24"/>
        </w:rPr>
        <w:fldChar w:fldCharType="end"/>
      </w:r>
      <w:r w:rsidRPr="00787196">
        <w:rPr>
          <w:rFonts w:cs="Arial"/>
          <w:szCs w:val="24"/>
        </w:rPr>
        <w:t xml:space="preserve"> suggesting that clinical parameters of dentures may influence patients’ satisfaction. </w:t>
      </w:r>
    </w:p>
    <w:p w14:paraId="382ADF1A" w14:textId="77777777" w:rsidR="007D7BA5" w:rsidRPr="00787196" w:rsidRDefault="007D7BA5" w:rsidP="007D7BA5">
      <w:pPr>
        <w:spacing w:before="0" w:after="0"/>
        <w:ind w:right="-99"/>
        <w:rPr>
          <w:rFonts w:cs="Arial"/>
          <w:szCs w:val="24"/>
        </w:rPr>
      </w:pPr>
    </w:p>
    <w:p w14:paraId="0BBF0B49" w14:textId="7925C788" w:rsidR="00EB5F2C" w:rsidRPr="00787196" w:rsidRDefault="007D7BA5" w:rsidP="00D54533">
      <w:pPr>
        <w:spacing w:before="0" w:after="0"/>
        <w:ind w:right="-99"/>
        <w:rPr>
          <w:rFonts w:cs="Arial"/>
          <w:szCs w:val="24"/>
        </w:rPr>
      </w:pPr>
      <w:r w:rsidRPr="00787196">
        <w:rPr>
          <w:rFonts w:cs="Arial"/>
          <w:szCs w:val="24"/>
        </w:rPr>
        <w:t xml:space="preserve">However, studies also show weak relationships between patient satisfaction and clinical parameters of dentures. Denture wearers may be dissatisfied with their dentures even when they are constructed using good clinical methods </w:t>
      </w:r>
      <w:r w:rsidRPr="00787196">
        <w:rPr>
          <w:rFonts w:cs="Arial"/>
          <w:szCs w:val="24"/>
        </w:rPr>
        <w:fldChar w:fldCharType="begin"/>
      </w:r>
      <w:r w:rsidRPr="00787196">
        <w:rPr>
          <w:rFonts w:cs="Arial"/>
          <w:szCs w:val="24"/>
        </w:rPr>
        <w:instrText xml:space="preserve"> ADDIN EN.CITE &lt;EndNote&gt;&lt;Cite&gt;&lt;Author&gt;Berg&lt;/Author&gt;&lt;Year&gt;1993&lt;/Year&gt;&lt;RecNum&gt;0&lt;/RecNum&gt;&lt;IDText&gt;Acceptance of full dentures&lt;/IDText&gt;&lt;DisplayText&gt;(Berg, 1993)&lt;/DisplayText&gt;&lt;record&gt;&lt;isbn&gt;0020-6539&lt;/isbn&gt;&lt;titles&gt;&lt;title&gt;Acceptance of full dentures&lt;/title&gt;&lt;secondary-title&gt;International dental journal&lt;/secondary-title&gt;&lt;/titles&gt;&lt;pages&gt;299&lt;/pages&gt;&lt;number&gt;3 Suppl 1&lt;/number&gt;&lt;contributors&gt;&lt;authors&gt;&lt;author&gt;Berg, E.&lt;/author&gt;&lt;/authors&gt;&lt;/contributors&gt;&lt;added-date format="utc"&gt;1361526953&lt;/added-date&gt;&lt;ref-type name="Journal Article"&gt;17&lt;/ref-type&gt;&lt;dates&gt;&lt;year&gt;1993&lt;/year&gt;&lt;/dates&gt;&lt;rec-number&gt;536&lt;/rec-number&gt;&lt;last-updated-date format="utc"&gt;1361526953&lt;/last-updated-date&gt;&lt;volume&gt;43&lt;/volume&gt;&lt;/record&gt;&lt;/Cite&gt;&lt;/EndNote&gt;</w:instrText>
      </w:r>
      <w:r w:rsidRPr="00787196">
        <w:rPr>
          <w:rFonts w:cs="Arial"/>
          <w:szCs w:val="24"/>
        </w:rPr>
        <w:fldChar w:fldCharType="separate"/>
      </w:r>
      <w:r w:rsidRPr="00787196">
        <w:rPr>
          <w:rFonts w:cs="Arial"/>
          <w:szCs w:val="24"/>
        </w:rPr>
        <w:t>(Berg, 1993)</w:t>
      </w:r>
      <w:r w:rsidRPr="00787196">
        <w:rPr>
          <w:rFonts w:cs="Arial"/>
          <w:szCs w:val="24"/>
        </w:rPr>
        <w:fldChar w:fldCharType="end"/>
      </w:r>
      <w:r w:rsidRPr="00787196">
        <w:rPr>
          <w:rFonts w:cs="Arial"/>
          <w:szCs w:val="24"/>
        </w:rPr>
        <w:t xml:space="preserve">, Also patients have sometimes shown high levels of patient appreciation for dentures that were rated of poor clinical quality </w:t>
      </w:r>
      <w:r w:rsidRPr="00787196">
        <w:rPr>
          <w:rFonts w:cs="Arial"/>
          <w:szCs w:val="24"/>
        </w:rPr>
        <w:fldChar w:fldCharType="begin"/>
      </w:r>
      <w:r w:rsidRPr="00787196">
        <w:rPr>
          <w:rFonts w:cs="Arial"/>
          <w:szCs w:val="24"/>
        </w:rPr>
        <w:instrText xml:space="preserve"> ADDIN EN.CITE &lt;EndNote&gt;&lt;Cite&gt;&lt;Author&gt;Fenlon&lt;/Author&gt;&lt;Year&gt;2004&lt;/Year&gt;&lt;RecNum&gt;0&lt;/RecNum&gt;&lt;IDText&gt;Investigation of new complete denture quality and patients&amp;apos; satisfaction with and use of dentures after two years&lt;/IDText&gt;&lt;DisplayText&gt;(Fenlon and Sherriff, 2004)&lt;/DisplayText&gt;&lt;record&gt;&lt;dates&gt;&lt;pub-dates&gt;&lt;date&gt;5//&lt;/date&gt;&lt;/pub-dates&gt;&lt;year&gt;2004&lt;/year&gt;&lt;/dates&gt;&lt;keywords&gt;&lt;keyword&gt;Prosthetic dentistry&lt;/keyword&gt;&lt;keyword&gt;Treatment need&lt;/keyword&gt;&lt;keyword&gt;Complete dentures&lt;/keyword&gt;&lt;keyword&gt;Patient satisfaction&lt;/keyword&gt;&lt;keyword&gt;Denture success&lt;/keyword&gt;&lt;/keywords&gt;&lt;urls&gt;&lt;related-urls&gt;&lt;url&gt;http://www.sciencedirect.com/science/article/pii/S030057120400017X&lt;/url&gt;&lt;/related-urls&gt;&lt;/urls&gt;&lt;isbn&gt;0300-5712&lt;/isbn&gt;&lt;titles&gt;&lt;title&gt;Investigation of new complete denture quality and patients&amp;apos; satisfaction with and use of dentures after two years&lt;/title&gt;&lt;secondary-title&gt;Journal of Dentistry&lt;/secondary-title&gt;&lt;/titles&gt;&lt;pages&gt;327-333&lt;/pages&gt;&lt;number&gt;4&lt;/number&gt;&lt;contributors&gt;&lt;authors&gt;&lt;author&gt;Fenlon, Michael Robert&lt;/author&gt;&lt;author&gt;Sherriff, Martyn&lt;/author&gt;&lt;/authors&gt;&lt;/contributors&gt;&lt;added-date format="utc"&gt;1369671577&lt;/added-date&gt;&lt;ref-type name="Journal Article"&gt;17&lt;/ref-type&gt;&lt;rec-number&gt;712&lt;/rec-number&gt;&lt;last-updated-date format="utc"&gt;1385713712&lt;/last-updated-date&gt;&lt;electronic-resource-num&gt;http://dx.doi.org/10.1016/j.jdent.2004.01.007&lt;/electronic-resource-num&gt;&lt;volume&gt;32&lt;/volume&gt;&lt;/record&gt;&lt;/Cite&gt;&lt;/EndNote&gt;</w:instrText>
      </w:r>
      <w:r w:rsidRPr="00787196">
        <w:rPr>
          <w:rFonts w:cs="Arial"/>
          <w:szCs w:val="24"/>
        </w:rPr>
        <w:fldChar w:fldCharType="separate"/>
      </w:r>
      <w:r w:rsidRPr="00787196">
        <w:rPr>
          <w:rFonts w:cs="Arial"/>
          <w:szCs w:val="24"/>
        </w:rPr>
        <w:t>(Fenlon and Sherriff, 2004)</w:t>
      </w:r>
      <w:r w:rsidRPr="00787196">
        <w:rPr>
          <w:rFonts w:cs="Arial"/>
          <w:szCs w:val="24"/>
        </w:rPr>
        <w:fldChar w:fldCharType="end"/>
      </w:r>
      <w:r w:rsidRPr="00787196">
        <w:rPr>
          <w:rFonts w:cs="Arial"/>
          <w:szCs w:val="24"/>
        </w:rPr>
        <w:t xml:space="preserve">. Heydecke and colleagues </w:t>
      </w:r>
      <w:r w:rsidRPr="00787196">
        <w:rPr>
          <w:rFonts w:cs="Arial"/>
          <w:szCs w:val="24"/>
        </w:rPr>
        <w:fldChar w:fldCharType="begin"/>
      </w:r>
      <w:r w:rsidRPr="00787196">
        <w:rPr>
          <w:rFonts w:cs="Arial"/>
          <w:szCs w:val="24"/>
        </w:rPr>
        <w:instrText xml:space="preserve"> ADDIN EN.CITE &lt;EndNote&gt;&lt;Cite ExcludeAuth="1"&gt;&lt;Author&gt;Heydecke&lt;/Author&gt;&lt;Year&gt;2003&lt;/Year&gt;&lt;RecNum&gt;0&lt;/RecNum&gt;&lt;IDText&gt;Relationship between prosthodontic evaluation and patient ratings of mandibular conventional and implant prostheses&lt;/IDText&gt;&lt;DisplayText&gt;(2003a)&lt;/DisplayText&gt;&lt;record&gt;&lt;isbn&gt;0893-2174&lt;/isbn&gt;&lt;titles&gt;&lt;title&gt;Relationship between prosthodontic evaluation and patient ratings of mandibular conventional and implant prostheses&lt;/title&gt;&lt;secondary-title&gt;International Journal of Prosthodontics&lt;/secondary-title&gt;&lt;/titles&gt;&lt;pages&gt;307-312&lt;/pages&gt;&lt;number&gt;3&lt;/number&gt;&lt;contributors&gt;&lt;authors&gt;&lt;author&gt;Heydecke, Guido&lt;/author&gt;&lt;author&gt;Klemetti, Esa&lt;/author&gt;&lt;author&gt;Awad, Manal A.&lt;/author&gt;&lt;author&gt;Lund, James P.&lt;/author&gt;&lt;author&gt;Feine, Jocelyne S.&lt;/author&gt;&lt;/authors&gt;&lt;/contributors&gt;&lt;added-date format="utc"&gt;1361525804&lt;/added-date&gt;&lt;ref-type name="Journal Article"&gt;17&lt;/ref-type&gt;&lt;dates&gt;&lt;year&gt;2003&lt;/year&gt;&lt;/dates&gt;&lt;rec-number&gt;534&lt;/rec-number&gt;&lt;last-updated-date format="utc"&gt;1385713712&lt;/last-updated-date&gt;&lt;volume&gt;16&lt;/volume&gt;&lt;/record&gt;&lt;/Cite&gt;&lt;/EndNote&gt;</w:instrText>
      </w:r>
      <w:r w:rsidRPr="00787196">
        <w:rPr>
          <w:rFonts w:cs="Arial"/>
          <w:szCs w:val="24"/>
        </w:rPr>
        <w:fldChar w:fldCharType="separate"/>
      </w:r>
      <w:r w:rsidRPr="00787196">
        <w:rPr>
          <w:rFonts w:cs="Arial"/>
          <w:szCs w:val="24"/>
        </w:rPr>
        <w:t>(2003a)</w:t>
      </w:r>
      <w:r w:rsidRPr="00787196">
        <w:rPr>
          <w:rFonts w:cs="Arial"/>
          <w:szCs w:val="24"/>
        </w:rPr>
        <w:fldChar w:fldCharType="end"/>
      </w:r>
      <w:r w:rsidRPr="00787196">
        <w:rPr>
          <w:rFonts w:cs="Arial"/>
          <w:szCs w:val="24"/>
        </w:rPr>
        <w:t xml:space="preserve">, compared clinician and patient satisfaction ratings of dentures and showed the two do not usually agree when evaluating individual prostheses. Anatomical features have also been shown to poorly predict patient satisfaction </w:t>
      </w:r>
      <w:r w:rsidRPr="00787196">
        <w:rPr>
          <w:rFonts w:cs="Arial"/>
          <w:szCs w:val="24"/>
        </w:rPr>
        <w:fldChar w:fldCharType="begin">
          <w:fldData xml:space="preserve">PEVuZE5vdGU+PENpdGU+PEF1dGhvcj5Xb2xmZjwvQXV0aG9yPjxZZWFyPjIwMDM8L1llYXI+PFJl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PEVuZE5vdGU+PENpdGU+PEF1dGhvcj5Xb2xmZjwvQXV0aG9yPjxZZWFyPjIwMDM8L1llYXI+PFJl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(Wolff et al., 2003)</w:t>
      </w:r>
      <w:r w:rsidRPr="00787196">
        <w:rPr>
          <w:rFonts w:cs="Arial"/>
          <w:szCs w:val="24"/>
        </w:rPr>
        <w:fldChar w:fldCharType="end"/>
      </w:r>
    </w:p>
    <w:p w14:paraId="66B03932" w14:textId="77777777" w:rsidR="00D54533" w:rsidRPr="00787196" w:rsidRDefault="007D7BA5" w:rsidP="00EB5F2C">
      <w:pPr>
        <w:spacing w:before="0" w:after="0"/>
        <w:ind w:right="-99"/>
        <w:rPr>
          <w:rFonts w:cs="Arial"/>
          <w:szCs w:val="24"/>
        </w:rPr>
      </w:pPr>
      <w:r w:rsidRPr="00787196">
        <w:rPr>
          <w:rFonts w:cs="Arial"/>
          <w:szCs w:val="24"/>
        </w:rPr>
        <w:t xml:space="preserve">These above data suggest inconsistent relationships between patient satisfaction and clinical aspect of dentures. The success of dentures cannot be determined by a set of a few factors but rather by a complex interrelationship between various factors. Patient satisfaction is a poorly conceptualised patient reported outcome. Quality of Life (QoL) is a dynamic construct influenced by various factors such as adaptation, coping, cognitive appraisal, affect and problem evaluation and self-concepts </w:t>
      </w:r>
      <w:r w:rsidRPr="00787196">
        <w:rPr>
          <w:rFonts w:cs="Arial"/>
          <w:szCs w:val="24"/>
        </w:rPr>
        <w:fldChar w:fldCharType="begin"/>
      </w:r>
      <w:r w:rsidR="00173541" w:rsidRPr="00787196">
        <w:rPr>
          <w:rFonts w:cs="Arial"/>
          <w:szCs w:val="24"/>
        </w:rPr>
        <w:instrText xml:space="preserve"> ADDIN EN.CITE &lt;EndNote&gt;&lt;Cite&gt;&lt;Author&gt;Allison&lt;/Author&gt;&lt;Year&gt;1997&lt;/Year&gt;&lt;RecNum&gt;0&lt;/RecNum&gt;&lt;IDText&gt;Quality of life: a dynamic construct&lt;/IDText&gt;&lt;DisplayText&gt;(Allison et al., 1997)&lt;/DisplayText&gt;&lt;record&gt;&lt;isbn&gt;0277-9536&lt;/isbn&gt;&lt;titles&gt;&lt;title&gt;Quality of life: a dynamic construct&lt;/title&gt;&lt;secondary-title&gt;Social Science &amp;amp;amp; Medicine&lt;/secondary-title&gt;&lt;/titles&gt;&lt;pages&gt;221-230&lt;/pages&gt;&lt;number&gt;2&lt;/number&gt;&lt;contributors&gt;&lt;authors&gt;&lt;author&gt;Allison, Paul J.&lt;/author&gt;&lt;author&gt;Locker, David&lt;/author&gt;&lt;author&gt;Feine, Jocelyne S.&lt;/author&gt;&lt;/authors&gt;&lt;/contributors&gt;&lt;added-date format="utc"&gt;1372692944&lt;/added-date&gt;&lt;ref-type name="Journal Article"&gt;17&lt;/ref-type&gt;&lt;dates&gt;&lt;year&gt;1997&lt;/year&gt;&lt;/dates&gt;&lt;rec-number&gt;824&lt;/rec-number&gt;&lt;publisher&gt;Elsevier&lt;/publisher&gt;&lt;last-updated-date format="utc"&gt;1483635449&lt;/last-updated-date&gt;&lt;volume&gt;45&lt;/volume&gt;&lt;/record&gt;&lt;/Cite&gt;&lt;/EndNote&gt;</w:instrText>
      </w:r>
      <w:r w:rsidRPr="00787196">
        <w:rPr>
          <w:rFonts w:cs="Arial"/>
          <w:szCs w:val="24"/>
        </w:rPr>
        <w:fldChar w:fldCharType="separate"/>
      </w:r>
      <w:r w:rsidRPr="00787196">
        <w:rPr>
          <w:rFonts w:cs="Arial"/>
          <w:noProof/>
          <w:szCs w:val="24"/>
        </w:rPr>
        <w:t>(Allison et al., 1997)</w:t>
      </w:r>
      <w:r w:rsidRPr="00787196">
        <w:rPr>
          <w:rFonts w:cs="Arial"/>
          <w:szCs w:val="24"/>
        </w:rPr>
        <w:fldChar w:fldCharType="end"/>
      </w:r>
      <w:r w:rsidRPr="00787196">
        <w:rPr>
          <w:rFonts w:cs="Arial"/>
          <w:szCs w:val="24"/>
        </w:rPr>
        <w:t xml:space="preserve">. Oral Health related Quality of Life (OHQoL) is a multi-dimensional oral health outcome </w:t>
      </w:r>
      <w:r w:rsidRPr="00787196">
        <w:rPr>
          <w:rFonts w:cs="Arial"/>
          <w:szCs w:val="24"/>
        </w:rPr>
        <w:fldChar w:fldCharType="begin"/>
      </w:r>
      <w:r w:rsidR="00AF47F6" w:rsidRPr="00787196">
        <w:rPr>
          <w:rFonts w:cs="Arial"/>
          <w:szCs w:val="24"/>
        </w:rPr>
        <w:instrText xml:space="preserve"> ADDIN EN.CITE &lt;EndNote&gt;&lt;Cite&gt;&lt;Author&gt;Locker&lt;/Author&gt;&lt;Year&gt;2007&lt;/Year&gt;&lt;RecNum&gt;0&lt;/RecNum&gt;&lt;IDText&gt;What do measures of &amp;apos;oral health-related quality of life&amp;apos; measure?&lt;/IDText&gt;&lt;DisplayText&gt;(Locker and Allen, 2007)&lt;/DisplayText&gt;&lt;record&gt;&lt;dates&gt;&lt;pub-dates&gt;&lt;date&gt;Dec&lt;/date&gt;&lt;/pub-dates&gt;&lt;year&gt;2007&lt;/year&gt;&lt;/dates&gt;&lt;keywords&gt;&lt;keyword&gt;Activities of Daily Living&lt;/keyword&gt;&lt;keyword&gt;Adolescent&lt;/keyword&gt;&lt;keyword&gt;Aged&lt;/keyword&gt;&lt;keyword&gt;Child&lt;/keyword&gt;&lt;keyword&gt;Child Welfare/psychology&lt;/keyword&gt;&lt;keyword&gt;Evaluation Studies as Topic&lt;/keyword&gt;&lt;keyword&gt;Geriatric Assessment&lt;/keyword&gt;&lt;keyword&gt;Health Status Indicators&lt;/keyword&gt;&lt;keyword&gt;Humans&lt;/keyword&gt;&lt;keyword&gt;Oral Health/*standards&lt;/keyword&gt;&lt;keyword&gt;*Quality of Life&lt;/keyword&gt;&lt;keyword&gt;Questionnaires&lt;/keyword&gt;&lt;keyword&gt;Self-Assessment&lt;/keyword&gt;&lt;keyword&gt;Sickness Impact Profile&lt;/keyword&gt;&lt;keyword&gt;Terminology as Topic&lt;/keyword&gt;&lt;/keywords&gt;&lt;isbn&gt;0301-5661&lt;/isbn&gt;&lt;titles&gt;&lt;title&gt;What do measures of &amp;apos;oral health-related quality of life&amp;apos; measure?&lt;/title&gt;&lt;secondary-title&gt;Community Dentistry and Oral Epidemiology&lt;/secondary-title&gt;&lt;alt-title&gt;Community dentistry and oral epidemiology&lt;/alt-title&gt;&lt;/titles&gt;&lt;pages&gt;401-11&lt;/pages&gt;&lt;number&gt;6&lt;/number&gt;&lt;contributors&gt;&lt;authors&gt;&lt;author&gt;Locker, D.&lt;/author&gt;&lt;author&gt;Allen, F.&lt;/author&gt;&lt;/authors&gt;&lt;/contributors&gt;&lt;edition&gt;2007/11/28&lt;/edition&gt;&lt;language&gt;eng&lt;/language&gt;&lt;added-date format="utc"&gt;1372666412&lt;/added-date&gt;&lt;ref-type name="Journal Article"&gt;17&lt;/ref-type&gt;&lt;auth-address&gt;Community Dental Health Services Research Unit, Faculty of Dentistry, University of Toronto, Canada. david.locker@utoronto.ca&lt;/auth-address&gt;&lt;remote-database-provider&gt;Nlm&lt;/remote-database-provider&gt;&lt;rec-number&gt;821&lt;/rec-number&gt;&lt;last-updated-date format="utc"&gt;1483574475&lt;/last-updated-date&gt;&lt;accession-num&gt;18039281&lt;/accession-num&gt;&lt;electronic-resource-num&gt;10.1111/j.1600-0528.2007.00418.x&lt;/electronic-resource-num&gt;&lt;volume&gt;35(6)&lt;/volume&gt;&lt;/record&gt;&lt;/Cite&gt;&lt;/EndNote&gt;</w:instrText>
      </w:r>
      <w:r w:rsidRPr="00787196">
        <w:rPr>
          <w:rFonts w:cs="Arial"/>
          <w:szCs w:val="24"/>
        </w:rPr>
        <w:fldChar w:fldCharType="separate"/>
      </w:r>
      <w:r w:rsidR="006F6192" w:rsidRPr="00787196">
        <w:rPr>
          <w:rFonts w:cs="Arial"/>
          <w:noProof/>
          <w:szCs w:val="24"/>
        </w:rPr>
        <w:t>(Locker and Allen, 2007)</w:t>
      </w:r>
      <w:r w:rsidRPr="00787196">
        <w:rPr>
          <w:rFonts w:cs="Arial"/>
          <w:szCs w:val="24"/>
        </w:rPr>
        <w:fldChar w:fldCharType="end"/>
      </w:r>
      <w:r w:rsidRPr="00787196">
        <w:rPr>
          <w:rFonts w:cs="Arial"/>
          <w:szCs w:val="24"/>
        </w:rPr>
        <w:t xml:space="preserve"> that has been widely used in studies assessing the impacts of missing teeth and available prosthodontic treatments </w:t>
      </w:r>
      <w:r w:rsidRPr="00787196">
        <w:rPr>
          <w:rFonts w:cs="Arial"/>
          <w:szCs w:val="24"/>
        </w:rPr>
        <w:fldChar w:fldCharType="begin">
          <w:fldData xml:space="preserve">PEVuZE5vdGU+PENpdGU+PEF1dGhvcj5BdGNoaXNvbjwvQXV0aG9yPjxZZWFyPjE5OTA8L1llYXI+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</w:fldData>
        </w:fldChar>
      </w:r>
      <w:r w:rsidRPr="00787196">
        <w:rPr>
          <w:rFonts w:cs="Arial"/>
          <w:szCs w:val="24"/>
        </w:rPr>
        <w:instrText xml:space="preserve"> ADDIN EN.CITE </w:instrText>
      </w:r>
      <w:r w:rsidRPr="00787196">
        <w:rPr>
          <w:rFonts w:cs="Arial"/>
          <w:szCs w:val="24"/>
        </w:rPr>
        <w:fldChar w:fldCharType="begin">
          <w:fldData xml:space="preserve">PEVuZE5vdGU+PENpdGU+PEF1dGhvcj5BdGNoaXNvbjwvQXV0aG9yPjxZZWFyPjE5OTA8L1llYXI+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(Atchison and Dolan, 1990, Bouma et al., 1997, Allen and McMillan, 1999, Awad et al., 2000, Inglehart and Bagramian, 2002, Heydecke et al., 2003a, Armellini et al., 2008)</w:t>
      </w:r>
      <w:r w:rsidRPr="00787196">
        <w:rPr>
          <w:rFonts w:cs="Arial"/>
          <w:szCs w:val="24"/>
        </w:rPr>
        <w:fldChar w:fldCharType="end"/>
      </w:r>
      <w:r w:rsidRPr="00787196">
        <w:rPr>
          <w:rFonts w:cs="Arial"/>
          <w:szCs w:val="24"/>
        </w:rPr>
        <w:t xml:space="preserve">. OHQoL measures are known for being highly responsive, sensitive and well conceptualised </w:t>
      </w:r>
      <w:r w:rsidR="004D6944" w:rsidRPr="00787196">
        <w:rPr>
          <w:rFonts w:cs="Arial"/>
          <w:szCs w:val="24"/>
        </w:rPr>
        <w:t xml:space="preserve">in theoretical models </w:t>
      </w:r>
      <w:r w:rsidRPr="00787196">
        <w:rPr>
          <w:rFonts w:cs="Arial"/>
          <w:szCs w:val="24"/>
        </w:rPr>
        <w:fldChar w:fldCharType="begin"/>
      </w:r>
      <w:r w:rsidR="00142DF5" w:rsidRPr="00787196">
        <w:rPr>
          <w:rFonts w:cs="Arial"/>
          <w:szCs w:val="24"/>
        </w:rPr>
        <w:instrText xml:space="preserve"> ADDIN EN.CITE &lt;EndNote&gt;&lt;Cite&gt;&lt;Author&gt;Allen&lt;/Author&gt;&lt;Year&gt;2001&lt;/Year&gt;&lt;IDText&gt;An assessment of sensitivity to change of the Oral Health Impact Profile in a clinical trial&lt;/IDText&gt;&lt;DisplayText&gt;(Allen et al., 2001)&lt;/DisplayText&gt;&lt;record&gt;&lt;keywords&gt;&lt;keyword&gt;implants&lt;/keyword&gt;&lt;keyword&gt;quality of life&lt;/keyword&gt;&lt;keyword&gt;health status measures&lt;/keyword&gt;&lt;/keywords&gt;&lt;urls&gt;&lt;related-urls&gt;&lt;url&gt;http://dx.doi.org/10.1034/j.1600-0528.2001.290303.x&lt;/url&gt;&lt;/related-urls&gt;&lt;/urls&gt;&lt;isbn&gt;1600-0528&lt;/isbn&gt;&lt;titles&gt;&lt;title&gt;An assessment of sensitivity to change of the Oral Health Impact Profile in a clinical trial&lt;/title&gt;&lt;secondary-title&gt;Community Dentistry and Oral Epidemiology&lt;/secondary-title&gt;&lt;/titles&gt;&lt;pages&gt;175-82&lt;/pages&gt;&lt;number&gt;3&lt;/number&gt;&lt;contributors&gt;&lt;authors&gt;&lt;author&gt;Allen, P. Finbarr&lt;/author&gt;&lt;author&gt;McMillan, Anne S.&lt;/author&gt;&lt;author&gt;Locker, David&lt;/author&gt;&lt;/authors&gt;&lt;/contributors&gt;&lt;added-date format="utc"&gt;1372250434&lt;/added-date&gt;&lt;ref-type name="Journal Article"&gt;17&lt;/ref-type&gt;&lt;dates&gt;&lt;year&gt;2001&lt;/year&gt;&lt;/dates&gt;&lt;rec-number&gt;774&lt;/rec-number&gt;&lt;publisher&gt;Munksgaard International Publishers&lt;/publisher&gt;&lt;last-updated-date format="utc"&gt;1483575243&lt;/last-updated-date&gt;&lt;electronic-resource-num&gt;10.1034/j.1600-0528.2001.290303.x&lt;/electronic-resource-num&gt;&lt;volume&gt;29(3)&lt;/volume&gt;&lt;/record&gt;&lt;/Cite&gt;&lt;/EndNote&gt;</w:instrText>
      </w:r>
      <w:r w:rsidRPr="00787196">
        <w:rPr>
          <w:rFonts w:cs="Arial"/>
          <w:szCs w:val="24"/>
        </w:rPr>
        <w:fldChar w:fldCharType="separate"/>
      </w:r>
      <w:r w:rsidR="00142DF5" w:rsidRPr="00787196">
        <w:rPr>
          <w:rFonts w:cs="Arial"/>
          <w:noProof/>
          <w:szCs w:val="24"/>
        </w:rPr>
        <w:t>(Allen et al., 2001)</w:t>
      </w:r>
      <w:r w:rsidRPr="00787196">
        <w:rPr>
          <w:rFonts w:cs="Arial"/>
          <w:szCs w:val="24"/>
        </w:rPr>
        <w:fldChar w:fldCharType="end"/>
      </w:r>
      <w:r w:rsidRPr="00787196">
        <w:rPr>
          <w:rFonts w:cs="Arial"/>
          <w:szCs w:val="24"/>
        </w:rPr>
        <w:t>. Thus, OHQoL might be a better outcome to address the inconsistences existing between clinical assessments and patient reported outcomes that describe denture success</w:t>
      </w:r>
    </w:p>
    <w:p w14:paraId="6417F151" w14:textId="77777777" w:rsidR="007D7BA5" w:rsidRPr="00787196" w:rsidRDefault="007D7BA5" w:rsidP="007D7BA5">
      <w:pPr>
        <w:spacing w:before="0" w:after="0"/>
        <w:rPr>
          <w:rFonts w:cs="Arial"/>
          <w:szCs w:val="24"/>
        </w:rPr>
      </w:pPr>
      <w:r w:rsidRPr="00787196">
        <w:rPr>
          <w:rFonts w:cs="Arial"/>
          <w:szCs w:val="24"/>
        </w:rPr>
        <w:t>Coping with dentures</w:t>
      </w:r>
    </w:p>
    <w:p w14:paraId="37221E99" w14:textId="77777777" w:rsidR="00940B23" w:rsidRPr="00787196" w:rsidRDefault="00940B23" w:rsidP="00E44135">
      <w:pPr>
        <w:spacing w:before="0" w:after="0"/>
        <w:rPr>
          <w:rFonts w:cs="Arial"/>
          <w:szCs w:val="24"/>
        </w:rPr>
      </w:pPr>
    </w:p>
    <w:p w14:paraId="69FC8738" w14:textId="69732820" w:rsidR="00940B23" w:rsidRPr="00787196" w:rsidRDefault="007D7BA5" w:rsidP="00D54533">
      <w:pPr>
        <w:spacing w:before="0" w:after="0"/>
        <w:rPr>
          <w:rFonts w:cs="Arial"/>
          <w:szCs w:val="24"/>
        </w:rPr>
      </w:pPr>
      <w:r w:rsidRPr="00787196">
        <w:rPr>
          <w:rFonts w:cs="Arial"/>
          <w:szCs w:val="24"/>
        </w:rPr>
        <w:t xml:space="preserve">Dental events such as receiving new dentures may contribute to an individual’s total life stress </w:t>
      </w:r>
      <w:r w:rsidRPr="00787196">
        <w:rPr>
          <w:rFonts w:cs="Arial"/>
          <w:szCs w:val="24"/>
        </w:rPr>
        <w:fldChar w:fldCharType="begin">
          <w:fldData xml:space="preserve">PEVuZE5vdGU+PENpdGU+PEF1dGhvcj5CZXJnZW5kYWw8L0F1dGhvcj48WWVhcj4xOTg5PC9ZZWFy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</w:fldData>
        </w:fldChar>
      </w:r>
      <w:r w:rsidRPr="00787196">
        <w:rPr>
          <w:rFonts w:cs="Arial"/>
          <w:szCs w:val="24"/>
        </w:rPr>
        <w:instrText xml:space="preserve"> ADDIN EN.CITE </w:instrText>
      </w:r>
      <w:r w:rsidRPr="00787196">
        <w:rPr>
          <w:rFonts w:cs="Arial"/>
          <w:szCs w:val="24"/>
        </w:rPr>
        <w:fldChar w:fldCharType="begin">
          <w:fldData xml:space="preserve">PEVuZE5vdGU+PENpdGU+PEF1dGhvcj5CZXJnZW5kYWw8L0F1dGhvcj48WWVhcj4xOTg5PC9ZZWFy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(Bergendal, 1989, Haugejorden et al., 1993)</w:t>
      </w:r>
      <w:r w:rsidRPr="00787196">
        <w:rPr>
          <w:rFonts w:cs="Arial"/>
          <w:szCs w:val="24"/>
        </w:rPr>
        <w:fldChar w:fldCharType="end"/>
      </w:r>
      <w:r w:rsidRPr="00787196">
        <w:rPr>
          <w:rFonts w:cs="Arial"/>
          <w:szCs w:val="24"/>
        </w:rPr>
        <w:t xml:space="preserve">. Wearing this extraneous object might be very stressful and require an individual’s adaptation, not </w:t>
      </w:r>
      <w:r w:rsidR="002178E5" w:rsidRPr="00787196">
        <w:rPr>
          <w:rFonts w:cs="Arial"/>
          <w:szCs w:val="24"/>
        </w:rPr>
        <w:t>just on</w:t>
      </w:r>
      <w:r w:rsidRPr="00787196">
        <w:rPr>
          <w:rFonts w:cs="Arial"/>
          <w:szCs w:val="24"/>
        </w:rPr>
        <w:t xml:space="preserve"> a physical</w:t>
      </w:r>
      <w:r w:rsidR="00E44135" w:rsidRPr="00787196">
        <w:rPr>
          <w:rFonts w:cs="Arial"/>
          <w:szCs w:val="24"/>
        </w:rPr>
        <w:t xml:space="preserve"> basis, but also i</w:t>
      </w:r>
      <w:r w:rsidRPr="00787196">
        <w:rPr>
          <w:rFonts w:cs="Arial"/>
          <w:szCs w:val="24"/>
        </w:rPr>
        <w:t>n a functional and emotional s</w:t>
      </w:r>
      <w:r w:rsidR="00E44135" w:rsidRPr="00787196">
        <w:rPr>
          <w:rFonts w:cs="Arial"/>
          <w:szCs w:val="24"/>
        </w:rPr>
        <w:t>ense</w:t>
      </w:r>
      <w:r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&lt;EndNote&gt;&lt;Cite&gt;&lt;Author&gt;Hogenius&lt;/Author&gt;&lt;Year&gt;1992&lt;/Year&gt;&lt;RecNum&gt;0&lt;/RecNum&gt;&lt;IDText&gt;Demographical, odontological, and psychological variables in individuals referred for osseointegrated dental implants&lt;/IDText&gt;&lt;DisplayText&gt;(Hogenius et al., 1992)&lt;/DisplayText&gt;&lt;record&gt;&lt;keywords&gt;&lt;keyword&gt;adaptation&lt;/keyword&gt;&lt;keyword&gt;behavioral dentistry&lt;/keyword&gt;&lt;keyword&gt;dental implants&lt;/keyword&gt;&lt;keyword&gt;edentulous&lt;/keyword&gt;&lt;keyword&gt;psychometrics&lt;/keyword&gt;&lt;/keywords&gt;&lt;urls&gt;&lt;related-urls&gt;&lt;url&gt;http://dx.doi.org/10.1111/j.1600-0528.1992.tb01721.x&lt;/url&gt;&lt;/related-urls&gt;&lt;/urls&gt;&lt;isbn&gt;1600-0528&lt;/isbn&gt;&lt;titles&gt;&lt;title&gt;Demographical, odontological, and psychological variables in individuals referred for osseointegrated dental implants&lt;/title&gt;&lt;secondary-title&gt;Community Dentistry and Oral Epidemiology&lt;/secondary-title&gt;&lt;/titles&gt;&lt;pages&gt;224-228&lt;/pages&gt;&lt;number&gt;4&lt;/number&gt;&lt;contributors&gt;&lt;authors&gt;&lt;author&gt;Hogenius, Sylvia&lt;/author&gt;&lt;author&gt;Berggren, Ulf&lt;/author&gt;&lt;author&gt;Blomberg, Stig&lt;/author&gt;&lt;author&gt;Jemt, Torsten&lt;/author&gt;&lt;author&gt;Öhman, Sven-Christer&lt;/author&gt;&lt;/authors&gt;&lt;/contributors&gt;&lt;added-date format="utc"&gt;1370009235&lt;/added-date&gt;&lt;ref-type name="Journal Article"&gt;17&lt;/ref-type&gt;&lt;dates&gt;&lt;year&gt;1992&lt;/year&gt;&lt;/dates&gt;&lt;rec-number&gt;730&lt;/rec-number&gt;&lt;publisher&gt;Blackwell Publishing Ltd&lt;/publisher&gt;&lt;last-updated-date format="utc"&gt;1385713712&lt;/last-updated-date&gt;&lt;electronic-resource-num&gt;10.1111/j.1600-0528.1992.tb01721.x&lt;/electronic-resource-num&gt;&lt;volume&gt;20&lt;/volume&gt;&lt;/record&gt;&lt;/Cite&gt;&lt;/EndNote&gt;</w:instrText>
      </w:r>
      <w:r w:rsidRPr="00787196">
        <w:rPr>
          <w:rFonts w:cs="Arial"/>
          <w:szCs w:val="24"/>
        </w:rPr>
        <w:fldChar w:fldCharType="separate"/>
      </w:r>
      <w:r w:rsidRPr="00787196">
        <w:rPr>
          <w:rFonts w:cs="Arial"/>
          <w:szCs w:val="24"/>
        </w:rPr>
        <w:t>(Hogenius et al., 1992)</w:t>
      </w:r>
      <w:r w:rsidRPr="00787196">
        <w:rPr>
          <w:rFonts w:cs="Arial"/>
          <w:szCs w:val="24"/>
        </w:rPr>
        <w:fldChar w:fldCharType="end"/>
      </w:r>
      <w:r w:rsidRPr="00787196">
        <w:rPr>
          <w:rFonts w:cs="Arial"/>
          <w:szCs w:val="24"/>
        </w:rPr>
        <w:t xml:space="preserve">. A patient’s adaptation to dentures depends on psychosocial, emotional factors and pre-treatment expectations </w:t>
      </w:r>
      <w:r w:rsidRPr="00787196">
        <w:rPr>
          <w:rFonts w:cs="Arial"/>
          <w:szCs w:val="24"/>
        </w:rPr>
        <w:fldChar w:fldCharType="begin"/>
      </w:r>
      <w:r w:rsidRPr="00787196">
        <w:rPr>
          <w:rFonts w:cs="Arial"/>
          <w:szCs w:val="24"/>
        </w:rPr>
        <w:instrText xml:space="preserve"> ADDIN EN.CITE &lt;EndNote&gt;&lt;Cite&gt;&lt;Author&gt;Bellini&lt;/Author&gt;&lt;Year&gt;2009&lt;/Year&gt;&lt;RecNum&gt;0&lt;/RecNum&gt;&lt;IDText&gt;Patients&amp;apos; expectations and satisfaction of complete denture therapy and correlation with locus of control&lt;/IDText&gt;&lt;DisplayText&gt;(Bellini et al., 2009)&lt;/DisplayText&gt;&lt;record&gt;&lt;dates&gt;&lt;pub-dates&gt;&lt;date&gt;Sep&lt;/date&gt;&lt;/pub-dates&gt;&lt;year&gt;2009&lt;/year&gt;&lt;/dates&gt;&lt;keywords&gt;&lt;keyword&gt;Adult&lt;/keyword&gt;&lt;keyword&gt;Aged&lt;/keyword&gt;&lt;keyword&gt;Aged, 80 and over&lt;/keyword&gt;&lt;keyword&gt;Analysis of Variance&lt;/keyword&gt;&lt;keyword&gt;Chi-Square Distribution&lt;/keyword&gt;&lt;keyword&gt;Denture, Complete/*psychology&lt;/keyword&gt;&lt;keyword&gt;Esthetics, Dental&lt;/keyword&gt;&lt;keyword&gt;Female&lt;/keyword&gt;&lt;keyword&gt;Humans&lt;/keyword&gt;&lt;keyword&gt;Internal-External Control&lt;/keyword&gt;&lt;keyword&gt;Male&lt;/keyword&gt;&lt;keyword&gt;Middle Aged&lt;/keyword&gt;&lt;keyword&gt;Patient Satisfaction&lt;/keyword&gt;&lt;keyword&gt;Quality of Health Care&lt;/keyword&gt;&lt;keyword&gt;Quality of Life/*psychology&lt;/keyword&gt;&lt;keyword&gt;Questionnaires&lt;/keyword&gt;&lt;/keywords&gt;&lt;isbn&gt;0305-182x&lt;/isbn&gt;&lt;titles&gt;&lt;title&gt;Patients&amp;apos; expectations and satisfaction of complete denture therapy and correlation with locus of control&lt;/title&gt;&lt;secondary-title&gt;J Oral Rehabil&lt;/secondary-title&gt;&lt;alt-title&gt;Journal of oral rehabilitation&lt;/alt-title&gt;&lt;/titles&gt;&lt;pages&gt;682-6&lt;/pages&gt;&lt;number&gt;9&lt;/number&gt;&lt;contributors&gt;&lt;authors&gt;&lt;author&gt;Bellini, D.&lt;/author&gt;&lt;author&gt;Dos Santos, M. B.&lt;/author&gt;&lt;author&gt;De Paula Prisco Da Cunha, V.&lt;/author&gt;&lt;author&gt;Marchini, L.&lt;/author&gt;&lt;/authors&gt;&lt;/contributors&gt;&lt;edition&gt;2009/06/11&lt;/edition&gt;&lt;language&gt;eng&lt;/language&gt;&lt;added-date format="utc"&gt;1370017989&lt;/added-date&gt;&lt;ref-type name="Journal Article"&gt;17&lt;/ref-type&gt;&lt;auth-address&gt;University of Vale do Paraiba, Sao Jose dos Campos, SP, Brazil.&lt;/auth-address&gt;&lt;remote-database-provider&gt;Nlm&lt;/remote-database-provider&gt;&lt;rec-number&gt;731&lt;/rec-number&gt;&lt;last-updated-date format="utc"&gt;1385713712&lt;/last-updated-date&gt;&lt;accession-num&gt;19508351&lt;/accession-num&gt;&lt;electronic-resource-num&gt;10.1111/j.1365-2842.2009.01967.x&lt;/electronic-resource-num&gt;&lt;volume&gt;36&lt;/volume&gt;&lt;/record&gt;&lt;/Cite&gt;&lt;/EndNote&gt;</w:instrText>
      </w:r>
      <w:r w:rsidRPr="00787196">
        <w:rPr>
          <w:rFonts w:cs="Arial"/>
          <w:szCs w:val="24"/>
        </w:rPr>
        <w:fldChar w:fldCharType="separate"/>
      </w:r>
      <w:r w:rsidRPr="00787196">
        <w:rPr>
          <w:rFonts w:cs="Arial"/>
          <w:szCs w:val="24"/>
        </w:rPr>
        <w:t>(Bellini et al., 2009)</w:t>
      </w:r>
      <w:r w:rsidRPr="00787196">
        <w:rPr>
          <w:rFonts w:cs="Arial"/>
          <w:szCs w:val="24"/>
        </w:rPr>
        <w:fldChar w:fldCharType="end"/>
      </w:r>
      <w:r w:rsidRPr="00787196">
        <w:rPr>
          <w:rFonts w:cs="Arial"/>
          <w:szCs w:val="24"/>
        </w:rPr>
        <w:t xml:space="preserve">. Hence, improving adaptation to dentures may not be achieved using one generic approach for </w:t>
      </w:r>
      <w:r w:rsidR="00EB5F2C" w:rsidRPr="00787196">
        <w:rPr>
          <w:rFonts w:cs="Arial"/>
          <w:szCs w:val="24"/>
        </w:rPr>
        <w:t>patients</w:t>
      </w:r>
      <w:r w:rsidR="00E44135" w:rsidRPr="00787196">
        <w:rPr>
          <w:rFonts w:cs="Arial"/>
          <w:szCs w:val="24"/>
        </w:rPr>
        <w:t xml:space="preserve"> </w:t>
      </w:r>
      <w:r w:rsidRPr="00787196">
        <w:rPr>
          <w:rFonts w:cs="Arial"/>
          <w:szCs w:val="24"/>
        </w:rPr>
        <w:t xml:space="preserve">who seek dentures. It requires a better understanding of the underlying factors. </w:t>
      </w:r>
    </w:p>
    <w:p w14:paraId="01D74898" w14:textId="77777777" w:rsidR="00D54533" w:rsidRPr="00787196" w:rsidRDefault="00D54533" w:rsidP="00D54533">
      <w:pPr>
        <w:spacing w:before="0" w:after="0"/>
        <w:rPr>
          <w:rFonts w:cs="Arial"/>
          <w:szCs w:val="24"/>
        </w:rPr>
      </w:pPr>
    </w:p>
    <w:p w14:paraId="0300B0CB" w14:textId="775098A2" w:rsidR="007D7BA5" w:rsidRPr="00787196" w:rsidRDefault="007D7BA5" w:rsidP="00E44135">
      <w:pPr>
        <w:ind w:right="-99"/>
        <w:rPr>
          <w:rFonts w:cs="Arial"/>
          <w:szCs w:val="24"/>
        </w:rPr>
      </w:pPr>
      <w:r w:rsidRPr="00787196">
        <w:rPr>
          <w:rFonts w:cs="Arial"/>
          <w:szCs w:val="24"/>
        </w:rPr>
        <w:t xml:space="preserve">Few studies have focussed on coping strategies in denture wearers. Heydecke and colleagues </w:t>
      </w:r>
      <w:r w:rsidRPr="00787196">
        <w:rPr>
          <w:rFonts w:cs="Arial"/>
          <w:szCs w:val="24"/>
        </w:rPr>
        <w:fldChar w:fldCharType="begin"/>
      </w:r>
      <w:r w:rsidRPr="00787196">
        <w:rPr>
          <w:rFonts w:cs="Arial"/>
          <w:szCs w:val="24"/>
        </w:rPr>
        <w:instrText xml:space="preserve"> ADDIN EN.CITE &lt;EndNote&gt;&lt;Cite ExcludeAuth="1"&gt;&lt;Author&gt;Heydecke&lt;/Author&gt;&lt;Year&gt;2004&lt;/Year&gt;&lt;RecNum&gt;0&lt;/RecNum&gt;&lt;IDText&gt;Complete dentures and oral health-related quality of life – do coping styles matter?&lt;/IDText&gt;&lt;DisplayText&gt;(2004)&lt;/DisplayText&gt;&lt;record&gt;&lt;keywords&gt;&lt;keyword&gt;coping&lt;/keyword&gt;&lt;keyword&gt;dentures&lt;/keyword&gt;&lt;keyword&gt;quality of life&lt;/keyword&gt;&lt;keyword&gt;stress&lt;/keyword&gt;&lt;keyword&gt;treatment outcomes&lt;/keyword&gt;&lt;/keywords&gt;&lt;urls&gt;&lt;related-urls&gt;&lt;url&gt;http://dx.doi.org/10.1111/j.1600-0528.2004.00169.x&lt;/url&gt;&lt;/related-urls&gt;&lt;/urls&gt;&lt;isbn&gt;1600-0528&lt;/isbn&gt;&lt;titles&gt;&lt;title&gt;Complete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Pr="00787196">
        <w:rPr>
          <w:rFonts w:cs="Arial"/>
          <w:szCs w:val="24"/>
        </w:rPr>
        <w:fldChar w:fldCharType="separate"/>
      </w:r>
      <w:r w:rsidRPr="00787196">
        <w:rPr>
          <w:rFonts w:cs="Arial"/>
          <w:szCs w:val="24"/>
        </w:rPr>
        <w:t>(2004)</w:t>
      </w:r>
      <w:r w:rsidRPr="00787196">
        <w:rPr>
          <w:rFonts w:cs="Arial"/>
          <w:szCs w:val="24"/>
        </w:rPr>
        <w:fldChar w:fldCharType="end"/>
      </w:r>
      <w:r w:rsidRPr="00787196">
        <w:rPr>
          <w:rFonts w:cs="Arial"/>
          <w:szCs w:val="24"/>
        </w:rPr>
        <w:t>, demonstrated that low OHQoL was associated with emotion-focussed coping. At the same time, there were no associations demonstrated between OHQoL and problem focussed coping.</w:t>
      </w:r>
      <w:r w:rsidR="00761CBF" w:rsidRPr="00787196">
        <w:rPr>
          <w:rFonts w:cs="Arial"/>
          <w:szCs w:val="24"/>
        </w:rPr>
        <w:t xml:space="preserve"> </w:t>
      </w:r>
      <w:r w:rsidRPr="00787196">
        <w:rPr>
          <w:rFonts w:cs="Arial"/>
          <w:szCs w:val="24"/>
        </w:rPr>
        <w:t>Coping strategies appear to be a</w:t>
      </w:r>
      <w:r w:rsidR="00E44135" w:rsidRPr="00787196">
        <w:rPr>
          <w:rFonts w:cs="Arial"/>
          <w:szCs w:val="24"/>
        </w:rPr>
        <w:t xml:space="preserve"> potentially</w:t>
      </w:r>
      <w:r w:rsidRPr="00787196">
        <w:rPr>
          <w:rFonts w:cs="Arial"/>
          <w:szCs w:val="24"/>
        </w:rPr>
        <w:t xml:space="preserve"> important factor for denture wearers but require further evaluation to understand whether they mediate the relationships between receiving new dentures and OHQoL and thus predict denture success. Gaining such knowledge might allow dentists to predict denture success and may also give new scope for developing strategies to promote positive coping strategies for a smoother, successful transition and </w:t>
      </w:r>
      <w:r w:rsidR="00050001" w:rsidRPr="00787196">
        <w:rPr>
          <w:rFonts w:cs="Arial"/>
          <w:szCs w:val="24"/>
        </w:rPr>
        <w:t xml:space="preserve">their adaptation with dentures. </w:t>
      </w:r>
    </w:p>
    <w:p w14:paraId="530F6705" w14:textId="0ECBE534" w:rsidR="00FC396B" w:rsidRPr="00787196" w:rsidRDefault="00FC396B" w:rsidP="00FC396B">
      <w:pPr>
        <w:spacing w:before="0" w:after="200"/>
        <w:rPr>
          <w:rFonts w:cs="Arial"/>
          <w:szCs w:val="24"/>
        </w:rPr>
      </w:pPr>
      <w:r w:rsidRPr="00787196">
        <w:rPr>
          <w:rFonts w:cs="Arial"/>
          <w:szCs w:val="24"/>
        </w:rPr>
        <w:br w:type="page"/>
      </w:r>
    </w:p>
    <w:bookmarkEnd w:id="51"/>
    <w:bookmarkEnd w:id="75"/>
    <w:p w14:paraId="13DBF701" w14:textId="77777777" w:rsidR="00E9597F" w:rsidRPr="00787196" w:rsidRDefault="00E9597F" w:rsidP="00985A3A">
      <w:pPr>
        <w:rPr>
          <w:rFonts w:cs="Arial"/>
          <w:szCs w:val="24"/>
        </w:rPr>
        <w:sectPr w:rsidR="00E9597F" w:rsidRPr="00787196" w:rsidSect="00B560B3">
          <w:headerReference w:type="default" r:id="rId23"/>
          <w:footerReference w:type="default" r:id="rId24"/>
          <w:pgSz w:w="11906" w:h="16838"/>
          <w:pgMar w:top="1134" w:right="1134" w:bottom="1134" w:left="2268" w:header="708" w:footer="0" w:gutter="0"/>
          <w:cols w:space="708"/>
          <w:docGrid w:linePitch="360"/>
        </w:sectPr>
      </w:pPr>
    </w:p>
    <w:p w14:paraId="789F9B0E" w14:textId="7CDA777B" w:rsidR="00374D29" w:rsidRPr="00787196" w:rsidRDefault="00284C60" w:rsidP="00CD0F2A">
      <w:pPr>
        <w:pStyle w:val="Heading1"/>
      </w:pPr>
      <w:bookmarkStart w:id="100" w:name="_Toc366260739"/>
      <w:bookmarkStart w:id="101" w:name="_Toc371981452"/>
      <w:bookmarkStart w:id="102" w:name="_Toc372541931"/>
      <w:bookmarkStart w:id="103" w:name="_Toc456211143"/>
      <w:bookmarkStart w:id="104" w:name="_Toc488655633"/>
      <w:r w:rsidRPr="00787196">
        <w:lastRenderedPageBreak/>
        <w:t xml:space="preserve">CHAPTER THREE </w:t>
      </w:r>
      <w:r w:rsidR="00F035A1" w:rsidRPr="00787196">
        <w:t>AIM</w:t>
      </w:r>
      <w:bookmarkEnd w:id="100"/>
      <w:bookmarkEnd w:id="101"/>
      <w:bookmarkEnd w:id="102"/>
      <w:r w:rsidR="00F035A1" w:rsidRPr="00787196">
        <w:t xml:space="preserve"> AND OBJECTIVES</w:t>
      </w:r>
      <w:bookmarkEnd w:id="103"/>
      <w:bookmarkEnd w:id="104"/>
    </w:p>
    <w:p w14:paraId="1E0C630C" w14:textId="4303484D" w:rsidR="00374D29" w:rsidRPr="00787196" w:rsidRDefault="00DE5BE7" w:rsidP="004F119E">
      <w:pPr>
        <w:pStyle w:val="Heading2"/>
        <w:rPr>
          <w:rStyle w:val="Heading2Char"/>
          <w:rFonts w:cs="Arial"/>
          <w:b/>
          <w:bCs/>
        </w:rPr>
      </w:pPr>
      <w:bookmarkStart w:id="105" w:name="_Toc488655634"/>
      <w:bookmarkStart w:id="106" w:name="_Toc366260740"/>
      <w:bookmarkStart w:id="107" w:name="_Toc371981453"/>
      <w:bookmarkStart w:id="108" w:name="_Toc372541932"/>
      <w:r w:rsidRPr="00787196">
        <w:rPr>
          <w:rStyle w:val="Heading2Char"/>
          <w:rFonts w:cs="Arial"/>
          <w:b/>
          <w:bCs/>
        </w:rPr>
        <w:t xml:space="preserve">Rationale </w:t>
      </w:r>
      <w:r w:rsidR="00A97177" w:rsidRPr="00787196">
        <w:rPr>
          <w:rStyle w:val="Heading2Char"/>
          <w:rFonts w:cs="Arial"/>
          <w:b/>
          <w:bCs/>
        </w:rPr>
        <w:t>and aim</w:t>
      </w:r>
      <w:bookmarkEnd w:id="105"/>
    </w:p>
    <w:p w14:paraId="08090024" w14:textId="77777777" w:rsidR="00152846" w:rsidRPr="00787196" w:rsidRDefault="00060CEB" w:rsidP="00D54533">
      <w:pPr>
        <w:rPr>
          <w:rFonts w:cs="Arial"/>
          <w:szCs w:val="24"/>
        </w:rPr>
      </w:pPr>
      <w:r w:rsidRPr="00787196">
        <w:rPr>
          <w:rFonts w:cs="Arial"/>
          <w:szCs w:val="24"/>
        </w:rPr>
        <w:t xml:space="preserve">The </w:t>
      </w:r>
      <w:r w:rsidR="00152846" w:rsidRPr="00787196">
        <w:rPr>
          <w:rFonts w:cs="Arial"/>
          <w:szCs w:val="24"/>
        </w:rPr>
        <w:t>widespread</w:t>
      </w:r>
      <w:r w:rsidR="007B6CC1" w:rsidRPr="00787196">
        <w:rPr>
          <w:rFonts w:cs="Arial"/>
          <w:szCs w:val="24"/>
        </w:rPr>
        <w:t xml:space="preserve"> </w:t>
      </w:r>
      <w:r w:rsidRPr="00787196">
        <w:rPr>
          <w:rFonts w:cs="Arial"/>
          <w:szCs w:val="24"/>
        </w:rPr>
        <w:t xml:space="preserve">use of </w:t>
      </w:r>
      <w:r w:rsidR="00DE5BE7" w:rsidRPr="00787196">
        <w:rPr>
          <w:rFonts w:cs="Arial"/>
          <w:szCs w:val="24"/>
        </w:rPr>
        <w:t>co</w:t>
      </w:r>
      <w:r w:rsidRPr="00787196">
        <w:rPr>
          <w:rFonts w:cs="Arial"/>
          <w:szCs w:val="24"/>
        </w:rPr>
        <w:t xml:space="preserve">nventional removable dentures to </w:t>
      </w:r>
      <w:r w:rsidR="007B6CC1" w:rsidRPr="00787196">
        <w:rPr>
          <w:rFonts w:cs="Arial"/>
          <w:szCs w:val="24"/>
        </w:rPr>
        <w:t xml:space="preserve">manage </w:t>
      </w:r>
      <w:r w:rsidRPr="00787196">
        <w:rPr>
          <w:rFonts w:cs="Arial"/>
          <w:szCs w:val="24"/>
        </w:rPr>
        <w:t xml:space="preserve">missing teeth </w:t>
      </w:r>
      <w:r w:rsidR="0010055B" w:rsidRPr="00787196">
        <w:rPr>
          <w:rFonts w:cs="Arial"/>
          <w:szCs w:val="24"/>
        </w:rPr>
        <w:t xml:space="preserve">in patients </w:t>
      </w:r>
      <w:r w:rsidRPr="00787196">
        <w:rPr>
          <w:rFonts w:cs="Arial"/>
          <w:szCs w:val="24"/>
        </w:rPr>
        <w:t>is expected to remain for the for</w:t>
      </w:r>
      <w:r w:rsidR="007B6CC1" w:rsidRPr="00787196">
        <w:rPr>
          <w:rFonts w:cs="Arial"/>
          <w:szCs w:val="24"/>
        </w:rPr>
        <w:t xml:space="preserve">eseeable future. </w:t>
      </w:r>
      <w:r w:rsidR="00152846" w:rsidRPr="00787196">
        <w:rPr>
          <w:rFonts w:cs="Arial"/>
          <w:szCs w:val="24"/>
        </w:rPr>
        <w:t>S</w:t>
      </w:r>
      <w:r w:rsidR="007B6CC1" w:rsidRPr="00787196">
        <w:rPr>
          <w:rFonts w:cs="Arial"/>
          <w:szCs w:val="24"/>
        </w:rPr>
        <w:t>uccess</w:t>
      </w:r>
      <w:r w:rsidR="00152846" w:rsidRPr="00787196">
        <w:rPr>
          <w:rFonts w:cs="Arial"/>
          <w:szCs w:val="24"/>
        </w:rPr>
        <w:t>ful</w:t>
      </w:r>
      <w:r w:rsidR="007B6CC1" w:rsidRPr="00787196">
        <w:rPr>
          <w:rFonts w:cs="Arial"/>
          <w:szCs w:val="24"/>
        </w:rPr>
        <w:t xml:space="preserve"> conventional denture treatment is </w:t>
      </w:r>
      <w:r w:rsidR="0010055B" w:rsidRPr="00787196">
        <w:rPr>
          <w:rFonts w:cs="Arial"/>
          <w:szCs w:val="24"/>
        </w:rPr>
        <w:t>therefore vital</w:t>
      </w:r>
      <w:r w:rsidR="007B6CC1" w:rsidRPr="00787196">
        <w:rPr>
          <w:rFonts w:cs="Arial"/>
          <w:szCs w:val="24"/>
        </w:rPr>
        <w:t xml:space="preserve"> </w:t>
      </w:r>
      <w:r w:rsidR="00DE5BE7" w:rsidRPr="00787196">
        <w:rPr>
          <w:rFonts w:cs="Arial"/>
          <w:szCs w:val="24"/>
        </w:rPr>
        <w:t xml:space="preserve">to </w:t>
      </w:r>
      <w:r w:rsidR="0010055B" w:rsidRPr="00787196">
        <w:rPr>
          <w:rFonts w:cs="Arial"/>
          <w:szCs w:val="24"/>
        </w:rPr>
        <w:t xml:space="preserve">improve the </w:t>
      </w:r>
      <w:r w:rsidR="0071477B" w:rsidRPr="00787196">
        <w:rPr>
          <w:rFonts w:cs="Arial"/>
          <w:szCs w:val="24"/>
        </w:rPr>
        <w:t xml:space="preserve">quality denture </w:t>
      </w:r>
      <w:r w:rsidR="0010055B" w:rsidRPr="00787196">
        <w:rPr>
          <w:rFonts w:cs="Arial"/>
          <w:szCs w:val="24"/>
        </w:rPr>
        <w:t>provision and</w:t>
      </w:r>
      <w:r w:rsidR="0071477B" w:rsidRPr="00787196">
        <w:rPr>
          <w:rFonts w:cs="Arial"/>
          <w:szCs w:val="24"/>
        </w:rPr>
        <w:t xml:space="preserve"> population oral health.</w:t>
      </w:r>
      <w:r w:rsidR="00DE5BE7" w:rsidRPr="00787196">
        <w:rPr>
          <w:rFonts w:cs="Arial"/>
          <w:szCs w:val="24"/>
        </w:rPr>
        <w:t xml:space="preserve"> However, </w:t>
      </w:r>
      <w:r w:rsidR="00A318A7" w:rsidRPr="00787196">
        <w:rPr>
          <w:rFonts w:cs="Arial"/>
          <w:szCs w:val="24"/>
        </w:rPr>
        <w:t xml:space="preserve">gaps in the existing literature on denture success </w:t>
      </w:r>
      <w:r w:rsidR="00152846" w:rsidRPr="00787196">
        <w:rPr>
          <w:rFonts w:cs="Arial"/>
          <w:szCs w:val="24"/>
        </w:rPr>
        <w:t>leave the field poorly</w:t>
      </w:r>
      <w:r w:rsidR="003A3150" w:rsidRPr="00787196">
        <w:rPr>
          <w:rFonts w:cs="Arial"/>
          <w:szCs w:val="24"/>
        </w:rPr>
        <w:t xml:space="preserve"> defined</w:t>
      </w:r>
      <w:r w:rsidR="00A318A7" w:rsidRPr="00787196">
        <w:rPr>
          <w:rFonts w:cs="Arial"/>
          <w:szCs w:val="24"/>
        </w:rPr>
        <w:t xml:space="preserve"> </w:t>
      </w:r>
      <w:r w:rsidR="00152846" w:rsidRPr="00787196">
        <w:rPr>
          <w:rFonts w:cs="Arial"/>
          <w:szCs w:val="24"/>
        </w:rPr>
        <w:t>and</w:t>
      </w:r>
      <w:r w:rsidR="00A318A7" w:rsidRPr="00787196">
        <w:rPr>
          <w:rFonts w:cs="Arial"/>
          <w:szCs w:val="24"/>
        </w:rPr>
        <w:t xml:space="preserve"> conceptualised</w:t>
      </w:r>
      <w:r w:rsidR="00152846" w:rsidRPr="00787196">
        <w:rPr>
          <w:rFonts w:cs="Arial"/>
          <w:szCs w:val="24"/>
        </w:rPr>
        <w:t>. I</w:t>
      </w:r>
      <w:r w:rsidR="00DE5BE7" w:rsidRPr="00787196">
        <w:rPr>
          <w:rFonts w:cs="Arial"/>
          <w:szCs w:val="24"/>
        </w:rPr>
        <w:t xml:space="preserve">t is </w:t>
      </w:r>
      <w:r w:rsidR="00A318A7" w:rsidRPr="00787196">
        <w:rPr>
          <w:rFonts w:cs="Arial"/>
          <w:szCs w:val="24"/>
        </w:rPr>
        <w:t xml:space="preserve">crucial that denture success is </w:t>
      </w:r>
      <w:r w:rsidR="00DE5BE7" w:rsidRPr="00787196">
        <w:rPr>
          <w:rFonts w:cs="Arial"/>
          <w:szCs w:val="24"/>
        </w:rPr>
        <w:t xml:space="preserve">evaluated </w:t>
      </w:r>
      <w:r w:rsidR="00A318A7" w:rsidRPr="00787196">
        <w:rPr>
          <w:rFonts w:cs="Arial"/>
          <w:szCs w:val="24"/>
        </w:rPr>
        <w:t xml:space="preserve">using </w:t>
      </w:r>
      <w:r w:rsidR="00DE5BE7" w:rsidRPr="00787196">
        <w:rPr>
          <w:rFonts w:cs="Arial"/>
          <w:szCs w:val="24"/>
        </w:rPr>
        <w:t xml:space="preserve">a robust </w:t>
      </w:r>
      <w:r w:rsidR="003A3150" w:rsidRPr="00787196">
        <w:rPr>
          <w:rFonts w:cs="Arial"/>
          <w:szCs w:val="24"/>
        </w:rPr>
        <w:t>well conceptualised measure</w:t>
      </w:r>
      <w:r w:rsidR="00DE5BE7" w:rsidRPr="00787196">
        <w:rPr>
          <w:rFonts w:cs="Arial"/>
          <w:szCs w:val="24"/>
        </w:rPr>
        <w:t xml:space="preserve">. The increased </w:t>
      </w:r>
      <w:r w:rsidR="003A3150" w:rsidRPr="00787196">
        <w:rPr>
          <w:rFonts w:cs="Arial"/>
          <w:szCs w:val="24"/>
        </w:rPr>
        <w:t xml:space="preserve">use of OHQoL </w:t>
      </w:r>
      <w:r w:rsidR="00F45D7C" w:rsidRPr="00787196">
        <w:rPr>
          <w:rFonts w:cs="Arial"/>
          <w:szCs w:val="24"/>
        </w:rPr>
        <w:t>as an outcome measure to assess oral health interventions mean</w:t>
      </w:r>
      <w:r w:rsidR="00152846" w:rsidRPr="00787196">
        <w:rPr>
          <w:rFonts w:cs="Arial"/>
          <w:szCs w:val="24"/>
        </w:rPr>
        <w:t>s</w:t>
      </w:r>
      <w:r w:rsidR="00F45D7C" w:rsidRPr="00787196">
        <w:rPr>
          <w:rFonts w:cs="Arial"/>
          <w:szCs w:val="24"/>
        </w:rPr>
        <w:t xml:space="preserve"> that th</w:t>
      </w:r>
      <w:r w:rsidR="00E64315" w:rsidRPr="00787196">
        <w:rPr>
          <w:rFonts w:cs="Arial"/>
          <w:szCs w:val="24"/>
        </w:rPr>
        <w:t>is</w:t>
      </w:r>
      <w:r w:rsidR="00F45D7C" w:rsidRPr="00787196">
        <w:rPr>
          <w:rFonts w:cs="Arial"/>
          <w:szCs w:val="24"/>
        </w:rPr>
        <w:t xml:space="preserve"> multi-dimensional concept </w:t>
      </w:r>
      <w:r w:rsidR="00E64315" w:rsidRPr="00787196">
        <w:rPr>
          <w:rFonts w:cs="Arial"/>
          <w:szCs w:val="24"/>
        </w:rPr>
        <w:t xml:space="preserve">is not only well conceptualised but </w:t>
      </w:r>
      <w:r w:rsidR="00152846" w:rsidRPr="00787196">
        <w:rPr>
          <w:rFonts w:cs="Arial"/>
          <w:szCs w:val="24"/>
        </w:rPr>
        <w:t>also well placed</w:t>
      </w:r>
      <w:r w:rsidR="00AD3242" w:rsidRPr="00787196">
        <w:rPr>
          <w:rFonts w:cs="Arial"/>
          <w:szCs w:val="24"/>
        </w:rPr>
        <w:t xml:space="preserve"> </w:t>
      </w:r>
      <w:r w:rsidR="00E64315" w:rsidRPr="00787196">
        <w:rPr>
          <w:rFonts w:cs="Arial"/>
          <w:szCs w:val="24"/>
        </w:rPr>
        <w:t xml:space="preserve">to measure </w:t>
      </w:r>
      <w:r w:rsidR="00AD3242" w:rsidRPr="00787196">
        <w:rPr>
          <w:rFonts w:cs="Arial"/>
          <w:szCs w:val="24"/>
        </w:rPr>
        <w:t>denture success</w:t>
      </w:r>
      <w:r w:rsidR="00DE5BE7" w:rsidRPr="00787196">
        <w:rPr>
          <w:rFonts w:cs="Arial"/>
          <w:szCs w:val="24"/>
        </w:rPr>
        <w:t xml:space="preserve">. </w:t>
      </w:r>
    </w:p>
    <w:p w14:paraId="6D9D1BC8" w14:textId="4B67B74A" w:rsidR="00021511" w:rsidRPr="00787196" w:rsidRDefault="00E64315" w:rsidP="00D54533">
      <w:pPr>
        <w:rPr>
          <w:rFonts w:cs="Arial"/>
          <w:szCs w:val="24"/>
        </w:rPr>
      </w:pPr>
      <w:r w:rsidRPr="00787196">
        <w:rPr>
          <w:rFonts w:cs="Arial"/>
          <w:szCs w:val="24"/>
        </w:rPr>
        <w:t xml:space="preserve">Receiving new dentures is considered as stressful life event among individuals and </w:t>
      </w:r>
      <w:r w:rsidR="003648FF" w:rsidRPr="00787196">
        <w:rPr>
          <w:rFonts w:cs="Arial"/>
          <w:szCs w:val="24"/>
        </w:rPr>
        <w:t>those</w:t>
      </w:r>
      <w:r w:rsidR="007D5A86" w:rsidRPr="00787196">
        <w:rPr>
          <w:rFonts w:cs="Arial"/>
          <w:szCs w:val="24"/>
        </w:rPr>
        <w:t xml:space="preserve"> who have no experience</w:t>
      </w:r>
      <w:r w:rsidR="003648FF" w:rsidRPr="00787196">
        <w:rPr>
          <w:rFonts w:cs="Arial"/>
          <w:szCs w:val="24"/>
        </w:rPr>
        <w:t xml:space="preserve"> </w:t>
      </w:r>
      <w:r w:rsidR="004532B4" w:rsidRPr="00787196">
        <w:rPr>
          <w:rFonts w:cs="Arial"/>
          <w:szCs w:val="24"/>
        </w:rPr>
        <w:t xml:space="preserve">wearing dentures </w:t>
      </w:r>
      <w:r w:rsidR="00152846" w:rsidRPr="00787196">
        <w:rPr>
          <w:rFonts w:cs="Arial"/>
          <w:szCs w:val="24"/>
        </w:rPr>
        <w:t>can find</w:t>
      </w:r>
      <w:r w:rsidR="003648FF" w:rsidRPr="00787196">
        <w:rPr>
          <w:rFonts w:cs="Arial"/>
          <w:szCs w:val="24"/>
        </w:rPr>
        <w:t xml:space="preserve"> it to be upsetting. </w:t>
      </w:r>
      <w:r w:rsidR="00152846" w:rsidRPr="00787196">
        <w:rPr>
          <w:rFonts w:cs="Arial"/>
          <w:szCs w:val="24"/>
        </w:rPr>
        <w:t>A</w:t>
      </w:r>
      <w:r w:rsidR="003648FF" w:rsidRPr="00787196">
        <w:rPr>
          <w:rFonts w:cs="Arial"/>
          <w:szCs w:val="24"/>
        </w:rPr>
        <w:t>dapt</w:t>
      </w:r>
      <w:r w:rsidR="00152846" w:rsidRPr="00787196">
        <w:rPr>
          <w:rFonts w:cs="Arial"/>
          <w:szCs w:val="24"/>
        </w:rPr>
        <w:t>ing</w:t>
      </w:r>
      <w:r w:rsidR="003648FF" w:rsidRPr="00787196">
        <w:rPr>
          <w:rFonts w:cs="Arial"/>
          <w:szCs w:val="24"/>
        </w:rPr>
        <w:t xml:space="preserve"> to new dentures depends </w:t>
      </w:r>
      <w:r w:rsidR="004532B4" w:rsidRPr="00787196">
        <w:rPr>
          <w:rFonts w:cs="Arial"/>
          <w:szCs w:val="24"/>
        </w:rPr>
        <w:t xml:space="preserve">on </w:t>
      </w:r>
      <w:r w:rsidR="003648FF" w:rsidRPr="00787196">
        <w:rPr>
          <w:rFonts w:cs="Arial"/>
          <w:szCs w:val="24"/>
        </w:rPr>
        <w:t>psychosocial and emotional factors</w:t>
      </w:r>
      <w:r w:rsidR="004532B4" w:rsidRPr="00787196">
        <w:rPr>
          <w:rFonts w:cs="Arial"/>
          <w:szCs w:val="24"/>
        </w:rPr>
        <w:t xml:space="preserve"> associated with the individual</w:t>
      </w:r>
      <w:r w:rsidR="00152846" w:rsidRPr="00787196">
        <w:rPr>
          <w:rFonts w:cs="Arial"/>
          <w:szCs w:val="24"/>
        </w:rPr>
        <w:t>,</w:t>
      </w:r>
      <w:r w:rsidR="004532B4" w:rsidRPr="00787196">
        <w:rPr>
          <w:rFonts w:cs="Arial"/>
          <w:szCs w:val="24"/>
        </w:rPr>
        <w:t xml:space="preserve"> which may include their coping strategies</w:t>
      </w:r>
      <w:r w:rsidR="003648FF" w:rsidRPr="00787196">
        <w:rPr>
          <w:rFonts w:cs="Arial"/>
          <w:szCs w:val="24"/>
        </w:rPr>
        <w:t>.</w:t>
      </w:r>
      <w:r w:rsidR="004532B4" w:rsidRPr="00787196">
        <w:rPr>
          <w:rFonts w:cs="Arial"/>
          <w:szCs w:val="24"/>
        </w:rPr>
        <w:t xml:space="preserve"> </w:t>
      </w:r>
      <w:r w:rsidR="003648FF" w:rsidRPr="00787196">
        <w:rPr>
          <w:rFonts w:cs="Arial"/>
          <w:szCs w:val="24"/>
        </w:rPr>
        <w:t xml:space="preserve"> </w:t>
      </w:r>
      <w:r w:rsidR="00B13033" w:rsidRPr="00787196">
        <w:rPr>
          <w:rFonts w:cs="Arial"/>
          <w:szCs w:val="24"/>
        </w:rPr>
        <w:t xml:space="preserve">Existing data suggest cross-sectional associations between coping strategies and OHQoL in removable denture wearers. </w:t>
      </w:r>
      <w:r w:rsidR="0093519D" w:rsidRPr="00787196">
        <w:rPr>
          <w:rFonts w:cs="Arial"/>
          <w:szCs w:val="24"/>
        </w:rPr>
        <w:t xml:space="preserve">Hence, </w:t>
      </w:r>
      <w:r w:rsidR="00B13033" w:rsidRPr="00787196">
        <w:rPr>
          <w:rFonts w:cs="Arial"/>
          <w:szCs w:val="24"/>
        </w:rPr>
        <w:t xml:space="preserve">a further longitudinal exploration of this association using a robust theory based model will be </w:t>
      </w:r>
      <w:r w:rsidR="0093519D" w:rsidRPr="00787196">
        <w:rPr>
          <w:rFonts w:cs="Arial"/>
          <w:szCs w:val="24"/>
        </w:rPr>
        <w:t>beneficial. Th</w:t>
      </w:r>
      <w:r w:rsidR="00B832DF" w:rsidRPr="00787196">
        <w:rPr>
          <w:rFonts w:cs="Arial"/>
          <w:szCs w:val="24"/>
        </w:rPr>
        <w:t>us</w:t>
      </w:r>
      <w:r w:rsidR="0093519D" w:rsidRPr="00787196">
        <w:rPr>
          <w:rFonts w:cs="Arial"/>
          <w:szCs w:val="24"/>
        </w:rPr>
        <w:t>,</w:t>
      </w:r>
      <w:r w:rsidR="00A97177" w:rsidRPr="00787196">
        <w:rPr>
          <w:rFonts w:cs="Arial"/>
          <w:szCs w:val="24"/>
        </w:rPr>
        <w:t xml:space="preserve"> the aim of this research was t</w:t>
      </w:r>
      <w:r w:rsidR="00374D29" w:rsidRPr="00787196">
        <w:rPr>
          <w:rFonts w:cs="Arial"/>
          <w:szCs w:val="24"/>
        </w:rPr>
        <w:t>o</w:t>
      </w:r>
      <w:r w:rsidR="00A97177" w:rsidRPr="00787196">
        <w:rPr>
          <w:rFonts w:cs="Arial"/>
          <w:szCs w:val="24"/>
        </w:rPr>
        <w:t xml:space="preserve"> </w:t>
      </w:r>
      <w:r w:rsidR="00C75D1E" w:rsidRPr="00787196">
        <w:rPr>
          <w:rFonts w:cs="Arial"/>
          <w:szCs w:val="24"/>
        </w:rPr>
        <w:t>examine</w:t>
      </w:r>
      <w:r w:rsidR="00A97177" w:rsidRPr="00787196">
        <w:rPr>
          <w:rFonts w:cs="Arial"/>
          <w:szCs w:val="24"/>
        </w:rPr>
        <w:t xml:space="preserve"> </w:t>
      </w:r>
      <w:r w:rsidR="00374D29" w:rsidRPr="00787196">
        <w:rPr>
          <w:rFonts w:cs="Arial"/>
          <w:szCs w:val="24"/>
        </w:rPr>
        <w:t xml:space="preserve">whether coping strategies </w:t>
      </w:r>
      <w:r w:rsidR="00A97177" w:rsidRPr="00787196">
        <w:rPr>
          <w:rFonts w:cs="Arial"/>
          <w:szCs w:val="24"/>
        </w:rPr>
        <w:t xml:space="preserve">of individuals </w:t>
      </w:r>
      <w:r w:rsidR="00374D29" w:rsidRPr="00787196">
        <w:rPr>
          <w:rFonts w:cs="Arial"/>
          <w:szCs w:val="24"/>
        </w:rPr>
        <w:t xml:space="preserve">determine denture success to improve </w:t>
      </w:r>
      <w:r w:rsidR="00A97177" w:rsidRPr="00787196">
        <w:rPr>
          <w:rFonts w:cs="Arial"/>
          <w:szCs w:val="24"/>
        </w:rPr>
        <w:t>their</w:t>
      </w:r>
      <w:r w:rsidR="00374D29" w:rsidRPr="00787196">
        <w:rPr>
          <w:rFonts w:cs="Arial"/>
          <w:szCs w:val="24"/>
        </w:rPr>
        <w:t xml:space="preserve"> OHQoL</w:t>
      </w:r>
      <w:r w:rsidR="00A97177" w:rsidRPr="00787196">
        <w:rPr>
          <w:rFonts w:cs="Arial"/>
          <w:szCs w:val="24"/>
        </w:rPr>
        <w:t>.</w:t>
      </w:r>
    </w:p>
    <w:p w14:paraId="4BBE6ED9" w14:textId="77777777" w:rsidR="00021511" w:rsidRPr="00787196" w:rsidRDefault="00021511">
      <w:pPr>
        <w:spacing w:before="0" w:after="0" w:line="240" w:lineRule="auto"/>
        <w:jc w:val="left"/>
        <w:rPr>
          <w:rFonts w:cs="Arial"/>
          <w:szCs w:val="24"/>
        </w:rPr>
      </w:pPr>
      <w:r w:rsidRPr="00787196">
        <w:rPr>
          <w:rFonts w:cs="Arial"/>
          <w:szCs w:val="24"/>
        </w:rPr>
        <w:br w:type="page"/>
      </w:r>
    </w:p>
    <w:p w14:paraId="13A611B5" w14:textId="0AE05E0D" w:rsidR="00F035A1" w:rsidRPr="00787196" w:rsidRDefault="00F035A1" w:rsidP="00DD3804">
      <w:pPr>
        <w:pStyle w:val="Heading2"/>
      </w:pPr>
      <w:bookmarkStart w:id="109" w:name="_Toc488655635"/>
      <w:r w:rsidRPr="00787196">
        <w:lastRenderedPageBreak/>
        <w:t>Objectives</w:t>
      </w:r>
      <w:bookmarkEnd w:id="109"/>
    </w:p>
    <w:p w14:paraId="7EF5D1C7" w14:textId="037D24CF" w:rsidR="00A97177" w:rsidRPr="00787196" w:rsidRDefault="00A97177" w:rsidP="00A97177">
      <w:r w:rsidRPr="00787196">
        <w:t xml:space="preserve">The objectives to meet the above aim were to:  </w:t>
      </w:r>
    </w:p>
    <w:bookmarkEnd w:id="106"/>
    <w:bookmarkEnd w:id="107"/>
    <w:bookmarkEnd w:id="108"/>
    <w:p w14:paraId="0B43691A" w14:textId="60D0E9D8" w:rsidR="00D54533" w:rsidRPr="00787196" w:rsidRDefault="00374D29" w:rsidP="00021511">
      <w:pPr>
        <w:pStyle w:val="ListParagraph"/>
        <w:numPr>
          <w:ilvl w:val="0"/>
          <w:numId w:val="39"/>
        </w:numPr>
        <w:spacing w:before="0" w:after="0"/>
        <w:ind w:right="-99"/>
        <w:contextualSpacing w:val="0"/>
        <w:jc w:val="left"/>
        <w:rPr>
          <w:rFonts w:cs="Arial"/>
          <w:szCs w:val="24"/>
        </w:rPr>
      </w:pPr>
      <w:r w:rsidRPr="00787196">
        <w:rPr>
          <w:rFonts w:cs="Arial"/>
          <w:szCs w:val="24"/>
        </w:rPr>
        <w:t>Recruit a cohort of complete/partially edentulous adults seeking dentures (irrespective of denture</w:t>
      </w:r>
      <w:r w:rsidR="00A97177" w:rsidRPr="00787196">
        <w:rPr>
          <w:rFonts w:cs="Arial"/>
          <w:szCs w:val="24"/>
        </w:rPr>
        <w:t xml:space="preserve"> wearing</w:t>
      </w:r>
      <w:r w:rsidRPr="00787196">
        <w:rPr>
          <w:rFonts w:cs="Arial"/>
          <w:szCs w:val="24"/>
        </w:rPr>
        <w:t xml:space="preserve"> history)</w:t>
      </w:r>
    </w:p>
    <w:p w14:paraId="489C21C2" w14:textId="77777777" w:rsidR="00D54533" w:rsidRPr="00787196" w:rsidRDefault="00D54533" w:rsidP="00D54533">
      <w:pPr>
        <w:pStyle w:val="ListParagraph"/>
        <w:spacing w:after="0"/>
        <w:ind w:right="-99"/>
        <w:contextualSpacing w:val="0"/>
        <w:rPr>
          <w:rFonts w:cs="Arial"/>
          <w:szCs w:val="24"/>
        </w:rPr>
      </w:pPr>
    </w:p>
    <w:p w14:paraId="76F10FA3" w14:textId="6171FF97" w:rsidR="00374D29" w:rsidRPr="00787196" w:rsidRDefault="00CF21FE" w:rsidP="00F03962">
      <w:pPr>
        <w:pStyle w:val="ListParagraph"/>
        <w:numPr>
          <w:ilvl w:val="0"/>
          <w:numId w:val="39"/>
        </w:numPr>
        <w:spacing w:after="0"/>
        <w:rPr>
          <w:rFonts w:cs="Arial"/>
          <w:szCs w:val="24"/>
        </w:rPr>
      </w:pPr>
      <w:r w:rsidRPr="00787196">
        <w:rPr>
          <w:rFonts w:cs="Arial"/>
          <w:szCs w:val="24"/>
        </w:rPr>
        <w:t xml:space="preserve">To collect and record data on clinical variables, coping, individual and environmental factors, </w:t>
      </w:r>
      <w:r w:rsidR="00021511" w:rsidRPr="00787196">
        <w:rPr>
          <w:rFonts w:cs="Arial"/>
          <w:szCs w:val="24"/>
        </w:rPr>
        <w:t xml:space="preserve">OHQoL </w:t>
      </w:r>
      <w:r w:rsidR="00A03134" w:rsidRPr="00787196">
        <w:rPr>
          <w:rFonts w:cs="Arial"/>
          <w:szCs w:val="24"/>
        </w:rPr>
        <w:t xml:space="preserve">and other patient reported outcome variables populated </w:t>
      </w:r>
      <w:r w:rsidRPr="00787196">
        <w:rPr>
          <w:rFonts w:cs="Arial"/>
          <w:szCs w:val="24"/>
        </w:rPr>
        <w:t>within the Wilson and Cleary model</w:t>
      </w:r>
    </w:p>
    <w:p w14:paraId="56E29C50" w14:textId="77777777" w:rsidR="002245E4" w:rsidRPr="00787196" w:rsidRDefault="002245E4" w:rsidP="002245E4">
      <w:pPr>
        <w:pStyle w:val="ListParagraph"/>
        <w:rPr>
          <w:rFonts w:cs="Arial"/>
          <w:szCs w:val="24"/>
        </w:rPr>
      </w:pPr>
    </w:p>
    <w:p w14:paraId="18B6127D" w14:textId="0B4F1DA1" w:rsidR="002245E4" w:rsidRPr="00787196" w:rsidRDefault="000B0E11" w:rsidP="00C119A5">
      <w:pPr>
        <w:pStyle w:val="ListParagraph"/>
        <w:numPr>
          <w:ilvl w:val="0"/>
          <w:numId w:val="39"/>
        </w:numPr>
        <w:spacing w:after="0"/>
        <w:ind w:right="-99"/>
        <w:contextualSpacing w:val="0"/>
        <w:rPr>
          <w:rFonts w:cs="Arial"/>
          <w:szCs w:val="24"/>
        </w:rPr>
      </w:pPr>
      <w:r w:rsidRPr="00787196">
        <w:rPr>
          <w:rFonts w:cs="Arial"/>
          <w:szCs w:val="24"/>
        </w:rPr>
        <w:t xml:space="preserve">To determine if coping strategies </w:t>
      </w:r>
      <w:r w:rsidR="00CA4102" w:rsidRPr="00787196">
        <w:rPr>
          <w:rFonts w:cs="Arial"/>
          <w:szCs w:val="24"/>
        </w:rPr>
        <w:t>influences</w:t>
      </w:r>
      <w:r w:rsidRPr="00787196">
        <w:rPr>
          <w:rFonts w:cs="Arial"/>
          <w:szCs w:val="24"/>
        </w:rPr>
        <w:t xml:space="preserve"> OHQoL</w:t>
      </w:r>
      <w:r w:rsidR="002245E4" w:rsidRPr="00787196">
        <w:rPr>
          <w:rFonts w:cs="Arial"/>
          <w:szCs w:val="24"/>
        </w:rPr>
        <w:t xml:space="preserve"> i</w:t>
      </w:r>
      <w:r w:rsidRPr="00787196">
        <w:rPr>
          <w:rFonts w:cs="Arial"/>
          <w:szCs w:val="24"/>
        </w:rPr>
        <w:t>n people receiving new dentures</w:t>
      </w:r>
      <w:r w:rsidR="00CA4102" w:rsidRPr="00787196">
        <w:rPr>
          <w:rFonts w:cs="Arial"/>
          <w:szCs w:val="24"/>
        </w:rPr>
        <w:t>.</w:t>
      </w:r>
    </w:p>
    <w:p w14:paraId="34308C88" w14:textId="77777777" w:rsidR="00F03962" w:rsidRPr="00787196" w:rsidRDefault="00F03962" w:rsidP="00F03962">
      <w:pPr>
        <w:pStyle w:val="ListParagraph"/>
        <w:rPr>
          <w:rFonts w:cs="Arial"/>
          <w:szCs w:val="24"/>
        </w:rPr>
      </w:pPr>
    </w:p>
    <w:p w14:paraId="46C72FB2" w14:textId="0A411A66" w:rsidR="004305BB" w:rsidRPr="00787196" w:rsidRDefault="004305BB" w:rsidP="00C119A5">
      <w:pPr>
        <w:pStyle w:val="ListParagraph"/>
        <w:numPr>
          <w:ilvl w:val="0"/>
          <w:numId w:val="39"/>
        </w:numPr>
        <w:spacing w:after="0"/>
        <w:ind w:right="-99"/>
        <w:contextualSpacing w:val="0"/>
        <w:rPr>
          <w:rFonts w:cs="Arial"/>
          <w:szCs w:val="24"/>
        </w:rPr>
      </w:pPr>
      <w:r w:rsidRPr="00787196">
        <w:rPr>
          <w:rFonts w:cs="Arial"/>
          <w:szCs w:val="24"/>
        </w:rPr>
        <w:t xml:space="preserve">To determine and identify clinical, individual and environmental factors that influence OHQoL and other patient reported outcomes </w:t>
      </w:r>
      <w:r w:rsidR="00FE4827" w:rsidRPr="00787196">
        <w:rPr>
          <w:rFonts w:cs="Arial"/>
          <w:szCs w:val="24"/>
        </w:rPr>
        <w:t>(</w:t>
      </w:r>
      <w:r w:rsidRPr="00787196">
        <w:rPr>
          <w:rFonts w:cs="Arial"/>
          <w:szCs w:val="24"/>
        </w:rPr>
        <w:t>denture satisfaction and chewing ability</w:t>
      </w:r>
      <w:r w:rsidR="00FE4827" w:rsidRPr="00787196">
        <w:rPr>
          <w:rFonts w:cs="Arial"/>
          <w:szCs w:val="24"/>
        </w:rPr>
        <w:t>).</w:t>
      </w:r>
    </w:p>
    <w:p w14:paraId="67EF2C9F" w14:textId="77777777" w:rsidR="00F03962" w:rsidRPr="00787196" w:rsidRDefault="00F03962" w:rsidP="00F03962">
      <w:pPr>
        <w:pStyle w:val="ListParagraph"/>
        <w:rPr>
          <w:rFonts w:cs="Arial"/>
          <w:szCs w:val="24"/>
        </w:rPr>
      </w:pPr>
    </w:p>
    <w:p w14:paraId="18F1E8E3" w14:textId="0D6594AC" w:rsidR="00374D29" w:rsidRPr="00787196" w:rsidRDefault="00374D29" w:rsidP="009D29DA">
      <w:pPr>
        <w:pStyle w:val="ListParagraph"/>
        <w:numPr>
          <w:ilvl w:val="0"/>
          <w:numId w:val="39"/>
        </w:numPr>
        <w:spacing w:after="0"/>
        <w:ind w:right="-99"/>
        <w:contextualSpacing w:val="0"/>
        <w:rPr>
          <w:rFonts w:cs="Arial"/>
          <w:szCs w:val="24"/>
        </w:rPr>
      </w:pPr>
      <w:r w:rsidRPr="00787196">
        <w:rPr>
          <w:rFonts w:cs="Arial"/>
          <w:szCs w:val="24"/>
        </w:rPr>
        <w:t xml:space="preserve">To determine </w:t>
      </w:r>
      <w:r w:rsidR="009D29DA" w:rsidRPr="00787196">
        <w:rPr>
          <w:rFonts w:cs="Arial"/>
          <w:szCs w:val="24"/>
        </w:rPr>
        <w:t xml:space="preserve">and identify </w:t>
      </w:r>
      <w:r w:rsidRPr="00787196">
        <w:rPr>
          <w:rFonts w:cs="Arial"/>
          <w:szCs w:val="24"/>
        </w:rPr>
        <w:t xml:space="preserve">clinical, </w:t>
      </w:r>
      <w:r w:rsidR="002245E4" w:rsidRPr="00787196">
        <w:rPr>
          <w:rFonts w:cs="Arial"/>
          <w:szCs w:val="24"/>
        </w:rPr>
        <w:t>individual</w:t>
      </w:r>
      <w:r w:rsidRPr="00787196">
        <w:rPr>
          <w:rFonts w:cs="Arial"/>
          <w:szCs w:val="24"/>
        </w:rPr>
        <w:t xml:space="preserve"> and </w:t>
      </w:r>
      <w:r w:rsidR="00CA4102" w:rsidRPr="00787196">
        <w:rPr>
          <w:rFonts w:cs="Arial"/>
          <w:szCs w:val="24"/>
        </w:rPr>
        <w:t xml:space="preserve">environmental </w:t>
      </w:r>
      <w:r w:rsidRPr="00787196">
        <w:rPr>
          <w:rFonts w:cs="Arial"/>
          <w:szCs w:val="24"/>
        </w:rPr>
        <w:t xml:space="preserve">factors influence coping strategies of </w:t>
      </w:r>
      <w:r w:rsidR="002245E4" w:rsidRPr="00787196">
        <w:rPr>
          <w:rFonts w:cs="Arial"/>
          <w:szCs w:val="24"/>
        </w:rPr>
        <w:t>individuals receiving new dentures</w:t>
      </w:r>
      <w:r w:rsidR="00CA4102" w:rsidRPr="00787196">
        <w:rPr>
          <w:rFonts w:cs="Arial"/>
          <w:szCs w:val="24"/>
        </w:rPr>
        <w:t xml:space="preserve"> over time</w:t>
      </w:r>
      <w:r w:rsidR="002245E4" w:rsidRPr="00787196">
        <w:rPr>
          <w:rFonts w:cs="Arial"/>
          <w:szCs w:val="24"/>
        </w:rPr>
        <w:t>.</w:t>
      </w:r>
    </w:p>
    <w:p w14:paraId="5998DFA6" w14:textId="77777777" w:rsidR="00D54533" w:rsidRPr="00787196" w:rsidRDefault="00D54533" w:rsidP="00D54533">
      <w:pPr>
        <w:pStyle w:val="ListParagraph"/>
        <w:rPr>
          <w:rFonts w:cs="Arial"/>
          <w:szCs w:val="24"/>
        </w:rPr>
      </w:pPr>
    </w:p>
    <w:p w14:paraId="0CD5E2CF" w14:textId="73F8B409" w:rsidR="00021511" w:rsidRPr="00787196" w:rsidRDefault="00093DB5" w:rsidP="00021511">
      <w:pPr>
        <w:pStyle w:val="ListParagraph"/>
        <w:ind w:left="0" w:right="-99"/>
        <w:rPr>
          <w:rFonts w:cs="Arial"/>
          <w:szCs w:val="24"/>
        </w:rPr>
      </w:pPr>
      <w:r w:rsidRPr="00787196">
        <w:rPr>
          <w:rFonts w:cs="Arial"/>
          <w:szCs w:val="24"/>
        </w:rPr>
        <w:t>This project is expected to fill the gap</w:t>
      </w:r>
      <w:r w:rsidR="00E31228" w:rsidRPr="00787196">
        <w:rPr>
          <w:rFonts w:cs="Arial"/>
          <w:szCs w:val="24"/>
        </w:rPr>
        <w:t xml:space="preserve"> in</w:t>
      </w:r>
      <w:r w:rsidRPr="00787196">
        <w:rPr>
          <w:rFonts w:cs="Arial"/>
          <w:szCs w:val="24"/>
        </w:rPr>
        <w:t xml:space="preserve"> knowledge that exist</w:t>
      </w:r>
      <w:r w:rsidR="00E31228" w:rsidRPr="00787196">
        <w:rPr>
          <w:rFonts w:cs="Arial"/>
          <w:szCs w:val="24"/>
        </w:rPr>
        <w:t>s</w:t>
      </w:r>
      <w:r w:rsidRPr="00787196">
        <w:rPr>
          <w:rFonts w:cs="Arial"/>
          <w:szCs w:val="24"/>
        </w:rPr>
        <w:t xml:space="preserve"> in the understanding of denture success</w:t>
      </w:r>
      <w:r w:rsidR="00FB484E" w:rsidRPr="00787196">
        <w:rPr>
          <w:rFonts w:cs="Arial"/>
          <w:szCs w:val="24"/>
        </w:rPr>
        <w:t xml:space="preserve"> and its </w:t>
      </w:r>
      <w:r w:rsidR="004E234D" w:rsidRPr="00787196">
        <w:rPr>
          <w:rFonts w:cs="Arial"/>
          <w:szCs w:val="24"/>
        </w:rPr>
        <w:t xml:space="preserve">possible </w:t>
      </w:r>
      <w:r w:rsidR="00FB484E" w:rsidRPr="00787196">
        <w:rPr>
          <w:rFonts w:cs="Arial"/>
          <w:szCs w:val="24"/>
        </w:rPr>
        <w:t xml:space="preserve">determinants. </w:t>
      </w:r>
      <w:r w:rsidR="00E31228" w:rsidRPr="00787196">
        <w:rPr>
          <w:rFonts w:cs="Arial"/>
          <w:szCs w:val="24"/>
        </w:rPr>
        <w:t>A</w:t>
      </w:r>
      <w:r w:rsidR="00FB484E" w:rsidRPr="00787196">
        <w:rPr>
          <w:rFonts w:cs="Arial"/>
          <w:szCs w:val="24"/>
        </w:rPr>
        <w:t xml:space="preserve">t the beginning of this project very little was </w:t>
      </w:r>
      <w:r w:rsidRPr="00787196">
        <w:rPr>
          <w:rFonts w:cs="Arial"/>
          <w:szCs w:val="24"/>
        </w:rPr>
        <w:t>known about</w:t>
      </w:r>
      <w:r w:rsidR="0011122E" w:rsidRPr="00787196">
        <w:rPr>
          <w:rFonts w:cs="Arial"/>
          <w:szCs w:val="24"/>
        </w:rPr>
        <w:t xml:space="preserve"> </w:t>
      </w:r>
      <w:r w:rsidR="00FB484E" w:rsidRPr="00787196">
        <w:rPr>
          <w:rFonts w:cs="Arial"/>
          <w:szCs w:val="24"/>
        </w:rPr>
        <w:t>coping strategies in denture wearers</w:t>
      </w:r>
      <w:r w:rsidR="004E234D" w:rsidRPr="00787196">
        <w:rPr>
          <w:rFonts w:cs="Arial"/>
          <w:szCs w:val="24"/>
        </w:rPr>
        <w:t xml:space="preserve"> and its effect on denture wearing</w:t>
      </w:r>
      <w:r w:rsidR="00FB484E" w:rsidRPr="00787196">
        <w:rPr>
          <w:rFonts w:cs="Arial"/>
          <w:szCs w:val="24"/>
        </w:rPr>
        <w:t xml:space="preserve">. </w:t>
      </w:r>
      <w:r w:rsidR="0011122E" w:rsidRPr="00787196">
        <w:rPr>
          <w:rFonts w:cs="Arial"/>
          <w:szCs w:val="24"/>
        </w:rPr>
        <w:t>By using a</w:t>
      </w:r>
      <w:r w:rsidR="00801E9C" w:rsidRPr="00787196">
        <w:rPr>
          <w:rFonts w:cs="Arial"/>
          <w:szCs w:val="24"/>
        </w:rPr>
        <w:t xml:space="preserve"> well-structured,</w:t>
      </w:r>
      <w:r w:rsidR="0011122E" w:rsidRPr="00787196">
        <w:rPr>
          <w:rFonts w:cs="Arial"/>
          <w:szCs w:val="24"/>
        </w:rPr>
        <w:t xml:space="preserve"> theory based model, the possible causal connections between the determinants and potential factors can </w:t>
      </w:r>
      <w:r w:rsidR="00801E9C" w:rsidRPr="00787196">
        <w:rPr>
          <w:rFonts w:cs="Arial"/>
          <w:szCs w:val="24"/>
        </w:rPr>
        <w:t>possibly</w:t>
      </w:r>
      <w:r w:rsidR="004E234D" w:rsidRPr="00787196">
        <w:rPr>
          <w:rFonts w:cs="Arial"/>
          <w:szCs w:val="24"/>
        </w:rPr>
        <w:t xml:space="preserve"> be</w:t>
      </w:r>
      <w:r w:rsidR="00801E9C" w:rsidRPr="00787196">
        <w:rPr>
          <w:rFonts w:cs="Arial"/>
          <w:szCs w:val="24"/>
        </w:rPr>
        <w:t xml:space="preserve"> </w:t>
      </w:r>
      <w:r w:rsidR="0011122E" w:rsidRPr="00787196">
        <w:rPr>
          <w:rFonts w:cs="Arial"/>
          <w:szCs w:val="24"/>
        </w:rPr>
        <w:t>explained. This study may also help understand the interrelationships between</w:t>
      </w:r>
      <w:r w:rsidR="00801E9C" w:rsidRPr="00787196">
        <w:rPr>
          <w:rFonts w:cs="Arial"/>
          <w:szCs w:val="24"/>
        </w:rPr>
        <w:t xml:space="preserve"> and among the potential determinants of denture success. The </w:t>
      </w:r>
      <w:r w:rsidR="004E234D" w:rsidRPr="00787196">
        <w:rPr>
          <w:rFonts w:cs="Arial"/>
          <w:szCs w:val="24"/>
        </w:rPr>
        <w:t xml:space="preserve">study </w:t>
      </w:r>
      <w:r w:rsidR="00E31228" w:rsidRPr="00787196">
        <w:rPr>
          <w:rFonts w:cs="Arial"/>
          <w:szCs w:val="24"/>
        </w:rPr>
        <w:t>has the potential</w:t>
      </w:r>
      <w:r w:rsidR="004E234D" w:rsidRPr="00787196">
        <w:rPr>
          <w:rFonts w:cs="Arial"/>
          <w:szCs w:val="24"/>
        </w:rPr>
        <w:t xml:space="preserve"> to inform</w:t>
      </w:r>
      <w:r w:rsidR="00801E9C" w:rsidRPr="00787196">
        <w:rPr>
          <w:rFonts w:cs="Arial"/>
          <w:szCs w:val="24"/>
        </w:rPr>
        <w:t xml:space="preserve"> public health kn</w:t>
      </w:r>
      <w:r w:rsidR="004E234D" w:rsidRPr="00787196">
        <w:rPr>
          <w:rFonts w:cs="Arial"/>
          <w:szCs w:val="24"/>
        </w:rPr>
        <w:t xml:space="preserve">owledge and refine the existing evidence pool </w:t>
      </w:r>
      <w:r w:rsidR="00E55177" w:rsidRPr="00787196">
        <w:rPr>
          <w:rFonts w:cs="Arial"/>
          <w:szCs w:val="24"/>
        </w:rPr>
        <w:t>thus help</w:t>
      </w:r>
      <w:r w:rsidR="00E31228" w:rsidRPr="00787196">
        <w:rPr>
          <w:rFonts w:cs="Arial"/>
          <w:szCs w:val="24"/>
        </w:rPr>
        <w:t>ing</w:t>
      </w:r>
      <w:r w:rsidR="00E55177" w:rsidRPr="00787196">
        <w:rPr>
          <w:rFonts w:cs="Arial"/>
          <w:szCs w:val="24"/>
        </w:rPr>
        <w:t xml:space="preserve"> design future </w:t>
      </w:r>
      <w:r w:rsidR="004E234D" w:rsidRPr="00787196">
        <w:rPr>
          <w:rFonts w:cs="Arial"/>
          <w:szCs w:val="24"/>
        </w:rPr>
        <w:t xml:space="preserve">oral health </w:t>
      </w:r>
      <w:r w:rsidR="00E55177" w:rsidRPr="00787196">
        <w:rPr>
          <w:rFonts w:cs="Arial"/>
          <w:szCs w:val="24"/>
        </w:rPr>
        <w:t xml:space="preserve">promotion </w:t>
      </w:r>
      <w:r w:rsidR="004E234D" w:rsidRPr="00787196">
        <w:rPr>
          <w:rFonts w:cs="Arial"/>
          <w:szCs w:val="24"/>
        </w:rPr>
        <w:t>strategies</w:t>
      </w:r>
      <w:r w:rsidR="00E31228" w:rsidRPr="00787196">
        <w:rPr>
          <w:rFonts w:cs="Arial"/>
          <w:szCs w:val="24"/>
        </w:rPr>
        <w:t xml:space="preserve"> for</w:t>
      </w:r>
      <w:r w:rsidR="00E55177" w:rsidRPr="00787196">
        <w:rPr>
          <w:rFonts w:cs="Arial"/>
          <w:szCs w:val="24"/>
        </w:rPr>
        <w:t xml:space="preserve"> denture wearers</w:t>
      </w:r>
      <w:r w:rsidR="004E234D" w:rsidRPr="00787196">
        <w:rPr>
          <w:rFonts w:cs="Arial"/>
          <w:szCs w:val="24"/>
        </w:rPr>
        <w:t xml:space="preserve">. </w:t>
      </w:r>
      <w:r w:rsidR="00021511" w:rsidRPr="00787196">
        <w:rPr>
          <w:rFonts w:cs="Arial"/>
          <w:szCs w:val="24"/>
        </w:rPr>
        <w:br w:type="page"/>
      </w:r>
    </w:p>
    <w:p w14:paraId="66D401CF" w14:textId="0E19BF8B" w:rsidR="00093DB5" w:rsidRPr="00787196" w:rsidRDefault="00801E9C" w:rsidP="00805EE8">
      <w:pPr>
        <w:pStyle w:val="ListParagraph"/>
        <w:ind w:left="0" w:right="-99"/>
        <w:rPr>
          <w:rFonts w:cs="Arial"/>
          <w:szCs w:val="24"/>
        </w:rPr>
      </w:pPr>
      <w:r w:rsidRPr="00787196">
        <w:rPr>
          <w:rFonts w:cs="Arial"/>
          <w:szCs w:val="24"/>
        </w:rPr>
        <w:lastRenderedPageBreak/>
        <w:t xml:space="preserve"> </w:t>
      </w:r>
    </w:p>
    <w:p w14:paraId="5188B426" w14:textId="19A9AB5D" w:rsidR="002F4489" w:rsidRPr="00787196" w:rsidRDefault="00D54533" w:rsidP="00985A3A">
      <w:pPr>
        <w:pStyle w:val="Heading1"/>
        <w:spacing w:before="0" w:after="0"/>
        <w:rPr>
          <w:rFonts w:cs="Arial"/>
        </w:rPr>
      </w:pPr>
      <w:bookmarkStart w:id="110" w:name="_Toc456211146"/>
      <w:bookmarkStart w:id="111" w:name="_Toc488655636"/>
      <w:r w:rsidRPr="00787196">
        <w:rPr>
          <w:rFonts w:cs="Arial"/>
        </w:rPr>
        <w:t>CHAPTER FOUR MATERIALS</w:t>
      </w:r>
      <w:r w:rsidR="0018505F" w:rsidRPr="00787196">
        <w:rPr>
          <w:rFonts w:cs="Arial"/>
        </w:rPr>
        <w:t xml:space="preserve"> and METHODS</w:t>
      </w:r>
      <w:bookmarkEnd w:id="110"/>
      <w:bookmarkEnd w:id="111"/>
    </w:p>
    <w:p w14:paraId="5A8D77B1" w14:textId="32B03DEC" w:rsidR="008A3CC3" w:rsidRPr="00787196" w:rsidRDefault="008A3CC3" w:rsidP="004F119E">
      <w:pPr>
        <w:pStyle w:val="Heading2"/>
      </w:pPr>
      <w:bookmarkStart w:id="112" w:name="_Toc366260741"/>
      <w:bookmarkStart w:id="113" w:name="_Toc371981454"/>
      <w:bookmarkStart w:id="114" w:name="_Toc372541933"/>
      <w:bookmarkStart w:id="115" w:name="_Toc456211148"/>
      <w:bookmarkStart w:id="116" w:name="_Toc488655637"/>
      <w:bookmarkEnd w:id="52"/>
      <w:r w:rsidRPr="00787196">
        <w:t>Method</w:t>
      </w:r>
      <w:bookmarkEnd w:id="112"/>
      <w:bookmarkEnd w:id="113"/>
      <w:bookmarkEnd w:id="114"/>
      <w:bookmarkEnd w:id="115"/>
      <w:bookmarkEnd w:id="116"/>
    </w:p>
    <w:p w14:paraId="259E6DF5" w14:textId="26F39065" w:rsidR="008A3CC3" w:rsidRPr="00787196" w:rsidRDefault="00E7555A" w:rsidP="00985A3A">
      <w:pPr>
        <w:ind w:right="-99"/>
        <w:rPr>
          <w:rFonts w:cs="Arial"/>
          <w:szCs w:val="24"/>
        </w:rPr>
      </w:pPr>
      <w:r w:rsidRPr="00787196">
        <w:rPr>
          <w:rFonts w:cs="Arial"/>
          <w:szCs w:val="24"/>
        </w:rPr>
        <w:t>P</w:t>
      </w:r>
      <w:r w:rsidR="00546D8F" w:rsidRPr="00787196">
        <w:rPr>
          <w:rFonts w:cs="Arial"/>
          <w:szCs w:val="24"/>
        </w:rPr>
        <w:t xml:space="preserve">rospective </w:t>
      </w:r>
      <w:r w:rsidR="00B54F2B" w:rsidRPr="00787196">
        <w:rPr>
          <w:rFonts w:cs="Arial"/>
          <w:szCs w:val="24"/>
        </w:rPr>
        <w:t xml:space="preserve">longitudinal </w:t>
      </w:r>
      <w:r w:rsidR="00546D8F" w:rsidRPr="00787196">
        <w:rPr>
          <w:rFonts w:cs="Arial"/>
          <w:szCs w:val="24"/>
        </w:rPr>
        <w:t xml:space="preserve">clinical examination and </w:t>
      </w:r>
      <w:r w:rsidR="00D34B4E" w:rsidRPr="00787196">
        <w:rPr>
          <w:rFonts w:cs="Arial"/>
          <w:szCs w:val="24"/>
        </w:rPr>
        <w:t xml:space="preserve">self-report </w:t>
      </w:r>
      <w:r w:rsidR="008A3CC3" w:rsidRPr="00787196">
        <w:rPr>
          <w:rFonts w:cs="Arial"/>
          <w:szCs w:val="24"/>
        </w:rPr>
        <w:t>questionnaire</w:t>
      </w:r>
      <w:r w:rsidR="00B54F2B" w:rsidRPr="00787196">
        <w:rPr>
          <w:rFonts w:cs="Arial"/>
          <w:szCs w:val="24"/>
        </w:rPr>
        <w:t xml:space="preserve"> </w:t>
      </w:r>
      <w:r w:rsidR="008A3CC3" w:rsidRPr="00787196">
        <w:rPr>
          <w:rFonts w:cs="Arial"/>
          <w:szCs w:val="24"/>
        </w:rPr>
        <w:t>study</w:t>
      </w:r>
      <w:r w:rsidR="00D34B4E" w:rsidRPr="00787196">
        <w:rPr>
          <w:rFonts w:cs="Arial"/>
          <w:szCs w:val="24"/>
        </w:rPr>
        <w:t xml:space="preserve"> </w:t>
      </w:r>
      <w:r w:rsidR="00546D8F" w:rsidRPr="00787196">
        <w:rPr>
          <w:rFonts w:cs="Arial"/>
          <w:szCs w:val="24"/>
        </w:rPr>
        <w:t>was chosen to meet the aims and objectives of this study</w:t>
      </w:r>
      <w:r w:rsidR="00D34B4E" w:rsidRPr="00787196">
        <w:rPr>
          <w:rFonts w:cs="Arial"/>
          <w:szCs w:val="24"/>
        </w:rPr>
        <w:t>.</w:t>
      </w:r>
    </w:p>
    <w:p w14:paraId="49ED0C06" w14:textId="68A023B7" w:rsidR="008A3CC3" w:rsidRPr="00787196" w:rsidRDefault="008A3CC3" w:rsidP="00D9694A">
      <w:pPr>
        <w:pStyle w:val="Heading3"/>
      </w:pPr>
      <w:bookmarkStart w:id="117" w:name="_Toc366260743"/>
      <w:bookmarkStart w:id="118" w:name="_Toc371981456"/>
      <w:bookmarkStart w:id="119" w:name="_Toc372541935"/>
      <w:bookmarkStart w:id="120" w:name="_Toc456211150"/>
      <w:bookmarkStart w:id="121" w:name="_Toc488655638"/>
      <w:r w:rsidRPr="00787196">
        <w:t>Sample</w:t>
      </w:r>
      <w:bookmarkEnd w:id="117"/>
      <w:bookmarkEnd w:id="118"/>
      <w:bookmarkEnd w:id="119"/>
      <w:bookmarkEnd w:id="120"/>
      <w:bookmarkEnd w:id="121"/>
      <w:r w:rsidRPr="00787196">
        <w:t xml:space="preserve"> </w:t>
      </w:r>
    </w:p>
    <w:p w14:paraId="25F31700" w14:textId="1FC472F7" w:rsidR="008A3CC3" w:rsidRPr="00787196" w:rsidRDefault="008A3CC3" w:rsidP="00985A3A">
      <w:pPr>
        <w:rPr>
          <w:rFonts w:cs="Arial"/>
        </w:rPr>
      </w:pPr>
      <w:r w:rsidRPr="00787196">
        <w:rPr>
          <w:rFonts w:cs="Arial"/>
        </w:rPr>
        <w:t>Consecutive patients referred to the outpatient surgery of the Department of Prosthodontics at Sri Ramachandra Dental College and Hospital, Chennai</w:t>
      </w:r>
      <w:r w:rsidR="00D34B4E" w:rsidRPr="00787196">
        <w:rPr>
          <w:rFonts w:cs="Arial"/>
        </w:rPr>
        <w:t>.</w:t>
      </w:r>
      <w:r w:rsidRPr="00787196">
        <w:rPr>
          <w:rFonts w:cs="Arial"/>
        </w:rPr>
        <w:t xml:space="preserve"> The target sample </w:t>
      </w:r>
      <w:r w:rsidR="004F3D69" w:rsidRPr="00787196">
        <w:rPr>
          <w:rFonts w:cs="Arial"/>
        </w:rPr>
        <w:t xml:space="preserve">were </w:t>
      </w:r>
      <w:r w:rsidRPr="00787196">
        <w:rPr>
          <w:rFonts w:cs="Arial"/>
        </w:rPr>
        <w:t xml:space="preserve">those seeking or already in the process of receiving conventional dentures. In </w:t>
      </w:r>
      <w:r w:rsidR="0055447C" w:rsidRPr="00787196">
        <w:rPr>
          <w:rFonts w:cs="Arial"/>
        </w:rPr>
        <w:t xml:space="preserve">the </w:t>
      </w:r>
      <w:r w:rsidRPr="00787196">
        <w:rPr>
          <w:rFonts w:cs="Arial"/>
        </w:rPr>
        <w:t>case of the latter,</w:t>
      </w:r>
      <w:r w:rsidR="006C5A01" w:rsidRPr="00787196">
        <w:rPr>
          <w:rFonts w:cs="Arial"/>
        </w:rPr>
        <w:t xml:space="preserve"> participants were those</w:t>
      </w:r>
      <w:r w:rsidR="004F3D69" w:rsidRPr="00787196">
        <w:rPr>
          <w:rFonts w:cs="Arial"/>
        </w:rPr>
        <w:t xml:space="preserve"> who were</w:t>
      </w:r>
      <w:r w:rsidRPr="00787196">
        <w:rPr>
          <w:rFonts w:cs="Arial"/>
        </w:rPr>
        <w:t xml:space="preserve"> yet to have </w:t>
      </w:r>
      <w:r w:rsidR="004F3D69" w:rsidRPr="00787196">
        <w:rPr>
          <w:rFonts w:cs="Arial"/>
        </w:rPr>
        <w:t>the</w:t>
      </w:r>
      <w:r w:rsidR="00D34B4E" w:rsidRPr="00787196">
        <w:rPr>
          <w:rFonts w:cs="Arial"/>
        </w:rPr>
        <w:t>ir</w:t>
      </w:r>
      <w:r w:rsidR="004F3D69" w:rsidRPr="00787196">
        <w:rPr>
          <w:rFonts w:cs="Arial"/>
        </w:rPr>
        <w:t xml:space="preserve"> </w:t>
      </w:r>
      <w:r w:rsidRPr="00787196">
        <w:rPr>
          <w:rFonts w:cs="Arial"/>
        </w:rPr>
        <w:t>denture try-in.</w:t>
      </w:r>
    </w:p>
    <w:p w14:paraId="79C62626" w14:textId="59D60EC3" w:rsidR="008A3CC3" w:rsidRPr="00787196" w:rsidRDefault="008A3CC3" w:rsidP="00D9694A">
      <w:pPr>
        <w:pStyle w:val="Heading3"/>
      </w:pPr>
      <w:bookmarkStart w:id="122" w:name="_Toc366260744"/>
      <w:bookmarkStart w:id="123" w:name="_Toc371981457"/>
      <w:bookmarkStart w:id="124" w:name="_Toc372541936"/>
      <w:bookmarkStart w:id="125" w:name="_Toc456211151"/>
      <w:bookmarkStart w:id="126" w:name="_Toc488655639"/>
      <w:r w:rsidRPr="00787196">
        <w:t>Institution</w:t>
      </w:r>
      <w:bookmarkEnd w:id="122"/>
      <w:bookmarkEnd w:id="123"/>
      <w:bookmarkEnd w:id="124"/>
      <w:bookmarkEnd w:id="125"/>
      <w:bookmarkEnd w:id="126"/>
      <w:r w:rsidRPr="00787196">
        <w:t xml:space="preserve"> </w:t>
      </w:r>
    </w:p>
    <w:p w14:paraId="78F6B242" w14:textId="6CCB7830" w:rsidR="00EE74CB" w:rsidRPr="00787196" w:rsidRDefault="0055447C" w:rsidP="00875AAA">
      <w:pPr>
        <w:ind w:right="-99"/>
        <w:rPr>
          <w:rFonts w:cs="Arial"/>
          <w:szCs w:val="24"/>
        </w:rPr>
      </w:pPr>
      <w:r w:rsidRPr="00787196">
        <w:rPr>
          <w:rFonts w:cs="Arial"/>
          <w:szCs w:val="24"/>
        </w:rPr>
        <w:t xml:space="preserve">Participants were recruited at </w:t>
      </w:r>
      <w:r w:rsidR="008A3CC3" w:rsidRPr="00787196">
        <w:rPr>
          <w:rFonts w:cs="Arial"/>
          <w:szCs w:val="24"/>
        </w:rPr>
        <w:t>Sri Ramachandra Dental College and Hospital located in Porur, a suburb of Chennai, the southern metropolis of India</w:t>
      </w:r>
      <w:r w:rsidR="006C5A01" w:rsidRPr="00787196">
        <w:rPr>
          <w:rFonts w:cs="Arial"/>
          <w:szCs w:val="24"/>
        </w:rPr>
        <w:t xml:space="preserve">. </w:t>
      </w:r>
      <w:r w:rsidR="008A3CC3" w:rsidRPr="00787196">
        <w:rPr>
          <w:rFonts w:cs="Arial"/>
          <w:szCs w:val="24"/>
        </w:rPr>
        <w:t>The Dep</w:t>
      </w:r>
      <w:r w:rsidRPr="00787196">
        <w:rPr>
          <w:rFonts w:cs="Arial"/>
          <w:szCs w:val="24"/>
        </w:rPr>
        <w:t xml:space="preserve">artment of Prosthodontics </w:t>
      </w:r>
      <w:r w:rsidR="008A3CC3" w:rsidRPr="00787196">
        <w:rPr>
          <w:rFonts w:cs="Arial"/>
          <w:szCs w:val="24"/>
        </w:rPr>
        <w:t>ha</w:t>
      </w:r>
      <w:r w:rsidR="00875AAA" w:rsidRPr="00787196">
        <w:rPr>
          <w:rFonts w:cs="Arial"/>
          <w:szCs w:val="24"/>
        </w:rPr>
        <w:t>d</w:t>
      </w:r>
      <w:r w:rsidR="008A3CC3" w:rsidRPr="00787196">
        <w:rPr>
          <w:rFonts w:cs="Arial"/>
          <w:szCs w:val="24"/>
        </w:rPr>
        <w:t xml:space="preserve"> nearly 50 dental units </w:t>
      </w:r>
      <w:r w:rsidRPr="00787196">
        <w:rPr>
          <w:rFonts w:cs="Arial"/>
          <w:szCs w:val="24"/>
        </w:rPr>
        <w:t>in the Undergraduate and Post</w:t>
      </w:r>
      <w:r w:rsidR="008A3CC3" w:rsidRPr="00787196">
        <w:rPr>
          <w:rFonts w:cs="Arial"/>
          <w:szCs w:val="24"/>
        </w:rPr>
        <w:t>graduate</w:t>
      </w:r>
      <w:r w:rsidRPr="00787196">
        <w:rPr>
          <w:rFonts w:cs="Arial"/>
          <w:szCs w:val="24"/>
        </w:rPr>
        <w:t xml:space="preserve"> clinics with its own </w:t>
      </w:r>
      <w:r w:rsidR="008A3CC3" w:rsidRPr="00787196">
        <w:rPr>
          <w:rFonts w:cs="Arial"/>
          <w:szCs w:val="24"/>
        </w:rPr>
        <w:t xml:space="preserve">facilities for prosthodontic fabrication </w:t>
      </w:r>
      <w:r w:rsidR="007D6B7F" w:rsidRPr="00787196">
        <w:rPr>
          <w:rFonts w:cs="Arial"/>
          <w:szCs w:val="24"/>
        </w:rPr>
        <w:fldChar w:fldCharType="begin"/>
      </w:r>
      <w:r w:rsidR="00223957" w:rsidRPr="00787196">
        <w:rPr>
          <w:rFonts w:cs="Arial"/>
          <w:szCs w:val="24"/>
        </w:rPr>
        <w:instrText xml:space="preserve"> ADDIN EN.CITE &lt;EndNote&gt;&lt;Cite&gt;&lt;Author&gt;Sri Ramachandra University&lt;/Author&gt;&lt;Year&gt;2012&lt;/Year&gt;&lt;RecNum&gt;0&lt;/RecNum&gt;&lt;IDText&gt;Constituent Colleges  - Dental College&lt;/IDText&gt;&lt;DisplayText&gt;(Sri Ramachandra University, 2012)&lt;/DisplayText&gt;&lt;record&gt;&lt;urls&gt;&lt;related-urls&gt;&lt;url&gt;http://www.sriramachandra.edu.in/university/departments.aspx?did=35&amp;amp;amp;amp;cid=2#top&lt;/url&gt;&lt;/related-urls&gt;&lt;/urls&gt;&lt;titles&gt;&lt;title&gt;Constituent Colleges  - Dental College&lt;/title&gt;&lt;secondary-title&gt;Prosthodontics&lt;/secondary-title&gt;&lt;/titles&gt;&lt;pages&gt;Official Website&lt;/pages&gt;&lt;number&gt;March 10&lt;/number&gt;&lt;contributors&gt;&lt;authors&gt;&lt;author&gt;Sri Ramachandra University,&lt;/author&gt;&lt;/authors&gt;&lt;/contributors&gt;&lt;added-date format="utc"&gt;1363778205&lt;/added-date&gt;&lt;pub-location&gt;Chennai&lt;/pub-location&gt;&lt;ref-type name="Web Page"&gt;12&lt;/ref-type&gt;&lt;dates&gt;&lt;year&gt;2012&lt;/year&gt;&lt;/dates&gt;&lt;rec-number&gt;560&lt;/rec-number&gt;&lt;publisher&gt;Clasticon solutions&lt;/publisher&gt;&lt;last-updated-date format="utc"&gt;1385713712&lt;/last-updated-date&gt;&lt;volume&gt;2013&lt;/volume&gt;&lt;/record&gt;&lt;/Cite&gt;&lt;/EndNote&gt;</w:instrText>
      </w:r>
      <w:r w:rsidR="007D6B7F" w:rsidRPr="00787196">
        <w:rPr>
          <w:rFonts w:cs="Arial"/>
          <w:szCs w:val="24"/>
        </w:rPr>
        <w:fldChar w:fldCharType="separate"/>
      </w:r>
      <w:r w:rsidR="008A3CC3" w:rsidRPr="00787196">
        <w:rPr>
          <w:rFonts w:cs="Arial"/>
          <w:szCs w:val="24"/>
        </w:rPr>
        <w:t>(Sri Ramachandra University, 2012)</w:t>
      </w:r>
      <w:r w:rsidR="007D6B7F" w:rsidRPr="00787196">
        <w:rPr>
          <w:rFonts w:cs="Arial"/>
          <w:szCs w:val="24"/>
        </w:rPr>
        <w:fldChar w:fldCharType="end"/>
      </w:r>
    </w:p>
    <w:p w14:paraId="2B2193CD" w14:textId="5D4C495D" w:rsidR="008A3CC3" w:rsidRPr="00787196" w:rsidRDefault="008A3CC3" w:rsidP="00D9694A">
      <w:pPr>
        <w:pStyle w:val="Heading3"/>
      </w:pPr>
      <w:bookmarkStart w:id="127" w:name="_Toc371981458"/>
      <w:bookmarkStart w:id="128" w:name="_Toc372541937"/>
      <w:bookmarkStart w:id="129" w:name="_Toc456211152"/>
      <w:bookmarkStart w:id="130" w:name="_Toc488655640"/>
      <w:r w:rsidRPr="00787196">
        <w:t>Selection of participants</w:t>
      </w:r>
      <w:bookmarkEnd w:id="127"/>
      <w:bookmarkEnd w:id="128"/>
      <w:bookmarkEnd w:id="129"/>
      <w:bookmarkEnd w:id="130"/>
    </w:p>
    <w:p w14:paraId="5F0A94BE" w14:textId="77777777" w:rsidR="00C70F48" w:rsidRPr="00787196" w:rsidRDefault="008A3CC3" w:rsidP="00C70F48">
      <w:pPr>
        <w:pStyle w:val="ListParagraph"/>
        <w:numPr>
          <w:ilvl w:val="0"/>
          <w:numId w:val="46"/>
        </w:numPr>
        <w:ind w:left="426" w:right="-99" w:hanging="284"/>
        <w:rPr>
          <w:rFonts w:cs="Arial"/>
          <w:szCs w:val="24"/>
        </w:rPr>
      </w:pPr>
      <w:r w:rsidRPr="00787196">
        <w:rPr>
          <w:rFonts w:cs="Arial"/>
          <w:szCs w:val="24"/>
        </w:rPr>
        <w:t>T</w:t>
      </w:r>
      <w:r w:rsidR="00F33D1A" w:rsidRPr="00787196">
        <w:rPr>
          <w:rFonts w:cs="Arial"/>
          <w:szCs w:val="24"/>
        </w:rPr>
        <w:t>he t</w:t>
      </w:r>
      <w:r w:rsidRPr="00787196">
        <w:rPr>
          <w:rFonts w:cs="Arial"/>
          <w:szCs w:val="24"/>
        </w:rPr>
        <w:t>arget</w:t>
      </w:r>
      <w:r w:rsidR="0075042C" w:rsidRPr="00787196">
        <w:rPr>
          <w:rFonts w:cs="Arial"/>
          <w:szCs w:val="24"/>
        </w:rPr>
        <w:t>ed</w:t>
      </w:r>
      <w:r w:rsidRPr="00787196">
        <w:rPr>
          <w:rFonts w:cs="Arial"/>
          <w:szCs w:val="24"/>
        </w:rPr>
        <w:t xml:space="preserve"> population</w:t>
      </w:r>
      <w:r w:rsidR="004F3D69" w:rsidRPr="00787196">
        <w:rPr>
          <w:rFonts w:cs="Arial"/>
          <w:szCs w:val="24"/>
        </w:rPr>
        <w:t xml:space="preserve"> </w:t>
      </w:r>
      <w:r w:rsidR="00F33D1A" w:rsidRPr="00787196">
        <w:rPr>
          <w:rFonts w:cs="Arial"/>
          <w:szCs w:val="24"/>
        </w:rPr>
        <w:t xml:space="preserve">was </w:t>
      </w:r>
      <w:r w:rsidR="0075042C" w:rsidRPr="00787196">
        <w:rPr>
          <w:rFonts w:cs="Arial"/>
          <w:szCs w:val="24"/>
        </w:rPr>
        <w:t>adults (</w:t>
      </w:r>
      <w:r w:rsidRPr="00787196">
        <w:rPr>
          <w:rFonts w:cs="Arial"/>
          <w:szCs w:val="24"/>
        </w:rPr>
        <w:t>18 years and above</w:t>
      </w:r>
      <w:r w:rsidR="0075042C" w:rsidRPr="00787196">
        <w:rPr>
          <w:rFonts w:cs="Arial"/>
          <w:szCs w:val="24"/>
        </w:rPr>
        <w:t>)</w:t>
      </w:r>
      <w:r w:rsidR="00F33D1A" w:rsidRPr="00787196">
        <w:rPr>
          <w:rFonts w:cs="Arial"/>
          <w:szCs w:val="24"/>
        </w:rPr>
        <w:t xml:space="preserve">. </w:t>
      </w:r>
    </w:p>
    <w:p w14:paraId="55F037AE" w14:textId="77777777" w:rsidR="00C70F48" w:rsidRPr="00787196" w:rsidRDefault="00F33D1A" w:rsidP="00C70F48">
      <w:pPr>
        <w:pStyle w:val="ListParagraph"/>
        <w:numPr>
          <w:ilvl w:val="0"/>
          <w:numId w:val="46"/>
        </w:numPr>
        <w:ind w:left="426" w:right="-99" w:hanging="284"/>
        <w:rPr>
          <w:rFonts w:cs="Arial"/>
          <w:szCs w:val="24"/>
        </w:rPr>
      </w:pPr>
      <w:r w:rsidRPr="00787196">
        <w:rPr>
          <w:rFonts w:cs="Arial"/>
          <w:szCs w:val="24"/>
        </w:rPr>
        <w:t>The a</w:t>
      </w:r>
      <w:r w:rsidR="008A3CC3" w:rsidRPr="00787196">
        <w:rPr>
          <w:rFonts w:cs="Arial"/>
          <w:szCs w:val="24"/>
        </w:rPr>
        <w:t>ccessible population</w:t>
      </w:r>
      <w:r w:rsidR="004F3D69" w:rsidRPr="00787196">
        <w:rPr>
          <w:rFonts w:cs="Arial"/>
          <w:szCs w:val="24"/>
        </w:rPr>
        <w:t xml:space="preserve"> </w:t>
      </w:r>
      <w:r w:rsidRPr="00787196">
        <w:rPr>
          <w:rFonts w:cs="Arial"/>
          <w:szCs w:val="24"/>
        </w:rPr>
        <w:t>was p</w:t>
      </w:r>
      <w:r w:rsidR="008A3CC3" w:rsidRPr="00787196">
        <w:rPr>
          <w:rFonts w:cs="Arial"/>
          <w:szCs w:val="24"/>
        </w:rPr>
        <w:t>atients</w:t>
      </w:r>
      <w:r w:rsidR="0075042C" w:rsidRPr="00787196">
        <w:rPr>
          <w:rFonts w:cs="Arial"/>
          <w:szCs w:val="24"/>
        </w:rPr>
        <w:t xml:space="preserve"> (18 years and above) receiving</w:t>
      </w:r>
      <w:r w:rsidR="00C70F48" w:rsidRPr="00787196">
        <w:rPr>
          <w:rFonts w:cs="Arial"/>
          <w:szCs w:val="24"/>
        </w:rPr>
        <w:t xml:space="preserve"> oral health care from</w:t>
      </w:r>
      <w:r w:rsidR="004F3D69" w:rsidRPr="00787196">
        <w:rPr>
          <w:rFonts w:cs="Arial"/>
          <w:szCs w:val="24"/>
        </w:rPr>
        <w:t xml:space="preserve"> of </w:t>
      </w:r>
      <w:r w:rsidR="008A3CC3" w:rsidRPr="00787196">
        <w:rPr>
          <w:rFonts w:cs="Arial"/>
          <w:szCs w:val="24"/>
        </w:rPr>
        <w:t xml:space="preserve">Sri Ramachandra </w:t>
      </w:r>
      <w:r w:rsidR="00C70F48" w:rsidRPr="00787196">
        <w:rPr>
          <w:rFonts w:cs="Arial"/>
          <w:szCs w:val="24"/>
        </w:rPr>
        <w:t xml:space="preserve">University </w:t>
      </w:r>
      <w:r w:rsidR="008A3CC3" w:rsidRPr="00787196">
        <w:rPr>
          <w:rFonts w:cs="Arial"/>
          <w:szCs w:val="24"/>
        </w:rPr>
        <w:t>Dental College</w:t>
      </w:r>
      <w:r w:rsidR="00C70F48" w:rsidRPr="00787196">
        <w:rPr>
          <w:rFonts w:cs="Arial"/>
          <w:szCs w:val="24"/>
        </w:rPr>
        <w:t xml:space="preserve"> Hospital</w:t>
      </w:r>
      <w:r w:rsidR="008A3CC3" w:rsidRPr="00787196">
        <w:rPr>
          <w:rFonts w:cs="Arial"/>
          <w:szCs w:val="24"/>
        </w:rPr>
        <w:t xml:space="preserve">, Chennai, </w:t>
      </w:r>
      <w:r w:rsidRPr="00787196">
        <w:rPr>
          <w:rFonts w:cs="Arial"/>
          <w:szCs w:val="24"/>
        </w:rPr>
        <w:t xml:space="preserve">India </w:t>
      </w:r>
    </w:p>
    <w:p w14:paraId="3DE74EB2" w14:textId="77777777" w:rsidR="00C70F48" w:rsidRPr="00787196" w:rsidRDefault="00C70F48" w:rsidP="00C70F48">
      <w:pPr>
        <w:pStyle w:val="ListParagraph"/>
        <w:numPr>
          <w:ilvl w:val="0"/>
          <w:numId w:val="46"/>
        </w:numPr>
        <w:ind w:left="426" w:right="-99" w:hanging="284"/>
        <w:rPr>
          <w:rFonts w:cs="Arial"/>
          <w:szCs w:val="24"/>
        </w:rPr>
      </w:pPr>
      <w:r w:rsidRPr="00787196">
        <w:rPr>
          <w:rFonts w:cs="Arial"/>
          <w:szCs w:val="24"/>
        </w:rPr>
        <w:t>Th</w:t>
      </w:r>
      <w:r w:rsidR="00F33D1A" w:rsidRPr="00787196">
        <w:rPr>
          <w:rFonts w:cs="Arial"/>
          <w:szCs w:val="24"/>
        </w:rPr>
        <w:t>e i</w:t>
      </w:r>
      <w:r w:rsidR="0055447C" w:rsidRPr="00787196">
        <w:rPr>
          <w:rFonts w:cs="Arial"/>
          <w:szCs w:val="24"/>
        </w:rPr>
        <w:t>ntended sample</w:t>
      </w:r>
      <w:r w:rsidR="00F33D1A" w:rsidRPr="00787196">
        <w:rPr>
          <w:rFonts w:cs="Arial"/>
          <w:szCs w:val="24"/>
        </w:rPr>
        <w:t xml:space="preserve"> was </w:t>
      </w:r>
      <w:r w:rsidRPr="00787196">
        <w:rPr>
          <w:rFonts w:cs="Arial"/>
          <w:szCs w:val="24"/>
        </w:rPr>
        <w:t>adults receiving new conventional removable dentures from the Department of Prosthodontics within the teaching hospital who have given a written consent.</w:t>
      </w:r>
    </w:p>
    <w:p w14:paraId="726E4E1B" w14:textId="7D8F2933" w:rsidR="0090583E" w:rsidRPr="00787196" w:rsidRDefault="0090583E" w:rsidP="00C70F48">
      <w:pPr>
        <w:pStyle w:val="ListParagraph"/>
        <w:numPr>
          <w:ilvl w:val="0"/>
          <w:numId w:val="46"/>
        </w:numPr>
        <w:ind w:left="426" w:right="-99" w:hanging="284"/>
        <w:rPr>
          <w:rFonts w:cs="Arial"/>
          <w:szCs w:val="24"/>
        </w:rPr>
      </w:pPr>
      <w:r w:rsidRPr="00787196">
        <w:rPr>
          <w:rFonts w:cs="Arial"/>
          <w:szCs w:val="24"/>
        </w:rPr>
        <w:lastRenderedPageBreak/>
        <w:t>Th</w:t>
      </w:r>
      <w:r w:rsidR="00073388" w:rsidRPr="00787196">
        <w:rPr>
          <w:rFonts w:cs="Arial"/>
          <w:szCs w:val="24"/>
        </w:rPr>
        <w:t>e</w:t>
      </w:r>
      <w:r w:rsidRPr="00787196">
        <w:rPr>
          <w:rFonts w:cs="Arial"/>
          <w:szCs w:val="24"/>
        </w:rPr>
        <w:t xml:space="preserve"> </w:t>
      </w:r>
      <w:r w:rsidR="00073388" w:rsidRPr="00787196">
        <w:rPr>
          <w:rFonts w:cs="Arial"/>
          <w:szCs w:val="24"/>
        </w:rPr>
        <w:t xml:space="preserve">intended sample comprised </w:t>
      </w:r>
      <w:r w:rsidR="00970320" w:rsidRPr="00787196">
        <w:rPr>
          <w:rFonts w:cs="Arial"/>
          <w:szCs w:val="24"/>
        </w:rPr>
        <w:t>both t</w:t>
      </w:r>
      <w:r w:rsidR="00073388" w:rsidRPr="00787196">
        <w:rPr>
          <w:rFonts w:cs="Arial"/>
          <w:szCs w:val="24"/>
        </w:rPr>
        <w:t>hose</w:t>
      </w:r>
      <w:r w:rsidR="00970320" w:rsidRPr="00787196">
        <w:rPr>
          <w:rFonts w:cs="Arial"/>
          <w:szCs w:val="24"/>
        </w:rPr>
        <w:t xml:space="preserve"> </w:t>
      </w:r>
      <w:r w:rsidR="00C43817" w:rsidRPr="00787196">
        <w:rPr>
          <w:rFonts w:cs="Arial"/>
          <w:szCs w:val="24"/>
        </w:rPr>
        <w:t xml:space="preserve">adults </w:t>
      </w:r>
      <w:r w:rsidR="00073388" w:rsidRPr="00787196">
        <w:rPr>
          <w:rFonts w:cs="Arial"/>
          <w:szCs w:val="24"/>
        </w:rPr>
        <w:t>receiv</w:t>
      </w:r>
      <w:r w:rsidR="00970320" w:rsidRPr="00787196">
        <w:rPr>
          <w:rFonts w:cs="Arial"/>
          <w:szCs w:val="24"/>
        </w:rPr>
        <w:t>ing</w:t>
      </w:r>
      <w:r w:rsidR="00073388" w:rsidRPr="00787196">
        <w:rPr>
          <w:rFonts w:cs="Arial"/>
          <w:szCs w:val="24"/>
        </w:rPr>
        <w:t xml:space="preserve"> full and partial removable dentures</w:t>
      </w:r>
      <w:r w:rsidR="00C43817" w:rsidRPr="00787196">
        <w:rPr>
          <w:rFonts w:cs="Arial"/>
          <w:szCs w:val="24"/>
        </w:rPr>
        <w:t xml:space="preserve">. </w:t>
      </w:r>
      <w:r w:rsidR="00AB52DE" w:rsidRPr="00787196">
        <w:rPr>
          <w:rFonts w:cs="Arial"/>
          <w:szCs w:val="24"/>
        </w:rPr>
        <w:t xml:space="preserve">Despite the </w:t>
      </w:r>
      <w:r w:rsidR="00970320" w:rsidRPr="00787196">
        <w:rPr>
          <w:rFonts w:cs="Arial"/>
          <w:szCs w:val="24"/>
        </w:rPr>
        <w:t xml:space="preserve">difference in </w:t>
      </w:r>
      <w:r w:rsidR="00073388" w:rsidRPr="00787196">
        <w:rPr>
          <w:rFonts w:cs="Arial"/>
          <w:szCs w:val="24"/>
        </w:rPr>
        <w:t xml:space="preserve">clinical and subjective outcomes </w:t>
      </w:r>
      <w:r w:rsidR="00AB52DE" w:rsidRPr="00787196">
        <w:rPr>
          <w:rFonts w:cs="Arial"/>
          <w:szCs w:val="24"/>
        </w:rPr>
        <w:t>in</w:t>
      </w:r>
      <w:r w:rsidR="00970320" w:rsidRPr="00787196">
        <w:rPr>
          <w:rFonts w:cs="Arial"/>
          <w:szCs w:val="24"/>
        </w:rPr>
        <w:t xml:space="preserve"> these two types of denture wearers, both were included within the intended sample. Firstly, </w:t>
      </w:r>
      <w:r w:rsidR="0090781B" w:rsidRPr="00787196">
        <w:rPr>
          <w:rFonts w:cs="Arial"/>
          <w:szCs w:val="24"/>
        </w:rPr>
        <w:t>because</w:t>
      </w:r>
      <w:r w:rsidR="00C43817" w:rsidRPr="00787196">
        <w:rPr>
          <w:rFonts w:cs="Arial"/>
          <w:szCs w:val="24"/>
        </w:rPr>
        <w:t xml:space="preserve">, </w:t>
      </w:r>
      <w:r w:rsidR="0090781B" w:rsidRPr="00787196">
        <w:rPr>
          <w:rFonts w:cs="Arial"/>
          <w:szCs w:val="24"/>
        </w:rPr>
        <w:t xml:space="preserve">one of the main objectives of this study was to identify the determinants of conventional removable denture success. Both full and partial </w:t>
      </w:r>
      <w:r w:rsidR="005433F6" w:rsidRPr="00787196">
        <w:rPr>
          <w:rFonts w:cs="Arial"/>
          <w:szCs w:val="24"/>
        </w:rPr>
        <w:t xml:space="preserve">removable </w:t>
      </w:r>
      <w:r w:rsidR="0090781B" w:rsidRPr="00787196">
        <w:rPr>
          <w:rFonts w:cs="Arial"/>
          <w:szCs w:val="24"/>
        </w:rPr>
        <w:t>dentures are widely used</w:t>
      </w:r>
      <w:r w:rsidR="00AB52DE" w:rsidRPr="00787196">
        <w:rPr>
          <w:rFonts w:cs="Arial"/>
          <w:szCs w:val="24"/>
        </w:rPr>
        <w:t>, therefore</w:t>
      </w:r>
      <w:r w:rsidR="005433F6" w:rsidRPr="00787196">
        <w:rPr>
          <w:rFonts w:cs="Arial"/>
          <w:szCs w:val="24"/>
        </w:rPr>
        <w:t xml:space="preserve"> </w:t>
      </w:r>
      <w:r w:rsidR="00AB52DE" w:rsidRPr="00787196">
        <w:rPr>
          <w:rFonts w:cs="Arial"/>
          <w:szCs w:val="24"/>
        </w:rPr>
        <w:t>a</w:t>
      </w:r>
      <w:r w:rsidR="0090781B" w:rsidRPr="00787196">
        <w:rPr>
          <w:rFonts w:cs="Arial"/>
          <w:szCs w:val="24"/>
        </w:rPr>
        <w:t xml:space="preserve">t </w:t>
      </w:r>
      <w:r w:rsidR="005433F6" w:rsidRPr="00787196">
        <w:rPr>
          <w:rFonts w:cs="Arial"/>
          <w:szCs w:val="24"/>
        </w:rPr>
        <w:t xml:space="preserve">a </w:t>
      </w:r>
      <w:r w:rsidR="0090781B" w:rsidRPr="00787196">
        <w:rPr>
          <w:rFonts w:cs="Arial"/>
          <w:szCs w:val="24"/>
        </w:rPr>
        <w:t>population oral health level</w:t>
      </w:r>
      <w:r w:rsidR="005433F6" w:rsidRPr="00787196">
        <w:rPr>
          <w:rFonts w:cs="Arial"/>
          <w:szCs w:val="24"/>
        </w:rPr>
        <w:t xml:space="preserve">, </w:t>
      </w:r>
      <w:r w:rsidR="00AB52DE" w:rsidRPr="00787196">
        <w:rPr>
          <w:rFonts w:cs="Arial"/>
          <w:szCs w:val="24"/>
        </w:rPr>
        <w:t>knowledge of</w:t>
      </w:r>
      <w:r w:rsidR="005433F6" w:rsidRPr="00787196">
        <w:rPr>
          <w:rFonts w:cs="Arial"/>
          <w:szCs w:val="24"/>
        </w:rPr>
        <w:t xml:space="preserve"> denture success </w:t>
      </w:r>
      <w:r w:rsidR="00AB52DE" w:rsidRPr="00787196">
        <w:rPr>
          <w:rFonts w:cs="Arial"/>
          <w:szCs w:val="24"/>
        </w:rPr>
        <w:t>that excludes</w:t>
      </w:r>
      <w:r w:rsidR="005433F6" w:rsidRPr="00787196">
        <w:rPr>
          <w:rFonts w:cs="Arial"/>
          <w:szCs w:val="24"/>
        </w:rPr>
        <w:t xml:space="preserve"> either of these will </w:t>
      </w:r>
      <w:r w:rsidR="00AB52DE" w:rsidRPr="00787196">
        <w:rPr>
          <w:rFonts w:cs="Arial"/>
          <w:szCs w:val="24"/>
        </w:rPr>
        <w:t>incomplete</w:t>
      </w:r>
      <w:r w:rsidR="00AB63C3" w:rsidRPr="00787196">
        <w:rPr>
          <w:rFonts w:cs="Arial"/>
          <w:szCs w:val="24"/>
        </w:rPr>
        <w:t xml:space="preserve">. </w:t>
      </w:r>
      <w:r w:rsidR="0090781B" w:rsidRPr="00787196">
        <w:rPr>
          <w:rFonts w:cs="Arial"/>
          <w:szCs w:val="24"/>
        </w:rPr>
        <w:t xml:space="preserve">Secondly, </w:t>
      </w:r>
      <w:r w:rsidR="00AB52DE" w:rsidRPr="00787196">
        <w:rPr>
          <w:rFonts w:cs="Arial"/>
          <w:szCs w:val="24"/>
        </w:rPr>
        <w:t>a</w:t>
      </w:r>
      <w:r w:rsidR="0090781B" w:rsidRPr="00787196">
        <w:rPr>
          <w:rFonts w:cs="Arial"/>
          <w:szCs w:val="24"/>
        </w:rPr>
        <w:t xml:space="preserve"> pragmatic </w:t>
      </w:r>
      <w:r w:rsidR="00AB52DE" w:rsidRPr="00787196">
        <w:rPr>
          <w:rFonts w:cs="Arial"/>
          <w:szCs w:val="24"/>
        </w:rPr>
        <w:t xml:space="preserve">decision </w:t>
      </w:r>
      <w:r w:rsidR="0090781B" w:rsidRPr="00787196">
        <w:rPr>
          <w:rFonts w:cs="Arial"/>
          <w:szCs w:val="24"/>
        </w:rPr>
        <w:t xml:space="preserve">to recruit an adequate number of participants for </w:t>
      </w:r>
      <w:r w:rsidR="00AB63C3" w:rsidRPr="00787196">
        <w:rPr>
          <w:rFonts w:cs="Arial"/>
          <w:szCs w:val="24"/>
        </w:rPr>
        <w:t>the</w:t>
      </w:r>
      <w:r w:rsidR="00D305B5" w:rsidRPr="00787196">
        <w:rPr>
          <w:rFonts w:cs="Arial"/>
          <w:szCs w:val="24"/>
        </w:rPr>
        <w:t xml:space="preserve"> study to </w:t>
      </w:r>
      <w:r w:rsidR="00AB63C3" w:rsidRPr="00787196">
        <w:rPr>
          <w:rFonts w:cs="Arial"/>
          <w:szCs w:val="24"/>
        </w:rPr>
        <w:t xml:space="preserve">be </w:t>
      </w:r>
      <w:r w:rsidR="00D305B5" w:rsidRPr="00787196">
        <w:rPr>
          <w:rFonts w:cs="Arial"/>
          <w:szCs w:val="24"/>
        </w:rPr>
        <w:t>adequately power</w:t>
      </w:r>
      <w:r w:rsidR="00AB63C3" w:rsidRPr="00787196">
        <w:rPr>
          <w:rFonts w:cs="Arial"/>
          <w:szCs w:val="24"/>
        </w:rPr>
        <w:t>ed</w:t>
      </w:r>
      <w:r w:rsidR="009D07E0" w:rsidRPr="00787196">
        <w:rPr>
          <w:rFonts w:cs="Arial"/>
          <w:szCs w:val="24"/>
        </w:rPr>
        <w:t>. Finally, differences between these two groups could be accounted for in multiple regression analysis by treating denture type as a covariate. Thus, adults</w:t>
      </w:r>
      <w:r w:rsidR="00D305B5" w:rsidRPr="00787196">
        <w:rPr>
          <w:rFonts w:cs="Arial"/>
          <w:szCs w:val="24"/>
        </w:rPr>
        <w:t xml:space="preserve"> receiving both full and partial dentures were included</w:t>
      </w:r>
      <w:r w:rsidR="009D07E0" w:rsidRPr="00787196">
        <w:rPr>
          <w:rFonts w:cs="Arial"/>
          <w:szCs w:val="24"/>
        </w:rPr>
        <w:t xml:space="preserve"> and</w:t>
      </w:r>
      <w:r w:rsidR="00C43817" w:rsidRPr="00787196">
        <w:rPr>
          <w:rFonts w:cs="Arial"/>
          <w:szCs w:val="24"/>
        </w:rPr>
        <w:t xml:space="preserve"> </w:t>
      </w:r>
      <w:r w:rsidR="00AB63C3" w:rsidRPr="00787196">
        <w:rPr>
          <w:rFonts w:cs="Arial"/>
          <w:szCs w:val="24"/>
        </w:rPr>
        <w:t>a</w:t>
      </w:r>
      <w:r w:rsidR="00C43817" w:rsidRPr="00787196">
        <w:rPr>
          <w:rFonts w:cs="Arial"/>
          <w:szCs w:val="24"/>
        </w:rPr>
        <w:t xml:space="preserve"> clinical variable</w:t>
      </w:r>
      <w:r w:rsidR="00AB63C3" w:rsidRPr="00787196">
        <w:rPr>
          <w:rFonts w:cs="Arial"/>
          <w:szCs w:val="24"/>
        </w:rPr>
        <w:t xml:space="preserve"> prosthetic treatment </w:t>
      </w:r>
      <w:r w:rsidR="00ED30E3" w:rsidRPr="00787196">
        <w:rPr>
          <w:rFonts w:cs="Arial"/>
          <w:szCs w:val="24"/>
        </w:rPr>
        <w:t>need (</w:t>
      </w:r>
      <w:r w:rsidR="00AB63C3" w:rsidRPr="00787196">
        <w:rPr>
          <w:rFonts w:cs="Arial"/>
          <w:szCs w:val="24"/>
        </w:rPr>
        <w:t>Fig 4-1) was</w:t>
      </w:r>
      <w:r w:rsidR="00BB08E0" w:rsidRPr="00787196">
        <w:rPr>
          <w:rFonts w:cs="Arial"/>
          <w:szCs w:val="24"/>
        </w:rPr>
        <w:t xml:space="preserve"> included in the analysis.</w:t>
      </w:r>
      <w:r w:rsidR="00AB63C3" w:rsidRPr="00787196">
        <w:rPr>
          <w:rFonts w:cs="Arial"/>
          <w:szCs w:val="24"/>
        </w:rPr>
        <w:t xml:space="preserve"> </w:t>
      </w:r>
      <w:r w:rsidR="009D07E0" w:rsidRPr="00787196">
        <w:rPr>
          <w:rFonts w:cs="Arial"/>
          <w:szCs w:val="24"/>
        </w:rPr>
        <w:t>Any</w:t>
      </w:r>
      <w:r w:rsidR="007D02ED" w:rsidRPr="00787196">
        <w:rPr>
          <w:rFonts w:cs="Arial"/>
          <w:szCs w:val="24"/>
        </w:rPr>
        <w:t xml:space="preserve"> differences observed between the two groups in the analysis</w:t>
      </w:r>
      <w:r w:rsidR="009D07E0" w:rsidRPr="00787196">
        <w:rPr>
          <w:rFonts w:cs="Arial"/>
          <w:szCs w:val="24"/>
        </w:rPr>
        <w:t xml:space="preserve"> would</w:t>
      </w:r>
      <w:r w:rsidR="007D02ED" w:rsidRPr="00787196">
        <w:rPr>
          <w:rFonts w:cs="Arial"/>
          <w:szCs w:val="24"/>
        </w:rPr>
        <w:t xml:space="preserve"> be highlighted in the results</w:t>
      </w:r>
      <w:r w:rsidR="009D07E0" w:rsidRPr="00787196">
        <w:rPr>
          <w:rFonts w:cs="Arial"/>
          <w:szCs w:val="24"/>
        </w:rPr>
        <w:t>.</w:t>
      </w:r>
    </w:p>
    <w:p w14:paraId="1D2A3822" w14:textId="77777777" w:rsidR="00ED30E3" w:rsidRPr="00787196" w:rsidRDefault="00ED30E3" w:rsidP="00ED30E3">
      <w:pPr>
        <w:pStyle w:val="ListParagraph"/>
        <w:ind w:left="426" w:right="-99"/>
        <w:rPr>
          <w:rFonts w:cs="Arial"/>
          <w:szCs w:val="24"/>
        </w:rPr>
      </w:pPr>
    </w:p>
    <w:p w14:paraId="36AE9628" w14:textId="16E6C6D5" w:rsidR="00A05860" w:rsidRPr="00787196" w:rsidRDefault="00F33D1A" w:rsidP="00ED30E3">
      <w:pPr>
        <w:pStyle w:val="ListParagraph"/>
        <w:numPr>
          <w:ilvl w:val="0"/>
          <w:numId w:val="46"/>
        </w:numPr>
        <w:ind w:left="426" w:right="-99" w:hanging="284"/>
        <w:rPr>
          <w:rFonts w:cs="Arial"/>
          <w:szCs w:val="24"/>
        </w:rPr>
      </w:pPr>
      <w:r w:rsidRPr="00787196">
        <w:rPr>
          <w:rFonts w:cs="Arial"/>
          <w:szCs w:val="24"/>
        </w:rPr>
        <w:t>The e</w:t>
      </w:r>
      <w:r w:rsidR="008A3CC3" w:rsidRPr="00787196">
        <w:rPr>
          <w:rFonts w:cs="Arial"/>
          <w:szCs w:val="24"/>
        </w:rPr>
        <w:t>xclusion criteria</w:t>
      </w:r>
      <w:r w:rsidR="00A05860" w:rsidRPr="00787196">
        <w:rPr>
          <w:rFonts w:cs="Arial"/>
          <w:szCs w:val="24"/>
        </w:rPr>
        <w:t xml:space="preserve"> </w:t>
      </w:r>
      <w:r w:rsidR="00551ACF" w:rsidRPr="00787196">
        <w:rPr>
          <w:rFonts w:cs="Arial"/>
          <w:szCs w:val="24"/>
        </w:rPr>
        <w:t>were</w:t>
      </w:r>
      <w:r w:rsidRPr="00787196">
        <w:rPr>
          <w:rFonts w:cs="Arial"/>
          <w:szCs w:val="24"/>
        </w:rPr>
        <w:t xml:space="preserve"> pa</w:t>
      </w:r>
      <w:r w:rsidR="008A3CC3" w:rsidRPr="00787196">
        <w:rPr>
          <w:rFonts w:cs="Arial"/>
          <w:szCs w:val="24"/>
        </w:rPr>
        <w:t>tients aged below 18</w:t>
      </w:r>
      <w:r w:rsidRPr="00787196">
        <w:rPr>
          <w:rFonts w:cs="Arial"/>
          <w:szCs w:val="24"/>
        </w:rPr>
        <w:t xml:space="preserve"> years of age</w:t>
      </w:r>
      <w:r w:rsidR="008A3CC3" w:rsidRPr="00787196">
        <w:rPr>
          <w:rFonts w:cs="Arial"/>
          <w:szCs w:val="24"/>
        </w:rPr>
        <w:t xml:space="preserve">, </w:t>
      </w:r>
      <w:r w:rsidRPr="00787196">
        <w:rPr>
          <w:rFonts w:cs="Arial"/>
          <w:szCs w:val="24"/>
        </w:rPr>
        <w:t xml:space="preserve">those </w:t>
      </w:r>
      <w:r w:rsidR="008A3CC3" w:rsidRPr="00787196">
        <w:rPr>
          <w:rFonts w:cs="Arial"/>
          <w:szCs w:val="24"/>
        </w:rPr>
        <w:t>who decline</w:t>
      </w:r>
      <w:r w:rsidR="00A05860" w:rsidRPr="00787196">
        <w:rPr>
          <w:rFonts w:cs="Arial"/>
          <w:szCs w:val="24"/>
        </w:rPr>
        <w:t>d</w:t>
      </w:r>
      <w:r w:rsidR="008A3CC3" w:rsidRPr="00787196">
        <w:rPr>
          <w:rFonts w:cs="Arial"/>
          <w:szCs w:val="24"/>
        </w:rPr>
        <w:t xml:space="preserve"> to participate</w:t>
      </w:r>
      <w:r w:rsidR="00ED30E3" w:rsidRPr="00787196">
        <w:rPr>
          <w:rFonts w:cs="Arial"/>
          <w:szCs w:val="24"/>
        </w:rPr>
        <w:t>, receiving</w:t>
      </w:r>
      <w:r w:rsidR="008A3CC3" w:rsidRPr="00787196">
        <w:rPr>
          <w:rFonts w:cs="Arial"/>
          <w:szCs w:val="24"/>
        </w:rPr>
        <w:t xml:space="preserve"> implant</w:t>
      </w:r>
      <w:r w:rsidR="00ED30E3" w:rsidRPr="00787196">
        <w:rPr>
          <w:rFonts w:cs="Arial"/>
          <w:szCs w:val="24"/>
        </w:rPr>
        <w:t xml:space="preserve"> supported</w:t>
      </w:r>
      <w:r w:rsidR="008A3CC3" w:rsidRPr="00787196">
        <w:rPr>
          <w:rFonts w:cs="Arial"/>
          <w:szCs w:val="24"/>
        </w:rPr>
        <w:t xml:space="preserve"> dentures, fixed dentures and dental implants</w:t>
      </w:r>
      <w:r w:rsidRPr="00787196">
        <w:rPr>
          <w:rFonts w:cs="Arial"/>
          <w:szCs w:val="24"/>
        </w:rPr>
        <w:t xml:space="preserve"> and </w:t>
      </w:r>
      <w:r w:rsidR="00ED30E3" w:rsidRPr="00787196">
        <w:rPr>
          <w:rFonts w:cs="Arial"/>
          <w:szCs w:val="24"/>
        </w:rPr>
        <w:t>those</w:t>
      </w:r>
      <w:r w:rsidR="00A05860" w:rsidRPr="00787196">
        <w:rPr>
          <w:rFonts w:cs="Arial"/>
          <w:szCs w:val="24"/>
        </w:rPr>
        <w:t xml:space="preserve"> </w:t>
      </w:r>
      <w:r w:rsidR="008A3CC3" w:rsidRPr="00787196">
        <w:rPr>
          <w:rFonts w:cs="Arial"/>
          <w:szCs w:val="24"/>
        </w:rPr>
        <w:t xml:space="preserve">who </w:t>
      </w:r>
      <w:r w:rsidR="00A05860" w:rsidRPr="00787196">
        <w:rPr>
          <w:rFonts w:cs="Arial"/>
          <w:szCs w:val="24"/>
        </w:rPr>
        <w:t>ha</w:t>
      </w:r>
      <w:r w:rsidR="00ED30E3" w:rsidRPr="00787196">
        <w:rPr>
          <w:rFonts w:cs="Arial"/>
          <w:szCs w:val="24"/>
        </w:rPr>
        <w:t>ve</w:t>
      </w:r>
      <w:r w:rsidR="00A05860" w:rsidRPr="00787196">
        <w:rPr>
          <w:rFonts w:cs="Arial"/>
          <w:szCs w:val="24"/>
        </w:rPr>
        <w:t xml:space="preserve"> </w:t>
      </w:r>
      <w:r w:rsidR="00ED30E3" w:rsidRPr="00787196">
        <w:rPr>
          <w:rFonts w:cs="Arial"/>
          <w:szCs w:val="24"/>
        </w:rPr>
        <w:t xml:space="preserve">already completed the </w:t>
      </w:r>
      <w:r w:rsidR="008A3CC3" w:rsidRPr="00787196">
        <w:rPr>
          <w:rFonts w:cs="Arial"/>
          <w:szCs w:val="24"/>
        </w:rPr>
        <w:t>tr</w:t>
      </w:r>
      <w:r w:rsidR="00ED30E3" w:rsidRPr="00787196">
        <w:rPr>
          <w:rFonts w:cs="Arial"/>
          <w:szCs w:val="24"/>
        </w:rPr>
        <w:t>y-</w:t>
      </w:r>
      <w:r w:rsidR="008A3CC3" w:rsidRPr="00787196">
        <w:rPr>
          <w:rFonts w:cs="Arial"/>
          <w:szCs w:val="24"/>
        </w:rPr>
        <w:t>in</w:t>
      </w:r>
      <w:r w:rsidR="00ED30E3" w:rsidRPr="00787196">
        <w:rPr>
          <w:rFonts w:cs="Arial"/>
          <w:szCs w:val="24"/>
        </w:rPr>
        <w:t xml:space="preserve"> of</w:t>
      </w:r>
      <w:r w:rsidR="008A3CC3" w:rsidRPr="00787196">
        <w:rPr>
          <w:rFonts w:cs="Arial"/>
          <w:szCs w:val="24"/>
        </w:rPr>
        <w:t xml:space="preserve"> their </w:t>
      </w:r>
      <w:r w:rsidR="00ED30E3" w:rsidRPr="00787196">
        <w:rPr>
          <w:rFonts w:cs="Arial"/>
          <w:szCs w:val="24"/>
        </w:rPr>
        <w:t xml:space="preserve">new </w:t>
      </w:r>
      <w:r w:rsidR="008A3CC3" w:rsidRPr="00787196">
        <w:rPr>
          <w:rFonts w:cs="Arial"/>
          <w:szCs w:val="24"/>
        </w:rPr>
        <w:t xml:space="preserve">dentures at the point </w:t>
      </w:r>
      <w:r w:rsidR="00A05860" w:rsidRPr="00787196">
        <w:rPr>
          <w:rFonts w:cs="Arial"/>
          <w:szCs w:val="24"/>
        </w:rPr>
        <w:t>of recruitment</w:t>
      </w:r>
      <w:r w:rsidRPr="00787196">
        <w:rPr>
          <w:rFonts w:cs="Arial"/>
          <w:szCs w:val="24"/>
        </w:rPr>
        <w:t>.</w:t>
      </w:r>
    </w:p>
    <w:p w14:paraId="1C87E65F" w14:textId="2FC1329F" w:rsidR="0090583E" w:rsidRPr="00787196" w:rsidRDefault="0090583E" w:rsidP="0090583E">
      <w:pPr>
        <w:pStyle w:val="Heading3"/>
      </w:pPr>
      <w:bookmarkStart w:id="131" w:name="_Toc488655641"/>
      <w:r w:rsidRPr="00787196">
        <w:t>Recruitment</w:t>
      </w:r>
      <w:bookmarkEnd w:id="131"/>
    </w:p>
    <w:p w14:paraId="2F05E3E4" w14:textId="77777777" w:rsidR="00A539F1" w:rsidRPr="00787196" w:rsidRDefault="008A3CC3" w:rsidP="00A05860">
      <w:pPr>
        <w:ind w:right="-99"/>
        <w:rPr>
          <w:rFonts w:cs="Arial"/>
          <w:szCs w:val="24"/>
        </w:rPr>
      </w:pPr>
      <w:r w:rsidRPr="00787196">
        <w:rPr>
          <w:rFonts w:cs="Arial"/>
          <w:szCs w:val="24"/>
        </w:rPr>
        <w:t>Potentia</w:t>
      </w:r>
      <w:r w:rsidR="00A05860" w:rsidRPr="00787196">
        <w:rPr>
          <w:rFonts w:cs="Arial"/>
          <w:szCs w:val="24"/>
        </w:rPr>
        <w:t>l participants were</w:t>
      </w:r>
      <w:r w:rsidRPr="00787196">
        <w:rPr>
          <w:rFonts w:cs="Arial"/>
          <w:szCs w:val="24"/>
        </w:rPr>
        <w:t xml:space="preserve"> approached via two channels. Firstly, the outpatient surgery </w:t>
      </w:r>
      <w:r w:rsidR="00EE74CB" w:rsidRPr="00787196">
        <w:rPr>
          <w:rFonts w:cs="Arial"/>
          <w:szCs w:val="24"/>
        </w:rPr>
        <w:t>of</w:t>
      </w:r>
      <w:r w:rsidRPr="00787196">
        <w:rPr>
          <w:rFonts w:cs="Arial"/>
          <w:szCs w:val="24"/>
        </w:rPr>
        <w:t xml:space="preserve"> the </w:t>
      </w:r>
      <w:r w:rsidR="00EE74CB" w:rsidRPr="00787196">
        <w:rPr>
          <w:rFonts w:cs="Arial"/>
          <w:szCs w:val="24"/>
        </w:rPr>
        <w:t>d</w:t>
      </w:r>
      <w:r w:rsidRPr="00787196">
        <w:rPr>
          <w:rFonts w:cs="Arial"/>
          <w:szCs w:val="24"/>
        </w:rPr>
        <w:t xml:space="preserve">epartment of </w:t>
      </w:r>
      <w:r w:rsidR="00EE74CB" w:rsidRPr="00787196">
        <w:rPr>
          <w:rFonts w:cs="Arial"/>
          <w:szCs w:val="24"/>
        </w:rPr>
        <w:t>oral medicine</w:t>
      </w:r>
      <w:r w:rsidRPr="00787196">
        <w:rPr>
          <w:rFonts w:cs="Arial"/>
          <w:szCs w:val="24"/>
        </w:rPr>
        <w:t xml:space="preserve"> and secondly</w:t>
      </w:r>
      <w:r w:rsidR="00F33D1A" w:rsidRPr="00787196">
        <w:rPr>
          <w:rFonts w:cs="Arial"/>
          <w:szCs w:val="24"/>
        </w:rPr>
        <w:t>,</w:t>
      </w:r>
      <w:r w:rsidRPr="00787196">
        <w:rPr>
          <w:rFonts w:cs="Arial"/>
          <w:szCs w:val="24"/>
        </w:rPr>
        <w:t xml:space="preserve"> existing patients in the Department of Prosthodontics undergoing treatment for conventional dentures.</w:t>
      </w:r>
      <w:r w:rsidR="00A05860" w:rsidRPr="00787196">
        <w:rPr>
          <w:rFonts w:cs="Arial"/>
          <w:szCs w:val="24"/>
        </w:rPr>
        <w:t xml:space="preserve"> </w:t>
      </w:r>
    </w:p>
    <w:p w14:paraId="13126E73" w14:textId="77777777" w:rsidR="00A539F1" w:rsidRPr="00787196" w:rsidRDefault="00A539F1">
      <w:pPr>
        <w:spacing w:before="0" w:after="0" w:line="240" w:lineRule="auto"/>
        <w:jc w:val="left"/>
        <w:rPr>
          <w:rFonts w:cs="Arial"/>
          <w:szCs w:val="24"/>
        </w:rPr>
      </w:pPr>
      <w:r w:rsidRPr="00787196">
        <w:rPr>
          <w:rFonts w:cs="Arial"/>
          <w:szCs w:val="24"/>
        </w:rPr>
        <w:br w:type="page"/>
      </w:r>
    </w:p>
    <w:p w14:paraId="14729891" w14:textId="10046139" w:rsidR="008A3CC3" w:rsidRPr="00787196" w:rsidRDefault="008A3CC3" w:rsidP="00A05860">
      <w:pPr>
        <w:ind w:right="-99"/>
        <w:rPr>
          <w:rFonts w:cs="Arial"/>
          <w:szCs w:val="24"/>
        </w:rPr>
      </w:pPr>
      <w:r w:rsidRPr="00787196">
        <w:rPr>
          <w:rFonts w:cs="Arial"/>
          <w:szCs w:val="24"/>
        </w:rPr>
        <w:lastRenderedPageBreak/>
        <w:t xml:space="preserve">Flyers, Information posters, circulars about the study </w:t>
      </w:r>
      <w:r w:rsidR="00A05860" w:rsidRPr="00787196">
        <w:rPr>
          <w:rFonts w:cs="Arial"/>
          <w:szCs w:val="24"/>
        </w:rPr>
        <w:t>were</w:t>
      </w:r>
      <w:r w:rsidRPr="00787196">
        <w:rPr>
          <w:rFonts w:cs="Arial"/>
          <w:szCs w:val="24"/>
        </w:rPr>
        <w:t xml:space="preserve"> posted on notice boards, waiting halls and receptions of various departments of the dental school.</w:t>
      </w:r>
      <w:r w:rsidR="00A05860" w:rsidRPr="00787196">
        <w:rPr>
          <w:rFonts w:cs="Arial"/>
          <w:szCs w:val="24"/>
        </w:rPr>
        <w:t xml:space="preserve"> </w:t>
      </w:r>
      <w:r w:rsidRPr="00787196">
        <w:rPr>
          <w:rFonts w:cs="Arial"/>
          <w:szCs w:val="24"/>
        </w:rPr>
        <w:t xml:space="preserve">With the help of colleagues from </w:t>
      </w:r>
      <w:r w:rsidR="00F33D1A" w:rsidRPr="00787196">
        <w:rPr>
          <w:rFonts w:cs="Arial"/>
          <w:szCs w:val="24"/>
        </w:rPr>
        <w:t xml:space="preserve">the </w:t>
      </w:r>
      <w:r w:rsidR="001F15E0" w:rsidRPr="00787196">
        <w:rPr>
          <w:rFonts w:cs="Arial"/>
          <w:szCs w:val="24"/>
        </w:rPr>
        <w:t>d</w:t>
      </w:r>
      <w:r w:rsidRPr="00787196">
        <w:rPr>
          <w:rFonts w:cs="Arial"/>
          <w:szCs w:val="24"/>
        </w:rPr>
        <w:t xml:space="preserve">epartment of </w:t>
      </w:r>
      <w:r w:rsidR="001F15E0" w:rsidRPr="00787196">
        <w:rPr>
          <w:rFonts w:cs="Arial"/>
          <w:szCs w:val="24"/>
        </w:rPr>
        <w:t>o</w:t>
      </w:r>
      <w:r w:rsidRPr="00787196">
        <w:rPr>
          <w:rFonts w:cs="Arial"/>
          <w:szCs w:val="24"/>
        </w:rPr>
        <w:t xml:space="preserve">ral medicine (where the outpatients </w:t>
      </w:r>
      <w:r w:rsidR="00F33D1A" w:rsidRPr="00787196">
        <w:rPr>
          <w:rFonts w:cs="Arial"/>
          <w:szCs w:val="24"/>
        </w:rPr>
        <w:t>are</w:t>
      </w:r>
      <w:r w:rsidRPr="00787196">
        <w:rPr>
          <w:rFonts w:cs="Arial"/>
          <w:szCs w:val="24"/>
        </w:rPr>
        <w:t xml:space="preserve"> screen</w:t>
      </w:r>
      <w:r w:rsidR="00F33D1A" w:rsidRPr="00787196">
        <w:rPr>
          <w:rFonts w:cs="Arial"/>
          <w:szCs w:val="24"/>
        </w:rPr>
        <w:t>ed</w:t>
      </w:r>
      <w:r w:rsidRPr="00787196">
        <w:rPr>
          <w:rFonts w:cs="Arial"/>
          <w:szCs w:val="24"/>
        </w:rPr>
        <w:t xml:space="preserve">) an explanatory note about the study </w:t>
      </w:r>
      <w:r w:rsidR="00A05860" w:rsidRPr="00787196">
        <w:rPr>
          <w:rFonts w:cs="Arial"/>
          <w:szCs w:val="24"/>
        </w:rPr>
        <w:t>w</w:t>
      </w:r>
      <w:r w:rsidR="00F33D1A" w:rsidRPr="00787196">
        <w:rPr>
          <w:rFonts w:cs="Arial"/>
          <w:szCs w:val="24"/>
        </w:rPr>
        <w:t>as</w:t>
      </w:r>
      <w:r w:rsidRPr="00787196">
        <w:rPr>
          <w:rFonts w:cs="Arial"/>
          <w:szCs w:val="24"/>
        </w:rPr>
        <w:t xml:space="preserve"> circulated to interested patients</w:t>
      </w:r>
      <w:r w:rsidR="00F33D1A" w:rsidRPr="00787196">
        <w:rPr>
          <w:rFonts w:cs="Arial"/>
          <w:szCs w:val="24"/>
        </w:rPr>
        <w:t xml:space="preserve">, who </w:t>
      </w:r>
      <w:r w:rsidR="00A05860" w:rsidRPr="00787196">
        <w:rPr>
          <w:rFonts w:cs="Arial"/>
          <w:szCs w:val="24"/>
        </w:rPr>
        <w:t>were then</w:t>
      </w:r>
      <w:r w:rsidRPr="00787196">
        <w:rPr>
          <w:rFonts w:cs="Arial"/>
          <w:szCs w:val="24"/>
        </w:rPr>
        <w:t xml:space="preserve"> referred to </w:t>
      </w:r>
      <w:r w:rsidR="00F33D1A" w:rsidRPr="00787196">
        <w:rPr>
          <w:rFonts w:cs="Arial"/>
          <w:szCs w:val="24"/>
        </w:rPr>
        <w:t xml:space="preserve">the </w:t>
      </w:r>
      <w:r w:rsidRPr="00787196">
        <w:rPr>
          <w:rFonts w:cs="Arial"/>
          <w:szCs w:val="24"/>
        </w:rPr>
        <w:t>department</w:t>
      </w:r>
      <w:r w:rsidR="001F15E0" w:rsidRPr="00787196">
        <w:rPr>
          <w:rFonts w:cs="Arial"/>
          <w:szCs w:val="24"/>
        </w:rPr>
        <w:t xml:space="preserve"> of prosthodontics</w:t>
      </w:r>
      <w:r w:rsidRPr="00787196">
        <w:rPr>
          <w:rFonts w:cs="Arial"/>
          <w:szCs w:val="24"/>
        </w:rPr>
        <w:t>.</w:t>
      </w:r>
    </w:p>
    <w:p w14:paraId="7938E20E" w14:textId="77777777" w:rsidR="0090583E" w:rsidRPr="00787196" w:rsidRDefault="001F15E0" w:rsidP="0090583E">
      <w:pPr>
        <w:overflowPunct w:val="0"/>
        <w:ind w:right="-99"/>
        <w:contextualSpacing/>
        <w:textAlignment w:val="baseline"/>
        <w:rPr>
          <w:rFonts w:cs="Arial"/>
          <w:szCs w:val="24"/>
        </w:rPr>
      </w:pPr>
      <w:r w:rsidRPr="00787196">
        <w:rPr>
          <w:rFonts w:cs="Arial"/>
          <w:szCs w:val="24"/>
        </w:rPr>
        <w:t>The second group comprised p</w:t>
      </w:r>
      <w:r w:rsidR="008A3CC3" w:rsidRPr="00787196">
        <w:rPr>
          <w:rFonts w:cs="Arial"/>
          <w:szCs w:val="24"/>
        </w:rPr>
        <w:t xml:space="preserve">atients already undergoing treatment for conventional dentures in the </w:t>
      </w:r>
      <w:r w:rsidRPr="00787196">
        <w:rPr>
          <w:rFonts w:cs="Arial"/>
          <w:szCs w:val="24"/>
        </w:rPr>
        <w:t>d</w:t>
      </w:r>
      <w:r w:rsidR="008A3CC3" w:rsidRPr="00787196">
        <w:rPr>
          <w:rFonts w:cs="Arial"/>
          <w:szCs w:val="24"/>
        </w:rPr>
        <w:t xml:space="preserve">epartment of </w:t>
      </w:r>
      <w:r w:rsidRPr="00787196">
        <w:rPr>
          <w:rFonts w:cs="Arial"/>
          <w:szCs w:val="24"/>
        </w:rPr>
        <w:t>p</w:t>
      </w:r>
      <w:r w:rsidR="008A3CC3" w:rsidRPr="00787196">
        <w:rPr>
          <w:rFonts w:cs="Arial"/>
          <w:szCs w:val="24"/>
        </w:rPr>
        <w:t>rosthodontics</w:t>
      </w:r>
      <w:r w:rsidRPr="00787196">
        <w:rPr>
          <w:rFonts w:cs="Arial"/>
          <w:szCs w:val="24"/>
        </w:rPr>
        <w:t>,</w:t>
      </w:r>
      <w:r w:rsidR="008A3CC3" w:rsidRPr="00787196">
        <w:rPr>
          <w:rFonts w:cs="Arial"/>
          <w:szCs w:val="24"/>
        </w:rPr>
        <w:t xml:space="preserve"> with</w:t>
      </w:r>
      <w:r w:rsidRPr="00787196">
        <w:rPr>
          <w:rFonts w:cs="Arial"/>
          <w:szCs w:val="24"/>
        </w:rPr>
        <w:t xml:space="preserve"> the</w:t>
      </w:r>
      <w:r w:rsidR="008A3CC3" w:rsidRPr="00787196">
        <w:rPr>
          <w:rFonts w:cs="Arial"/>
          <w:szCs w:val="24"/>
        </w:rPr>
        <w:t xml:space="preserve"> exception </w:t>
      </w:r>
      <w:r w:rsidRPr="00787196">
        <w:rPr>
          <w:rFonts w:cs="Arial"/>
          <w:szCs w:val="24"/>
        </w:rPr>
        <w:t>of</w:t>
      </w:r>
      <w:r w:rsidR="008A3CC3" w:rsidRPr="00787196">
        <w:rPr>
          <w:rFonts w:cs="Arial"/>
          <w:szCs w:val="24"/>
        </w:rPr>
        <w:t xml:space="preserve"> patients </w:t>
      </w:r>
      <w:r w:rsidRPr="00787196">
        <w:rPr>
          <w:rFonts w:cs="Arial"/>
          <w:szCs w:val="24"/>
        </w:rPr>
        <w:t>later than</w:t>
      </w:r>
      <w:r w:rsidR="008A3CC3" w:rsidRPr="00787196">
        <w:rPr>
          <w:rFonts w:cs="Arial"/>
          <w:szCs w:val="24"/>
        </w:rPr>
        <w:t xml:space="preserve"> the try-in stage </w:t>
      </w:r>
      <w:r w:rsidR="00A05860" w:rsidRPr="00787196">
        <w:rPr>
          <w:rFonts w:cs="Arial"/>
          <w:szCs w:val="24"/>
        </w:rPr>
        <w:t>were</w:t>
      </w:r>
      <w:r w:rsidR="008A3CC3" w:rsidRPr="00787196">
        <w:rPr>
          <w:rFonts w:cs="Arial"/>
          <w:szCs w:val="24"/>
        </w:rPr>
        <w:t xml:space="preserve"> approached by the researcher </w:t>
      </w:r>
      <w:r w:rsidR="00A05860" w:rsidRPr="00787196">
        <w:rPr>
          <w:rFonts w:cs="Arial"/>
          <w:szCs w:val="24"/>
        </w:rPr>
        <w:t xml:space="preserve">directly. </w:t>
      </w:r>
      <w:r w:rsidR="008A3CC3" w:rsidRPr="00787196">
        <w:rPr>
          <w:rFonts w:cs="Arial"/>
          <w:szCs w:val="24"/>
        </w:rPr>
        <w:t xml:space="preserve">Interested participants from both channels </w:t>
      </w:r>
      <w:r w:rsidR="00A05860" w:rsidRPr="00787196">
        <w:rPr>
          <w:rFonts w:cs="Arial"/>
          <w:szCs w:val="24"/>
        </w:rPr>
        <w:t>were</w:t>
      </w:r>
      <w:r w:rsidR="008A3CC3" w:rsidRPr="00787196">
        <w:rPr>
          <w:rFonts w:cs="Arial"/>
          <w:szCs w:val="24"/>
        </w:rPr>
        <w:t xml:space="preserve"> informed about the study by the researcher</w:t>
      </w:r>
      <w:r w:rsidR="00A05860" w:rsidRPr="00787196">
        <w:rPr>
          <w:rFonts w:cs="Arial"/>
          <w:szCs w:val="24"/>
        </w:rPr>
        <w:t xml:space="preserve"> </w:t>
      </w:r>
      <w:r w:rsidR="008A3CC3" w:rsidRPr="00787196">
        <w:rPr>
          <w:rFonts w:cs="Arial"/>
          <w:szCs w:val="24"/>
        </w:rPr>
        <w:t xml:space="preserve">and </w:t>
      </w:r>
      <w:r w:rsidR="00A05860" w:rsidRPr="00787196">
        <w:rPr>
          <w:rFonts w:cs="Arial"/>
          <w:szCs w:val="24"/>
        </w:rPr>
        <w:t>were</w:t>
      </w:r>
      <w:r w:rsidR="008A3CC3" w:rsidRPr="00787196">
        <w:rPr>
          <w:rFonts w:cs="Arial"/>
          <w:szCs w:val="24"/>
        </w:rPr>
        <w:t xml:space="preserve"> provided with the </w:t>
      </w:r>
      <w:r w:rsidR="005B7D0B" w:rsidRPr="00787196">
        <w:rPr>
          <w:rFonts w:cs="Arial"/>
          <w:szCs w:val="24"/>
        </w:rPr>
        <w:t>i</w:t>
      </w:r>
      <w:r w:rsidR="008A3CC3" w:rsidRPr="00787196">
        <w:rPr>
          <w:rFonts w:cs="Arial"/>
          <w:szCs w:val="24"/>
        </w:rPr>
        <w:t xml:space="preserve">nformation </w:t>
      </w:r>
      <w:r w:rsidR="005B7D0B" w:rsidRPr="00787196">
        <w:rPr>
          <w:rFonts w:cs="Arial"/>
          <w:szCs w:val="24"/>
        </w:rPr>
        <w:t>s</w:t>
      </w:r>
      <w:r w:rsidR="008A3CC3" w:rsidRPr="00787196">
        <w:rPr>
          <w:rFonts w:cs="Arial"/>
          <w:szCs w:val="24"/>
        </w:rPr>
        <w:t xml:space="preserve">heet and a </w:t>
      </w:r>
      <w:r w:rsidR="005B7D0B" w:rsidRPr="00787196">
        <w:rPr>
          <w:rFonts w:cs="Arial"/>
          <w:szCs w:val="24"/>
        </w:rPr>
        <w:t>c</w:t>
      </w:r>
      <w:r w:rsidR="008A3CC3" w:rsidRPr="00787196">
        <w:rPr>
          <w:rFonts w:cs="Arial"/>
          <w:szCs w:val="24"/>
        </w:rPr>
        <w:t>onsent form. For patients</w:t>
      </w:r>
      <w:r w:rsidR="004B39D9" w:rsidRPr="00787196">
        <w:rPr>
          <w:rFonts w:cs="Arial"/>
          <w:szCs w:val="24"/>
        </w:rPr>
        <w:t xml:space="preserve"> who could not read,</w:t>
      </w:r>
      <w:r w:rsidR="008A3CC3" w:rsidRPr="00787196">
        <w:rPr>
          <w:rFonts w:cs="Arial"/>
          <w:szCs w:val="24"/>
        </w:rPr>
        <w:t xml:space="preserve"> the researcher read out the information sheet and thumb impressions </w:t>
      </w:r>
      <w:r w:rsidR="00A05860" w:rsidRPr="00787196">
        <w:rPr>
          <w:rFonts w:cs="Arial"/>
          <w:szCs w:val="24"/>
        </w:rPr>
        <w:t>were</w:t>
      </w:r>
      <w:r w:rsidR="008A3CC3" w:rsidRPr="00787196">
        <w:rPr>
          <w:rFonts w:cs="Arial"/>
          <w:szCs w:val="24"/>
        </w:rPr>
        <w:t xml:space="preserve"> sought instead of signatures for obtaining consent</w:t>
      </w:r>
      <w:r w:rsidR="00A05860" w:rsidRPr="00787196">
        <w:rPr>
          <w:rFonts w:cs="Arial"/>
          <w:szCs w:val="24"/>
        </w:rPr>
        <w:t xml:space="preserve">. The researcher </w:t>
      </w:r>
      <w:r w:rsidR="005B7D0B" w:rsidRPr="00787196">
        <w:rPr>
          <w:rFonts w:cs="Arial"/>
          <w:szCs w:val="24"/>
        </w:rPr>
        <w:t>confirmed patients’ next appointments and referral to</w:t>
      </w:r>
      <w:r w:rsidR="008A3CC3" w:rsidRPr="00787196">
        <w:rPr>
          <w:rFonts w:cs="Arial"/>
          <w:szCs w:val="24"/>
        </w:rPr>
        <w:t xml:space="preserve"> the</w:t>
      </w:r>
      <w:r w:rsidR="005B7D0B" w:rsidRPr="00787196">
        <w:rPr>
          <w:rFonts w:cs="Arial"/>
          <w:szCs w:val="24"/>
        </w:rPr>
        <w:t xml:space="preserve"> department of p</w:t>
      </w:r>
      <w:r w:rsidR="008A3CC3" w:rsidRPr="00787196">
        <w:rPr>
          <w:rFonts w:cs="Arial"/>
          <w:szCs w:val="24"/>
        </w:rPr>
        <w:t>rosthodontics.</w:t>
      </w:r>
      <w:r w:rsidR="00A05860" w:rsidRPr="00787196">
        <w:rPr>
          <w:rFonts w:cs="Arial"/>
          <w:szCs w:val="24"/>
        </w:rPr>
        <w:t xml:space="preserve"> </w:t>
      </w:r>
      <w:r w:rsidR="008A3CC3" w:rsidRPr="00787196">
        <w:rPr>
          <w:rFonts w:cs="Arial"/>
          <w:szCs w:val="24"/>
        </w:rPr>
        <w:t>On the day of their appointment</w:t>
      </w:r>
      <w:r w:rsidR="008E0210" w:rsidRPr="00787196">
        <w:rPr>
          <w:rFonts w:cs="Arial"/>
          <w:szCs w:val="24"/>
        </w:rPr>
        <w:t>, consented</w:t>
      </w:r>
      <w:r w:rsidR="008A3CC3" w:rsidRPr="00787196">
        <w:rPr>
          <w:rFonts w:cs="Arial"/>
          <w:szCs w:val="24"/>
        </w:rPr>
        <w:t xml:space="preserve"> participants w</w:t>
      </w:r>
      <w:r w:rsidR="00A05860" w:rsidRPr="00787196">
        <w:rPr>
          <w:rFonts w:cs="Arial"/>
          <w:szCs w:val="24"/>
        </w:rPr>
        <w:t xml:space="preserve">ere </w:t>
      </w:r>
      <w:r w:rsidR="008A3CC3" w:rsidRPr="00787196">
        <w:rPr>
          <w:rFonts w:cs="Arial"/>
          <w:szCs w:val="24"/>
        </w:rPr>
        <w:t>clinically examined by the staff or students at the Department of Prosthod</w:t>
      </w:r>
      <w:r w:rsidR="00A05860" w:rsidRPr="00787196">
        <w:rPr>
          <w:rFonts w:cs="Arial"/>
          <w:szCs w:val="24"/>
        </w:rPr>
        <w:t>ontics. The</w:t>
      </w:r>
      <w:r w:rsidR="008A3CC3" w:rsidRPr="00787196">
        <w:rPr>
          <w:rFonts w:cs="Arial"/>
          <w:szCs w:val="24"/>
        </w:rPr>
        <w:t xml:space="preserve"> </w:t>
      </w:r>
      <w:r w:rsidR="00A05860" w:rsidRPr="00787196">
        <w:rPr>
          <w:rFonts w:cs="Arial"/>
          <w:szCs w:val="24"/>
        </w:rPr>
        <w:t>re</w:t>
      </w:r>
      <w:r w:rsidR="008A3CC3" w:rsidRPr="00787196">
        <w:rPr>
          <w:rFonts w:cs="Arial"/>
          <w:szCs w:val="24"/>
        </w:rPr>
        <w:t>searcher ask</w:t>
      </w:r>
      <w:r w:rsidR="00A05860" w:rsidRPr="00787196">
        <w:rPr>
          <w:rFonts w:cs="Arial"/>
          <w:szCs w:val="24"/>
        </w:rPr>
        <w:t>ed</w:t>
      </w:r>
      <w:r w:rsidR="008A3CC3" w:rsidRPr="00787196">
        <w:rPr>
          <w:rFonts w:cs="Arial"/>
          <w:szCs w:val="24"/>
        </w:rPr>
        <w:t xml:space="preserve"> </w:t>
      </w:r>
      <w:r w:rsidR="00A05860" w:rsidRPr="00787196">
        <w:rPr>
          <w:rFonts w:cs="Arial"/>
          <w:szCs w:val="24"/>
        </w:rPr>
        <w:t xml:space="preserve">the </w:t>
      </w:r>
      <w:r w:rsidR="008A3CC3" w:rsidRPr="00787196">
        <w:rPr>
          <w:rFonts w:cs="Arial"/>
          <w:szCs w:val="24"/>
        </w:rPr>
        <w:t>participants to complete the questionnaire and provide their contact details and availability.</w:t>
      </w:r>
      <w:r w:rsidR="004B39D9" w:rsidRPr="00787196">
        <w:rPr>
          <w:rFonts w:cs="Arial"/>
          <w:szCs w:val="24"/>
        </w:rPr>
        <w:t xml:space="preserve"> For participants who could not read</w:t>
      </w:r>
      <w:r w:rsidR="00E262EE" w:rsidRPr="00787196">
        <w:rPr>
          <w:rFonts w:cs="Arial"/>
          <w:szCs w:val="24"/>
        </w:rPr>
        <w:t>,</w:t>
      </w:r>
      <w:r w:rsidR="004B39D9" w:rsidRPr="00787196">
        <w:rPr>
          <w:rFonts w:cs="Arial"/>
          <w:szCs w:val="24"/>
        </w:rPr>
        <w:t xml:space="preserve"> the </w:t>
      </w:r>
      <w:r w:rsidR="00E262EE" w:rsidRPr="00787196">
        <w:rPr>
          <w:rFonts w:cs="Arial"/>
          <w:szCs w:val="24"/>
        </w:rPr>
        <w:t xml:space="preserve">questions were read out either by a clinical assistant or by a trusted attendant of the participant if they had one. </w:t>
      </w:r>
      <w:r w:rsidR="004B39D9" w:rsidRPr="00787196">
        <w:rPr>
          <w:rFonts w:cs="Arial"/>
          <w:szCs w:val="24"/>
        </w:rPr>
        <w:t>Participants</w:t>
      </w:r>
      <w:r w:rsidR="008A3CC3" w:rsidRPr="00787196">
        <w:rPr>
          <w:rFonts w:cs="Arial"/>
          <w:szCs w:val="24"/>
        </w:rPr>
        <w:t xml:space="preserve"> w</w:t>
      </w:r>
      <w:r w:rsidR="00A05860" w:rsidRPr="00787196">
        <w:rPr>
          <w:rFonts w:cs="Arial"/>
          <w:szCs w:val="24"/>
        </w:rPr>
        <w:t>ere</w:t>
      </w:r>
      <w:r w:rsidR="008A3CC3" w:rsidRPr="00787196">
        <w:rPr>
          <w:rFonts w:cs="Arial"/>
          <w:szCs w:val="24"/>
        </w:rPr>
        <w:t xml:space="preserve"> given the choice of opting out of the study at any </w:t>
      </w:r>
      <w:r w:rsidR="00E262EE" w:rsidRPr="00787196">
        <w:rPr>
          <w:rFonts w:cs="Arial"/>
          <w:szCs w:val="24"/>
        </w:rPr>
        <w:t>time. As</w:t>
      </w:r>
      <w:r w:rsidR="008A3CC3" w:rsidRPr="00787196">
        <w:rPr>
          <w:rFonts w:cs="Arial"/>
          <w:szCs w:val="24"/>
        </w:rPr>
        <w:t xml:space="preserve"> a token of acknowledgement for their participation, </w:t>
      </w:r>
      <w:r w:rsidR="00E262EE" w:rsidRPr="00787196">
        <w:rPr>
          <w:rFonts w:cs="Arial"/>
          <w:szCs w:val="24"/>
        </w:rPr>
        <w:t>participants</w:t>
      </w:r>
      <w:r w:rsidR="008A3CC3" w:rsidRPr="00787196">
        <w:rPr>
          <w:rFonts w:cs="Arial"/>
          <w:szCs w:val="24"/>
        </w:rPr>
        <w:t xml:space="preserve"> </w:t>
      </w:r>
      <w:r w:rsidR="00A05860" w:rsidRPr="00787196">
        <w:rPr>
          <w:rFonts w:cs="Arial"/>
          <w:szCs w:val="24"/>
        </w:rPr>
        <w:t>were</w:t>
      </w:r>
      <w:r w:rsidR="008A3CC3" w:rsidRPr="00787196">
        <w:rPr>
          <w:rFonts w:cs="Arial"/>
          <w:szCs w:val="24"/>
        </w:rPr>
        <w:t xml:space="preserve"> given a </w:t>
      </w:r>
      <w:r w:rsidR="00E3473B" w:rsidRPr="00787196">
        <w:rPr>
          <w:rFonts w:cs="Arial"/>
          <w:szCs w:val="24"/>
        </w:rPr>
        <w:t xml:space="preserve">token </w:t>
      </w:r>
      <w:r w:rsidR="008A3CC3" w:rsidRPr="00787196">
        <w:rPr>
          <w:rFonts w:cs="Arial"/>
          <w:szCs w:val="24"/>
        </w:rPr>
        <w:t xml:space="preserve">for a </w:t>
      </w:r>
      <w:r w:rsidR="00E3473B" w:rsidRPr="00787196">
        <w:rPr>
          <w:rFonts w:cs="Arial"/>
          <w:szCs w:val="24"/>
        </w:rPr>
        <w:t>lucky</w:t>
      </w:r>
      <w:r w:rsidR="008A3CC3" w:rsidRPr="00787196">
        <w:rPr>
          <w:rFonts w:cs="Arial"/>
          <w:szCs w:val="24"/>
        </w:rPr>
        <w:t xml:space="preserve"> draw at both stages of the study.</w:t>
      </w:r>
    </w:p>
    <w:p w14:paraId="2AEE7168" w14:textId="748EB514" w:rsidR="00E262EE" w:rsidRPr="00787196" w:rsidRDefault="00E262EE" w:rsidP="0090583E">
      <w:pPr>
        <w:overflowPunct w:val="0"/>
        <w:ind w:right="-99"/>
        <w:contextualSpacing/>
        <w:textAlignment w:val="baseline"/>
        <w:rPr>
          <w:rFonts w:cs="Arial"/>
          <w:szCs w:val="24"/>
        </w:rPr>
      </w:pPr>
    </w:p>
    <w:p w14:paraId="0C97A65E" w14:textId="77777777" w:rsidR="00A539F1" w:rsidRPr="00787196" w:rsidRDefault="008A3CC3" w:rsidP="004F3D69">
      <w:pPr>
        <w:ind w:right="-80"/>
        <w:rPr>
          <w:rFonts w:cs="Arial"/>
          <w:szCs w:val="24"/>
        </w:rPr>
      </w:pPr>
      <w:r w:rsidRPr="00787196">
        <w:rPr>
          <w:rFonts w:cs="Arial"/>
          <w:szCs w:val="24"/>
        </w:rPr>
        <w:t xml:space="preserve">A preliminary </w:t>
      </w:r>
      <w:r w:rsidR="008E0210" w:rsidRPr="00787196">
        <w:rPr>
          <w:rFonts w:cs="Arial"/>
          <w:szCs w:val="24"/>
        </w:rPr>
        <w:t>assessment</w:t>
      </w:r>
      <w:r w:rsidRPr="00787196">
        <w:rPr>
          <w:rFonts w:cs="Arial"/>
          <w:szCs w:val="24"/>
        </w:rPr>
        <w:t xml:space="preserve"> of patient flow at the </w:t>
      </w:r>
      <w:r w:rsidR="00E323D7" w:rsidRPr="00787196">
        <w:rPr>
          <w:rFonts w:cs="Arial"/>
          <w:szCs w:val="24"/>
        </w:rPr>
        <w:t>d</w:t>
      </w:r>
      <w:r w:rsidRPr="00787196">
        <w:rPr>
          <w:rFonts w:cs="Arial"/>
          <w:szCs w:val="24"/>
        </w:rPr>
        <w:t xml:space="preserve">epartment of </w:t>
      </w:r>
      <w:r w:rsidR="00E323D7" w:rsidRPr="00787196">
        <w:rPr>
          <w:rFonts w:cs="Arial"/>
          <w:szCs w:val="24"/>
        </w:rPr>
        <w:t>p</w:t>
      </w:r>
      <w:r w:rsidRPr="00787196">
        <w:rPr>
          <w:rFonts w:cs="Arial"/>
          <w:szCs w:val="24"/>
        </w:rPr>
        <w:t xml:space="preserve">rosthodontics </w:t>
      </w:r>
      <w:r w:rsidR="00E323D7" w:rsidRPr="00787196">
        <w:rPr>
          <w:rFonts w:cs="Arial"/>
          <w:szCs w:val="24"/>
        </w:rPr>
        <w:t xml:space="preserve">in </w:t>
      </w:r>
      <w:r w:rsidRPr="00787196">
        <w:rPr>
          <w:rFonts w:cs="Arial"/>
          <w:szCs w:val="24"/>
        </w:rPr>
        <w:t>May 2012</w:t>
      </w:r>
      <w:r w:rsidR="00E323D7" w:rsidRPr="00787196">
        <w:rPr>
          <w:rFonts w:cs="Arial"/>
          <w:szCs w:val="24"/>
        </w:rPr>
        <w:t xml:space="preserve"> indicated</w:t>
      </w:r>
      <w:r w:rsidRPr="00787196">
        <w:rPr>
          <w:rFonts w:cs="Arial"/>
          <w:szCs w:val="24"/>
        </w:rPr>
        <w:t xml:space="preserve"> 11,573 appointments and 4721 new patients at the prosthodontic unit over the preceding year. Among those, approxima</w:t>
      </w:r>
      <w:r w:rsidR="00E323D7" w:rsidRPr="00787196">
        <w:rPr>
          <w:rFonts w:cs="Arial"/>
          <w:szCs w:val="24"/>
        </w:rPr>
        <w:t xml:space="preserve">tely 373 patients were treated with </w:t>
      </w:r>
      <w:r w:rsidRPr="00787196">
        <w:rPr>
          <w:rFonts w:cs="Arial"/>
          <w:szCs w:val="24"/>
        </w:rPr>
        <w:t xml:space="preserve">complete </w:t>
      </w:r>
      <w:r w:rsidR="00E323D7" w:rsidRPr="00787196">
        <w:rPr>
          <w:rFonts w:cs="Arial"/>
          <w:szCs w:val="24"/>
        </w:rPr>
        <w:t xml:space="preserve">and 7863 for </w:t>
      </w:r>
      <w:r w:rsidRPr="00787196">
        <w:rPr>
          <w:rFonts w:cs="Arial"/>
          <w:szCs w:val="24"/>
        </w:rPr>
        <w:t>partial dentures</w:t>
      </w:r>
      <w:r w:rsidR="00E323D7" w:rsidRPr="00787196">
        <w:rPr>
          <w:rFonts w:cs="Arial"/>
          <w:szCs w:val="24"/>
        </w:rPr>
        <w:t>.</w:t>
      </w:r>
      <w:r w:rsidRPr="00787196">
        <w:rPr>
          <w:rFonts w:cs="Arial"/>
          <w:szCs w:val="24"/>
        </w:rPr>
        <w:t xml:space="preserve"> Approximately, 10%</w:t>
      </w:r>
      <w:r w:rsidR="00E323D7" w:rsidRPr="00787196">
        <w:rPr>
          <w:rFonts w:cs="Arial"/>
          <w:szCs w:val="24"/>
        </w:rPr>
        <w:t>-</w:t>
      </w:r>
      <w:r w:rsidRPr="00787196">
        <w:rPr>
          <w:rFonts w:cs="Arial"/>
          <w:szCs w:val="24"/>
        </w:rPr>
        <w:t xml:space="preserve">20% of patients </w:t>
      </w:r>
      <w:r w:rsidR="00E323D7" w:rsidRPr="00787196">
        <w:rPr>
          <w:rFonts w:cs="Arial"/>
          <w:szCs w:val="24"/>
        </w:rPr>
        <w:t>we</w:t>
      </w:r>
      <w:r w:rsidRPr="00787196">
        <w:rPr>
          <w:rFonts w:cs="Arial"/>
          <w:szCs w:val="24"/>
        </w:rPr>
        <w:t>re treated by postgraduate</w:t>
      </w:r>
      <w:r w:rsidR="004537F0" w:rsidRPr="00787196">
        <w:rPr>
          <w:rFonts w:cs="Arial"/>
          <w:szCs w:val="24"/>
        </w:rPr>
        <w:t xml:space="preserve"> </w:t>
      </w:r>
      <w:r w:rsidRPr="00787196">
        <w:rPr>
          <w:rFonts w:cs="Arial"/>
          <w:szCs w:val="24"/>
        </w:rPr>
        <w:t xml:space="preserve">and 30% by the undergraduate students and 50% by staff members directly or by combination of </w:t>
      </w:r>
      <w:r w:rsidR="00E262EE" w:rsidRPr="00787196">
        <w:rPr>
          <w:rFonts w:cs="Arial"/>
          <w:szCs w:val="24"/>
        </w:rPr>
        <w:t>students and staff</w:t>
      </w:r>
      <w:r w:rsidRPr="00787196">
        <w:rPr>
          <w:rFonts w:cs="Arial"/>
          <w:szCs w:val="24"/>
        </w:rPr>
        <w:t xml:space="preserve">. </w:t>
      </w:r>
    </w:p>
    <w:p w14:paraId="208BC458" w14:textId="77777777" w:rsidR="00A539F1" w:rsidRPr="00787196" w:rsidRDefault="00A539F1">
      <w:pPr>
        <w:spacing w:before="0" w:after="0" w:line="240" w:lineRule="auto"/>
        <w:jc w:val="left"/>
        <w:rPr>
          <w:rFonts w:cs="Arial"/>
          <w:szCs w:val="24"/>
        </w:rPr>
      </w:pPr>
      <w:r w:rsidRPr="00787196">
        <w:rPr>
          <w:rFonts w:cs="Arial"/>
          <w:szCs w:val="24"/>
        </w:rPr>
        <w:br w:type="page"/>
      </w:r>
    </w:p>
    <w:p w14:paraId="17A15EE1" w14:textId="30D6190D" w:rsidR="008A3CC3" w:rsidRPr="00787196" w:rsidRDefault="008A3CC3" w:rsidP="004F3D69">
      <w:pPr>
        <w:ind w:right="-80"/>
        <w:rPr>
          <w:rFonts w:cs="Arial"/>
          <w:szCs w:val="24"/>
        </w:rPr>
      </w:pPr>
      <w:r w:rsidRPr="00787196">
        <w:rPr>
          <w:rFonts w:cs="Arial"/>
          <w:szCs w:val="24"/>
        </w:rPr>
        <w:lastRenderedPageBreak/>
        <w:t xml:space="preserve">Completed dentures </w:t>
      </w:r>
      <w:r w:rsidR="004537F0" w:rsidRPr="00787196">
        <w:rPr>
          <w:rFonts w:cs="Arial"/>
          <w:szCs w:val="24"/>
        </w:rPr>
        <w:t>were</w:t>
      </w:r>
      <w:r w:rsidRPr="00787196">
        <w:rPr>
          <w:rFonts w:cs="Arial"/>
          <w:szCs w:val="24"/>
        </w:rPr>
        <w:t xml:space="preserve"> delivered in 6 appointments, removable partial dentures in 3-4 appointments with an average of 3 days between appointments. Considering these data, it </w:t>
      </w:r>
      <w:r w:rsidR="00A05860" w:rsidRPr="00787196">
        <w:rPr>
          <w:rFonts w:cs="Arial"/>
          <w:szCs w:val="24"/>
        </w:rPr>
        <w:t>was</w:t>
      </w:r>
      <w:r w:rsidR="00AB582C" w:rsidRPr="00787196">
        <w:rPr>
          <w:rFonts w:cs="Arial"/>
          <w:szCs w:val="24"/>
        </w:rPr>
        <w:t xml:space="preserve"> assumed that it took</w:t>
      </w:r>
      <w:r w:rsidRPr="00787196">
        <w:rPr>
          <w:rFonts w:cs="Arial"/>
          <w:szCs w:val="24"/>
        </w:rPr>
        <w:t xml:space="preserve"> between 3-4 weeks for a new conventional denture. Prosthodontic treatments </w:t>
      </w:r>
      <w:r w:rsidR="00A05860" w:rsidRPr="00787196">
        <w:rPr>
          <w:rFonts w:cs="Arial"/>
          <w:szCs w:val="24"/>
        </w:rPr>
        <w:t>were</w:t>
      </w:r>
      <w:r w:rsidRPr="00787196">
        <w:rPr>
          <w:rFonts w:cs="Arial"/>
          <w:szCs w:val="24"/>
        </w:rPr>
        <w:t xml:space="preserve"> provided at distant locations as well through community dental camps (equivalent to outreach programmes in the UK). Only removable conventional prostheses were delivered in such camps.</w:t>
      </w:r>
      <w:r w:rsidR="00A64ECE" w:rsidRPr="00787196">
        <w:rPr>
          <w:rFonts w:cs="Arial"/>
          <w:szCs w:val="24"/>
        </w:rPr>
        <w:t xml:space="preserve"> However, none of the participants of this study included patients from such camps.</w:t>
      </w:r>
    </w:p>
    <w:p w14:paraId="75CBC651" w14:textId="25840A36" w:rsidR="0090583E" w:rsidRPr="00787196" w:rsidRDefault="0090583E" w:rsidP="0090583E">
      <w:pPr>
        <w:pStyle w:val="Heading3"/>
      </w:pPr>
      <w:bookmarkStart w:id="132" w:name="_Toc488655642"/>
      <w:r w:rsidRPr="00787196">
        <w:t>Sampling</w:t>
      </w:r>
      <w:bookmarkEnd w:id="132"/>
    </w:p>
    <w:p w14:paraId="01B1E7BD" w14:textId="5CCBD2E3" w:rsidR="00994415" w:rsidRPr="00787196" w:rsidRDefault="00A539F1" w:rsidP="00D13FC0">
      <w:pPr>
        <w:spacing w:before="0" w:after="0"/>
        <w:ind w:right="-80"/>
        <w:rPr>
          <w:rFonts w:cs="Arial"/>
          <w:szCs w:val="24"/>
        </w:rPr>
      </w:pPr>
      <w:r w:rsidRPr="00787196">
        <w:rPr>
          <w:rFonts w:cs="Arial"/>
          <w:szCs w:val="24"/>
        </w:rPr>
        <w:t xml:space="preserve">The sample size was based on </w:t>
      </w:r>
      <w:r w:rsidR="004336E2" w:rsidRPr="00787196">
        <w:rPr>
          <w:rFonts w:cs="Arial"/>
          <w:szCs w:val="24"/>
        </w:rPr>
        <w:t xml:space="preserve">calculating an </w:t>
      </w:r>
      <w:r w:rsidRPr="00787196">
        <w:rPr>
          <w:rFonts w:cs="Arial"/>
          <w:szCs w:val="24"/>
        </w:rPr>
        <w:t xml:space="preserve">effect size between </w:t>
      </w:r>
      <w:r w:rsidR="004336E2" w:rsidRPr="00787196">
        <w:rPr>
          <w:rFonts w:cs="Arial"/>
          <w:szCs w:val="24"/>
        </w:rPr>
        <w:t xml:space="preserve">two continuous variables (i.e.) </w:t>
      </w:r>
      <w:r w:rsidRPr="00787196">
        <w:rPr>
          <w:rFonts w:cs="Arial"/>
          <w:szCs w:val="24"/>
        </w:rPr>
        <w:t xml:space="preserve">coping strategies </w:t>
      </w:r>
      <w:r w:rsidR="004336E2" w:rsidRPr="00787196">
        <w:rPr>
          <w:rFonts w:cs="Arial"/>
          <w:szCs w:val="24"/>
        </w:rPr>
        <w:t xml:space="preserve">in conventional denture wearers </w:t>
      </w:r>
      <w:r w:rsidRPr="00787196">
        <w:rPr>
          <w:rFonts w:cs="Arial"/>
          <w:szCs w:val="24"/>
        </w:rPr>
        <w:t xml:space="preserve">and </w:t>
      </w:r>
      <w:r w:rsidR="00F614E0" w:rsidRPr="00787196">
        <w:rPr>
          <w:rFonts w:cs="Arial"/>
          <w:szCs w:val="24"/>
        </w:rPr>
        <w:t>oral health related quality</w:t>
      </w:r>
      <w:r w:rsidRPr="00787196">
        <w:rPr>
          <w:rFonts w:cs="Arial"/>
          <w:szCs w:val="24"/>
        </w:rPr>
        <w:t xml:space="preserve"> life</w:t>
      </w:r>
      <w:r w:rsidR="00E835CE" w:rsidRPr="00787196">
        <w:rPr>
          <w:rFonts w:cs="Arial"/>
          <w:szCs w:val="24"/>
        </w:rPr>
        <w:t>.</w:t>
      </w:r>
      <w:r w:rsidR="004336E2" w:rsidRPr="00787196">
        <w:rPr>
          <w:rFonts w:cs="Arial"/>
          <w:szCs w:val="24"/>
        </w:rPr>
        <w:t xml:space="preserve"> The point estimation of this association for the present sample was done using the sample data from the </w:t>
      </w:r>
      <w:r w:rsidR="00E90FAB" w:rsidRPr="00787196">
        <w:rPr>
          <w:rFonts w:cs="Arial"/>
          <w:szCs w:val="24"/>
        </w:rPr>
        <w:t>Heydecke and colleagues (2004)</w:t>
      </w:r>
      <w:r w:rsidR="004336E2" w:rsidRPr="00787196">
        <w:rPr>
          <w:rFonts w:cs="Arial"/>
          <w:szCs w:val="24"/>
        </w:rPr>
        <w:t xml:space="preserve"> study. </w:t>
      </w:r>
      <w:r w:rsidR="00BE679E" w:rsidRPr="00787196">
        <w:rPr>
          <w:rFonts w:cs="Arial"/>
          <w:szCs w:val="24"/>
        </w:rPr>
        <w:t xml:space="preserve">The variables </w:t>
      </w:r>
      <w:r w:rsidR="00D13FC0" w:rsidRPr="00787196">
        <w:rPr>
          <w:rFonts w:cs="Arial"/>
          <w:szCs w:val="24"/>
        </w:rPr>
        <w:t xml:space="preserve">used were the </w:t>
      </w:r>
      <w:r w:rsidR="00E90FAB" w:rsidRPr="00787196">
        <w:rPr>
          <w:rFonts w:cs="Arial"/>
          <w:szCs w:val="24"/>
        </w:rPr>
        <w:t xml:space="preserve">denial coping </w:t>
      </w:r>
      <w:r w:rsidR="004336E2" w:rsidRPr="00787196">
        <w:rPr>
          <w:rFonts w:cs="Arial"/>
          <w:szCs w:val="24"/>
        </w:rPr>
        <w:t xml:space="preserve">factor </w:t>
      </w:r>
      <w:r w:rsidR="00E90FAB" w:rsidRPr="00787196">
        <w:rPr>
          <w:rFonts w:cs="Arial"/>
          <w:szCs w:val="24"/>
        </w:rPr>
        <w:t>and OHQoL in edentulous adults</w:t>
      </w:r>
      <w:r w:rsidR="00D13FC0" w:rsidRPr="00787196">
        <w:rPr>
          <w:rFonts w:cs="Arial"/>
          <w:szCs w:val="24"/>
        </w:rPr>
        <w:t xml:space="preserve"> which had an unstandardized correlation co-efficient of 1.208</w:t>
      </w:r>
      <w:r w:rsidR="00E90FAB" w:rsidRPr="00787196">
        <w:rPr>
          <w:rFonts w:cs="Arial"/>
          <w:szCs w:val="24"/>
        </w:rPr>
        <w:t>. Using th</w:t>
      </w:r>
      <w:r w:rsidR="004336E2" w:rsidRPr="00787196">
        <w:rPr>
          <w:rFonts w:cs="Arial"/>
          <w:szCs w:val="24"/>
        </w:rPr>
        <w:t xml:space="preserve">ese values </w:t>
      </w:r>
      <w:r w:rsidR="00E90FAB" w:rsidRPr="00787196">
        <w:rPr>
          <w:rFonts w:cs="Arial"/>
          <w:szCs w:val="24"/>
        </w:rPr>
        <w:t>an e</w:t>
      </w:r>
      <w:r w:rsidR="004336E2" w:rsidRPr="00787196">
        <w:rPr>
          <w:rFonts w:cs="Arial"/>
          <w:szCs w:val="24"/>
        </w:rPr>
        <w:t>ffect size 0.152 was calculated</w:t>
      </w:r>
      <w:r w:rsidR="00E90FAB" w:rsidRPr="00787196">
        <w:rPr>
          <w:rFonts w:cs="Arial"/>
          <w:szCs w:val="24"/>
        </w:rPr>
        <w:t xml:space="preserve">. </w:t>
      </w:r>
      <w:r w:rsidR="00931288" w:rsidRPr="00787196">
        <w:rPr>
          <w:rFonts w:cs="Arial"/>
          <w:szCs w:val="24"/>
        </w:rPr>
        <w:t>With 20</w:t>
      </w:r>
      <w:r w:rsidR="00E90FAB" w:rsidRPr="00787196">
        <w:rPr>
          <w:rFonts w:cs="Arial"/>
          <w:szCs w:val="24"/>
        </w:rPr>
        <w:t xml:space="preserve"> independent variables, a </w:t>
      </w:r>
      <w:r w:rsidR="004336E2" w:rsidRPr="00787196">
        <w:rPr>
          <w:rFonts w:cs="Arial"/>
          <w:szCs w:val="24"/>
        </w:rPr>
        <w:t xml:space="preserve">final </w:t>
      </w:r>
      <w:r w:rsidR="00E90FAB" w:rsidRPr="00787196">
        <w:rPr>
          <w:rFonts w:cs="Arial"/>
          <w:szCs w:val="24"/>
        </w:rPr>
        <w:t xml:space="preserve">sample size of 152 people will yield </w:t>
      </w:r>
      <w:r w:rsidR="00D13FC0" w:rsidRPr="00787196">
        <w:rPr>
          <w:rFonts w:cs="Arial"/>
          <w:szCs w:val="24"/>
        </w:rPr>
        <w:t>an</w:t>
      </w:r>
      <w:r w:rsidR="00E90FAB" w:rsidRPr="00787196">
        <w:rPr>
          <w:rFonts w:cs="Arial"/>
          <w:szCs w:val="24"/>
        </w:rPr>
        <w:t xml:space="preserve"> 80% power to detect a difference as significant for a threshold for </w:t>
      </w:r>
      <w:r w:rsidR="00D13FC0" w:rsidRPr="00787196">
        <w:rPr>
          <w:rFonts w:cs="Arial"/>
          <w:szCs w:val="24"/>
        </w:rPr>
        <w:t>p</w:t>
      </w:r>
      <w:r w:rsidR="00E90FAB" w:rsidRPr="00787196">
        <w:rPr>
          <w:rFonts w:cs="Arial"/>
          <w:szCs w:val="24"/>
        </w:rPr>
        <w:t xml:space="preserve"> at 0.05 (Cohen et al., 2013, Soper, 2014).</w:t>
      </w:r>
      <w:r w:rsidR="00994415" w:rsidRPr="00787196">
        <w:rPr>
          <w:rFonts w:cs="Arial"/>
          <w:szCs w:val="24"/>
        </w:rPr>
        <w:t xml:space="preserve"> </w:t>
      </w:r>
    </w:p>
    <w:p w14:paraId="6EF45311" w14:textId="77777777" w:rsidR="00A539F1" w:rsidRPr="00787196" w:rsidRDefault="00A539F1" w:rsidP="007E3B68">
      <w:pPr>
        <w:spacing w:before="0" w:after="0"/>
        <w:ind w:right="-80"/>
        <w:rPr>
          <w:rFonts w:cs="Arial"/>
          <w:szCs w:val="24"/>
        </w:rPr>
      </w:pPr>
    </w:p>
    <w:p w14:paraId="2E23AE36" w14:textId="6719984C" w:rsidR="00A539F1" w:rsidRPr="00787196" w:rsidRDefault="00395916" w:rsidP="00395916">
      <w:pPr>
        <w:spacing w:before="0" w:after="0"/>
        <w:ind w:right="-80"/>
        <w:rPr>
          <w:rFonts w:cs="Arial"/>
          <w:szCs w:val="24"/>
        </w:rPr>
      </w:pPr>
      <w:r w:rsidRPr="00787196">
        <w:rPr>
          <w:rFonts w:cs="Arial"/>
          <w:szCs w:val="24"/>
        </w:rPr>
        <w:t>Based on t</w:t>
      </w:r>
      <w:r w:rsidR="00A539F1" w:rsidRPr="00787196">
        <w:rPr>
          <w:rFonts w:cs="Arial"/>
          <w:szCs w:val="24"/>
        </w:rPr>
        <w:t xml:space="preserve">he numbers of participants per variable for studies involving </w:t>
      </w:r>
      <w:r w:rsidRPr="00787196">
        <w:rPr>
          <w:rFonts w:cs="Arial"/>
          <w:szCs w:val="24"/>
        </w:rPr>
        <w:t xml:space="preserve">a </w:t>
      </w:r>
      <w:r w:rsidR="00A539F1" w:rsidRPr="00787196">
        <w:rPr>
          <w:rFonts w:cs="Arial"/>
          <w:szCs w:val="24"/>
        </w:rPr>
        <w:t xml:space="preserve">factor analysis </w:t>
      </w:r>
      <w:r w:rsidRPr="00787196">
        <w:rPr>
          <w:rFonts w:cs="Arial"/>
          <w:szCs w:val="24"/>
        </w:rPr>
        <w:t>where</w:t>
      </w:r>
      <w:r w:rsidR="00A539F1" w:rsidRPr="00787196">
        <w:rPr>
          <w:rFonts w:cs="Arial"/>
          <w:szCs w:val="24"/>
        </w:rPr>
        <w:t xml:space="preserve"> s</w:t>
      </w:r>
      <w:r w:rsidRPr="00787196">
        <w:rPr>
          <w:rFonts w:cs="Arial"/>
          <w:szCs w:val="24"/>
        </w:rPr>
        <w:t xml:space="preserve">tudies </w:t>
      </w:r>
      <w:r w:rsidR="00A539F1" w:rsidRPr="00787196">
        <w:rPr>
          <w:rFonts w:cs="Arial"/>
          <w:szCs w:val="24"/>
        </w:rPr>
        <w:t xml:space="preserve">recommend a minimum of 5 participants per variable </w:t>
      </w:r>
      <w:r w:rsidR="00A539F1" w:rsidRPr="00787196">
        <w:rPr>
          <w:rFonts w:cs="Arial"/>
          <w:szCs w:val="24"/>
        </w:rPr>
        <w:fldChar w:fldCharType="begin"/>
      </w:r>
      <w:r w:rsidR="00A539F1" w:rsidRPr="00787196">
        <w:rPr>
          <w:rFonts w:cs="Arial"/>
          <w:szCs w:val="24"/>
        </w:rPr>
        <w:instrText xml:space="preserve"> ADDIN EN.CITE &lt;EndNote&gt;&lt;Cite&gt;&lt;Author&gt;Gorsuch&lt;/Author&gt;&lt;Year&gt;1983&lt;/Year&gt;&lt;RecNum&gt;0&lt;/RecNum&gt;&lt;IDText&gt;Factor analysis, 2nd&lt;/IDText&gt;&lt;DisplayText&gt;(Gorsuch, 1983, Streiner, 2013)&lt;/DisplayText&gt;&lt;record&gt;&lt;titles&gt;&lt;title&gt;Factor analysis, 2nd&lt;/title&gt;&lt;secondary-title&gt;Hillsdale, NJ: LEA&lt;/secondary-title&gt;&lt;/titles&gt;&lt;contributors&gt;&lt;authors&gt;&lt;author&gt;Gorsuch, RL&lt;/author&gt;&lt;/authors&gt;&lt;/contributors&gt;&lt;added-date format="utc"&gt;1375267169&lt;/added-date&gt;&lt;ref-type name="Journal Article"&gt;17&lt;/ref-type&gt;&lt;dates&gt;&lt;year&gt;1983&lt;/year&gt;&lt;/dates&gt;&lt;rec-number&gt;1123&lt;/rec-number&gt;&lt;last-updated-date format="utc"&gt;1375267169&lt;/last-updated-date&gt;&lt;/record&gt;&lt;/Cite&gt;&lt;Cite&gt;&lt;Author&gt;Streiner&lt;/Author&gt;&lt;Year&gt;2013&lt;/Year&gt;&lt;RecNum&gt;0&lt;/RecNum&gt;&lt;IDText&gt;10 Figuring Out Factors: The Use and Misuse of Factor Analysis&lt;/IDText&gt;&lt;record&gt;&lt;isbn&gt;144261353X&lt;/isbn&gt;&lt;titles&gt;&lt;title&gt;10 Figuring Out Factors: The Use and Misuse of Factor Analysis&lt;/title&gt;&lt;secondary-title&gt;A Guide to the Statistically Perplexed: A Compilation of Readings from the Canadian Journal of Psychiatry&lt;/secondary-title&gt;&lt;/titles&gt;&lt;pages&gt;110&lt;/pages&gt;&lt;contributors&gt;&lt;authors&gt;&lt;author&gt;Streiner, David L&lt;/author&gt;&lt;/authors&gt;&lt;/contributors&gt;&lt;added-date format="utc"&gt;1375262088&lt;/added-date&gt;&lt;ref-type name="Journal Article"&gt;17&lt;/ref-type&gt;&lt;dates&gt;&lt;year&gt;2013&lt;/year&gt;&lt;/dates&gt;&lt;rec-number&gt;1119&lt;/rec-number&gt;&lt;last-updated-date format="utc"&gt;1375262088&lt;/last-updated-date&gt;&lt;/record&gt;&lt;/Cite&gt;&lt;/EndNote&gt;</w:instrText>
      </w:r>
      <w:r w:rsidR="00A539F1" w:rsidRPr="00787196">
        <w:rPr>
          <w:rFonts w:cs="Arial"/>
          <w:szCs w:val="24"/>
        </w:rPr>
        <w:fldChar w:fldCharType="separate"/>
      </w:r>
      <w:r w:rsidR="00A539F1" w:rsidRPr="00787196">
        <w:rPr>
          <w:rFonts w:cs="Arial"/>
          <w:szCs w:val="24"/>
        </w:rPr>
        <w:t>(Gorsuch, 1983, Streiner, 2013)</w:t>
      </w:r>
      <w:r w:rsidR="00A539F1" w:rsidRPr="00787196">
        <w:rPr>
          <w:rFonts w:cs="Arial"/>
          <w:szCs w:val="24"/>
        </w:rPr>
        <w:fldChar w:fldCharType="end"/>
      </w:r>
      <w:r w:rsidR="00A539F1" w:rsidRPr="00787196">
        <w:rPr>
          <w:rFonts w:cs="Arial"/>
          <w:szCs w:val="24"/>
        </w:rPr>
        <w:t xml:space="preserve"> </w:t>
      </w:r>
      <w:r w:rsidRPr="00787196">
        <w:rPr>
          <w:rFonts w:cs="Arial"/>
          <w:szCs w:val="24"/>
        </w:rPr>
        <w:t>most s</w:t>
      </w:r>
      <w:r w:rsidR="00A539F1" w:rsidRPr="00787196">
        <w:rPr>
          <w:rFonts w:cs="Arial"/>
          <w:szCs w:val="24"/>
        </w:rPr>
        <w:t xml:space="preserve">uggest 10 participants per variable </w:t>
      </w:r>
      <w:r w:rsidR="00A539F1" w:rsidRPr="00787196">
        <w:rPr>
          <w:rFonts w:cs="Arial"/>
          <w:szCs w:val="24"/>
        </w:rPr>
        <w:fldChar w:fldCharType="begin"/>
      </w:r>
      <w:r w:rsidR="00A539F1" w:rsidRPr="00787196">
        <w:rPr>
          <w:rFonts w:cs="Arial"/>
          <w:szCs w:val="24"/>
        </w:rPr>
        <w:instrText xml:space="preserve"> ADDIN EN.CITE &lt;EndNote&gt;&lt;Cite&gt;&lt;Author&gt;Jöreskog&lt;/Author&gt;&lt;Year&gt;1989&lt;/Year&gt;&lt;RecNum&gt;0&lt;/RecNum&gt;&lt;IDText&gt;LISREL 7: A guide to the program and applications&lt;/IDText&gt;&lt;DisplayText&gt;(Jöreskog and Sörbom, 1989, Floyd and Widaman, 1995)&lt;/DisplayText&gt;&lt;record&gt;&lt;titles&gt;&lt;title&gt;LISREL 7: A guide to the program and applications&lt;/title&gt;&lt;/titles&gt;&lt;contributors&gt;&lt;authors&gt;&lt;author&gt;Jöreskog, Karl G&lt;/author&gt;&lt;author&gt;Sörbom, Dag&lt;/author&gt;&lt;/authors&gt;&lt;/contributors&gt;&lt;added-date format="utc"&gt;1375265459&lt;/added-date&gt;&lt;ref-type name="Book"&gt;6&lt;/ref-type&gt;&lt;dates&gt;&lt;year&gt;1989&lt;/year&gt;&lt;/dates&gt;&lt;rec-number&gt;1121&lt;/rec-number&gt;&lt;publisher&gt;Spss Chicago&lt;/publisher&gt;&lt;last-updated-date format="utc"&gt;1375265459&lt;/last-updated-date&gt;&lt;volume&gt;2&lt;/volume&gt;&lt;/record&gt;&lt;/Cite&gt;&lt;Cite&gt;&lt;Author&gt;Floyd&lt;/Author&gt;&lt;Year&gt;1995&lt;/Year&gt;&lt;RecNum&gt;0&lt;/RecNum&gt;&lt;IDText&gt;Factor analysis in the development and refinement of clinical assessment instruments&lt;/IDText&gt;&lt;record&gt;&lt;isbn&gt;1040-3590&lt;/isbn&gt;&lt;titles&gt;&lt;title&gt;Factor analysis in the development and refinement of clinical assessment instruments&lt;/title&gt;&lt;secondary-title&gt;Psychological assessment&lt;/secondary-title&gt;&lt;/titles&gt;&lt;pages&gt;286-299&lt;/pages&gt;&lt;number&gt;3&lt;/number&gt;&lt;contributors&gt;&lt;authors&gt;&lt;author&gt;Floyd, Frank J.&lt;/author&gt;&lt;author&gt;Widaman, Keith F.&lt;/author&gt;&lt;/authors&gt;&lt;/contributors&gt;&lt;added-date format="utc"&gt;1367329233&lt;/added-date&gt;&lt;ref-type name="Journal Article"&gt;17&lt;/ref-type&gt;&lt;dates&gt;&lt;year&gt;1995&lt;/year&gt;&lt;/dates&gt;&lt;rec-number&gt;675&lt;/rec-number&gt;&lt;last-updated-date format="utc"&gt;1367329233&lt;/last-updated-date&gt;&lt;volume&gt;7&lt;/volume&gt;&lt;/record&gt;&lt;/Cite&gt;&lt;/EndNote&gt;</w:instrText>
      </w:r>
      <w:r w:rsidR="00A539F1" w:rsidRPr="00787196">
        <w:rPr>
          <w:rFonts w:cs="Arial"/>
          <w:szCs w:val="24"/>
        </w:rPr>
        <w:fldChar w:fldCharType="separate"/>
      </w:r>
      <w:r w:rsidR="00A539F1" w:rsidRPr="00787196">
        <w:rPr>
          <w:rFonts w:cs="Arial"/>
          <w:szCs w:val="24"/>
        </w:rPr>
        <w:t>(Jöreskog and Sörbom, 1989, Floyd and Widaman, 1995)</w:t>
      </w:r>
      <w:r w:rsidR="00A539F1" w:rsidRPr="00787196">
        <w:rPr>
          <w:rFonts w:cs="Arial"/>
          <w:szCs w:val="24"/>
        </w:rPr>
        <w:fldChar w:fldCharType="end"/>
      </w:r>
      <w:r w:rsidR="00A539F1" w:rsidRPr="00787196">
        <w:rPr>
          <w:rFonts w:cs="Arial"/>
          <w:szCs w:val="24"/>
        </w:rPr>
        <w:t>.</w:t>
      </w:r>
    </w:p>
    <w:p w14:paraId="174CE3EA" w14:textId="77777777" w:rsidR="00994415" w:rsidRPr="00787196" w:rsidRDefault="00994415">
      <w:pPr>
        <w:spacing w:before="0" w:after="0" w:line="240" w:lineRule="auto"/>
        <w:rPr>
          <w:rFonts w:cs="Arial"/>
          <w:szCs w:val="24"/>
        </w:rPr>
      </w:pPr>
      <w:r w:rsidRPr="00787196">
        <w:rPr>
          <w:rFonts w:cs="Arial"/>
          <w:szCs w:val="24"/>
        </w:rPr>
        <w:br w:type="page"/>
      </w:r>
    </w:p>
    <w:p w14:paraId="15D19700" w14:textId="02FB9E5D" w:rsidR="00E90FAB" w:rsidRPr="00787196" w:rsidRDefault="00395916" w:rsidP="00395916">
      <w:pPr>
        <w:spacing w:before="0" w:after="0"/>
        <w:ind w:right="-80"/>
        <w:rPr>
          <w:rFonts w:cs="Arial"/>
          <w:szCs w:val="24"/>
        </w:rPr>
      </w:pPr>
      <w:r w:rsidRPr="00787196">
        <w:rPr>
          <w:rFonts w:cs="Arial"/>
          <w:szCs w:val="24"/>
        </w:rPr>
        <w:lastRenderedPageBreak/>
        <w:t>Based on the power calculation and a</w:t>
      </w:r>
      <w:r w:rsidR="0090583E" w:rsidRPr="00787196">
        <w:rPr>
          <w:rFonts w:cs="Arial"/>
          <w:szCs w:val="24"/>
        </w:rPr>
        <w:t>nticipating</w:t>
      </w:r>
      <w:r w:rsidR="00E90FAB" w:rsidRPr="00787196">
        <w:rPr>
          <w:rFonts w:cs="Arial"/>
          <w:szCs w:val="24"/>
        </w:rPr>
        <w:t xml:space="preserve"> a </w:t>
      </w:r>
      <w:r w:rsidR="006D3FF3" w:rsidRPr="00787196">
        <w:rPr>
          <w:rFonts w:cs="Arial"/>
          <w:szCs w:val="24"/>
        </w:rPr>
        <w:t>considerable</w:t>
      </w:r>
      <w:r w:rsidR="00E90FAB" w:rsidRPr="00787196">
        <w:rPr>
          <w:rFonts w:cs="Arial"/>
          <w:szCs w:val="24"/>
        </w:rPr>
        <w:t xml:space="preserve"> number of participants </w:t>
      </w:r>
      <w:r w:rsidR="002A700D" w:rsidRPr="00787196">
        <w:rPr>
          <w:rFonts w:cs="Arial"/>
          <w:szCs w:val="24"/>
        </w:rPr>
        <w:t>declining</w:t>
      </w:r>
      <w:r w:rsidR="00E90FAB" w:rsidRPr="00787196">
        <w:rPr>
          <w:rFonts w:cs="Arial"/>
          <w:szCs w:val="24"/>
        </w:rPr>
        <w:t xml:space="preserve"> </w:t>
      </w:r>
      <w:r w:rsidR="006D3FF3" w:rsidRPr="00787196">
        <w:rPr>
          <w:rFonts w:cs="Arial"/>
          <w:szCs w:val="24"/>
        </w:rPr>
        <w:t>from the study</w:t>
      </w:r>
      <w:r w:rsidR="00E90FAB" w:rsidRPr="00787196">
        <w:rPr>
          <w:rFonts w:cs="Arial"/>
          <w:szCs w:val="24"/>
        </w:rPr>
        <w:t>, lo</w:t>
      </w:r>
      <w:r w:rsidR="00A64ECE" w:rsidRPr="00787196">
        <w:rPr>
          <w:rFonts w:cs="Arial"/>
          <w:szCs w:val="24"/>
        </w:rPr>
        <w:t>s</w:t>
      </w:r>
      <w:r w:rsidR="00E90FAB" w:rsidRPr="00787196">
        <w:rPr>
          <w:rFonts w:cs="Arial"/>
          <w:szCs w:val="24"/>
        </w:rPr>
        <w:t xml:space="preserve">s </w:t>
      </w:r>
      <w:r w:rsidR="006D3FF3" w:rsidRPr="00787196">
        <w:rPr>
          <w:rFonts w:cs="Arial"/>
          <w:szCs w:val="24"/>
        </w:rPr>
        <w:t>to</w:t>
      </w:r>
      <w:r w:rsidR="00E90FAB" w:rsidRPr="00787196">
        <w:rPr>
          <w:rFonts w:cs="Arial"/>
          <w:szCs w:val="24"/>
        </w:rPr>
        <w:t xml:space="preserve"> follow up and </w:t>
      </w:r>
      <w:r w:rsidR="006D3FF3" w:rsidRPr="00787196">
        <w:rPr>
          <w:rFonts w:cs="Arial"/>
          <w:szCs w:val="24"/>
        </w:rPr>
        <w:t xml:space="preserve">assuming </w:t>
      </w:r>
      <w:r w:rsidR="00E90FAB" w:rsidRPr="00787196">
        <w:rPr>
          <w:rFonts w:cs="Arial"/>
          <w:szCs w:val="24"/>
        </w:rPr>
        <w:t xml:space="preserve">that the </w:t>
      </w:r>
      <w:r w:rsidR="006D3FF3" w:rsidRPr="00787196">
        <w:rPr>
          <w:rFonts w:cs="Arial"/>
          <w:szCs w:val="24"/>
        </w:rPr>
        <w:t>associations</w:t>
      </w:r>
      <w:r w:rsidR="00E90FAB" w:rsidRPr="00787196">
        <w:rPr>
          <w:rFonts w:cs="Arial"/>
          <w:szCs w:val="24"/>
        </w:rPr>
        <w:t xml:space="preserve"> may not be </w:t>
      </w:r>
      <w:r w:rsidR="006D3FF3" w:rsidRPr="00787196">
        <w:rPr>
          <w:rFonts w:cs="Arial"/>
          <w:szCs w:val="24"/>
        </w:rPr>
        <w:t>very significant</w:t>
      </w:r>
      <w:r w:rsidR="00E90FAB" w:rsidRPr="00787196">
        <w:rPr>
          <w:rFonts w:cs="Arial"/>
          <w:szCs w:val="24"/>
        </w:rPr>
        <w:t xml:space="preserve">, this study </w:t>
      </w:r>
      <w:r w:rsidR="00A64ECE" w:rsidRPr="00787196">
        <w:rPr>
          <w:rFonts w:cs="Arial"/>
          <w:szCs w:val="24"/>
        </w:rPr>
        <w:t>allowed</w:t>
      </w:r>
      <w:r w:rsidR="00E90FAB" w:rsidRPr="00787196">
        <w:rPr>
          <w:rFonts w:cs="Arial"/>
          <w:szCs w:val="24"/>
        </w:rPr>
        <w:t xml:space="preserve"> 10 participants per variable and aim</w:t>
      </w:r>
      <w:r w:rsidR="002A700D" w:rsidRPr="00787196">
        <w:rPr>
          <w:rFonts w:cs="Arial"/>
          <w:szCs w:val="24"/>
        </w:rPr>
        <w:t>ed</w:t>
      </w:r>
      <w:r w:rsidR="00E90FAB" w:rsidRPr="00787196">
        <w:rPr>
          <w:rFonts w:cs="Arial"/>
          <w:szCs w:val="24"/>
        </w:rPr>
        <w:t xml:space="preserve"> to recruit 200 participants.</w:t>
      </w:r>
    </w:p>
    <w:p w14:paraId="55888BF6" w14:textId="77777777" w:rsidR="0090583E" w:rsidRPr="00787196" w:rsidRDefault="0090583E" w:rsidP="00E90FAB">
      <w:pPr>
        <w:spacing w:before="0" w:after="0"/>
        <w:ind w:right="-80"/>
        <w:rPr>
          <w:rFonts w:cs="Arial"/>
          <w:szCs w:val="24"/>
        </w:rPr>
      </w:pPr>
    </w:p>
    <w:p w14:paraId="7F597FDD" w14:textId="249AA149" w:rsidR="008A3CC3" w:rsidRPr="00787196" w:rsidRDefault="008A3CC3" w:rsidP="0090583E">
      <w:pPr>
        <w:pStyle w:val="Heading3"/>
      </w:pPr>
      <w:bookmarkStart w:id="133" w:name="_Toc488655643"/>
      <w:r w:rsidRPr="00787196">
        <w:t>Permission and Liaison</w:t>
      </w:r>
      <w:bookmarkEnd w:id="133"/>
      <w:r w:rsidRPr="00787196">
        <w:tab/>
      </w:r>
    </w:p>
    <w:p w14:paraId="278B33C7" w14:textId="7C83D305" w:rsidR="008A3CC3" w:rsidRPr="00787196" w:rsidRDefault="006D3FF3" w:rsidP="00994415">
      <w:pPr>
        <w:spacing w:before="0" w:after="0"/>
        <w:rPr>
          <w:rFonts w:cs="Arial"/>
          <w:szCs w:val="24"/>
        </w:rPr>
      </w:pPr>
      <w:r w:rsidRPr="00787196">
        <w:rPr>
          <w:rFonts w:cs="Arial"/>
          <w:szCs w:val="24"/>
        </w:rPr>
        <w:t>The permission and a</w:t>
      </w:r>
      <w:r w:rsidR="008A3CC3" w:rsidRPr="00787196">
        <w:rPr>
          <w:rFonts w:cs="Arial"/>
          <w:szCs w:val="24"/>
        </w:rPr>
        <w:t xml:space="preserve">pproval </w:t>
      </w:r>
      <w:r w:rsidRPr="00787196">
        <w:rPr>
          <w:rFonts w:cs="Arial"/>
          <w:szCs w:val="24"/>
        </w:rPr>
        <w:t xml:space="preserve">to conduct this study was </w:t>
      </w:r>
      <w:r w:rsidR="008A3CC3" w:rsidRPr="00787196">
        <w:rPr>
          <w:rFonts w:cs="Arial"/>
          <w:szCs w:val="24"/>
        </w:rPr>
        <w:t xml:space="preserve">obtained from </w:t>
      </w:r>
    </w:p>
    <w:p w14:paraId="224E21C0" w14:textId="77777777" w:rsidR="008A3CC3" w:rsidRPr="00787196" w:rsidRDefault="008A3CC3" w:rsidP="00C119A5">
      <w:pPr>
        <w:pStyle w:val="ListParagraph"/>
        <w:numPr>
          <w:ilvl w:val="0"/>
          <w:numId w:val="13"/>
        </w:numPr>
        <w:spacing w:before="0" w:after="0"/>
        <w:ind w:right="-79"/>
        <w:contextualSpacing w:val="0"/>
        <w:rPr>
          <w:rFonts w:cs="Arial"/>
          <w:szCs w:val="24"/>
        </w:rPr>
      </w:pPr>
      <w:r w:rsidRPr="00787196">
        <w:rPr>
          <w:rFonts w:cs="Arial"/>
          <w:szCs w:val="24"/>
        </w:rPr>
        <w:t>University of Sheffield Research Ethics committee, UK</w:t>
      </w:r>
    </w:p>
    <w:p w14:paraId="6188D5EF" w14:textId="76BE53A6" w:rsidR="008A3CC3" w:rsidRPr="00787196" w:rsidRDefault="008A3CC3" w:rsidP="00C119A5">
      <w:pPr>
        <w:pStyle w:val="ListParagraph"/>
        <w:numPr>
          <w:ilvl w:val="0"/>
          <w:numId w:val="12"/>
        </w:numPr>
        <w:spacing w:before="0" w:after="0"/>
        <w:ind w:right="-79"/>
        <w:contextualSpacing w:val="0"/>
        <w:rPr>
          <w:rFonts w:cs="Arial"/>
          <w:szCs w:val="24"/>
        </w:rPr>
      </w:pPr>
      <w:r w:rsidRPr="00787196">
        <w:rPr>
          <w:rFonts w:cs="Arial"/>
          <w:szCs w:val="24"/>
        </w:rPr>
        <w:t>Sri Ramachandra Dental College</w:t>
      </w:r>
      <w:r w:rsidR="00A64ECE" w:rsidRPr="00787196">
        <w:rPr>
          <w:rFonts w:cs="Arial"/>
          <w:szCs w:val="24"/>
        </w:rPr>
        <w:t xml:space="preserve"> Management</w:t>
      </w:r>
      <w:r w:rsidRPr="00787196">
        <w:rPr>
          <w:rFonts w:cs="Arial"/>
          <w:szCs w:val="24"/>
        </w:rPr>
        <w:t>, Chennai, India</w:t>
      </w:r>
    </w:p>
    <w:p w14:paraId="59841C39" w14:textId="77777777" w:rsidR="008A3CC3" w:rsidRPr="00787196" w:rsidRDefault="008A3CC3" w:rsidP="00C119A5">
      <w:pPr>
        <w:pStyle w:val="ListParagraph"/>
        <w:numPr>
          <w:ilvl w:val="0"/>
          <w:numId w:val="12"/>
        </w:numPr>
        <w:spacing w:before="0" w:after="0"/>
        <w:ind w:right="-79"/>
        <w:contextualSpacing w:val="0"/>
        <w:rPr>
          <w:rFonts w:cs="Arial"/>
          <w:szCs w:val="24"/>
        </w:rPr>
      </w:pPr>
      <w:r w:rsidRPr="00787196">
        <w:rPr>
          <w:rFonts w:cs="Arial"/>
          <w:szCs w:val="24"/>
        </w:rPr>
        <w:t>Participant informed consent.</w:t>
      </w:r>
    </w:p>
    <w:p w14:paraId="3C3B8DD9" w14:textId="77777777" w:rsidR="008A3CC3" w:rsidRPr="00787196" w:rsidRDefault="008A3CC3" w:rsidP="00C119A5">
      <w:pPr>
        <w:pStyle w:val="ListParagraph"/>
        <w:numPr>
          <w:ilvl w:val="0"/>
          <w:numId w:val="12"/>
        </w:numPr>
        <w:spacing w:before="0" w:after="0"/>
        <w:ind w:right="-79"/>
        <w:contextualSpacing w:val="0"/>
        <w:rPr>
          <w:rFonts w:cs="Arial"/>
          <w:szCs w:val="24"/>
        </w:rPr>
      </w:pPr>
      <w:r w:rsidRPr="00787196">
        <w:rPr>
          <w:rFonts w:cs="Arial"/>
          <w:szCs w:val="24"/>
        </w:rPr>
        <w:t>Liaison with staff and students of all relevant departments at the Ramachandra Dental College</w:t>
      </w:r>
    </w:p>
    <w:p w14:paraId="53BDA130" w14:textId="7EF1AE0F" w:rsidR="008A3CC3" w:rsidRPr="00787196" w:rsidRDefault="008A3CC3" w:rsidP="004F119E">
      <w:pPr>
        <w:pStyle w:val="Heading2"/>
      </w:pPr>
      <w:bookmarkStart w:id="134" w:name="_Toc366260748"/>
      <w:bookmarkStart w:id="135" w:name="_Toc371981459"/>
      <w:bookmarkStart w:id="136" w:name="_Toc372541938"/>
      <w:bookmarkStart w:id="137" w:name="_Toc456211153"/>
      <w:bookmarkStart w:id="138" w:name="_Toc488655644"/>
      <w:r w:rsidRPr="00787196">
        <w:t>Variables</w:t>
      </w:r>
      <w:bookmarkEnd w:id="134"/>
      <w:bookmarkEnd w:id="135"/>
      <w:bookmarkEnd w:id="136"/>
      <w:bookmarkEnd w:id="137"/>
      <w:bookmarkEnd w:id="138"/>
    </w:p>
    <w:p w14:paraId="59A0C47E" w14:textId="26D6E566" w:rsidR="0052621C" w:rsidRPr="00787196" w:rsidRDefault="008A3CC3" w:rsidP="00272928">
      <w:pPr>
        <w:rPr>
          <w:rFonts w:cs="Arial"/>
          <w:szCs w:val="24"/>
        </w:rPr>
      </w:pPr>
      <w:r w:rsidRPr="00787196">
        <w:rPr>
          <w:rFonts w:cs="Arial"/>
          <w:szCs w:val="24"/>
        </w:rPr>
        <w:t xml:space="preserve">The variables chosen for measurement in this study </w:t>
      </w:r>
      <w:r w:rsidR="00A64ECE" w:rsidRPr="00787196">
        <w:rPr>
          <w:rFonts w:cs="Arial"/>
          <w:szCs w:val="24"/>
        </w:rPr>
        <w:t>were</w:t>
      </w:r>
      <w:r w:rsidRPr="00787196">
        <w:rPr>
          <w:rFonts w:cs="Arial"/>
          <w:szCs w:val="24"/>
        </w:rPr>
        <w:t xml:space="preserve"> derived from the literature </w:t>
      </w:r>
      <w:r w:rsidR="005E3D40" w:rsidRPr="00787196">
        <w:rPr>
          <w:rFonts w:cs="Arial"/>
          <w:szCs w:val="24"/>
        </w:rPr>
        <w:t xml:space="preserve">review </w:t>
      </w:r>
      <w:r w:rsidRPr="00787196">
        <w:rPr>
          <w:rFonts w:cs="Arial"/>
          <w:szCs w:val="24"/>
        </w:rPr>
        <w:t>and p</w:t>
      </w:r>
      <w:r w:rsidR="005E3D40" w:rsidRPr="00787196">
        <w:rPr>
          <w:rFonts w:cs="Arial"/>
          <w:szCs w:val="24"/>
        </w:rPr>
        <w:t>opulated within the</w:t>
      </w:r>
      <w:r w:rsidRPr="00787196">
        <w:rPr>
          <w:rFonts w:cs="Arial"/>
          <w:szCs w:val="24"/>
        </w:rPr>
        <w:t xml:space="preserve"> framework as seen in Figure</w:t>
      </w:r>
      <w:r w:rsidR="007E3B68" w:rsidRPr="00787196">
        <w:rPr>
          <w:rFonts w:cs="Arial"/>
          <w:szCs w:val="24"/>
        </w:rPr>
        <w:t xml:space="preserve"> 4-</w:t>
      </w:r>
      <w:bookmarkStart w:id="139" w:name="_Toc317517858"/>
      <w:bookmarkStart w:id="140" w:name="_Toc317591184"/>
      <w:bookmarkStart w:id="141" w:name="_Toc319068878"/>
      <w:r w:rsidR="00272928" w:rsidRPr="00787196">
        <w:rPr>
          <w:rFonts w:cs="Arial"/>
          <w:szCs w:val="24"/>
        </w:rPr>
        <w:t>1.</w:t>
      </w:r>
    </w:p>
    <w:p w14:paraId="4CFF5BB6" w14:textId="292A5F8F" w:rsidR="008A3CC3" w:rsidRPr="00787196" w:rsidRDefault="008A3CC3" w:rsidP="00985A3A">
      <w:pPr>
        <w:rPr>
          <w:rFonts w:cs="Arial"/>
          <w:bCs/>
          <w:szCs w:val="24"/>
        </w:rPr>
      </w:pPr>
      <w:r w:rsidRPr="00787196">
        <w:rPr>
          <w:rFonts w:cs="Arial"/>
          <w:bCs/>
          <w:szCs w:val="24"/>
        </w:rPr>
        <w:t xml:space="preserve">Demographic variables </w:t>
      </w:r>
      <w:r w:rsidR="00E90FAB" w:rsidRPr="00787196">
        <w:rPr>
          <w:rFonts w:cs="Arial"/>
          <w:bCs/>
          <w:szCs w:val="24"/>
        </w:rPr>
        <w:t xml:space="preserve">included age, gender, </w:t>
      </w:r>
      <w:r w:rsidRPr="00787196">
        <w:rPr>
          <w:rFonts w:cs="Arial"/>
          <w:bCs/>
          <w:szCs w:val="24"/>
        </w:rPr>
        <w:t xml:space="preserve">marital status, occupation, income, religion and caste and education </w:t>
      </w:r>
      <w:r w:rsidR="00913FF4" w:rsidRPr="00787196">
        <w:rPr>
          <w:rFonts w:cs="Arial"/>
          <w:bCs/>
          <w:szCs w:val="24"/>
        </w:rPr>
        <w:t xml:space="preserve">and </w:t>
      </w:r>
      <w:r w:rsidR="007D54EC" w:rsidRPr="00787196">
        <w:rPr>
          <w:rFonts w:cs="Arial"/>
          <w:bCs/>
          <w:szCs w:val="24"/>
        </w:rPr>
        <w:t xml:space="preserve">were </w:t>
      </w:r>
      <w:r w:rsidR="00913FF4" w:rsidRPr="00787196">
        <w:rPr>
          <w:rFonts w:cs="Arial"/>
          <w:bCs/>
          <w:szCs w:val="24"/>
        </w:rPr>
        <w:t>grouped under individual (age, gender</w:t>
      </w:r>
      <w:r w:rsidRPr="00787196">
        <w:rPr>
          <w:rFonts w:cs="Arial"/>
          <w:bCs/>
          <w:szCs w:val="24"/>
        </w:rPr>
        <w:t xml:space="preserve">, marital status) and </w:t>
      </w:r>
      <w:r w:rsidR="00913FF4" w:rsidRPr="00787196">
        <w:rPr>
          <w:rFonts w:cs="Arial"/>
          <w:bCs/>
          <w:szCs w:val="24"/>
        </w:rPr>
        <w:t>s</w:t>
      </w:r>
      <w:r w:rsidRPr="00787196">
        <w:rPr>
          <w:rFonts w:cs="Arial"/>
          <w:bCs/>
          <w:szCs w:val="24"/>
        </w:rPr>
        <w:t>ocial variables (occupation, income, religion and caste).</w:t>
      </w:r>
    </w:p>
    <w:p w14:paraId="6F535C19" w14:textId="77777777" w:rsidR="00B638BB" w:rsidRPr="00787196" w:rsidRDefault="008A3CC3" w:rsidP="002178E5">
      <w:pPr>
        <w:rPr>
          <w:rFonts w:cs="Arial"/>
          <w:bCs/>
          <w:szCs w:val="24"/>
        </w:rPr>
      </w:pPr>
      <w:r w:rsidRPr="00787196">
        <w:rPr>
          <w:rFonts w:cs="Arial"/>
          <w:bCs/>
          <w:szCs w:val="24"/>
        </w:rPr>
        <w:t xml:space="preserve">Occupation </w:t>
      </w:r>
      <w:r w:rsidR="007D54EC" w:rsidRPr="00787196">
        <w:rPr>
          <w:rFonts w:cs="Arial"/>
          <w:bCs/>
          <w:szCs w:val="24"/>
        </w:rPr>
        <w:t>w</w:t>
      </w:r>
      <w:r w:rsidR="00913FF4" w:rsidRPr="00787196">
        <w:rPr>
          <w:rFonts w:cs="Arial"/>
          <w:bCs/>
          <w:szCs w:val="24"/>
        </w:rPr>
        <w:t xml:space="preserve">as </w:t>
      </w:r>
      <w:r w:rsidRPr="00787196">
        <w:rPr>
          <w:rFonts w:cs="Arial"/>
          <w:bCs/>
          <w:szCs w:val="24"/>
        </w:rPr>
        <w:t xml:space="preserve">classified </w:t>
      </w:r>
      <w:r w:rsidR="00913FF4" w:rsidRPr="00787196">
        <w:rPr>
          <w:rFonts w:cs="Arial"/>
          <w:bCs/>
          <w:szCs w:val="24"/>
        </w:rPr>
        <w:t xml:space="preserve">using </w:t>
      </w:r>
      <w:r w:rsidRPr="00787196">
        <w:rPr>
          <w:rFonts w:cs="Arial"/>
          <w:bCs/>
          <w:szCs w:val="24"/>
        </w:rPr>
        <w:t xml:space="preserve">the revised version of Kuppuswamy’s socio-economic scale which is a widely used scale in India. This </w:t>
      </w:r>
      <w:r w:rsidR="00607EC3" w:rsidRPr="00787196">
        <w:rPr>
          <w:rFonts w:cs="Arial"/>
          <w:bCs/>
          <w:szCs w:val="24"/>
        </w:rPr>
        <w:t>ordinal scale</w:t>
      </w:r>
      <w:r w:rsidRPr="00787196">
        <w:rPr>
          <w:rFonts w:cs="Arial"/>
          <w:bCs/>
          <w:szCs w:val="24"/>
        </w:rPr>
        <w:t xml:space="preserve"> groups occupation</w:t>
      </w:r>
      <w:r w:rsidR="00607EC3" w:rsidRPr="00787196">
        <w:rPr>
          <w:rFonts w:cs="Arial"/>
          <w:bCs/>
          <w:szCs w:val="24"/>
        </w:rPr>
        <w:t>s</w:t>
      </w:r>
      <w:r w:rsidRPr="00787196">
        <w:rPr>
          <w:rFonts w:cs="Arial"/>
          <w:bCs/>
          <w:szCs w:val="24"/>
        </w:rPr>
        <w:t xml:space="preserve"> into </w:t>
      </w:r>
      <w:r w:rsidR="00607EC3" w:rsidRPr="00787196">
        <w:rPr>
          <w:rFonts w:cs="Arial"/>
          <w:bCs/>
          <w:szCs w:val="24"/>
        </w:rPr>
        <w:t>professional; s</w:t>
      </w:r>
      <w:r w:rsidRPr="00787196">
        <w:rPr>
          <w:rFonts w:cs="Arial"/>
          <w:bCs/>
          <w:szCs w:val="24"/>
        </w:rPr>
        <w:t xml:space="preserve">emi-professional; </w:t>
      </w:r>
      <w:r w:rsidR="00607EC3" w:rsidRPr="00787196">
        <w:rPr>
          <w:rFonts w:cs="Arial"/>
          <w:bCs/>
          <w:szCs w:val="24"/>
        </w:rPr>
        <w:t>c</w:t>
      </w:r>
      <w:r w:rsidRPr="00787196">
        <w:rPr>
          <w:rFonts w:cs="Arial"/>
          <w:bCs/>
          <w:szCs w:val="24"/>
        </w:rPr>
        <w:t xml:space="preserve">lerk, shop-owner, farmer; skilled worker; semi-skilled worker; unskilled worker; unemployed categories </w:t>
      </w:r>
      <w:r w:rsidR="007D6B7F" w:rsidRPr="00787196">
        <w:rPr>
          <w:rFonts w:cs="Arial"/>
          <w:bCs/>
          <w:szCs w:val="24"/>
        </w:rPr>
        <w:fldChar w:fldCharType="begin"/>
      </w:r>
      <w:r w:rsidR="00223957" w:rsidRPr="00787196">
        <w:rPr>
          <w:rFonts w:cs="Arial"/>
          <w:bCs/>
          <w:szCs w:val="24"/>
        </w:rPr>
        <w:instrText xml:space="preserve"> ADDIN EN.CITE &lt;EndNote&gt;&lt;Cite&gt;&lt;Author&gt;Mishra&lt;/Author&gt;&lt;Year&gt;2003&lt;/Year&gt;&lt;RecNum&gt;0&lt;/RecNum&gt;&lt;IDText&gt;Kuppuswamy’s socioeconomic status scale — A revision&lt;/IDText&gt;&lt;DisplayText&gt;(Mishra and Singh, 2003)&lt;/DisplayText&gt;&lt;record&gt;&lt;dates&gt;&lt;pub-dates&gt;&lt;date&gt;2003/03/01&lt;/date&gt;&lt;/pub-dates&gt;&lt;year&gt;2003&lt;/year&gt;&lt;/dates&gt;&lt;urls&gt;&lt;related-urls&gt;&lt;url&gt;http://dx.doi.org/10.1007/BF02725598&lt;/url&gt;&lt;/related-urls&gt;&lt;/urls&gt;&lt;isbn&gt;0019-5456&lt;/isbn&gt;&lt;titles&gt;&lt;title&gt;Kuppuswamy’s socioeconomic status scale — A revision&lt;/title&gt;&lt;secondary-title&gt;The Indian Journal of Pediatrics&lt;/secondary-title&gt;&lt;alt-title&gt;Indian J Pediatr&lt;/alt-title&gt;&lt;/titles&gt;&lt;pages&gt;273-274&lt;/pages&gt;&lt;number&gt;3&lt;/number&gt;&lt;contributors&gt;&lt;authors&gt;&lt;author&gt;Mishra, D.&lt;/author&gt;&lt;author&gt;Singh, H. P.&lt;/author&gt;&lt;/authors&gt;&lt;/contributors&gt;&lt;language&gt;English&lt;/language&gt;&lt;added-date format="utc"&gt;1370057735&lt;/added-date&gt;&lt;ref-type name="Journal Article"&gt;17&lt;/ref-type&gt;&lt;rec-number&gt;749&lt;/rec-number&gt;&lt;publisher&gt;Springer India&lt;/publisher&gt;&lt;last-updated-date format="utc"&gt;1385713712&lt;/last-updated-date&gt;&lt;electronic-resource-num&gt;10.1007/BF02725598&lt;/electronic-resource-num&gt;&lt;volume&gt;70&lt;/volume&gt;&lt;/record&gt;&lt;/Cite&gt;&lt;/EndNote&gt;</w:instrText>
      </w:r>
      <w:r w:rsidR="007D6B7F" w:rsidRPr="00787196">
        <w:rPr>
          <w:rFonts w:cs="Arial"/>
          <w:bCs/>
          <w:szCs w:val="24"/>
        </w:rPr>
        <w:fldChar w:fldCharType="separate"/>
      </w:r>
      <w:r w:rsidRPr="00787196">
        <w:rPr>
          <w:rFonts w:cs="Arial"/>
          <w:bCs/>
          <w:szCs w:val="24"/>
        </w:rPr>
        <w:t>(Mishra and Singh, 2003)</w:t>
      </w:r>
      <w:r w:rsidR="007D6B7F" w:rsidRPr="00787196">
        <w:rPr>
          <w:rFonts w:cs="Arial"/>
          <w:bCs/>
          <w:szCs w:val="24"/>
        </w:rPr>
        <w:fldChar w:fldCharType="end"/>
      </w:r>
      <w:r w:rsidRPr="00787196">
        <w:rPr>
          <w:rFonts w:cs="Arial"/>
          <w:bCs/>
          <w:szCs w:val="24"/>
        </w:rPr>
        <w:t xml:space="preserve">. Monthly income </w:t>
      </w:r>
      <w:r w:rsidR="00607EC3" w:rsidRPr="00787196">
        <w:rPr>
          <w:rFonts w:cs="Arial"/>
          <w:bCs/>
          <w:szCs w:val="24"/>
        </w:rPr>
        <w:t>was recorded using Kumar and colleagues (2012)</w:t>
      </w:r>
      <w:r w:rsidR="001277DF" w:rsidRPr="00787196">
        <w:rPr>
          <w:rFonts w:cs="Arial"/>
          <w:bCs/>
          <w:szCs w:val="24"/>
        </w:rPr>
        <w:t xml:space="preserve"> income ranges</w:t>
      </w:r>
    </w:p>
    <w:p w14:paraId="59155B9E" w14:textId="6C011567" w:rsidR="008A3CC3" w:rsidRPr="00787196" w:rsidRDefault="001277DF" w:rsidP="002178E5">
      <w:pPr>
        <w:rPr>
          <w:rFonts w:cs="Arial"/>
          <w:szCs w:val="24"/>
        </w:rPr>
        <w:sectPr w:rsidR="008A3CC3" w:rsidRPr="00787196" w:rsidSect="004D7A26">
          <w:type w:val="nextColumn"/>
          <w:pgSz w:w="11952" w:h="16848" w:code="9"/>
          <w:pgMar w:top="1134" w:right="1134" w:bottom="1134" w:left="2268" w:header="475" w:footer="533" w:gutter="0"/>
          <w:cols w:space="720"/>
          <w:noEndnote/>
          <w:titlePg/>
          <w:docGrid w:linePitch="360"/>
        </w:sectPr>
      </w:pPr>
      <w:r w:rsidRPr="00787196">
        <w:rPr>
          <w:rFonts w:cs="Arial"/>
          <w:bCs/>
          <w:szCs w:val="24"/>
        </w:rPr>
        <w:t>.</w:t>
      </w:r>
      <w:bookmarkEnd w:id="139"/>
      <w:bookmarkEnd w:id="140"/>
      <w:bookmarkEnd w:id="141"/>
      <w:r w:rsidR="00326566" w:rsidRPr="00787196">
        <w:rPr>
          <w:rFonts w:cs="Arial"/>
          <w:szCs w:val="24"/>
        </w:rPr>
        <w:t xml:space="preserve"> </w:t>
      </w:r>
      <w:r w:rsidR="008A3CC3" w:rsidRPr="00787196">
        <w:rPr>
          <w:rFonts w:cs="Arial"/>
          <w:szCs w:val="24"/>
        </w:rPr>
        <w:t xml:space="preserve"> </w:t>
      </w:r>
    </w:p>
    <w:p w14:paraId="2368B1D0" w14:textId="51B6CD66" w:rsidR="008A3CC3" w:rsidRPr="00787196" w:rsidRDefault="008A1F31" w:rsidP="00753D66">
      <w:pPr>
        <w:pStyle w:val="Caption"/>
        <w:jc w:val="center"/>
        <w:rPr>
          <w:rFonts w:cs="Arial"/>
          <w:b/>
          <w:bCs/>
          <w:i w:val="0"/>
          <w:iCs w:val="0"/>
          <w:color w:val="auto"/>
          <w:sz w:val="22"/>
          <w:szCs w:val="22"/>
        </w:rPr>
      </w:pPr>
      <w:bookmarkStart w:id="142" w:name="_Toc366260681"/>
      <w:bookmarkStart w:id="143" w:name="_Toc488655585"/>
      <w:bookmarkEnd w:id="142"/>
      <w:r w:rsidRPr="00787196">
        <w:rPr>
          <w:b/>
          <w:bCs/>
          <w:i w:val="0"/>
          <w:iCs w:val="0"/>
          <w:color w:val="auto"/>
          <w:sz w:val="22"/>
          <w:szCs w:val="22"/>
        </w:rPr>
        <w:lastRenderedPageBreak/>
        <w:t xml:space="preserve">Figure </w:t>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STYLEREF 1 \s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4</w:t>
      </w:r>
      <w:r w:rsidR="00786B0E" w:rsidRPr="00787196">
        <w:rPr>
          <w:b/>
          <w:bCs/>
          <w:i w:val="0"/>
          <w:iCs w:val="0"/>
          <w:color w:val="auto"/>
          <w:sz w:val="22"/>
          <w:szCs w:val="22"/>
        </w:rPr>
        <w:fldChar w:fldCharType="end"/>
      </w:r>
      <w:r w:rsidR="00786B0E" w:rsidRPr="00787196">
        <w:rPr>
          <w:b/>
          <w:bCs/>
          <w:i w:val="0"/>
          <w:iCs w:val="0"/>
          <w:color w:val="auto"/>
          <w:sz w:val="22"/>
          <w:szCs w:val="22"/>
        </w:rPr>
        <w:noBreakHyphen/>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SEQ Figure \* ARABIC \s 1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1</w:t>
      </w:r>
      <w:r w:rsidR="00786B0E" w:rsidRPr="00787196">
        <w:rPr>
          <w:b/>
          <w:bCs/>
          <w:i w:val="0"/>
          <w:iCs w:val="0"/>
          <w:color w:val="auto"/>
          <w:sz w:val="22"/>
          <w:szCs w:val="22"/>
        </w:rPr>
        <w:fldChar w:fldCharType="end"/>
      </w:r>
      <w:r w:rsidRPr="00787196">
        <w:rPr>
          <w:b/>
          <w:bCs/>
          <w:i w:val="0"/>
          <w:iCs w:val="0"/>
          <w:color w:val="auto"/>
          <w:sz w:val="22"/>
          <w:szCs w:val="22"/>
        </w:rPr>
        <w:t xml:space="preserve"> </w:t>
      </w:r>
      <w:r w:rsidR="008A3CC3" w:rsidRPr="00787196">
        <w:rPr>
          <w:rFonts w:cs="Arial"/>
          <w:b/>
          <w:bCs/>
          <w:i w:val="0"/>
          <w:iCs w:val="0"/>
          <w:color w:val="auto"/>
          <w:sz w:val="22"/>
          <w:szCs w:val="22"/>
        </w:rPr>
        <w:t>Study framework adapted from Wilson and Cleary (1995) and Lazarus and Folkman (1984)</w:t>
      </w:r>
      <w:bookmarkEnd w:id="143"/>
    </w:p>
    <w:p w14:paraId="027A443F" w14:textId="7A872DD9" w:rsidR="008A3CC3" w:rsidRPr="00787196" w:rsidRDefault="00F85064" w:rsidP="00985A3A">
      <w:pPr>
        <w:spacing w:before="0" w:after="0"/>
        <w:rPr>
          <w:rFonts w:cs="Arial"/>
        </w:rPr>
      </w:pPr>
      <w:r w:rsidRPr="00787196">
        <w:rPr>
          <w:rFonts w:eastAsia="Calibri" w:cs="Arial"/>
          <w:noProof/>
        </w:rPr>
        <mc:AlternateContent>
          <mc:Choice Requires="wpg">
            <w:drawing>
              <wp:anchor distT="0" distB="0" distL="114300" distR="114300" simplePos="0" relativeHeight="251596288" behindDoc="0" locked="0" layoutInCell="1" allowOverlap="1" wp14:anchorId="1C80A3AE" wp14:editId="65BA15ED">
                <wp:simplePos x="0" y="0"/>
                <wp:positionH relativeFrom="margin">
                  <wp:posOffset>611905</wp:posOffset>
                </wp:positionH>
                <wp:positionV relativeFrom="paragraph">
                  <wp:posOffset>43107</wp:posOffset>
                </wp:positionV>
                <wp:extent cx="8080744" cy="4561368"/>
                <wp:effectExtent l="0" t="0" r="0" b="0"/>
                <wp:wrapNone/>
                <wp:docPr id="1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0744" cy="4561368"/>
                          <a:chOff x="6621" y="16202"/>
                          <a:chExt cx="127177" cy="63366"/>
                        </a:xfrm>
                      </wpg:grpSpPr>
                      <wps:wsp>
                        <wps:cNvPr id="177" name="Straight Arrow Connector 39"/>
                        <wps:cNvCnPr>
                          <a:cxnSpLocks noChangeShapeType="1"/>
                        </wps:cNvCnPr>
                        <wps:spPr bwMode="auto">
                          <a:xfrm>
                            <a:off x="73051" y="25836"/>
                            <a:ext cx="38137" cy="13692"/>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s:wsp>
                        <wps:cNvPr id="178" name="Straight Arrow Connector 41"/>
                        <wps:cNvCnPr>
                          <a:cxnSpLocks noChangeShapeType="1"/>
                        </wps:cNvCnPr>
                        <wps:spPr bwMode="auto">
                          <a:xfrm flipV="1">
                            <a:off x="78700" y="61715"/>
                            <a:ext cx="34347" cy="12311"/>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s:wsp>
                        <wps:cNvPr id="180" name="Straight Arrow Connector 44"/>
                        <wps:cNvCnPr>
                          <a:cxnSpLocks noChangeShapeType="1"/>
                        </wps:cNvCnPr>
                        <wps:spPr bwMode="auto">
                          <a:xfrm flipV="1">
                            <a:off x="54282" y="59408"/>
                            <a:ext cx="12186" cy="9075"/>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s:wsp>
                        <wps:cNvPr id="181" name="Straight Arrow Connector 45"/>
                        <wps:cNvCnPr>
                          <a:cxnSpLocks noChangeShapeType="1"/>
                        </wps:cNvCnPr>
                        <wps:spPr bwMode="auto">
                          <a:xfrm>
                            <a:off x="55857" y="35469"/>
                            <a:ext cx="10611" cy="7506"/>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s:wsp>
                        <wps:cNvPr id="182" name="Straight Arrow Connector 47"/>
                        <wps:cNvCnPr>
                          <a:cxnSpLocks noChangeShapeType="1"/>
                        </wps:cNvCnPr>
                        <wps:spPr bwMode="auto">
                          <a:xfrm flipV="1">
                            <a:off x="37584" y="49383"/>
                            <a:ext cx="24882" cy="8"/>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s:wsp>
                        <wps:cNvPr id="183" name="Straight Arrow Connector 48"/>
                        <wps:cNvCnPr>
                          <a:cxnSpLocks noChangeShapeType="1"/>
                        </wps:cNvCnPr>
                        <wps:spPr bwMode="auto">
                          <a:xfrm>
                            <a:off x="88168" y="49393"/>
                            <a:ext cx="21626" cy="0"/>
                          </a:xfrm>
                          <a:prstGeom prst="straightConnector1">
                            <a:avLst/>
                          </a:prstGeom>
                          <a:noFill/>
                          <a:ln w="38100">
                            <a:solidFill>
                              <a:srgbClr val="000000"/>
                            </a:solidFill>
                            <a:round/>
                            <a:headEnd type="none" w="lg" len="med"/>
                            <a:tailEnd type="triangle" w="lg" len="lg"/>
                          </a:ln>
                          <a:extLst>
                            <a:ext uri="{909E8E84-426E-40DD-AFC4-6F175D3DCCD1}">
                              <a14:hiddenFill xmlns:a14="http://schemas.microsoft.com/office/drawing/2010/main">
                                <a:noFill/>
                              </a14:hiddenFill>
                            </a:ext>
                          </a:extLst>
                        </wps:spPr>
                        <wps:bodyPr/>
                      </wps:wsp>
                      <wpg:grpSp>
                        <wpg:cNvPr id="184" name="Group 49"/>
                        <wpg:cNvGrpSpPr>
                          <a:grpSpLocks/>
                        </wpg:cNvGrpSpPr>
                        <wpg:grpSpPr bwMode="auto">
                          <a:xfrm>
                            <a:off x="6621" y="16202"/>
                            <a:ext cx="127178" cy="63367"/>
                            <a:chOff x="5858" y="11178"/>
                            <a:chExt cx="37709" cy="14246"/>
                          </a:xfrm>
                        </wpg:grpSpPr>
                        <wps:wsp>
                          <wps:cNvPr id="185" name="Text Box 1885"/>
                          <wps:cNvSpPr txBox="1">
                            <a:spLocks noChangeArrowheads="1"/>
                          </wps:cNvSpPr>
                          <wps:spPr bwMode="auto">
                            <a:xfrm>
                              <a:off x="15359" y="11178"/>
                              <a:ext cx="10196" cy="4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3B64" w14:textId="77777777" w:rsidR="006E7D7A" w:rsidRPr="003F18C3" w:rsidRDefault="006E7D7A" w:rsidP="006233A4">
                                <w:pPr>
                                  <w:pStyle w:val="NormalWeb"/>
                                  <w:spacing w:before="0" w:beforeAutospacing="0" w:after="200" w:afterAutospacing="0"/>
                                  <w:jc w:val="center"/>
                                  <w:textAlignment w:val="baseline"/>
                                  <w:rPr>
                                    <w:color w:val="000000"/>
                                    <w:sz w:val="6"/>
                                    <w:szCs w:val="6"/>
                                  </w:rPr>
                                </w:pPr>
                                <w:r w:rsidRPr="003F18C3">
                                  <w:rPr>
                                    <w:rFonts w:ascii="TUOS Blake" w:eastAsia="Arial" w:hAnsi="TUOS Blake" w:cs="Cordia New"/>
                                    <w:b/>
                                    <w:bCs/>
                                    <w:color w:val="000000"/>
                                    <w:kern w:val="24"/>
                                  </w:rPr>
                                  <w:t>INDIVIDUAL CHARACTERISTICS</w:t>
                                </w:r>
                              </w:p>
                              <w:p w14:paraId="506A5041" w14:textId="77777777"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color w:val="000000"/>
                                    <w:kern w:val="24"/>
                                    <w:sz w:val="20"/>
                                    <w:szCs w:val="20"/>
                                  </w:rPr>
                                  <w:t xml:space="preserve">Age, Gender, Marital status, Subjective SES, Concern about oral health, ageing expectations, perceived stress </w:t>
                                </w:r>
                              </w:p>
                            </w:txbxContent>
                          </wps:txbx>
                          <wps:bodyPr rot="0" vert="horz" wrap="square" lIns="91440" tIns="45720" rIns="91440" bIns="45720" anchor="t" anchorCtr="0" upright="1">
                            <a:noAutofit/>
                          </wps:bodyPr>
                        </wps:wsp>
                        <wps:wsp>
                          <wps:cNvPr id="186" name="Text Box 1890"/>
                          <wps:cNvSpPr txBox="1">
                            <a:spLocks noChangeArrowheads="1"/>
                          </wps:cNvSpPr>
                          <wps:spPr bwMode="auto">
                            <a:xfrm>
                              <a:off x="5858" y="16423"/>
                              <a:ext cx="7796" cy="7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D275" w14:textId="77777777"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b/>
                                    <w:bCs/>
                                    <w:color w:val="000000"/>
                                    <w:kern w:val="24"/>
                                    <w:sz w:val="20"/>
                                    <w:szCs w:val="20"/>
                                  </w:rPr>
                                  <w:t>BIOLOGICAL &amp; CLINICAL VARIABLES</w:t>
                                </w:r>
                              </w:p>
                              <w:p w14:paraId="5CD98B73"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Prosthetic status &amp; Rx need</w:t>
                                </w:r>
                              </w:p>
                              <w:p w14:paraId="20C7966B"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 </w:t>
                                </w:r>
                              </w:p>
                              <w:p w14:paraId="23E23FF8"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Teeth present </w:t>
                                </w:r>
                              </w:p>
                              <w:p w14:paraId="39BCD04E"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Occluding pairs </w:t>
                                </w:r>
                              </w:p>
                              <w:p w14:paraId="1B90178E" w14:textId="77777777" w:rsidR="006E7D7A" w:rsidRDefault="006E7D7A" w:rsidP="006233A4">
                                <w:pPr>
                                  <w:pStyle w:val="NormalWeb"/>
                                  <w:spacing w:before="0" w:beforeAutospacing="0" w:after="0" w:afterAutospacing="0"/>
                                  <w:jc w:val="center"/>
                                  <w:textAlignment w:val="baseline"/>
                                  <w:rPr>
                                    <w:rFonts w:ascii="TUOS Blake" w:eastAsia="Arial" w:hAnsi="TUOS Blake" w:cs="Cordia New"/>
                                    <w:color w:val="000000"/>
                                    <w:kern w:val="24"/>
                                    <w:sz w:val="22"/>
                                    <w:szCs w:val="22"/>
                                  </w:rPr>
                                </w:pPr>
                                <w:r w:rsidRPr="003F18C3">
                                  <w:rPr>
                                    <w:rFonts w:ascii="TUOS Blake" w:eastAsia="Arial" w:hAnsi="TUOS Blake" w:cs="Cordia New"/>
                                    <w:color w:val="000000"/>
                                    <w:kern w:val="24"/>
                                    <w:sz w:val="22"/>
                                    <w:szCs w:val="22"/>
                                  </w:rPr>
                                  <w:t xml:space="preserve">Denture expertise </w:t>
                                </w:r>
                              </w:p>
                              <w:p w14:paraId="01E4668D" w14:textId="77777777" w:rsidR="006E7D7A" w:rsidRDefault="006E7D7A" w:rsidP="006233A4">
                                <w:pPr>
                                  <w:pStyle w:val="NormalWeb"/>
                                  <w:spacing w:before="0" w:beforeAutospacing="0" w:after="0" w:afterAutospacing="0"/>
                                  <w:jc w:val="center"/>
                                  <w:textAlignment w:val="baseline"/>
                                  <w:rPr>
                                    <w:rFonts w:ascii="TUOS Blake" w:eastAsia="Arial" w:hAnsi="TUOS Blake" w:cs="Cordia New"/>
                                    <w:color w:val="000000"/>
                                    <w:kern w:val="24"/>
                                    <w:sz w:val="22"/>
                                    <w:szCs w:val="22"/>
                                  </w:rPr>
                                </w:pPr>
                                <w:r>
                                  <w:rPr>
                                    <w:rFonts w:ascii="TUOS Blake" w:eastAsia="Arial" w:hAnsi="TUOS Blake" w:cs="Cordia New"/>
                                    <w:color w:val="000000"/>
                                    <w:kern w:val="24"/>
                                    <w:sz w:val="22"/>
                                    <w:szCs w:val="22"/>
                                  </w:rPr>
                                  <w:t>Time since tooth loss</w:t>
                                </w:r>
                              </w:p>
                              <w:p w14:paraId="323ED909" w14:textId="77777777" w:rsidR="006E7D7A" w:rsidRPr="003F18C3" w:rsidRDefault="006E7D7A" w:rsidP="006233A4">
                                <w:pPr>
                                  <w:pStyle w:val="NormalWeb"/>
                                  <w:spacing w:before="0" w:beforeAutospacing="0" w:after="0" w:afterAutospacing="0"/>
                                  <w:jc w:val="center"/>
                                  <w:textAlignment w:val="baseline"/>
                                  <w:rPr>
                                    <w:color w:val="000000"/>
                                    <w:sz w:val="4"/>
                                    <w:szCs w:val="4"/>
                                  </w:rPr>
                                </w:pPr>
                              </w:p>
                            </w:txbxContent>
                          </wps:txbx>
                          <wps:bodyPr rot="0" vert="horz" wrap="square" lIns="91440" tIns="45720" rIns="91440" bIns="45720" anchor="t" anchorCtr="0" upright="1">
                            <a:noAutofit/>
                          </wps:bodyPr>
                        </wps:wsp>
                        <wps:wsp>
                          <wps:cNvPr id="190" name="Text Box 1892"/>
                          <wps:cNvSpPr txBox="1">
                            <a:spLocks noChangeArrowheads="1"/>
                          </wps:cNvSpPr>
                          <wps:spPr bwMode="auto">
                            <a:xfrm>
                              <a:off x="22600" y="16548"/>
                              <a:ext cx="6980"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6D86" w14:textId="77777777" w:rsidR="006E7D7A" w:rsidRPr="003F18C3" w:rsidRDefault="006E7D7A" w:rsidP="006233A4">
                                <w:pPr>
                                  <w:pStyle w:val="NormalWeb"/>
                                  <w:spacing w:before="0" w:beforeAutospacing="0" w:after="0" w:afterAutospacing="0"/>
                                  <w:jc w:val="center"/>
                                  <w:textAlignment w:val="baseline"/>
                                  <w:rPr>
                                    <w:rFonts w:ascii="TUOS Blake" w:eastAsia="Arial" w:hAnsi="TUOS Blake" w:cs="Cordia New"/>
                                    <w:b/>
                                    <w:bCs/>
                                    <w:color w:val="000000"/>
                                    <w:kern w:val="24"/>
                                    <w:sz w:val="32"/>
                                    <w:szCs w:val="32"/>
                                  </w:rPr>
                                </w:pPr>
                              </w:p>
                              <w:p w14:paraId="0A0A8F3D"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eastAsia="Arial" w:hAnsi="TUOS Blake" w:cs="Cordia New"/>
                                    <w:b/>
                                    <w:bCs/>
                                    <w:color w:val="000000"/>
                                    <w:kern w:val="24"/>
                                    <w:sz w:val="32"/>
                                    <w:szCs w:val="32"/>
                                  </w:rPr>
                                  <w:t>COPING</w:t>
                                </w:r>
                              </w:p>
                              <w:p w14:paraId="5225DDAB"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eastAsia="Arial" w:hAnsi="TUOS Blake" w:cs="Cordia New"/>
                                    <w:color w:val="000000"/>
                                    <w:kern w:val="24"/>
                                    <w:sz w:val="28"/>
                                    <w:szCs w:val="28"/>
                                  </w:rPr>
                                  <w:t>Coping strategies</w:t>
                                </w:r>
                              </w:p>
                            </w:txbxContent>
                          </wps:txbx>
                          <wps:bodyPr rot="0" vert="horz" wrap="square" lIns="91440" tIns="45720" rIns="91440" bIns="45720" anchor="t" anchorCtr="0" upright="1">
                            <a:noAutofit/>
                          </wps:bodyPr>
                        </wps:wsp>
                        <wps:wsp>
                          <wps:cNvPr id="191" name="Text Box 1892"/>
                          <wps:cNvSpPr txBox="1">
                            <a:spLocks noChangeArrowheads="1"/>
                          </wps:cNvSpPr>
                          <wps:spPr bwMode="auto">
                            <a:xfrm>
                              <a:off x="36862" y="17566"/>
                              <a:ext cx="6705"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0E16"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hAnsi="TUOS Blake" w:cs="Cordia New"/>
                                    <w:b/>
                                    <w:bCs/>
                                    <w:color w:val="000000"/>
                                    <w:kern w:val="24"/>
                                    <w:sz w:val="28"/>
                                    <w:szCs w:val="28"/>
                                  </w:rPr>
                                  <w:t>OUTCOMES</w:t>
                                </w:r>
                              </w:p>
                              <w:p w14:paraId="654A1C49" w14:textId="77777777" w:rsidR="006E7D7A" w:rsidRPr="003F18C3" w:rsidRDefault="006E7D7A" w:rsidP="006233A4">
                                <w:pPr>
                                  <w:pStyle w:val="NormalWeb"/>
                                  <w:spacing w:before="0" w:beforeAutospacing="0" w:after="0" w:afterAutospacing="0"/>
                                  <w:jc w:val="center"/>
                                  <w:textAlignment w:val="baseline"/>
                                  <w:rPr>
                                    <w:rFonts w:ascii="TUOS Blake" w:hAnsi="TUOS Blake" w:cs="Cordia New"/>
                                    <w:color w:val="000000"/>
                                    <w:kern w:val="24"/>
                                  </w:rPr>
                                </w:pPr>
                                <w:r w:rsidRPr="003F18C3">
                                  <w:rPr>
                                    <w:rFonts w:ascii="TUOS Blake" w:hAnsi="TUOS Blake" w:cs="Cordia New"/>
                                    <w:color w:val="000000"/>
                                    <w:kern w:val="24"/>
                                  </w:rPr>
                                  <w:t>OHQoL</w:t>
                                </w:r>
                              </w:p>
                              <w:p w14:paraId="672C027F" w14:textId="77777777" w:rsidR="006E7D7A" w:rsidRPr="003F18C3" w:rsidRDefault="006E7D7A" w:rsidP="006233A4">
                                <w:pPr>
                                  <w:pStyle w:val="NormalWeb"/>
                                  <w:spacing w:before="0" w:beforeAutospacing="0" w:after="0" w:afterAutospacing="0"/>
                                  <w:jc w:val="center"/>
                                  <w:textAlignment w:val="baseline"/>
                                  <w:rPr>
                                    <w:color w:val="000000"/>
                                    <w:sz w:val="6"/>
                                    <w:szCs w:val="6"/>
                                  </w:rPr>
                                </w:pPr>
                                <w:r w:rsidRPr="003F18C3">
                                  <w:rPr>
                                    <w:rFonts w:ascii="TUOS Blake" w:hAnsi="TUOS Blake" w:cs="Angsana New"/>
                                    <w:color w:val="000000"/>
                                    <w:kern w:val="24"/>
                                  </w:rPr>
                                  <w:t>Denture satisfaction</w:t>
                                </w:r>
                              </w:p>
                              <w:p w14:paraId="1E68A425" w14:textId="77777777" w:rsidR="006E7D7A" w:rsidRPr="003F18C3" w:rsidRDefault="006E7D7A" w:rsidP="006233A4">
                                <w:pPr>
                                  <w:pStyle w:val="NormalWeb"/>
                                  <w:spacing w:before="0" w:beforeAutospacing="0" w:after="0" w:afterAutospacing="0"/>
                                  <w:jc w:val="center"/>
                                  <w:textAlignment w:val="baseline"/>
                                  <w:rPr>
                                    <w:color w:val="000000"/>
                                    <w:sz w:val="6"/>
                                    <w:szCs w:val="6"/>
                                  </w:rPr>
                                </w:pPr>
                                <w:r w:rsidRPr="003F18C3">
                                  <w:rPr>
                                    <w:rFonts w:ascii="TUOS Blake" w:hAnsi="TUOS Blake" w:cs="Angsana New"/>
                                    <w:color w:val="000000"/>
                                    <w:kern w:val="24"/>
                                  </w:rPr>
                                  <w:t>Chewing scales</w:t>
                                </w:r>
                              </w:p>
                            </w:txbxContent>
                          </wps:txbx>
                          <wps:bodyPr rot="0" vert="horz" wrap="square" lIns="91440" tIns="45720" rIns="91440" bIns="45720" anchor="t" anchorCtr="0" upright="1">
                            <a:noAutofit/>
                          </wps:bodyPr>
                        </wps:wsp>
                        <wps:wsp>
                          <wps:cNvPr id="69" name="Text Box 1897"/>
                          <wps:cNvSpPr txBox="1">
                            <a:spLocks noChangeArrowheads="1"/>
                          </wps:cNvSpPr>
                          <wps:spPr bwMode="auto">
                            <a:xfrm>
                              <a:off x="12750" y="22931"/>
                              <a:ext cx="14480" cy="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AC3F" w14:textId="77777777" w:rsidR="006E7D7A" w:rsidRPr="003F18C3" w:rsidRDefault="006E7D7A" w:rsidP="006233A4">
                                <w:pPr>
                                  <w:pStyle w:val="NormalWeb"/>
                                  <w:spacing w:before="0" w:beforeAutospacing="0" w:after="200" w:afterAutospacing="0"/>
                                  <w:jc w:val="center"/>
                                  <w:textAlignment w:val="baseline"/>
                                  <w:rPr>
                                    <w:rFonts w:ascii="TUOS Blake" w:eastAsia="Arial" w:hAnsi="TUOS Blake" w:cs="Cordia New"/>
                                    <w:b/>
                                    <w:bCs/>
                                    <w:color w:val="000000"/>
                                    <w:kern w:val="24"/>
                                  </w:rPr>
                                </w:pPr>
                                <w:r w:rsidRPr="003F18C3">
                                  <w:rPr>
                                    <w:rFonts w:ascii="TUOS Blake" w:eastAsia="Arial" w:hAnsi="TUOS Blake" w:cs="Cordia New"/>
                                    <w:b/>
                                    <w:bCs/>
                                    <w:color w:val="000000"/>
                                    <w:kern w:val="24"/>
                                  </w:rPr>
                                  <w:t>ENVIRONMENTAL CHARACTERISTICS</w:t>
                                </w:r>
                              </w:p>
                              <w:p w14:paraId="569FBD95" w14:textId="65C98C08"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color w:val="000000"/>
                                    <w:kern w:val="24"/>
                                    <w:sz w:val="20"/>
                                    <w:szCs w:val="20"/>
                                  </w:rPr>
                                  <w:t xml:space="preserve">Education, Income, Occupation, Religion, Caste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C80A3AE" id="Group 34" o:spid="_x0000_s1131" style="position:absolute;left:0;text-align:left;margin-left:48.2pt;margin-top:3.4pt;width:636.3pt;height:359.15pt;z-index:251596288;mso-position-horizontal-relative:margin;mso-position-vertical-relative:text;mso-width-relative:margin;mso-height-relative:margin" coordorigin="6621,16202" coordsize="127177,6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">
                <v:shape id="Straight Arrow Connector 39" o:spid="_x0000_s1132" type="#_x0000_t32" style="position:absolute;left:73051;top:25836;width:38137;height:13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5XsMAAADcAAAADwAAAGRycy9kb3ducmV2LnhtbERPTWsCMRC9C/6HMEIvpWbrQevWKFoU&#10;hArSrXgekunu4mayJKmu/vpGKHibx/uc2aKzjTiTD7VjBa/DDASxdqbmUsHhe/PyBiJEZIONY1Jw&#10;pQCLeb83w9y4C3/RuYilSCEcclRQxdjmUgZdkcUwdC1x4n6ctxgT9KU0Hi8p3DZylGVjabHm1FBh&#10;Sx8V6VPxaxXsT3o6LnZ+fVs/Z6vPcD1u9XSk1NOgW76DiNTFh/jfvTVp/mQC92fS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eV7DAAAA3AAAAA8AAAAAAAAAAAAA&#10;AAAAoQIAAGRycy9kb3ducmV2LnhtbFBLBQYAAAAABAAEAPkAAACRAwAAAAA=&#10;" strokeweight="3pt">
                  <v:stroke startarrowwidth="wide" endarrow="block" endarrowwidth="wide" endarrowlength="long"/>
                </v:shape>
                <v:shape id="Straight Arrow Connector 41" o:spid="_x0000_s1133" type="#_x0000_t32" style="position:absolute;left:78700;top:61715;width:34347;height:123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3PMYAAADcAAAADwAAAGRycy9kb3ducmV2LnhtbESPQWvCQBCF7wX/wzKCt7oxB1uiq4gi&#10;erAF0yJ4G7JjEs3Ohuyq6b/vHAq9zfDevPfNfNm7Rj2oC7VnA5NxAoq48Lbm0sD31/b1HVSIyBYb&#10;z2TghwIsF4OXOWbWP/lIjzyWSkI4ZGigirHNtA5FRQ7D2LfEol185zDK2pXadviUcNfoNEmm2mHN&#10;0lBhS+uKilt+dwbS3efH/rjeJOnlrJu8TK+nw2FjzGjYr2agIvXx3/x3vbeC/ya08ox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8dzzGAAAA3AAAAA8AAAAAAAAA&#10;AAAAAAAAoQIAAGRycy9kb3ducmV2LnhtbFBLBQYAAAAABAAEAPkAAACUAwAAAAA=&#10;" strokeweight="3pt">
                  <v:stroke startarrowwidth="wide" endarrow="block" endarrowwidth="wide" endarrowlength="long"/>
                </v:shape>
                <v:shape id="Straight Arrow Connector 44" o:spid="_x0000_s1134" type="#_x0000_t32" style="position:absolute;left:54282;top:59408;width:12186;height:9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8LHcUAAADcAAAADwAAAGRycy9kb3ducmV2LnhtbESPQWvCQBCF7wX/wzKCt7oxB5HoKqJI&#10;PdiCaRG8DdkxiWZnQ3ar6b/vHARvM7w3732zWPWuUXfqQu3ZwGScgCIuvK25NPDzvXufgQoR2WLj&#10;mQz8UYDVcvC2wMz6Bx/pnsdSSQiHDA1UMbaZ1qGoyGEY+5ZYtIvvHEZZu1LbDh8S7hqdJslUO6xZ&#10;GipsaVNRcct/nYH04+tzf9xsk/Ry1k1eptfT4bA1ZjTs13NQkfr4Mj+v91bwZ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8LHcUAAADcAAAADwAAAAAAAAAA&#10;AAAAAAChAgAAZHJzL2Rvd25yZXYueG1sUEsFBgAAAAAEAAQA+QAAAJMDAAAAAA==&#10;" strokeweight="3pt">
                  <v:stroke startarrowwidth="wide" endarrow="block" endarrowwidth="wide" endarrowlength="long"/>
                </v:shape>
                <v:shape id="Straight Arrow Connector 45" o:spid="_x0000_s1135" type="#_x0000_t32" style="position:absolute;left:55857;top:35469;width:10611;height:7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I0lsMAAADcAAAADwAAAGRycy9kb3ducmV2LnhtbERPTWsCMRC9C/6HMEIvolk9iG6NUkVB&#10;sFC6lZ6HZLq7uJksSdS1v94UCt7m8T5nue5sI67kQ+1YwWScgSDWztRcKjh97UdzECEiG2wck4I7&#10;BViv+r0l5sbd+JOuRSxFCuGQo4IqxjaXMuiKLIaxa4kT9+O8xZigL6XxeEvhtpHTLJtJizWnhgpb&#10;2lakz8XFKvg468WsePe7390w2xzD/fugF1OlXgbd2yuISF18iv/dB5Pmzyfw90y6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JbDAAAA3AAAAA8AAAAAAAAAAAAA&#10;AAAAoQIAAGRycy9kb3ducmV2LnhtbFBLBQYAAAAABAAEAPkAAACRAwAAAAA=&#10;" strokeweight="3pt">
                  <v:stroke startarrowwidth="wide" endarrow="block" endarrowwidth="wide" endarrowlength="long"/>
                </v:shape>
                <v:shape id="Straight Arrow Connector 47" o:spid="_x0000_s1136" type="#_x0000_t32" style="position:absolute;left:37584;top:49383;width:2488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w8cQAAADcAAAADwAAAGRycy9kb3ducmV2LnhtbERPTWvCQBC9F/oflin0VjfuoYTUVYpB&#10;zMEWjEXwNmTHJDU7G7JbE/+9Wyj0No/3OYvVZDtxpcG3jjXMZwkI4sqZlmsNX4fNSwrCB2SDnWPS&#10;cCMPq+XjwwIz40be07UMtYgh7DPU0ITQZ1L6qiGLfuZ64sid3WAxRDjU0gw4xnDbSZUkr9Jiy7Gh&#10;wZ7WDVWX8sdqUNvPj2K/zhN1PsmurNX3cbfLtX5+mt7fQASawr/4z12YOD9V8PtMv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DxxAAAANwAAAAPAAAAAAAAAAAA&#10;AAAAAKECAABkcnMvZG93bnJldi54bWxQSwUGAAAAAAQABAD5AAAAkgMAAAAA&#10;" strokeweight="3pt">
                  <v:stroke startarrowwidth="wide" endarrow="block" endarrowwidth="wide" endarrowlength="long"/>
                </v:shape>
                <v:shape id="Straight Arrow Connector 48" o:spid="_x0000_s1137" type="#_x0000_t32" style="position:absolute;left:88168;top:49393;width:216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PesMAAADcAAAADwAAAGRycy9kb3ducmV2LnhtbERPTWsCMRC9F/wPYQpepGarILo1ihUF&#10;wYJ0W3oekunu4mayJFFXf70pCL3N433OfNnZRpzJh9qxgtdhBoJYO1NzqeD7a/syBREissHGMSm4&#10;UoDlovc0x9y4C3/SuYilSCEcclRQxdjmUgZdkcUwdC1x4n6dtxgT9KU0Hi8p3DZylGUTabHm1FBh&#10;S+uK9LE4WQWHo55Nig+/uW0G2fs+XH92ejZSqv/crd5AROriv/jh3pk0fzqGv2fS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D3rDAAAA3AAAAA8AAAAAAAAAAAAA&#10;AAAAoQIAAGRycy9kb3ducmV2LnhtbFBLBQYAAAAABAAEAPkAAACRAwAAAAA=&#10;" strokeweight="3pt">
                  <v:stroke startarrowwidth="wide" endarrow="block" endarrowwidth="wide" endarrowlength="long"/>
                </v:shape>
                <v:group id="Group 49" o:spid="_x0000_s1138" style="position:absolute;left:6621;top:16202;width:127178;height:63367" coordorigin="5858,11178" coordsize="37709,1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_x0000_s1139" type="#_x0000_t202" style="position:absolute;left:15359;top:11178;width:10196;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48E33B64" w14:textId="77777777" w:rsidR="006E7D7A" w:rsidRPr="003F18C3" w:rsidRDefault="006E7D7A" w:rsidP="006233A4">
                          <w:pPr>
                            <w:pStyle w:val="NormalWeb"/>
                            <w:spacing w:before="0" w:beforeAutospacing="0" w:after="200" w:afterAutospacing="0"/>
                            <w:jc w:val="center"/>
                            <w:textAlignment w:val="baseline"/>
                            <w:rPr>
                              <w:color w:val="000000"/>
                              <w:sz w:val="6"/>
                              <w:szCs w:val="6"/>
                            </w:rPr>
                          </w:pPr>
                          <w:r w:rsidRPr="003F18C3">
                            <w:rPr>
                              <w:rFonts w:ascii="TUOS Blake" w:eastAsia="Arial" w:hAnsi="TUOS Blake" w:cs="Cordia New"/>
                              <w:b/>
                              <w:bCs/>
                              <w:color w:val="000000"/>
                              <w:kern w:val="24"/>
                            </w:rPr>
                            <w:t>INDIVIDUAL CHARACTERISTICS</w:t>
                          </w:r>
                        </w:p>
                        <w:p w14:paraId="506A5041" w14:textId="77777777"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color w:val="000000"/>
                              <w:kern w:val="24"/>
                              <w:sz w:val="20"/>
                              <w:szCs w:val="20"/>
                            </w:rPr>
                            <w:t xml:space="preserve">Age, Gender, Marital status, Subjective SES, Concern about oral health, ageing expectations, perceived stress </w:t>
                          </w:r>
                        </w:p>
                      </w:txbxContent>
                    </v:textbox>
                  </v:shape>
                  <v:shape id="_x0000_s1140" type="#_x0000_t202" style="position:absolute;left:5858;top:16423;width:7796;height:7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211FD275" w14:textId="77777777"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b/>
                              <w:bCs/>
                              <w:color w:val="000000"/>
                              <w:kern w:val="24"/>
                              <w:sz w:val="20"/>
                              <w:szCs w:val="20"/>
                            </w:rPr>
                            <w:t>BIOLOGICAL &amp; CLINICAL VARIABLES</w:t>
                          </w:r>
                        </w:p>
                        <w:p w14:paraId="5CD98B73"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Prosthetic status &amp; Rx need</w:t>
                          </w:r>
                        </w:p>
                        <w:p w14:paraId="20C7966B"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 </w:t>
                          </w:r>
                        </w:p>
                        <w:p w14:paraId="23E23FF8"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Teeth present </w:t>
                          </w:r>
                        </w:p>
                        <w:p w14:paraId="39BCD04E" w14:textId="77777777" w:rsidR="006E7D7A" w:rsidRPr="003F18C3" w:rsidRDefault="006E7D7A" w:rsidP="006233A4">
                          <w:pPr>
                            <w:pStyle w:val="NormalWeb"/>
                            <w:spacing w:before="0" w:beforeAutospacing="0" w:after="0" w:afterAutospacing="0"/>
                            <w:jc w:val="center"/>
                            <w:textAlignment w:val="baseline"/>
                            <w:rPr>
                              <w:color w:val="000000"/>
                              <w:sz w:val="4"/>
                              <w:szCs w:val="4"/>
                            </w:rPr>
                          </w:pPr>
                          <w:r w:rsidRPr="003F18C3">
                            <w:rPr>
                              <w:rFonts w:ascii="TUOS Blake" w:eastAsia="Arial" w:hAnsi="TUOS Blake" w:cs="Cordia New"/>
                              <w:color w:val="000000"/>
                              <w:kern w:val="24"/>
                              <w:sz w:val="22"/>
                              <w:szCs w:val="22"/>
                            </w:rPr>
                            <w:t xml:space="preserve">Occluding pairs </w:t>
                          </w:r>
                        </w:p>
                        <w:p w14:paraId="1B90178E" w14:textId="77777777" w:rsidR="006E7D7A" w:rsidRDefault="006E7D7A" w:rsidP="006233A4">
                          <w:pPr>
                            <w:pStyle w:val="NormalWeb"/>
                            <w:spacing w:before="0" w:beforeAutospacing="0" w:after="0" w:afterAutospacing="0"/>
                            <w:jc w:val="center"/>
                            <w:textAlignment w:val="baseline"/>
                            <w:rPr>
                              <w:rFonts w:ascii="TUOS Blake" w:eastAsia="Arial" w:hAnsi="TUOS Blake" w:cs="Cordia New"/>
                              <w:color w:val="000000"/>
                              <w:kern w:val="24"/>
                              <w:sz w:val="22"/>
                              <w:szCs w:val="22"/>
                            </w:rPr>
                          </w:pPr>
                          <w:r w:rsidRPr="003F18C3">
                            <w:rPr>
                              <w:rFonts w:ascii="TUOS Blake" w:eastAsia="Arial" w:hAnsi="TUOS Blake" w:cs="Cordia New"/>
                              <w:color w:val="000000"/>
                              <w:kern w:val="24"/>
                              <w:sz w:val="22"/>
                              <w:szCs w:val="22"/>
                            </w:rPr>
                            <w:t xml:space="preserve">Denture expertise </w:t>
                          </w:r>
                        </w:p>
                        <w:p w14:paraId="01E4668D" w14:textId="77777777" w:rsidR="006E7D7A" w:rsidRDefault="006E7D7A" w:rsidP="006233A4">
                          <w:pPr>
                            <w:pStyle w:val="NormalWeb"/>
                            <w:spacing w:before="0" w:beforeAutospacing="0" w:after="0" w:afterAutospacing="0"/>
                            <w:jc w:val="center"/>
                            <w:textAlignment w:val="baseline"/>
                            <w:rPr>
                              <w:rFonts w:ascii="TUOS Blake" w:eastAsia="Arial" w:hAnsi="TUOS Blake" w:cs="Cordia New"/>
                              <w:color w:val="000000"/>
                              <w:kern w:val="24"/>
                              <w:sz w:val="22"/>
                              <w:szCs w:val="22"/>
                            </w:rPr>
                          </w:pPr>
                          <w:r>
                            <w:rPr>
                              <w:rFonts w:ascii="TUOS Blake" w:eastAsia="Arial" w:hAnsi="TUOS Blake" w:cs="Cordia New"/>
                              <w:color w:val="000000"/>
                              <w:kern w:val="24"/>
                              <w:sz w:val="22"/>
                              <w:szCs w:val="22"/>
                            </w:rPr>
                            <w:t>Time since tooth loss</w:t>
                          </w:r>
                        </w:p>
                        <w:p w14:paraId="323ED909" w14:textId="77777777" w:rsidR="006E7D7A" w:rsidRPr="003F18C3" w:rsidRDefault="006E7D7A" w:rsidP="006233A4">
                          <w:pPr>
                            <w:pStyle w:val="NormalWeb"/>
                            <w:spacing w:before="0" w:beforeAutospacing="0" w:after="0" w:afterAutospacing="0"/>
                            <w:jc w:val="center"/>
                            <w:textAlignment w:val="baseline"/>
                            <w:rPr>
                              <w:color w:val="000000"/>
                              <w:sz w:val="4"/>
                              <w:szCs w:val="4"/>
                            </w:rPr>
                          </w:pPr>
                        </w:p>
                      </w:txbxContent>
                    </v:textbox>
                  </v:shape>
                  <v:shape id="_x0000_s1141" type="#_x0000_t202" style="position:absolute;left:22600;top:16548;width:6980;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47A46D86" w14:textId="77777777" w:rsidR="006E7D7A" w:rsidRPr="003F18C3" w:rsidRDefault="006E7D7A" w:rsidP="006233A4">
                          <w:pPr>
                            <w:pStyle w:val="NormalWeb"/>
                            <w:spacing w:before="0" w:beforeAutospacing="0" w:after="0" w:afterAutospacing="0"/>
                            <w:jc w:val="center"/>
                            <w:textAlignment w:val="baseline"/>
                            <w:rPr>
                              <w:rFonts w:ascii="TUOS Blake" w:eastAsia="Arial" w:hAnsi="TUOS Blake" w:cs="Cordia New"/>
                              <w:b/>
                              <w:bCs/>
                              <w:color w:val="000000"/>
                              <w:kern w:val="24"/>
                              <w:sz w:val="32"/>
                              <w:szCs w:val="32"/>
                            </w:rPr>
                          </w:pPr>
                        </w:p>
                        <w:p w14:paraId="0A0A8F3D"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eastAsia="Arial" w:hAnsi="TUOS Blake" w:cs="Cordia New"/>
                              <w:b/>
                              <w:bCs/>
                              <w:color w:val="000000"/>
                              <w:kern w:val="24"/>
                              <w:sz w:val="32"/>
                              <w:szCs w:val="32"/>
                            </w:rPr>
                            <w:t>COPING</w:t>
                          </w:r>
                        </w:p>
                        <w:p w14:paraId="5225DDAB"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eastAsia="Arial" w:hAnsi="TUOS Blake" w:cs="Cordia New"/>
                              <w:color w:val="000000"/>
                              <w:kern w:val="24"/>
                              <w:sz w:val="28"/>
                              <w:szCs w:val="28"/>
                            </w:rPr>
                            <w:t>Coping strategies</w:t>
                          </w:r>
                        </w:p>
                      </w:txbxContent>
                    </v:textbox>
                  </v:shape>
                  <v:shape id="_x0000_s1142" type="#_x0000_t202" style="position:absolute;left:36862;top:17566;width:6705;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04950E16" w14:textId="77777777" w:rsidR="006E7D7A" w:rsidRPr="003F18C3" w:rsidRDefault="006E7D7A" w:rsidP="006233A4">
                          <w:pPr>
                            <w:pStyle w:val="NormalWeb"/>
                            <w:spacing w:before="0" w:beforeAutospacing="0" w:after="0" w:afterAutospacing="0"/>
                            <w:jc w:val="center"/>
                            <w:textAlignment w:val="baseline"/>
                            <w:rPr>
                              <w:color w:val="000000"/>
                              <w:sz w:val="8"/>
                              <w:szCs w:val="8"/>
                            </w:rPr>
                          </w:pPr>
                          <w:r w:rsidRPr="003F18C3">
                            <w:rPr>
                              <w:rFonts w:ascii="TUOS Blake" w:hAnsi="TUOS Blake" w:cs="Cordia New"/>
                              <w:b/>
                              <w:bCs/>
                              <w:color w:val="000000"/>
                              <w:kern w:val="24"/>
                              <w:sz w:val="28"/>
                              <w:szCs w:val="28"/>
                            </w:rPr>
                            <w:t>OUTCOMES</w:t>
                          </w:r>
                        </w:p>
                        <w:p w14:paraId="654A1C49" w14:textId="77777777" w:rsidR="006E7D7A" w:rsidRPr="003F18C3" w:rsidRDefault="006E7D7A" w:rsidP="006233A4">
                          <w:pPr>
                            <w:pStyle w:val="NormalWeb"/>
                            <w:spacing w:before="0" w:beforeAutospacing="0" w:after="0" w:afterAutospacing="0"/>
                            <w:jc w:val="center"/>
                            <w:textAlignment w:val="baseline"/>
                            <w:rPr>
                              <w:rFonts w:ascii="TUOS Blake" w:hAnsi="TUOS Blake" w:cs="Cordia New"/>
                              <w:color w:val="000000"/>
                              <w:kern w:val="24"/>
                            </w:rPr>
                          </w:pPr>
                          <w:r w:rsidRPr="003F18C3">
                            <w:rPr>
                              <w:rFonts w:ascii="TUOS Blake" w:hAnsi="TUOS Blake" w:cs="Cordia New"/>
                              <w:color w:val="000000"/>
                              <w:kern w:val="24"/>
                            </w:rPr>
                            <w:t>OHQoL</w:t>
                          </w:r>
                        </w:p>
                        <w:p w14:paraId="672C027F" w14:textId="77777777" w:rsidR="006E7D7A" w:rsidRPr="003F18C3" w:rsidRDefault="006E7D7A" w:rsidP="006233A4">
                          <w:pPr>
                            <w:pStyle w:val="NormalWeb"/>
                            <w:spacing w:before="0" w:beforeAutospacing="0" w:after="0" w:afterAutospacing="0"/>
                            <w:jc w:val="center"/>
                            <w:textAlignment w:val="baseline"/>
                            <w:rPr>
                              <w:color w:val="000000"/>
                              <w:sz w:val="6"/>
                              <w:szCs w:val="6"/>
                            </w:rPr>
                          </w:pPr>
                          <w:r w:rsidRPr="003F18C3">
                            <w:rPr>
                              <w:rFonts w:ascii="TUOS Blake" w:hAnsi="TUOS Blake" w:cs="Angsana New"/>
                              <w:color w:val="000000"/>
                              <w:kern w:val="24"/>
                            </w:rPr>
                            <w:t>Denture satisfaction</w:t>
                          </w:r>
                        </w:p>
                        <w:p w14:paraId="1E68A425" w14:textId="77777777" w:rsidR="006E7D7A" w:rsidRPr="003F18C3" w:rsidRDefault="006E7D7A" w:rsidP="006233A4">
                          <w:pPr>
                            <w:pStyle w:val="NormalWeb"/>
                            <w:spacing w:before="0" w:beforeAutospacing="0" w:after="0" w:afterAutospacing="0"/>
                            <w:jc w:val="center"/>
                            <w:textAlignment w:val="baseline"/>
                            <w:rPr>
                              <w:color w:val="000000"/>
                              <w:sz w:val="6"/>
                              <w:szCs w:val="6"/>
                            </w:rPr>
                          </w:pPr>
                          <w:r w:rsidRPr="003F18C3">
                            <w:rPr>
                              <w:rFonts w:ascii="TUOS Blake" w:hAnsi="TUOS Blake" w:cs="Angsana New"/>
                              <w:color w:val="000000"/>
                              <w:kern w:val="24"/>
                            </w:rPr>
                            <w:t>Chewing scales</w:t>
                          </w:r>
                        </w:p>
                      </w:txbxContent>
                    </v:textbox>
                  </v:shape>
                  <v:shape id="_x0000_s1143" type="#_x0000_t202" style="position:absolute;left:12750;top:22931;width:14480;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269FAC3F" w14:textId="77777777" w:rsidR="006E7D7A" w:rsidRPr="003F18C3" w:rsidRDefault="006E7D7A" w:rsidP="006233A4">
                          <w:pPr>
                            <w:pStyle w:val="NormalWeb"/>
                            <w:spacing w:before="0" w:beforeAutospacing="0" w:after="200" w:afterAutospacing="0"/>
                            <w:jc w:val="center"/>
                            <w:textAlignment w:val="baseline"/>
                            <w:rPr>
                              <w:rFonts w:ascii="TUOS Blake" w:eastAsia="Arial" w:hAnsi="TUOS Blake" w:cs="Cordia New"/>
                              <w:b/>
                              <w:bCs/>
                              <w:color w:val="000000"/>
                              <w:kern w:val="24"/>
                            </w:rPr>
                          </w:pPr>
                          <w:r w:rsidRPr="003F18C3">
                            <w:rPr>
                              <w:rFonts w:ascii="TUOS Blake" w:eastAsia="Arial" w:hAnsi="TUOS Blake" w:cs="Cordia New"/>
                              <w:b/>
                              <w:bCs/>
                              <w:color w:val="000000"/>
                              <w:kern w:val="24"/>
                            </w:rPr>
                            <w:t>ENVIRONMENTAL CHARACTERISTICS</w:t>
                          </w:r>
                        </w:p>
                        <w:p w14:paraId="569FBD95" w14:textId="65C98C08" w:rsidR="006E7D7A" w:rsidRPr="003F18C3" w:rsidRDefault="006E7D7A" w:rsidP="006233A4">
                          <w:pPr>
                            <w:pStyle w:val="NormalWeb"/>
                            <w:spacing w:before="0" w:beforeAutospacing="0" w:after="200" w:afterAutospacing="0"/>
                            <w:jc w:val="center"/>
                            <w:textAlignment w:val="baseline"/>
                            <w:rPr>
                              <w:color w:val="000000"/>
                              <w:sz w:val="2"/>
                              <w:szCs w:val="2"/>
                            </w:rPr>
                          </w:pPr>
                          <w:r w:rsidRPr="003F18C3">
                            <w:rPr>
                              <w:rFonts w:ascii="TUOS Blake" w:eastAsia="Arial" w:hAnsi="TUOS Blake" w:cs="Cordia New"/>
                              <w:color w:val="000000"/>
                              <w:kern w:val="24"/>
                              <w:sz w:val="20"/>
                              <w:szCs w:val="20"/>
                            </w:rPr>
                            <w:t xml:space="preserve">Education, Income, Occupation, Religion, Caste </w:t>
                          </w:r>
                        </w:p>
                      </w:txbxContent>
                    </v:textbox>
                  </v:shape>
                </v:group>
                <w10:wrap anchorx="margin"/>
              </v:group>
            </w:pict>
          </mc:Fallback>
        </mc:AlternateContent>
      </w:r>
    </w:p>
    <w:p w14:paraId="2798C389" w14:textId="1A81A442" w:rsidR="008A3CC3" w:rsidRPr="00787196" w:rsidRDefault="008A3CC3" w:rsidP="00985A3A">
      <w:pPr>
        <w:spacing w:before="0" w:after="0"/>
        <w:rPr>
          <w:rFonts w:eastAsia="Calibri" w:cs="Arial"/>
          <w:lang w:eastAsia="en-US"/>
        </w:rPr>
      </w:pPr>
    </w:p>
    <w:p w14:paraId="2A921D6A" w14:textId="7CC09114" w:rsidR="008A3CC3" w:rsidRPr="00787196" w:rsidRDefault="008A3CC3" w:rsidP="00985A3A">
      <w:pPr>
        <w:spacing w:before="0" w:after="0"/>
        <w:rPr>
          <w:rFonts w:eastAsia="Calibri" w:cs="Arial"/>
          <w:lang w:eastAsia="en-US"/>
        </w:rPr>
      </w:pPr>
    </w:p>
    <w:p w14:paraId="427F304B" w14:textId="6D24DF34" w:rsidR="008A3CC3" w:rsidRPr="00787196" w:rsidRDefault="008A3CC3" w:rsidP="00985A3A">
      <w:pPr>
        <w:spacing w:before="0" w:after="0"/>
        <w:rPr>
          <w:rFonts w:eastAsia="Calibri" w:cs="Arial"/>
          <w:lang w:eastAsia="en-US"/>
        </w:rPr>
      </w:pPr>
    </w:p>
    <w:p w14:paraId="246C7D59" w14:textId="50394961" w:rsidR="008A3CC3" w:rsidRPr="00787196" w:rsidRDefault="008A3CC3" w:rsidP="00985A3A">
      <w:pPr>
        <w:spacing w:before="0" w:after="0"/>
        <w:rPr>
          <w:rFonts w:eastAsia="Calibri" w:cs="Arial"/>
          <w:lang w:eastAsia="en-US"/>
        </w:rPr>
      </w:pPr>
    </w:p>
    <w:p w14:paraId="71117979" w14:textId="44BF958A" w:rsidR="008A3CC3" w:rsidRPr="00787196" w:rsidRDefault="008A3CC3" w:rsidP="00985A3A">
      <w:pPr>
        <w:spacing w:before="0" w:after="0"/>
        <w:rPr>
          <w:rFonts w:eastAsia="Calibri" w:cs="Arial"/>
          <w:lang w:eastAsia="en-US"/>
        </w:rPr>
      </w:pPr>
    </w:p>
    <w:p w14:paraId="466E155C" w14:textId="622DA93E" w:rsidR="008A3CC3" w:rsidRPr="00787196" w:rsidRDefault="008A3CC3" w:rsidP="00985A3A">
      <w:pPr>
        <w:spacing w:before="0" w:after="0"/>
        <w:rPr>
          <w:rFonts w:eastAsia="Calibri" w:cs="Arial"/>
          <w:lang w:eastAsia="en-US"/>
        </w:rPr>
      </w:pPr>
    </w:p>
    <w:p w14:paraId="083654C0" w14:textId="77777777" w:rsidR="008A3CC3" w:rsidRPr="00787196" w:rsidRDefault="008A3CC3" w:rsidP="00985A3A">
      <w:pPr>
        <w:spacing w:before="0" w:after="0"/>
        <w:rPr>
          <w:rFonts w:eastAsia="Calibri" w:cs="Arial"/>
          <w:lang w:eastAsia="en-US"/>
        </w:rPr>
      </w:pPr>
    </w:p>
    <w:p w14:paraId="275DF390" w14:textId="77777777" w:rsidR="008A3CC3" w:rsidRPr="00787196" w:rsidRDefault="008A3CC3" w:rsidP="00985A3A">
      <w:pPr>
        <w:spacing w:before="0" w:after="0"/>
        <w:rPr>
          <w:rFonts w:eastAsia="Calibri" w:cs="Arial"/>
          <w:lang w:eastAsia="en-US"/>
        </w:rPr>
      </w:pPr>
    </w:p>
    <w:p w14:paraId="5A559C6D" w14:textId="77777777" w:rsidR="008A3CC3" w:rsidRPr="00787196" w:rsidRDefault="008A3CC3" w:rsidP="00985A3A">
      <w:pPr>
        <w:spacing w:before="0" w:after="0"/>
        <w:rPr>
          <w:rFonts w:eastAsia="Calibri" w:cs="Arial"/>
          <w:sz w:val="36"/>
          <w:szCs w:val="36"/>
          <w:lang w:eastAsia="en-US"/>
        </w:rPr>
      </w:pPr>
      <w:r w:rsidRPr="00787196">
        <w:rPr>
          <w:rFonts w:eastAsia="Calibri" w:cs="Arial"/>
          <w:sz w:val="36"/>
          <w:szCs w:val="36"/>
          <w:lang w:eastAsia="en-US"/>
        </w:rPr>
        <w:t xml:space="preserve">  </w:t>
      </w:r>
    </w:p>
    <w:p w14:paraId="215ED585" w14:textId="77777777" w:rsidR="008A3CC3" w:rsidRPr="00787196" w:rsidRDefault="008A3CC3" w:rsidP="00985A3A">
      <w:pPr>
        <w:spacing w:before="0" w:after="0"/>
        <w:rPr>
          <w:rFonts w:cs="Arial"/>
        </w:rPr>
      </w:pPr>
    </w:p>
    <w:p w14:paraId="4E321393" w14:textId="77777777" w:rsidR="008A3CC3" w:rsidRPr="00787196" w:rsidRDefault="008A3CC3" w:rsidP="00985A3A">
      <w:pPr>
        <w:pStyle w:val="Caption"/>
        <w:spacing w:before="0" w:after="0" w:line="276" w:lineRule="auto"/>
        <w:rPr>
          <w:rFonts w:cs="Arial"/>
        </w:rPr>
      </w:pPr>
    </w:p>
    <w:p w14:paraId="7225DA72" w14:textId="77777777" w:rsidR="008A3CC3" w:rsidRPr="00787196" w:rsidRDefault="008A3CC3" w:rsidP="00985A3A">
      <w:pPr>
        <w:spacing w:before="0" w:after="0"/>
        <w:rPr>
          <w:rFonts w:cs="Arial"/>
        </w:rPr>
      </w:pPr>
    </w:p>
    <w:p w14:paraId="313A44C5" w14:textId="77777777" w:rsidR="008A3CC3" w:rsidRPr="00787196" w:rsidRDefault="008A3CC3" w:rsidP="00985A3A">
      <w:pPr>
        <w:rPr>
          <w:rFonts w:cs="Arial"/>
        </w:rPr>
        <w:sectPr w:rsidR="008A3CC3" w:rsidRPr="00787196" w:rsidSect="00EB5F2C">
          <w:pgSz w:w="16848" w:h="11952" w:orient="landscape" w:code="9"/>
          <w:pgMar w:top="2268" w:right="1134" w:bottom="1134" w:left="1134" w:header="476" w:footer="0" w:gutter="0"/>
          <w:cols w:space="720"/>
          <w:noEndnote/>
          <w:docGrid w:linePitch="360"/>
        </w:sectPr>
      </w:pPr>
    </w:p>
    <w:p w14:paraId="30319F60" w14:textId="77777777" w:rsidR="001277DF" w:rsidRPr="00787196" w:rsidRDefault="001277DF" w:rsidP="001277DF">
      <w:pPr>
        <w:rPr>
          <w:rFonts w:cs="Arial"/>
          <w:bCs/>
        </w:rPr>
      </w:pPr>
      <w:r w:rsidRPr="00787196">
        <w:rPr>
          <w:rFonts w:cs="Arial"/>
          <w:bCs/>
          <w:szCs w:val="24"/>
        </w:rPr>
        <w:lastRenderedPageBreak/>
        <w:t xml:space="preserve">Level of education attainment was assessed using ordinal mutually exclusive categories classified as profession or honours, graduate or postgraduate, intermediate or post high school diploma, high school certificate, middle school certificate, primary school certificate, non-reader </w:t>
      </w:r>
      <w:r w:rsidRPr="00787196">
        <w:rPr>
          <w:rFonts w:cs="Arial"/>
          <w:bCs/>
          <w:szCs w:val="24"/>
        </w:rPr>
        <w:fldChar w:fldCharType="begin"/>
      </w:r>
      <w:r w:rsidRPr="00787196">
        <w:rPr>
          <w:rFonts w:cs="Arial"/>
          <w:bCs/>
          <w:szCs w:val="24"/>
        </w:rPr>
        <w:instrText xml:space="preserve"> ADDIN EN.CITE &lt;EndNote&gt;&lt;Cite&gt;&lt;Author&gt;Mishra&lt;/Author&gt;&lt;Year&gt;2003&lt;/Year&gt;&lt;RecNum&gt;0&lt;/RecNum&gt;&lt;IDText&gt;Kuppuswamy’s socioeconomic status scale — A revision&lt;/IDText&gt;&lt;DisplayText&gt;(Mishra and Singh, 2003)&lt;/DisplayText&gt;&lt;record&gt;&lt;dates&gt;&lt;pub-dates&gt;&lt;date&gt;2003/03/01&lt;/date&gt;&lt;/pub-dates&gt;&lt;year&gt;2003&lt;/year&gt;&lt;/dates&gt;&lt;urls&gt;&lt;related-urls&gt;&lt;url&gt;http://dx.doi.org/10.1007/BF02725598&lt;/url&gt;&lt;/related-urls&gt;&lt;/urls&gt;&lt;isbn&gt;0019-5456&lt;/isbn&gt;&lt;titles&gt;&lt;title&gt;Kuppuswamy’s socioeconomic status scale — A revision&lt;/title&gt;&lt;secondary-title&gt;The Indian Journal of Pediatrics&lt;/secondary-title&gt;&lt;alt-title&gt;Indian J Pediatr&lt;/alt-title&gt;&lt;/titles&gt;&lt;pages&gt;273-274&lt;/pages&gt;&lt;number&gt;3&lt;/number&gt;&lt;contributors&gt;&lt;authors&gt;&lt;author&gt;Mishra, D.&lt;/author&gt;&lt;author&gt;Singh, H. P.&lt;/author&gt;&lt;/authors&gt;&lt;/contributors&gt;&lt;language&gt;English&lt;/language&gt;&lt;added-date format="utc"&gt;1370057735&lt;/added-date&gt;&lt;ref-type name="Journal Article"&gt;17&lt;/ref-type&gt;&lt;rec-number&gt;749&lt;/rec-number&gt;&lt;publisher&gt;Springer India&lt;/publisher&gt;&lt;last-updated-date format="utc"&gt;1385713712&lt;/last-updated-date&gt;&lt;electronic-resource-num&gt;10.1007/BF02725598&lt;/electronic-resource-num&gt;&lt;volume&gt;70&lt;/volume&gt;&lt;/record&gt;&lt;/Cite&gt;&lt;/EndNote&gt;</w:instrText>
      </w:r>
      <w:r w:rsidRPr="00787196">
        <w:rPr>
          <w:rFonts w:cs="Arial"/>
          <w:bCs/>
          <w:szCs w:val="24"/>
        </w:rPr>
        <w:fldChar w:fldCharType="separate"/>
      </w:r>
      <w:r w:rsidRPr="00787196">
        <w:rPr>
          <w:rFonts w:cs="Arial"/>
          <w:bCs/>
          <w:szCs w:val="24"/>
        </w:rPr>
        <w:t>(Mishra and Singh, 2003)</w:t>
      </w:r>
      <w:r w:rsidRPr="00787196">
        <w:rPr>
          <w:rFonts w:cs="Arial"/>
          <w:bCs/>
          <w:szCs w:val="24"/>
        </w:rPr>
        <w:fldChar w:fldCharType="end"/>
      </w:r>
      <w:r w:rsidRPr="00787196">
        <w:rPr>
          <w:rFonts w:cs="Arial"/>
          <w:bCs/>
        </w:rPr>
        <w:t>.</w:t>
      </w:r>
    </w:p>
    <w:p w14:paraId="7ABBFEA9" w14:textId="486C27B6" w:rsidR="001277DF" w:rsidRPr="00787196" w:rsidRDefault="001277DF" w:rsidP="00D9694A">
      <w:pPr>
        <w:pStyle w:val="Heading3"/>
      </w:pPr>
      <w:bookmarkStart w:id="144" w:name="_Toc366260750"/>
      <w:bookmarkStart w:id="145" w:name="_Toc371981461"/>
      <w:bookmarkStart w:id="146" w:name="_Toc372541940"/>
      <w:bookmarkStart w:id="147" w:name="_Toc456211155"/>
      <w:bookmarkStart w:id="148" w:name="_Toc488655645"/>
      <w:r w:rsidRPr="00787196">
        <w:t>Clinical Variables</w:t>
      </w:r>
      <w:bookmarkEnd w:id="144"/>
      <w:bookmarkEnd w:id="145"/>
      <w:bookmarkEnd w:id="146"/>
      <w:bookmarkEnd w:id="147"/>
      <w:bookmarkEnd w:id="148"/>
    </w:p>
    <w:p w14:paraId="1925A2F7" w14:textId="659DD77D" w:rsidR="001277DF" w:rsidRPr="00787196" w:rsidRDefault="001277DF" w:rsidP="00DB4B28">
      <w:pPr>
        <w:rPr>
          <w:rFonts w:cs="Arial"/>
          <w:szCs w:val="24"/>
        </w:rPr>
      </w:pPr>
      <w:r w:rsidRPr="00787196">
        <w:rPr>
          <w:rFonts w:cs="Arial"/>
          <w:szCs w:val="24"/>
        </w:rPr>
        <w:t>Clinical variables, mucosal lesions and prosthetic need were measured using the World Health Organization’s oral health survey criteria</w:t>
      </w:r>
      <w:r w:rsidR="00AB63C3" w:rsidRPr="00787196">
        <w:rPr>
          <w:rFonts w:cs="Arial"/>
          <w:szCs w:val="24"/>
        </w:rPr>
        <w:t xml:space="preserve"> </w:t>
      </w:r>
      <w:r w:rsidRPr="00787196">
        <w:rPr>
          <w:rFonts w:cs="Arial"/>
          <w:szCs w:val="24"/>
        </w:rPr>
        <w:fldChar w:fldCharType="begin"/>
      </w:r>
      <w:r w:rsidRPr="00787196">
        <w:rPr>
          <w:rFonts w:cs="Arial"/>
          <w:szCs w:val="24"/>
        </w:rPr>
        <w:instrText xml:space="preserve"> ADDIN EN.CITE &lt;EndNote&gt;&lt;Cite&gt;&lt;Author&gt;World Health Organization&lt;/Author&gt;&lt;Year&gt;2013&lt;/Year&gt;&lt;IDText&gt;Oral health surveys: basic methods&lt;/IDText&gt;&lt;DisplayText&gt;(World Health Organization, 2013)&lt;/DisplayText&gt;&lt;record&gt;&lt;isbn&gt;9241548649&lt;/isbn&gt;&lt;titles&gt;&lt;title&gt;Oral health surveys: basic methods&lt;/title&gt;&lt;/titles&gt;&lt;contributors&gt;&lt;authors&gt;&lt;author&gt;World Health Organization,&lt;/author&gt;&lt;/authors&gt;&lt;/contributors&gt;&lt;added-date format="utc"&gt;1483479662&lt;/added-date&gt;&lt;ref-type name="Book"&gt;6&lt;/ref-type&gt;&lt;dates&gt;&lt;year&gt;2013&lt;/year&gt;&lt;/dates&gt;&lt;rec-number&gt;2756&lt;/rec-number&gt;&lt;publisher&gt;World Health Organization&lt;/publisher&gt;&lt;last-updated-date format="utc"&gt;1483479924&lt;/last-updated-date&gt;&lt;/record&gt;&lt;/Cite&gt;&lt;/EndNote&gt;</w:instrText>
      </w:r>
      <w:r w:rsidRPr="00787196">
        <w:rPr>
          <w:rFonts w:cs="Arial"/>
          <w:szCs w:val="24"/>
        </w:rPr>
        <w:fldChar w:fldCharType="separate"/>
      </w:r>
      <w:r w:rsidRPr="00787196">
        <w:rPr>
          <w:rFonts w:cs="Arial"/>
          <w:szCs w:val="24"/>
        </w:rPr>
        <w:t>(World Health Organization, 2013)</w:t>
      </w:r>
      <w:r w:rsidRPr="00787196">
        <w:rPr>
          <w:rFonts w:cs="Arial"/>
          <w:szCs w:val="24"/>
        </w:rPr>
        <w:fldChar w:fldCharType="end"/>
      </w:r>
      <w:r w:rsidRPr="00787196">
        <w:rPr>
          <w:rFonts w:cs="Arial"/>
          <w:szCs w:val="24"/>
        </w:rPr>
        <w:t xml:space="preserve">. All patients receiving </w:t>
      </w:r>
      <w:r w:rsidR="0077443C" w:rsidRPr="00787196">
        <w:rPr>
          <w:rFonts w:cs="Arial"/>
          <w:szCs w:val="24"/>
        </w:rPr>
        <w:t xml:space="preserve">new </w:t>
      </w:r>
      <w:r w:rsidRPr="00787196">
        <w:rPr>
          <w:rFonts w:cs="Arial"/>
          <w:szCs w:val="24"/>
        </w:rPr>
        <w:t xml:space="preserve">dentures were </w:t>
      </w:r>
      <w:r w:rsidR="00DB4B28" w:rsidRPr="00787196">
        <w:rPr>
          <w:rFonts w:cs="Arial"/>
          <w:szCs w:val="24"/>
        </w:rPr>
        <w:t>c</w:t>
      </w:r>
      <w:r w:rsidRPr="00787196">
        <w:rPr>
          <w:rFonts w:cs="Arial"/>
          <w:szCs w:val="24"/>
        </w:rPr>
        <w:t>aries free. Teeth present and the number of occluding pairs were measured.</w:t>
      </w:r>
    </w:p>
    <w:p w14:paraId="53E9A416" w14:textId="09F4DF92" w:rsidR="001277DF" w:rsidRPr="00787196" w:rsidRDefault="001277DF" w:rsidP="00D9694A">
      <w:pPr>
        <w:pStyle w:val="Heading3"/>
      </w:pPr>
      <w:bookmarkStart w:id="149" w:name="_Toc456211156"/>
      <w:bookmarkStart w:id="150" w:name="_Toc488655646"/>
      <w:r w:rsidRPr="00787196">
        <w:t>Independent variable</w:t>
      </w:r>
      <w:bookmarkEnd w:id="149"/>
      <w:r w:rsidRPr="00787196">
        <w:t>s</w:t>
      </w:r>
      <w:bookmarkEnd w:id="150"/>
    </w:p>
    <w:p w14:paraId="4548CF56" w14:textId="301E1198" w:rsidR="001277DF" w:rsidRPr="00787196" w:rsidRDefault="001277DF" w:rsidP="00226A04">
      <w:pPr>
        <w:pStyle w:val="Heading4"/>
      </w:pPr>
      <w:r w:rsidRPr="00787196">
        <w:t>Coping Strategies</w:t>
      </w:r>
    </w:p>
    <w:p w14:paraId="1546ECF0" w14:textId="77777777" w:rsidR="001277DF" w:rsidRPr="00787196" w:rsidRDefault="001277DF" w:rsidP="001277DF">
      <w:r w:rsidRPr="00787196">
        <w:t xml:space="preserve">The transactional model developed by Lazarus and Folkman </w:t>
      </w:r>
      <w:r w:rsidRPr="00787196">
        <w:fldChar w:fldCharType="begin"/>
      </w:r>
      <w:r w:rsidRPr="00787196">
        <w:instrText xml:space="preserve"> ADDIN EN.CITE &lt;EndNote&gt;&lt;Cite ExcludeAuth="1"&gt;&lt;Author&gt;Lazarus&lt;/Author&gt;&lt;Year&gt;1987&lt;/Year&gt;&lt;RecNum&gt;0&lt;/RecNum&gt;&lt;IDText&gt;Transactional theory and research on emotions and coping&lt;/IDText&gt;&lt;DisplayText&gt;(1987)&lt;/DisplayText&gt;&lt;record&gt;&lt;isbn&gt;1099-0984&lt;/isbn&gt;&lt;titles&gt;&lt;title&gt;Transactional theory and research on emotions and coping&lt;/title&gt;&lt;secondary-title&gt;European Journal of personality&lt;/secondary-title&gt;&lt;/titles&gt;&lt;pages&gt;141-169&lt;/pages&gt;&lt;number&gt;3&lt;/number&gt;&lt;contributors&gt;&lt;authors&gt;&lt;author&gt;Lazarus, Richard S.&lt;/author&gt;&lt;author&gt;Folkman, Susan&lt;/author&gt;&lt;/authors&gt;&lt;/contributors&gt;&lt;added-date format="utc"&gt;1377762704&lt;/added-date&gt;&lt;ref-type name="Journal Article"&gt;17&lt;/ref-type&gt;&lt;dates&gt;&lt;year&gt;1987&lt;/year&gt;&lt;/dates&gt;&lt;rec-number&gt;1158&lt;/rec-number&gt;&lt;publisher&gt;Wiley Online Library&lt;/publisher&gt;&lt;last-updated-date format="utc"&gt;1385713712&lt;/last-updated-date&gt;&lt;volume&gt;1&lt;/volume&gt;&lt;/record&gt;&lt;/Cite&gt;&lt;/EndNote&gt;</w:instrText>
      </w:r>
      <w:r w:rsidRPr="00787196">
        <w:fldChar w:fldCharType="separate"/>
      </w:r>
      <w:r w:rsidRPr="00787196">
        <w:t>(1987)</w:t>
      </w:r>
      <w:r w:rsidRPr="00787196">
        <w:fldChar w:fldCharType="end"/>
      </w:r>
      <w:r w:rsidRPr="00787196">
        <w:t xml:space="preserve"> has been widely accepted to measure coping strategies  as problem or emotion-focussed. </w:t>
      </w:r>
    </w:p>
    <w:p w14:paraId="5CFC6CBB" w14:textId="2B3814C7" w:rsidR="001277DF" w:rsidRPr="00787196" w:rsidRDefault="001277DF" w:rsidP="001277DF">
      <w:pPr>
        <w:spacing w:after="0"/>
        <w:rPr>
          <w:rFonts w:cs="Arial"/>
          <w:szCs w:val="24"/>
        </w:rPr>
      </w:pPr>
      <w:r w:rsidRPr="00787196">
        <w:rPr>
          <w:rFonts w:cs="Arial"/>
          <w:szCs w:val="24"/>
        </w:rPr>
        <w:t xml:space="preserve">The Brief COPE questionnaire </w:t>
      </w:r>
      <w:r w:rsidRPr="00787196">
        <w:rPr>
          <w:rFonts w:cs="Arial"/>
          <w:szCs w:val="24"/>
        </w:rPr>
        <w:fldChar w:fldCharType="begin"/>
      </w:r>
      <w:r w:rsidRPr="00787196">
        <w:rPr>
          <w:rFonts w:cs="Arial"/>
          <w:szCs w:val="24"/>
        </w:rPr>
        <w:instrText xml:space="preserve"> ADDIN EN.CITE &lt;EndNote&gt;&lt;Cite&gt;&lt;Author&gt;Carver&lt;/Author&gt;&lt;Year&gt;1997&lt;/Year&gt;&lt;RecNum&gt;0&lt;/RecNum&gt;&lt;IDText&gt;You want to measure coping but your protocol’too long: Consider the brief cope&lt;/IDText&gt;&lt;DisplayText&gt;(Carver, 1997)&lt;/DisplayText&gt;&lt;record&gt;&lt;isbn&gt;1070-5503&lt;/isbn&gt;&lt;titles&gt;&lt;title&gt;You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format="utc"&gt;1364393655&lt;/last-updated-date&gt;&lt;volume&gt;4&lt;/volume&gt;&lt;/record&gt;&lt;/Cite&gt;&lt;/EndNote&gt;</w:instrText>
      </w:r>
      <w:r w:rsidRPr="00787196">
        <w:rPr>
          <w:rFonts w:cs="Arial"/>
          <w:szCs w:val="24"/>
        </w:rPr>
        <w:fldChar w:fldCharType="separate"/>
      </w:r>
      <w:r w:rsidRPr="00787196">
        <w:rPr>
          <w:rFonts w:cs="Arial"/>
          <w:szCs w:val="24"/>
        </w:rPr>
        <w:t>(Carver, 1997)</w:t>
      </w:r>
      <w:r w:rsidRPr="00787196">
        <w:rPr>
          <w:rFonts w:cs="Arial"/>
          <w:szCs w:val="24"/>
        </w:rPr>
        <w:fldChar w:fldCharType="end"/>
      </w:r>
      <w:r w:rsidRPr="00787196">
        <w:rPr>
          <w:rFonts w:cs="Arial"/>
          <w:szCs w:val="24"/>
        </w:rPr>
        <w:t xml:space="preserve"> was used. This abbreviated form of the COPE inventory </w:t>
      </w:r>
      <w:r w:rsidRPr="00787196">
        <w:rPr>
          <w:rFonts w:cs="Arial"/>
          <w:szCs w:val="24"/>
        </w:rPr>
        <w:fldChar w:fldCharType="begin"/>
      </w:r>
      <w:r w:rsidRPr="00787196">
        <w:rPr>
          <w:rFonts w:cs="Arial"/>
          <w:szCs w:val="24"/>
        </w:rPr>
        <w:instrText xml:space="preserve"> ADDIN EN.CITE &lt;EndNote&gt;&lt;Cite&gt;&lt;Author&gt;Carver&lt;/Author&gt;&lt;Year&gt;1989&lt;/Year&gt;&lt;RecNum&gt;0&lt;/RecNum&gt;&lt;IDText&gt;Assessing coping strategies: A theoretically based approach&lt;/IDText&gt;&lt;DisplayText&gt;(Carver et al., 1989)&lt;/DisplayText&gt;&lt;record&gt;&lt;titles&gt;&lt;title&gt;Assessing coping strategies: A theoretically based approach&lt;/title&gt;&lt;secondary-title&gt;Journal of personality and social psychology&lt;/secondary-title&gt;&lt;/titles&gt;&lt;pages&gt;267-283&lt;/pages&gt;&lt;number&gt;2&lt;/number&gt;&lt;contributors&gt;&lt;authors&gt;&lt;author&gt;Carver, Charles S.&lt;/author&gt;&lt;author&gt;Scheier, Michael F.&lt;/author&gt;&lt;author&gt;Weintraub, Jagdish Kumari&lt;/author&gt;&lt;/authors&gt;&lt;/contributors&gt;&lt;added-date format="utc"&gt;1365571150&lt;/added-date&gt;&lt;ref-type name="Journal Article"&gt;17&lt;/ref-type&gt;&lt;dates&gt;&lt;year&gt;1989&lt;/year&gt;&lt;/dates&gt;&lt;rec-number&gt;603&lt;/rec-number&gt;&lt;last-updated-date format="utc"&gt;1365571150&lt;/last-updated-date&gt;&lt;volume&gt;56&lt;/volume&gt;&lt;/record&gt;&lt;/Cite&gt;&lt;/EndNote&gt;</w:instrText>
      </w:r>
      <w:r w:rsidRPr="00787196">
        <w:rPr>
          <w:rFonts w:cs="Arial"/>
          <w:szCs w:val="24"/>
        </w:rPr>
        <w:fldChar w:fldCharType="separate"/>
      </w:r>
      <w:r w:rsidRPr="00787196">
        <w:rPr>
          <w:rFonts w:cs="Arial"/>
          <w:szCs w:val="24"/>
        </w:rPr>
        <w:t>(Carver et al., 1989)</w:t>
      </w:r>
      <w:r w:rsidRPr="00787196">
        <w:rPr>
          <w:rFonts w:cs="Arial"/>
          <w:szCs w:val="24"/>
        </w:rPr>
        <w:fldChar w:fldCharType="end"/>
      </w:r>
      <w:r w:rsidRPr="00787196">
        <w:rPr>
          <w:rFonts w:cs="Arial"/>
          <w:szCs w:val="24"/>
        </w:rPr>
        <w:t xml:space="preserve"> comprises 14 conceptually different scales: Active coping, Planning, Positive reframing, Acceptance, Humour, Religion, Use of emotional support, Use of instrumental support, Self-distraction, Denial, Venting, Substance misuse,  Behavioural disengagement and self-blame.  Each sub scale has two items giving 28 items overall. The alphas of these subscales range between 0.50 and 0.90 showed considerable internal reliability. The inventory has a </w:t>
      </w:r>
      <w:r w:rsidR="00F0157F" w:rsidRPr="00787196">
        <w:rPr>
          <w:rFonts w:cs="Arial"/>
          <w:szCs w:val="24"/>
        </w:rPr>
        <w:t>4-point</w:t>
      </w:r>
      <w:r w:rsidRPr="00787196">
        <w:rPr>
          <w:rFonts w:cs="Arial"/>
          <w:szCs w:val="24"/>
        </w:rPr>
        <w:t xml:space="preserve"> response format Likert-type scale: </w:t>
      </w:r>
      <w:r w:rsidR="00D24017" w:rsidRPr="00787196">
        <w:rPr>
          <w:rFonts w:cs="Arial"/>
          <w:szCs w:val="24"/>
        </w:rPr>
        <w:t>1</w:t>
      </w:r>
      <w:r w:rsidRPr="00787196">
        <w:rPr>
          <w:rFonts w:cs="Arial"/>
          <w:szCs w:val="24"/>
        </w:rPr>
        <w:t xml:space="preserve">- (I haven’t been doing this at all) to </w:t>
      </w:r>
      <w:r w:rsidR="00D24017" w:rsidRPr="00787196">
        <w:rPr>
          <w:rFonts w:cs="Arial"/>
          <w:szCs w:val="24"/>
        </w:rPr>
        <w:t>4</w:t>
      </w:r>
      <w:r w:rsidRPr="00787196">
        <w:rPr>
          <w:rFonts w:cs="Arial"/>
          <w:szCs w:val="24"/>
        </w:rPr>
        <w:t xml:space="preserve">- (I have been doing this a lot). Hence, the sum of each subscale score ranges from </w:t>
      </w:r>
      <w:r w:rsidR="00D24017" w:rsidRPr="00787196">
        <w:rPr>
          <w:rFonts w:cs="Arial"/>
          <w:szCs w:val="24"/>
        </w:rPr>
        <w:t>28</w:t>
      </w:r>
      <w:r w:rsidRPr="00787196">
        <w:rPr>
          <w:rFonts w:cs="Arial"/>
          <w:szCs w:val="24"/>
        </w:rPr>
        <w:t xml:space="preserve">- </w:t>
      </w:r>
      <w:r w:rsidR="00D24017" w:rsidRPr="00787196">
        <w:rPr>
          <w:rFonts w:cs="Arial"/>
          <w:szCs w:val="24"/>
        </w:rPr>
        <w:t>112</w:t>
      </w:r>
      <w:r w:rsidRPr="00787196">
        <w:rPr>
          <w:rFonts w:cs="Arial"/>
          <w:szCs w:val="24"/>
        </w:rPr>
        <w:t xml:space="preserve">. Subscale scores are combined and grouped under wider problem based, emotion based and dysfunctional coping strategies. Thus the total scores reflect widely practised coping strategies </w:t>
      </w:r>
      <w:r w:rsidRPr="00787196">
        <w:rPr>
          <w:rFonts w:cs="Arial"/>
          <w:szCs w:val="24"/>
        </w:rPr>
        <w:fldChar w:fldCharType="begin"/>
      </w:r>
      <w:r w:rsidRPr="00787196">
        <w:rPr>
          <w:rFonts w:cs="Arial"/>
          <w:szCs w:val="24"/>
        </w:rPr>
        <w:instrText xml:space="preserve"> ADDIN EN.CITE &lt;EndNote&gt;&lt;Cite&gt;&lt;Author&gt;Carver&lt;/Author&gt;&lt;Year&gt;1997&lt;/Year&gt;&lt;RecNum&gt;0&lt;/RecNum&gt;&lt;IDText&gt;You want to measure coping but your protocol’too long: Consider the brief cope&lt;/IDText&gt;&lt;DisplayText&gt;(Carver, 1997)&lt;/DisplayText&gt;&lt;record&gt;&lt;isbn&gt;1070-5503&lt;/isbn&gt;&lt;titles&gt;&lt;title&gt;You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format="utc"&gt;1364393655&lt;/last-updated-date&gt;&lt;volume&gt;4&lt;/volume&gt;&lt;/record&gt;&lt;/Cite&gt;&lt;/EndNote&gt;</w:instrText>
      </w:r>
      <w:r w:rsidRPr="00787196">
        <w:rPr>
          <w:rFonts w:cs="Arial"/>
          <w:szCs w:val="24"/>
        </w:rPr>
        <w:fldChar w:fldCharType="separate"/>
      </w:r>
      <w:r w:rsidRPr="00787196">
        <w:rPr>
          <w:rFonts w:cs="Arial"/>
          <w:szCs w:val="24"/>
        </w:rPr>
        <w:t>(Carver, 1997)</w:t>
      </w:r>
      <w:r w:rsidRPr="00787196">
        <w:rPr>
          <w:rFonts w:cs="Arial"/>
          <w:szCs w:val="24"/>
        </w:rPr>
        <w:fldChar w:fldCharType="end"/>
      </w:r>
      <w:r w:rsidRPr="00787196">
        <w:rPr>
          <w:rFonts w:cs="Arial"/>
          <w:szCs w:val="24"/>
        </w:rPr>
        <w:t>.</w:t>
      </w:r>
    </w:p>
    <w:p w14:paraId="5AE42EF4" w14:textId="77777777" w:rsidR="001277DF" w:rsidRPr="00787196" w:rsidRDefault="001277DF" w:rsidP="001277DF">
      <w:pPr>
        <w:spacing w:before="0" w:after="0" w:line="240" w:lineRule="auto"/>
        <w:jc w:val="left"/>
        <w:rPr>
          <w:rFonts w:cs="Arial"/>
          <w:szCs w:val="24"/>
        </w:rPr>
      </w:pPr>
      <w:r w:rsidRPr="00787196">
        <w:rPr>
          <w:rFonts w:cs="Arial"/>
          <w:szCs w:val="24"/>
        </w:rPr>
        <w:br w:type="page"/>
      </w:r>
    </w:p>
    <w:p w14:paraId="7EEA2B7E" w14:textId="31F471E9" w:rsidR="001277DF" w:rsidRPr="00787196" w:rsidRDefault="001277DF" w:rsidP="00272928">
      <w:pPr>
        <w:rPr>
          <w:rFonts w:cs="Arial"/>
          <w:szCs w:val="24"/>
        </w:rPr>
      </w:pPr>
      <w:r w:rsidRPr="00787196">
        <w:rPr>
          <w:rFonts w:cs="Arial"/>
          <w:szCs w:val="24"/>
        </w:rPr>
        <w:lastRenderedPageBreak/>
        <w:t xml:space="preserve">Cooper and colleagues </w:t>
      </w:r>
      <w:r w:rsidRPr="00787196">
        <w:rPr>
          <w:rFonts w:cs="Arial"/>
          <w:szCs w:val="24"/>
        </w:rPr>
        <w:fldChar w:fldCharType="begin"/>
      </w:r>
      <w:r w:rsidRPr="00787196">
        <w:rPr>
          <w:rFonts w:cs="Arial"/>
          <w:szCs w:val="24"/>
        </w:rPr>
        <w:instrText xml:space="preserve"> ADDIN EN.CITE &lt;EndNote&gt;&lt;Cite ExcludeAuth="1"&gt;&lt;Author&gt;Cooper&lt;/Author&gt;&lt;Year&gt;2008&lt;/Year&gt;&lt;RecNum&gt;0&lt;/RecNum&gt;&lt;IDText&gt;Validity and reliability of the brief COPE in carers of people with dementia: The LASER-AD study&lt;/IDText&gt;&lt;DisplayText&gt;(2008)&lt;/DisplayText&gt;&lt;record&gt;&lt;isbn&gt;0022-3018&lt;/isbn&gt;&lt;titles&gt;&lt;title&gt;Validity and reliability of the brief COPE in carers of people with dementia: The LASER-AD study&lt;/title&gt;&lt;secondary-title&gt;The Journal of nervous and mental disease&lt;/secondary-title&gt;&lt;/titles&gt;&lt;pages&gt;838-843&lt;/pages&gt;&lt;number&gt;11&lt;/number&gt;&lt;contributors&gt;&lt;authors&gt;&lt;author&gt;Cooper, Claudia&lt;/author&gt;&lt;author&gt;Katona, Cornelius&lt;/author&gt;&lt;author&gt;Livingston, Gill&lt;/author&gt;&lt;/authors&gt;&lt;/contributors&gt;&lt;added-date format="utc"&gt;1365576615&lt;/added-date&gt;&lt;ref-type name="Journal Article"&gt;17&lt;/ref-type&gt;&lt;dates&gt;&lt;year&gt;2008&lt;/year&gt;&lt;/dates&gt;&lt;rec-number&gt;606&lt;/rec-number&gt;&lt;last-updated-date format="utc"&gt;1365576615&lt;/last-updated-date&gt;&lt;volume&gt;196&lt;/volume&gt;&lt;/record&gt;&lt;/Cite&gt;&lt;/EndNote&gt;</w:instrText>
      </w:r>
      <w:r w:rsidRPr="00787196">
        <w:rPr>
          <w:rFonts w:cs="Arial"/>
          <w:szCs w:val="24"/>
        </w:rPr>
        <w:fldChar w:fldCharType="separate"/>
      </w:r>
      <w:r w:rsidRPr="00787196">
        <w:rPr>
          <w:rFonts w:cs="Arial"/>
          <w:szCs w:val="24"/>
        </w:rPr>
        <w:t>(2008)</w:t>
      </w:r>
      <w:r w:rsidRPr="00787196">
        <w:rPr>
          <w:rFonts w:cs="Arial"/>
          <w:szCs w:val="24"/>
        </w:rPr>
        <w:fldChar w:fldCharType="end"/>
      </w:r>
      <w:r w:rsidRPr="00787196">
        <w:rPr>
          <w:rFonts w:cs="Arial"/>
          <w:szCs w:val="24"/>
        </w:rPr>
        <w:t xml:space="preserve"> assessed the validity and reliability of the 3 subscales. They showed good internal consistency (α = 0.72, 0.84 and 0.75 respectively) and test-retest reliability. Translated versions of Brief COPE exist in Spanish </w:t>
      </w:r>
      <w:r w:rsidRPr="00787196">
        <w:rPr>
          <w:rFonts w:cs="Arial"/>
          <w:szCs w:val="24"/>
        </w:rPr>
        <w:fldChar w:fldCharType="begin"/>
      </w:r>
      <w:r w:rsidRPr="00787196">
        <w:rPr>
          <w:rFonts w:cs="Arial"/>
          <w:szCs w:val="24"/>
        </w:rPr>
        <w:instrText xml:space="preserve"> ADDIN EN.CITE &lt;EndNote&gt;&lt;Cite&gt;&lt;Author&gt;Perczek&lt;/Author&gt;&lt;Year&gt;2000&lt;/Year&gt;&lt;RecNum&gt;0&lt;/RecNum&gt;&lt;IDText&gt;Coping, mood, and aspects of personality in Spanish translation and evidence of convergence with English versions&lt;/IDText&gt;&lt;DisplayText&gt;(Perczek et al., 2000)&lt;/DisplayText&gt;&lt;record&gt;&lt;isbn&gt;0022-3891&lt;/isbn&gt;&lt;titles&gt;&lt;title&gt;Coping, mood, and aspects of personality in Spanish translation and evidence of convergence with English versions&lt;/title&gt;&lt;secondary-title&gt;Journal of Personality Assessment&lt;/secondary-title&gt;&lt;/titles&gt;&lt;pages&gt;63-87&lt;/pages&gt;&lt;number&gt;1&lt;/number&gt;&lt;contributors&gt;&lt;authors&gt;&lt;author&gt;Perczek, Ruben&lt;/author&gt;&lt;author&gt;Carver, Charles S.&lt;/author&gt;&lt;author&gt;Price, Alicia A.&lt;/author&gt;&lt;author&gt;Pozo-Kaderman, Christina&lt;/author&gt;&lt;/authors&gt;&lt;/contributors&gt;&lt;added-date format="utc"&gt;1365605379&lt;/added-date&gt;&lt;ref-type name="Journal Article"&gt;17&lt;/ref-type&gt;&lt;dates&gt;&lt;year&gt;2000&lt;/year&gt;&lt;/dates&gt;&lt;rec-number&gt;611&lt;/rec-number&gt;&lt;last-updated-date format="utc"&gt;1365605379&lt;/last-updated-date&gt;&lt;volume&gt;74&lt;/volume&gt;&lt;/record&gt;&lt;/Cite&gt;&lt;/EndNote&gt;</w:instrText>
      </w:r>
      <w:r w:rsidRPr="00787196">
        <w:rPr>
          <w:rFonts w:cs="Arial"/>
          <w:szCs w:val="24"/>
        </w:rPr>
        <w:fldChar w:fldCharType="separate"/>
      </w:r>
      <w:r w:rsidRPr="00787196">
        <w:rPr>
          <w:rFonts w:cs="Arial"/>
          <w:szCs w:val="24"/>
        </w:rPr>
        <w:t>(Perczek et al., 2000)</w:t>
      </w:r>
      <w:r w:rsidRPr="00787196">
        <w:rPr>
          <w:rFonts w:cs="Arial"/>
          <w:szCs w:val="24"/>
        </w:rPr>
        <w:fldChar w:fldCharType="end"/>
      </w:r>
      <w:r w:rsidRPr="00787196">
        <w:rPr>
          <w:rFonts w:cs="Arial"/>
          <w:szCs w:val="24"/>
        </w:rPr>
        <w:t xml:space="preserve">, French, Greek and Malay </w:t>
      </w:r>
      <w:r w:rsidRPr="00787196">
        <w:rPr>
          <w:rFonts w:cs="Arial"/>
          <w:szCs w:val="24"/>
        </w:rPr>
        <w:fldChar w:fldCharType="begin"/>
      </w:r>
      <w:r w:rsidRPr="00787196">
        <w:rPr>
          <w:rFonts w:cs="Arial"/>
          <w:szCs w:val="24"/>
        </w:rPr>
        <w:instrText xml:space="preserve"> ADDIN EN.CITE &lt;EndNote&gt;&lt;Cite&gt;&lt;Author&gt;Muller&lt;/Author&gt;&lt;Year&gt;2003&lt;/Year&gt;&lt;RecNum&gt;0&lt;/RecNum&gt;&lt;IDText&gt;Multidimensional assessment of coping: validation of the Brief COPE among French population]&lt;/IDText&gt;&lt;DisplayText&gt;(Muller and Spitz, 2003)&lt;/DisplayText&gt;&lt;record&gt;&lt;isbn&gt;0013-7006&lt;/isbn&gt;&lt;titles&gt;&lt;title&gt;Multidimensional assessment of coping: validation of the Brief COPE among French population]&lt;/title&gt;&lt;secondary-title&gt;L&amp;apos;encéphale&lt;/secondary-title&gt;&lt;/titles&gt;&lt;pages&gt;507&lt;/pages&gt;&lt;number&gt;6&lt;/number&gt;&lt;contributors&gt;&lt;authors&gt;&lt;author&gt;Muller, L.&lt;/author&gt;&lt;author&gt;Spitz, E.&lt;/author&gt;&lt;/authors&gt;&lt;/contributors&gt;&lt;added-date format="utc"&gt;1365578512&lt;/added-date&gt;&lt;ref-type name="Journal Article"&gt;17&lt;/ref-type&gt;&lt;dates&gt;&lt;year&gt;2003&lt;/year&gt;&lt;/dates&gt;&lt;rec-number&gt;607&lt;/rec-number&gt;&lt;last-updated-date format="utc"&gt;1365578512&lt;/last-updated-date&gt;&lt;volume&gt;29&lt;/volume&gt;&lt;/record&gt;&lt;/Cite&gt;&lt;/EndNote&gt;</w:instrText>
      </w:r>
      <w:r w:rsidRPr="00787196">
        <w:rPr>
          <w:rFonts w:cs="Arial"/>
          <w:szCs w:val="24"/>
        </w:rPr>
        <w:fldChar w:fldCharType="separate"/>
      </w:r>
      <w:r w:rsidRPr="00787196">
        <w:rPr>
          <w:rFonts w:cs="Arial"/>
          <w:szCs w:val="24"/>
        </w:rPr>
        <w:t>(Muller and Spitz, 2003)</w:t>
      </w:r>
      <w:r w:rsidRPr="00787196">
        <w:rPr>
          <w:rFonts w:cs="Arial"/>
          <w:szCs w:val="24"/>
        </w:rPr>
        <w:fldChar w:fldCharType="end"/>
      </w:r>
      <w:r w:rsidRPr="00787196">
        <w:rPr>
          <w:rFonts w:cs="Arial"/>
          <w:szCs w:val="24"/>
        </w:rPr>
        <w:t xml:space="preserve"> </w:t>
      </w:r>
      <w:r w:rsidR="00272928" w:rsidRPr="00787196">
        <w:rPr>
          <w:rFonts w:cs="Arial"/>
          <w:szCs w:val="24"/>
        </w:rPr>
        <w:t xml:space="preserve">and have shown </w:t>
      </w:r>
      <w:r w:rsidRPr="00787196">
        <w:rPr>
          <w:rFonts w:cs="Arial"/>
          <w:szCs w:val="24"/>
        </w:rPr>
        <w:t xml:space="preserve">good psychometric properties. </w:t>
      </w:r>
      <w:r w:rsidR="00272928" w:rsidRPr="00787196">
        <w:rPr>
          <w:rFonts w:cs="Arial"/>
          <w:szCs w:val="24"/>
        </w:rPr>
        <w:t xml:space="preserve">This instrument </w:t>
      </w:r>
      <w:r w:rsidRPr="00787196">
        <w:rPr>
          <w:rFonts w:cs="Arial"/>
          <w:szCs w:val="24"/>
        </w:rPr>
        <w:t xml:space="preserve">has also been tested in Nepal, Malaysia, Kenya </w:t>
      </w:r>
      <w:r w:rsidRPr="00787196">
        <w:rPr>
          <w:rFonts w:cs="Arial"/>
          <w:szCs w:val="24"/>
        </w:rPr>
        <w:fldChar w:fldCharType="begin">
          <w:fldData xml:space="preserve">PEVuZE5vdGU+PENpdGU+PEF1dGhvcj5ZdXNvZmY8L0F1dGhvcj48WWVhcj4yMDExPC9ZZWFyPjxS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</w:fldData>
        </w:fldChar>
      </w:r>
      <w:r w:rsidRPr="00787196">
        <w:rPr>
          <w:rFonts w:cs="Arial"/>
          <w:szCs w:val="24"/>
        </w:rPr>
        <w:instrText xml:space="preserve"> ADDIN EN.CITE </w:instrText>
      </w:r>
      <w:r w:rsidRPr="00787196">
        <w:rPr>
          <w:rFonts w:cs="Arial"/>
          <w:szCs w:val="24"/>
        </w:rPr>
        <w:fldChar w:fldCharType="begin">
          <w:fldData xml:space="preserve">PEVuZE5vdGU+PENpdGU+PEF1dGhvcj5ZdXNvZmY8L0F1dGhvcj48WWVhcj4yMDExPC9ZZWFyPjxS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(Yusoff, 2011, Kimemia et al., 2011)</w:t>
      </w:r>
      <w:r w:rsidRPr="00787196">
        <w:rPr>
          <w:rFonts w:cs="Arial"/>
          <w:szCs w:val="24"/>
        </w:rPr>
        <w:fldChar w:fldCharType="end"/>
      </w:r>
      <w:r w:rsidRPr="00787196">
        <w:rPr>
          <w:rFonts w:cs="Arial"/>
          <w:szCs w:val="24"/>
        </w:rPr>
        <w:t xml:space="preserve"> that are culturally different from European and American countries. No studies report the use of this questionnaire in India, although in one study part of the sample was Indian </w:t>
      </w:r>
      <w:r w:rsidRPr="00787196">
        <w:rPr>
          <w:rFonts w:cs="Arial"/>
          <w:szCs w:val="24"/>
        </w:rPr>
        <w:fldChar w:fldCharType="begin"/>
      </w:r>
      <w:r w:rsidRPr="00787196">
        <w:rPr>
          <w:rFonts w:cs="Arial"/>
          <w:szCs w:val="24"/>
        </w:rPr>
        <w:instrText xml:space="preserve"> ADDIN EN.CITE &lt;EndNote&gt;&lt;Cite&gt;&lt;Author&gt;Aitken&lt;/Author&gt;&lt;Year&gt;2007&lt;/Year&gt;&lt;RecNum&gt;0&lt;/RecNum&gt;&lt;IDText&gt;Coping with stress: Dispositional coping strategies of project managers&lt;/IDText&gt;&lt;DisplayText&gt;(Aitken and Crawford, 2007)&lt;/DisplayText&gt;&lt;record&gt;&lt;dates&gt;&lt;pub-dates&gt;&lt;date&gt;10//&lt;/date&gt;&lt;/pub-dates&gt;&lt;year&gt;2007&lt;/year&gt;&lt;/dates&gt;&lt;keywords&gt;&lt;keyword&gt;Coping&lt;/keyword&gt;&lt;keyword&gt;Stress&lt;/keyword&gt;&lt;keyword&gt;Project management maturity&lt;/keyword&gt;&lt;keyword&gt;Project manager development&lt;/keyword&gt;&lt;/keywords&gt;&lt;urls&gt;&lt;related-urls&gt;&lt;url&gt;http://www.sciencedirect.com/science/article/pii/S0263786307000361&lt;/url&gt;&lt;/related-urls&gt;&lt;/urls&gt;&lt;isbn&gt;0263-7863&lt;/isbn&gt;&lt;titles&gt;&lt;title&gt;Coping with stress: Dispositional coping strategies of project managers&lt;/title&gt;&lt;secondary-title&gt;International Journal of Project Management&lt;/secondary-title&gt;&lt;/titles&gt;&lt;pages&gt;666-673&lt;/pages&gt;&lt;number&gt;7&lt;/number&gt;&lt;contributors&gt;&lt;authors&gt;&lt;author&gt;Aitken, Alicia&lt;/author&gt;&lt;author&gt;Crawford, Lynn&lt;/author&gt;&lt;/authors&gt;&lt;/contributors&gt;&lt;added-date format="utc"&gt;1365607550&lt;/added-date&gt;&lt;ref-type name="Journal Article"&gt;17&lt;/ref-type&gt;&lt;rec-number&gt;614&lt;/rec-number&gt;&lt;last-updated-date format="utc"&gt;1385713712&lt;/last-updated-date&gt;&lt;electronic-resource-num&gt;http://dx.doi.org/10.1016/j.ijproman.2007.02.003&lt;/electronic-resource-num&gt;&lt;volume&gt;25&lt;/volume&gt;&lt;/record&gt;&lt;/Cite&gt;&lt;/EndNote&gt;</w:instrText>
      </w:r>
      <w:r w:rsidRPr="00787196">
        <w:rPr>
          <w:rFonts w:cs="Arial"/>
          <w:szCs w:val="24"/>
        </w:rPr>
        <w:fldChar w:fldCharType="separate"/>
      </w:r>
      <w:r w:rsidRPr="00787196">
        <w:rPr>
          <w:rFonts w:cs="Arial"/>
          <w:szCs w:val="24"/>
        </w:rPr>
        <w:t>(Aitken and Crawford, 2007)</w:t>
      </w:r>
      <w:r w:rsidRPr="00787196">
        <w:rPr>
          <w:rFonts w:cs="Arial"/>
          <w:szCs w:val="24"/>
        </w:rPr>
        <w:fldChar w:fldCharType="end"/>
      </w:r>
      <w:r w:rsidRPr="00787196">
        <w:rPr>
          <w:rFonts w:cs="Arial"/>
          <w:szCs w:val="24"/>
        </w:rPr>
        <w:t xml:space="preserve">. Heydecke and colleagues </w:t>
      </w:r>
      <w:r w:rsidRPr="00787196">
        <w:rPr>
          <w:rFonts w:cs="Arial"/>
          <w:szCs w:val="24"/>
        </w:rPr>
        <w:fldChar w:fldCharType="begin"/>
      </w:r>
      <w:r w:rsidRPr="00787196">
        <w:rPr>
          <w:rFonts w:cs="Arial"/>
          <w:szCs w:val="24"/>
        </w:rPr>
        <w:instrText xml:space="preserve"> ADDIN EN.CITE &lt;EndNote&gt;&lt;Cite ExcludeAuth="1"&gt;&lt;Author&gt;Heydecke&lt;/Author&gt;&lt;Year&gt;2004&lt;/Year&gt;&lt;RecNum&gt;0&lt;/RecNum&gt;&lt;IDText&gt;Complete dentures and oral health-related quality of life – do coping styles matter?&lt;/IDText&gt;&lt;DisplayText&gt;(2004)&lt;/DisplayText&gt;&lt;record&gt;&lt;keywords&gt;&lt;keyword&gt;coping&lt;/keyword&gt;&lt;keyword&gt;dentures&lt;/keyword&gt;&lt;keyword&gt;quality of life&lt;/keyword&gt;&lt;keyword&gt;stress&lt;/keyword&gt;&lt;keyword&gt;treatment outcomes&lt;/keyword&gt;&lt;/keywords&gt;&lt;urls&gt;&lt;related-urls&gt;&lt;url&gt;http://dx.doi.org/10.1111/j.1600-0528.2004.00169.x&lt;/url&gt;&lt;/related-urls&gt;&lt;/urls&gt;&lt;isbn&gt;1600-0528&lt;/isbn&gt;&lt;titles&gt;&lt;title&gt;Complete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Pr="00787196">
        <w:rPr>
          <w:rFonts w:cs="Arial"/>
          <w:szCs w:val="24"/>
        </w:rPr>
        <w:fldChar w:fldCharType="separate"/>
      </w:r>
      <w:r w:rsidRPr="00787196">
        <w:rPr>
          <w:rFonts w:cs="Arial"/>
          <w:szCs w:val="24"/>
        </w:rPr>
        <w:t>(2004)</w:t>
      </w:r>
      <w:r w:rsidRPr="00787196">
        <w:rPr>
          <w:rFonts w:cs="Arial"/>
          <w:szCs w:val="24"/>
        </w:rPr>
        <w:fldChar w:fldCharType="end"/>
      </w:r>
      <w:r w:rsidRPr="00787196">
        <w:rPr>
          <w:rFonts w:cs="Arial"/>
          <w:szCs w:val="24"/>
        </w:rPr>
        <w:t>, used this questionnaire to assess coping strategies amongst edentulous patients and their effects on OHQoL.</w:t>
      </w:r>
    </w:p>
    <w:p w14:paraId="78936D57" w14:textId="77777777" w:rsidR="001277DF" w:rsidRPr="00787196" w:rsidRDefault="001277DF" w:rsidP="001277DF">
      <w:r w:rsidRPr="00787196">
        <w:t xml:space="preserve">It has been suggested that the scale Brief COPE is not designed to obtain an overall score but rather factors are to be created using the data obtained in a study to determine the composition of coping strategies </w:t>
      </w:r>
      <w:r w:rsidRPr="00787196">
        <w:fldChar w:fldCharType="begin"/>
      </w:r>
      <w:r w:rsidRPr="00787196">
        <w:instrText xml:space="preserve"> ADDIN EN.CITE &lt;EndNote&gt;&lt;Cite&gt;&lt;Author&gt;Carver&lt;/Author&gt;&lt;Year&gt;1997&lt;/Year&gt;&lt;RecNum&gt;0&lt;/RecNum&gt;&lt;IDText&gt;You want to measure coping but your protocol’too long: Consider the brief cope&lt;/IDText&gt;&lt;DisplayText&gt;(Carver, 1997)&lt;/DisplayText&gt;&lt;record&gt;&lt;isbn&gt;1070-5503&lt;/isbn&gt;&lt;titles&gt;&lt;title&gt;You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format="utc"&gt;1364393655&lt;/last-updated-date&gt;&lt;volume&gt;4&lt;/volume&gt;&lt;/record&gt;&lt;/Cite&gt;&lt;Cite&gt;&lt;Author&gt;Carver&lt;/Author&gt;&lt;Year&gt;1997&lt;/Year&gt;&lt;RecNum&gt;0&lt;/RecNum&gt;&lt;IDText&gt;You want to measure coping but your protocol’too long: Consider the brief cope&lt;/IDText&gt;&lt;record&gt;&lt;isbn&gt;1070-5503&lt;/isbn&gt;&lt;titles&gt;&lt;title&gt;You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format="utc"&gt;1364393655&lt;/last-updated-date&gt;&lt;volume&gt;4&lt;/volume&gt;&lt;/record&gt;&lt;/Cite&gt;&lt;/EndNote&gt;</w:instrText>
      </w:r>
      <w:r w:rsidRPr="00787196">
        <w:fldChar w:fldCharType="separate"/>
      </w:r>
      <w:r w:rsidRPr="00787196">
        <w:t>(Carver, 1997)</w:t>
      </w:r>
      <w:r w:rsidRPr="00787196">
        <w:fldChar w:fldCharType="end"/>
      </w:r>
      <w:r w:rsidRPr="00787196">
        <w:t xml:space="preserve">. With coping strategies being the key independent variable, the factor structure of the Brief COPE was explored to test its internal consistency in the present sample. The latent variables that might cause the manifest variables to vary were considered important. Hence, exploratory factor analysis was used instead of components analysis (which is used merely for data reduction) </w:t>
      </w:r>
      <w:r w:rsidRPr="00787196">
        <w:fldChar w:fldCharType="begin"/>
      </w:r>
      <w:r w:rsidRPr="00787196">
        <w:instrText xml:space="preserve"> ADDIN EN.CITE &lt;EndNote&gt;&lt;Cite&gt;&lt;Author&gt;Costello&lt;/Author&gt;&lt;Year&gt;2011&lt;/Year&gt;&lt;RecNum&gt;0&lt;/RecNum&gt;&lt;IDText&gt;Best practices in exploratory factor analysis: four recommendations for getting the most from your analysis. Pract Assess Res Eval 2005; 10&lt;/IDText&gt;&lt;DisplayText&gt;(Costello and Osborne, 2011)&lt;/DisplayText&gt;&lt;record&gt;&lt;titles&gt;&lt;title&gt;Best practices in exploratory factor analysis: four recommendations for getting the most from your analysis. Pract Assess Res Eval 2005; 10&lt;/title&gt;&lt;secondary-title&gt;URL http://pareonline. net/getvn. asp&lt;/secondary-title&gt;&lt;/titles&gt;&lt;pages&gt;7&lt;/pages&gt;&lt;contributors&gt;&lt;authors&gt;&lt;author&gt;Costello, A. B.&lt;/author&gt;&lt;author&gt;Osborne, J. W.&lt;/author&gt;&lt;/authors&gt;&lt;/contributors&gt;&lt;added-date format="utc"&gt;1438896110&lt;/added-date&gt;&lt;ref-type name="Journal Article"&gt;17&lt;/ref-type&gt;&lt;dates&gt;&lt;year&gt;2011&lt;/year&gt;&lt;/dates&gt;&lt;rec-number&gt;2012&lt;/rec-number&gt;&lt;last-updated-date format="utc"&gt;1438896110&lt;/last-updated-date&gt;&lt;volume&gt;10&lt;/volume&gt;&lt;/record&gt;&lt;/Cite&gt;&lt;/EndNote&gt;</w:instrText>
      </w:r>
      <w:r w:rsidRPr="00787196">
        <w:fldChar w:fldCharType="separate"/>
      </w:r>
      <w:r w:rsidRPr="00787196">
        <w:t>(Costello and Osborne, 2011)</w:t>
      </w:r>
      <w:r w:rsidRPr="00787196">
        <w:fldChar w:fldCharType="end"/>
      </w:r>
      <w:r w:rsidRPr="00787196">
        <w:t>. The factors extracted from the Brief COPE scale were used as separate variables in the analyses.</w:t>
      </w:r>
    </w:p>
    <w:p w14:paraId="4AD6AA73" w14:textId="77777777" w:rsidR="001277DF" w:rsidRPr="00787196" w:rsidRDefault="001277DF" w:rsidP="00226A04">
      <w:pPr>
        <w:pStyle w:val="Heading4"/>
      </w:pPr>
      <w:r w:rsidRPr="00787196">
        <w:t>Other variables</w:t>
      </w:r>
    </w:p>
    <w:p w14:paraId="2855E3C2" w14:textId="1AE787A6" w:rsidR="001277DF" w:rsidRPr="00787196" w:rsidRDefault="001277DF" w:rsidP="001277DF">
      <w:pPr>
        <w:spacing w:after="0"/>
        <w:rPr>
          <w:rFonts w:cs="Arial"/>
          <w:szCs w:val="24"/>
        </w:rPr>
      </w:pPr>
      <w:r w:rsidRPr="00787196">
        <w:rPr>
          <w:rFonts w:cs="Arial"/>
          <w:szCs w:val="24"/>
        </w:rPr>
        <w:t xml:space="preserve">Subjective SES was measured using the MacArthur Scale of Subjective Social Status </w:t>
      </w:r>
      <w:r w:rsidRPr="00787196">
        <w:rPr>
          <w:rFonts w:cs="Arial"/>
          <w:szCs w:val="24"/>
        </w:rPr>
        <w:fldChar w:fldCharType="begin"/>
      </w:r>
      <w:r w:rsidRPr="00787196">
        <w:rPr>
          <w:rFonts w:cs="Arial"/>
          <w:szCs w:val="24"/>
        </w:rPr>
        <w:instrText xml:space="preserve"> ADDIN EN.CITE &lt;EndNote&gt;&lt;Cite&gt;&lt;Author&gt;Adler&lt;/Author&gt;&lt;Year&gt;2000&lt;/Year&gt;&lt;RecNum&gt;0&lt;/RecNum&gt;&lt;IDText&gt;Relationship of subjective and objective social status with psychological and physiological functioning: preliminary data in healthy white women&lt;/IDText&gt;&lt;DisplayText&gt;(Adler et al., 2000)&lt;/DisplayText&gt;&lt;record&gt;&lt;isbn&gt;0278-6133&lt;/isbn&gt;&lt;titles&gt;&lt;title&gt;Relationship of subjective and objective social status with psychological and physiological functioning: preliminary data in healthy white women&lt;/title&gt;&lt;secondary-title&gt;Health psychology&lt;/secondary-title&gt;&lt;/titles&gt;&lt;pages&gt;586-592&lt;/pages&gt;&lt;number&gt;6&lt;/number&gt;&lt;contributors&gt;&lt;authors&gt;&lt;author&gt;Adler, Nancy E.&lt;/author&gt;&lt;author&gt;Epel, Elissa S.&lt;/author&gt;&lt;author&gt;Castellazzo, Grace&lt;/author&gt;&lt;author&gt;Ickovics, Jeannette R.&lt;/author&gt;&lt;/authors&gt;&lt;/contributors&gt;&lt;added-date format="utc"&gt;1364572958&lt;/added-date&gt;&lt;ref-type name="Journal Article"&gt;17&lt;/ref-type&gt;&lt;dates&gt;&lt;year&gt;2000&lt;/year&gt;&lt;/dates&gt;&lt;rec-number&gt;602&lt;/rec-number&gt;&lt;last-updated-date format="utc"&gt;1364572958&lt;/last-updated-date&gt;&lt;volume&gt;19&lt;/volume&gt;&lt;/record&gt;&lt;/Cite&gt;&lt;/EndNote&gt;</w:instrText>
      </w:r>
      <w:r w:rsidRPr="00787196">
        <w:rPr>
          <w:rFonts w:cs="Arial"/>
          <w:szCs w:val="24"/>
        </w:rPr>
        <w:fldChar w:fldCharType="separate"/>
      </w:r>
      <w:r w:rsidRPr="00787196">
        <w:rPr>
          <w:rFonts w:cs="Arial"/>
          <w:szCs w:val="24"/>
        </w:rPr>
        <w:t>(Adler et al., 2000)</w:t>
      </w:r>
      <w:r w:rsidRPr="00787196">
        <w:rPr>
          <w:rFonts w:cs="Arial"/>
          <w:szCs w:val="24"/>
        </w:rPr>
        <w:fldChar w:fldCharType="end"/>
      </w:r>
      <w:r w:rsidRPr="00787196">
        <w:rPr>
          <w:rFonts w:cs="Arial"/>
          <w:szCs w:val="24"/>
        </w:rPr>
        <w:t xml:space="preserve">. The scale is a single-item measure of a person's current self-perceived social </w:t>
      </w:r>
      <w:r w:rsidR="00272928" w:rsidRPr="00787196">
        <w:rPr>
          <w:rFonts w:cs="Arial"/>
          <w:szCs w:val="24"/>
        </w:rPr>
        <w:t>position</w:t>
      </w:r>
      <w:r w:rsidRPr="00787196">
        <w:rPr>
          <w:rFonts w:cs="Arial"/>
          <w:szCs w:val="24"/>
        </w:rPr>
        <w:t>. Participants are asked to place a cross on the rung of a 10-rung ladder that best represents their perceived position relative to other people in the society.</w:t>
      </w:r>
    </w:p>
    <w:p w14:paraId="020F4520" w14:textId="77777777" w:rsidR="001277DF" w:rsidRPr="00787196" w:rsidRDefault="001277DF" w:rsidP="001277DF">
      <w:pPr>
        <w:spacing w:before="0" w:after="0" w:line="240" w:lineRule="auto"/>
        <w:jc w:val="left"/>
        <w:rPr>
          <w:rFonts w:cs="Arial"/>
          <w:szCs w:val="24"/>
        </w:rPr>
      </w:pPr>
      <w:r w:rsidRPr="00787196">
        <w:rPr>
          <w:rFonts w:cs="Arial"/>
          <w:szCs w:val="24"/>
        </w:rPr>
        <w:br w:type="page"/>
      </w:r>
    </w:p>
    <w:p w14:paraId="1EDB8038" w14:textId="080841B1" w:rsidR="001277DF" w:rsidRPr="00787196" w:rsidRDefault="001277DF" w:rsidP="001277DF">
      <w:pPr>
        <w:spacing w:after="0"/>
        <w:rPr>
          <w:rFonts w:cs="Arial"/>
          <w:szCs w:val="24"/>
        </w:rPr>
      </w:pPr>
      <w:r w:rsidRPr="00787196">
        <w:rPr>
          <w:rFonts w:cs="Arial"/>
          <w:szCs w:val="24"/>
        </w:rPr>
        <w:lastRenderedPageBreak/>
        <w:t xml:space="preserve">Higher </w:t>
      </w:r>
      <w:r w:rsidR="006D32BD" w:rsidRPr="00787196">
        <w:rPr>
          <w:rFonts w:cs="Arial"/>
          <w:szCs w:val="24"/>
        </w:rPr>
        <w:t>SES scores</w:t>
      </w:r>
      <w:r w:rsidRPr="00787196">
        <w:rPr>
          <w:rFonts w:cs="Arial"/>
          <w:szCs w:val="24"/>
        </w:rPr>
        <w:t xml:space="preserve"> </w:t>
      </w:r>
      <w:r w:rsidR="006D32BD" w:rsidRPr="00787196">
        <w:rPr>
          <w:rFonts w:cs="Arial"/>
          <w:szCs w:val="24"/>
        </w:rPr>
        <w:t>were related</w:t>
      </w:r>
      <w:r w:rsidR="00637FE4" w:rsidRPr="00787196">
        <w:rPr>
          <w:rFonts w:cs="Arial"/>
          <w:szCs w:val="24"/>
        </w:rPr>
        <w:t xml:space="preserve"> to</w:t>
      </w:r>
      <w:r w:rsidRPr="00787196">
        <w:rPr>
          <w:rFonts w:cs="Arial"/>
          <w:szCs w:val="24"/>
        </w:rPr>
        <w:t xml:space="preserve"> better health. Th</w:t>
      </w:r>
      <w:r w:rsidR="00637FE4" w:rsidRPr="00787196">
        <w:rPr>
          <w:rFonts w:cs="Arial"/>
          <w:szCs w:val="24"/>
        </w:rPr>
        <w:t>e</w:t>
      </w:r>
      <w:r w:rsidRPr="00787196">
        <w:rPr>
          <w:rFonts w:cs="Arial"/>
          <w:szCs w:val="24"/>
        </w:rPr>
        <w:t xml:space="preserve"> </w:t>
      </w:r>
      <w:r w:rsidR="00637FE4" w:rsidRPr="00787196">
        <w:rPr>
          <w:rFonts w:cs="Arial"/>
          <w:szCs w:val="24"/>
        </w:rPr>
        <w:t xml:space="preserve">instrument </w:t>
      </w:r>
      <w:r w:rsidRPr="00787196">
        <w:rPr>
          <w:rFonts w:cs="Arial"/>
          <w:szCs w:val="24"/>
        </w:rPr>
        <w:t xml:space="preserve">has been used in health and oral health research </w:t>
      </w:r>
      <w:r w:rsidRPr="00787196">
        <w:rPr>
          <w:rFonts w:cs="Arial"/>
          <w:szCs w:val="24"/>
        </w:rPr>
        <w:fldChar w:fldCharType="begin">
          <w:fldData xml:space="preserve">PEVuZE5vdGU+PENpdGU+PEF1dGhvcj5PcGVyYXJpbzwvQXV0aG9yPjxZZWFyPjIwMDQ8L1llYXI+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==
</w:fldData>
        </w:fldChar>
      </w:r>
      <w:r w:rsidRPr="00787196">
        <w:rPr>
          <w:rFonts w:cs="Arial"/>
          <w:szCs w:val="24"/>
        </w:rPr>
        <w:instrText xml:space="preserve"> ADDIN EN.CITE </w:instrText>
      </w:r>
      <w:r w:rsidRPr="00787196">
        <w:rPr>
          <w:rFonts w:cs="Arial"/>
          <w:szCs w:val="24"/>
        </w:rPr>
        <w:fldChar w:fldCharType="begin">
          <w:fldData xml:space="preserve">PEVuZE5vdGU+PENpdGU+PEF1dGhvcj5PcGVyYXJpbzwvQXV0aG9yPjxZZWFyPjIwMDQ8L1llYXI+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==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(Operario et al., 2004, Sanders et al., 2006a)</w:t>
      </w:r>
      <w:r w:rsidRPr="00787196">
        <w:rPr>
          <w:rFonts w:cs="Arial"/>
          <w:szCs w:val="24"/>
        </w:rPr>
        <w:fldChar w:fldCharType="end"/>
      </w:r>
      <w:r w:rsidR="00637FE4" w:rsidRPr="00787196">
        <w:rPr>
          <w:rFonts w:cs="Arial"/>
          <w:szCs w:val="24"/>
        </w:rPr>
        <w:t xml:space="preserve"> and has shown a good </w:t>
      </w:r>
      <w:r w:rsidRPr="00787196">
        <w:rPr>
          <w:rFonts w:cs="Arial"/>
          <w:szCs w:val="24"/>
        </w:rPr>
        <w:t xml:space="preserve">test-retest reliability with Spearman’s coefficient 0.62 (p&lt;0.01) </w:t>
      </w:r>
      <w:r w:rsidRPr="00787196">
        <w:rPr>
          <w:rFonts w:cs="Arial"/>
          <w:szCs w:val="24"/>
        </w:rPr>
        <w:fldChar w:fldCharType="begin"/>
      </w:r>
      <w:r w:rsidRPr="00787196">
        <w:rPr>
          <w:rFonts w:cs="Arial"/>
          <w:szCs w:val="24"/>
        </w:rPr>
        <w:instrText xml:space="preserve"> ADDIN EN.CITE &lt;EndNote&gt;&lt;Cite&gt;&lt;Author&gt;Operario&lt;/Author&gt;&lt;Year&gt;2004&lt;/Year&gt;&lt;RecNum&gt;56&lt;/RecNum&gt;&lt;DisplayText&gt;(Operario et al., 2004)&lt;/DisplayText&gt;&lt;record&gt;&lt;rec-number&gt;56&lt;/rec-number&gt;&lt;foreign-keys&gt;&lt;key app="EN" db-id="xf0vwtv58a0w9wezwe9vp0fn0wwt2fp5srs0"&gt;56&lt;/key&gt;&lt;/foreign-keys&gt;&lt;ref-type name="Journal Article"&gt;17&lt;/ref-type&gt;&lt;contributors&gt;&lt;authors&gt;&lt;author&gt;Operario, Don&lt;/author&gt;&lt;author&gt;Adler, Nancy E.&lt;/author&gt;&lt;author&gt;Williams, David R.&lt;/author&gt;&lt;/authors&gt;&lt;/contributors&gt;&lt;titles&gt;&lt;title&gt;Subjective social status: reliability and predictive utility for global health&lt;/title&gt;&lt;secondary-title&gt;Psychology &amp;amp; Health&lt;/secondary-title&gt;&lt;/titles&gt;&lt;periodical&gt;&lt;full-title&gt;Psychology &amp;amp; Health&lt;/full-title&gt;&lt;/periodical&gt;&lt;pages&gt;237-246&lt;/pages&gt;&lt;volume&gt;19&lt;/volume&gt;&lt;number&gt;2&lt;/number&gt;&lt;dates&gt;&lt;year&gt;2004&lt;/year&gt;&lt;pub-dates&gt;&lt;date&gt;04/01&amp;#xD;2011/07/12&lt;/date&gt;&lt;/pub-dates&gt;&lt;/dates&gt;&lt;publisher&gt;Routledge&lt;/publisher&gt;&lt;urls&gt;&lt;related-urls&gt;&lt;url&gt;http://www.tandfonline.com/doi/abs/10.1080/08870440310001638098 &lt;/url&gt;&lt;/related-urls&gt;&lt;/urls&gt;&lt;/record&gt;&lt;/Cite&gt;&lt;/EndNote&gt;</w:instrText>
      </w:r>
      <w:r w:rsidRPr="00787196">
        <w:rPr>
          <w:rFonts w:cs="Arial"/>
          <w:szCs w:val="24"/>
        </w:rPr>
        <w:fldChar w:fldCharType="separate"/>
      </w:r>
      <w:r w:rsidRPr="00787196">
        <w:rPr>
          <w:rFonts w:cs="Arial"/>
          <w:szCs w:val="24"/>
        </w:rPr>
        <w:t>(Operario et al., 2004)</w:t>
      </w:r>
      <w:r w:rsidRPr="00787196">
        <w:rPr>
          <w:rFonts w:cs="Arial"/>
          <w:szCs w:val="24"/>
        </w:rPr>
        <w:fldChar w:fldCharType="end"/>
      </w:r>
      <w:r w:rsidRPr="00787196">
        <w:rPr>
          <w:rFonts w:cs="Arial"/>
          <w:szCs w:val="24"/>
        </w:rPr>
        <w:t>. Only one study used th</w:t>
      </w:r>
      <w:r w:rsidR="00637FE4" w:rsidRPr="00787196">
        <w:rPr>
          <w:rFonts w:cs="Arial"/>
          <w:szCs w:val="24"/>
        </w:rPr>
        <w:t>is instrument</w:t>
      </w:r>
      <w:r w:rsidRPr="00787196">
        <w:rPr>
          <w:rFonts w:cs="Arial"/>
          <w:szCs w:val="24"/>
        </w:rPr>
        <w:t xml:space="preserve"> in </w:t>
      </w:r>
      <w:r w:rsidR="00637FE4" w:rsidRPr="00787196">
        <w:rPr>
          <w:rFonts w:cs="Arial"/>
          <w:szCs w:val="24"/>
        </w:rPr>
        <w:t xml:space="preserve">an </w:t>
      </w:r>
      <w:r w:rsidRPr="00787196">
        <w:rPr>
          <w:rFonts w:cs="Arial"/>
          <w:szCs w:val="24"/>
        </w:rPr>
        <w:t>India</w:t>
      </w:r>
      <w:r w:rsidR="00637FE4" w:rsidRPr="00787196">
        <w:rPr>
          <w:rFonts w:cs="Arial"/>
          <w:szCs w:val="24"/>
        </w:rPr>
        <w:t>n population</w:t>
      </w:r>
      <w:r w:rsidRPr="00787196">
        <w:rPr>
          <w:rFonts w:cs="Arial"/>
          <w:szCs w:val="24"/>
        </w:rPr>
        <w:t xml:space="preserve"> </w:t>
      </w:r>
      <w:r w:rsidR="00637FE4" w:rsidRPr="00787196">
        <w:rPr>
          <w:rFonts w:cs="Arial"/>
          <w:szCs w:val="24"/>
        </w:rPr>
        <w:t>assessing the associations</w:t>
      </w:r>
      <w:r w:rsidRPr="00787196">
        <w:rPr>
          <w:rFonts w:cs="Arial"/>
          <w:szCs w:val="24"/>
        </w:rPr>
        <w:t xml:space="preserve"> between subjective and objective SES and metabolic syndrome (Suchday, 2008). Subjective and objective SES were correlated (r= 0.24, P&lt;0.04) suggesting </w:t>
      </w:r>
      <w:r w:rsidR="002C72AA" w:rsidRPr="00787196">
        <w:rPr>
          <w:rFonts w:cs="Arial"/>
          <w:szCs w:val="24"/>
        </w:rPr>
        <w:t xml:space="preserve">the </w:t>
      </w:r>
      <w:r w:rsidRPr="00787196">
        <w:rPr>
          <w:rFonts w:cs="Arial"/>
          <w:szCs w:val="24"/>
        </w:rPr>
        <w:t xml:space="preserve">use of this </w:t>
      </w:r>
      <w:r w:rsidR="002C72AA" w:rsidRPr="00787196">
        <w:rPr>
          <w:rFonts w:cs="Arial"/>
          <w:szCs w:val="24"/>
        </w:rPr>
        <w:t xml:space="preserve">instrument </w:t>
      </w:r>
      <w:r w:rsidRPr="00787196">
        <w:rPr>
          <w:rFonts w:cs="Arial"/>
          <w:szCs w:val="24"/>
        </w:rPr>
        <w:t>as an acceptable indicator of SES in India.</w:t>
      </w:r>
    </w:p>
    <w:p w14:paraId="5CB24978" w14:textId="1D35FA55" w:rsidR="001277DF" w:rsidRPr="00787196" w:rsidRDefault="001277DF" w:rsidP="001277DF">
      <w:pPr>
        <w:spacing w:after="240"/>
        <w:rPr>
          <w:rFonts w:cs="Arial"/>
          <w:szCs w:val="24"/>
        </w:rPr>
      </w:pPr>
      <w:r w:rsidRPr="00787196">
        <w:rPr>
          <w:rFonts w:cs="Arial"/>
          <w:szCs w:val="24"/>
        </w:rPr>
        <w:t xml:space="preserve">Concern about oral health was measured using  a 6-item scale based on Maslow’s </w:t>
      </w:r>
      <w:r w:rsidRPr="00787196">
        <w:rPr>
          <w:rFonts w:cs="Arial"/>
          <w:szCs w:val="24"/>
        </w:rPr>
        <w:fldChar w:fldCharType="begin"/>
      </w:r>
      <w:r w:rsidRPr="00787196">
        <w:rPr>
          <w:rFonts w:cs="Arial"/>
          <w:szCs w:val="24"/>
        </w:rPr>
        <w:instrText xml:space="preserve"> ADDIN EN.CITE &lt;EndNote&gt;&lt;Cite ExcludeAuth="1"&gt;&lt;Author&gt;Maslow&lt;/Author&gt;&lt;Year&gt;1943&lt;/Year&gt;&lt;RecNum&gt;0&lt;/RecNum&gt;&lt;IDText&gt;A theory of human motivation&lt;/IDText&gt;&lt;DisplayText&gt;(1943)&lt;/DisplayText&gt;&lt;record&gt;&lt;urls&gt;&lt;related-urls&gt;&lt;url&gt;http://psychclassics.yorku.ca/Maslow/motivation.htm&lt;/url&gt;&lt;/related-urls&gt;&lt;/urls&gt;&lt;titles&gt;&lt;title&gt;A theory of human motivation&lt;/title&gt;&lt;/titles&gt;&lt;titles&gt;&lt;secondary-title&gt;&lt;style font="default" size="100%"&gt; &lt;/style&gt;&lt;style face="italic" font="default" size="100%"&gt;Psychological Review&lt;/style&gt;&lt;/secondary-title&gt;&lt;/titles&gt;&lt;pages&gt;370-396&lt;/pages&gt;&lt;number&gt;4&lt;/number&gt;&lt;contributors&gt;&lt;authors&gt;&lt;author&gt;Maslow, Abraham H&lt;/author&gt;&lt;/authors&gt;&lt;/contributors&gt;&lt;added-date format="utc"&gt;1368182791&lt;/added-date&gt;&lt;ref-type name="Journal Article"&gt;17&lt;/ref-type&gt;&lt;dates&gt;&lt;year&gt;1943&lt;/year&gt;&lt;/dates&gt;&lt;rec-number&gt;682&lt;/rec-number&gt;&lt;last-updated-date format="utc"&gt;1368183475&lt;/last-updated-date&gt;&lt;volume&gt;&lt;style face="italic" font="default" size="100%"&gt;50&lt;/style&gt;&lt;/volume&gt;&lt;/record&gt;&lt;/Cite&gt;&lt;/EndNote&gt;</w:instrText>
      </w:r>
      <w:r w:rsidRPr="00787196">
        <w:rPr>
          <w:rFonts w:cs="Arial"/>
          <w:szCs w:val="24"/>
        </w:rPr>
        <w:fldChar w:fldCharType="separate"/>
      </w:r>
      <w:r w:rsidRPr="00787196">
        <w:rPr>
          <w:rFonts w:cs="Arial"/>
          <w:szCs w:val="24"/>
        </w:rPr>
        <w:t>(1943)</w:t>
      </w:r>
      <w:r w:rsidRPr="00787196">
        <w:rPr>
          <w:rFonts w:cs="Arial"/>
          <w:szCs w:val="24"/>
        </w:rPr>
        <w:fldChar w:fldCharType="end"/>
      </w:r>
      <w:r w:rsidRPr="00787196">
        <w:rPr>
          <w:rFonts w:cs="Arial"/>
          <w:szCs w:val="24"/>
        </w:rPr>
        <w:t xml:space="preserve"> theory of hierarchy of needs mainly and the dental indifference scale designed by Nuttall and colleagues (1996).  There are five levels of needs: physiological, safety, social, esteem and self-actualisation, and thus five questions were framed within his framework related to the mouth and teeth. A sixth question related to overall concern about the mouth and teeth (My mouth and teeth really matter to me) was included.</w:t>
      </w:r>
    </w:p>
    <w:p w14:paraId="3EB9696B" w14:textId="4E3CD20D" w:rsidR="001277DF" w:rsidRPr="00787196" w:rsidRDefault="001277DF" w:rsidP="00AD40CB">
      <w:pPr>
        <w:spacing w:after="0"/>
        <w:rPr>
          <w:rFonts w:cs="Arial"/>
          <w:szCs w:val="24"/>
        </w:rPr>
      </w:pPr>
      <w:r w:rsidRPr="00787196">
        <w:rPr>
          <w:rFonts w:cs="Arial"/>
          <w:szCs w:val="24"/>
        </w:rPr>
        <w:t xml:space="preserve">The scale used a 4 point Likert scale from </w:t>
      </w:r>
      <w:r w:rsidR="00D24017" w:rsidRPr="00787196">
        <w:rPr>
          <w:rFonts w:cs="Arial"/>
          <w:szCs w:val="24"/>
        </w:rPr>
        <w:t>1</w:t>
      </w:r>
      <w:r w:rsidRPr="00787196">
        <w:rPr>
          <w:rFonts w:cs="Arial"/>
          <w:szCs w:val="24"/>
        </w:rPr>
        <w:t xml:space="preserve"> - Strongly agree to </w:t>
      </w:r>
      <w:r w:rsidR="00D24017" w:rsidRPr="00787196">
        <w:rPr>
          <w:rFonts w:cs="Arial"/>
          <w:szCs w:val="24"/>
        </w:rPr>
        <w:t>5</w:t>
      </w:r>
      <w:r w:rsidRPr="00787196">
        <w:rPr>
          <w:rFonts w:cs="Arial"/>
          <w:szCs w:val="24"/>
        </w:rPr>
        <w:t xml:space="preserve"> – Strongly disagree with. Items 4, 5 and 6 were reverse scored. The sum of the scores was used to reflect the total level of concern an individual had towards his/her oral health. Higher scores indicated greater concern. This scale was used </w:t>
      </w:r>
      <w:r w:rsidR="00AD40CB" w:rsidRPr="00787196">
        <w:rPr>
          <w:rFonts w:cs="Arial"/>
          <w:szCs w:val="24"/>
        </w:rPr>
        <w:t xml:space="preserve">by Marshman and colleagues </w:t>
      </w:r>
      <w:r w:rsidRPr="00787196">
        <w:rPr>
          <w:rFonts w:cs="Arial"/>
          <w:szCs w:val="24"/>
        </w:rPr>
        <w:fldChar w:fldCharType="begin"/>
      </w:r>
      <w:r w:rsidRPr="00787196">
        <w:rPr>
          <w:rFonts w:cs="Arial"/>
          <w:szCs w:val="24"/>
        </w:rPr>
        <w:instrText xml:space="preserve"> ADDIN EN.CITE &lt;EndNote&gt;&lt;Cite ExcludeAuth="1"&gt;&lt;Author&gt;Marshman&lt;/Author&gt;&lt;Year&gt;2014&lt;/Year&gt;&lt;IDText&gt;Does dental indifference influence the oral health-related quality of life of prisoners?&lt;/IDText&gt;&lt;DisplayText&gt;(2014)&lt;/DisplayText&gt;&lt;record&gt;&lt;keywords&gt;&lt;keyword&gt;psychosocial aspects of oral health&lt;/keyword&gt;&lt;keyword&gt;quality of life&lt;/keyword&gt;&lt;/keywords&gt;&lt;urls&gt;&lt;related-urls&gt;&lt;url&gt;http://dx.doi.org/10.1111/cdoe.12097&lt;/url&gt;&lt;/related-urls&gt;&lt;/urls&gt;&lt;isbn&gt;1600-0528&lt;/isbn&gt;&lt;titles&gt;&lt;title&gt;Does dental indifference influence the oral health-related quality of life of prisoners?&lt;/title&gt;&lt;secondary-title&gt;Community Dentistry and Oral Epidemiology&lt;/secondary-title&gt;&lt;/titles&gt;&lt;pages&gt;470-480&lt;/pages&gt;&lt;number&gt;5&lt;/number&gt;&lt;contributors&gt;&lt;authors&gt;&lt;author&gt;Marshman, Zoe&lt;/author&gt;&lt;author&gt;Baker, Sarah R.&lt;/author&gt;&lt;author&gt;Robinson, Peter G.&lt;/author&gt;&lt;/authors&gt;&lt;/contributors&gt;&lt;added-date format="utc"&gt;1481188753&lt;/added-date&gt;&lt;ref-type name="Journal Article"&gt;17&lt;/ref-type&gt;&lt;dates&gt;&lt;year&gt;2014&lt;/year&gt;&lt;/dates&gt;&lt;rec-number&gt;2657&lt;/rec-number&gt;&lt;last-updated-date format="utc"&gt;1481188753&lt;/last-updated-date&gt;&lt;electronic-resource-num&gt;10.1111/cdoe.12097&lt;/electronic-resource-num&gt;&lt;volume&gt;42&lt;/volume&gt;&lt;/record&gt;&lt;/Cite&gt;&lt;/EndNote&gt;</w:instrText>
      </w:r>
      <w:r w:rsidRPr="00787196">
        <w:rPr>
          <w:rFonts w:cs="Arial"/>
          <w:szCs w:val="24"/>
        </w:rPr>
        <w:fldChar w:fldCharType="separate"/>
      </w:r>
      <w:r w:rsidRPr="00787196">
        <w:rPr>
          <w:rFonts w:cs="Arial"/>
          <w:szCs w:val="24"/>
        </w:rPr>
        <w:t>(2014)</w:t>
      </w:r>
      <w:r w:rsidRPr="00787196">
        <w:rPr>
          <w:rFonts w:cs="Arial"/>
          <w:szCs w:val="24"/>
        </w:rPr>
        <w:fldChar w:fldCharType="end"/>
      </w:r>
      <w:r w:rsidRPr="00787196">
        <w:rPr>
          <w:rFonts w:cs="Arial"/>
          <w:szCs w:val="24"/>
        </w:rPr>
        <w:t xml:space="preserve"> </w:t>
      </w:r>
      <w:r w:rsidR="00AD40CB" w:rsidRPr="00787196">
        <w:rPr>
          <w:rFonts w:cs="Arial"/>
          <w:szCs w:val="24"/>
        </w:rPr>
        <w:t>in their study to observe whether dental indifference determined OHQoL.</w:t>
      </w:r>
    </w:p>
    <w:p w14:paraId="6A0E0C21" w14:textId="77777777" w:rsidR="001277DF" w:rsidRPr="00787196" w:rsidRDefault="001277DF" w:rsidP="001277DF">
      <w:pPr>
        <w:spacing w:before="0" w:after="0"/>
        <w:rPr>
          <w:rFonts w:cs="Arial"/>
          <w:szCs w:val="24"/>
        </w:rPr>
      </w:pPr>
    </w:p>
    <w:p w14:paraId="1E73689F" w14:textId="09435079" w:rsidR="00AD40CB" w:rsidRPr="00787196" w:rsidRDefault="001277DF" w:rsidP="006C2B50">
      <w:pPr>
        <w:spacing w:before="0" w:after="0"/>
        <w:rPr>
          <w:rFonts w:cs="Arial"/>
          <w:szCs w:val="24"/>
        </w:rPr>
      </w:pPr>
      <w:r w:rsidRPr="00787196">
        <w:rPr>
          <w:rFonts w:cs="Arial"/>
          <w:szCs w:val="24"/>
        </w:rPr>
        <w:t>Expectations regarding ageing w</w:t>
      </w:r>
      <w:r w:rsidR="00AD40CB" w:rsidRPr="00787196">
        <w:rPr>
          <w:rFonts w:cs="Arial"/>
          <w:szCs w:val="24"/>
        </w:rPr>
        <w:t>as</w:t>
      </w:r>
      <w:r w:rsidRPr="00787196">
        <w:rPr>
          <w:rFonts w:cs="Arial"/>
          <w:szCs w:val="24"/>
        </w:rPr>
        <w:t xml:space="preserve"> measured using the short form of the Expectations regarding Ageing (ERA -12), a 12 item questionnaire developed by Sarkisian and colleagues </w:t>
      </w:r>
      <w:r w:rsidRPr="00787196">
        <w:rPr>
          <w:rFonts w:cs="Arial"/>
          <w:szCs w:val="24"/>
        </w:rPr>
        <w:fldChar w:fldCharType="begin"/>
      </w:r>
      <w:r w:rsidRPr="00787196">
        <w:rPr>
          <w:rFonts w:cs="Arial"/>
          <w:szCs w:val="24"/>
        </w:rPr>
        <w:instrText xml:space="preserve"> ADDIN EN.CITE &lt;EndNote&gt;&lt;Cite ExcludeAuth="1"&gt;&lt;Author&gt;Sarkisian&lt;/Author&gt;&lt;Year&gt;2005&lt;/Year&gt;&lt;RecNum&gt;0&lt;/RecNum&gt;&lt;IDText&gt;Development of the 12-item expectations regarding aging survey&lt;/IDText&gt;&lt;DisplayText&gt;(2005)&lt;/DisplayText&gt;&lt;record&gt;&lt;isbn&gt;0016-9013&lt;/isbn&gt;&lt;titles&gt;&lt;title&gt;Development of the 12-item expectations regarding aging survey&lt;/title&gt;&lt;secondary-title&gt;The Gerontologist&lt;/secondary-title&gt;&lt;/titles&gt;&lt;pages&gt;240-248&lt;/pages&gt;&lt;number&gt;2&lt;/number&gt;&lt;contributors&gt;&lt;authors&gt;&lt;author&gt;Sarkisian, Catherine A.&lt;/author&gt;&lt;author&gt;Steers, W. Neil&lt;/author&gt;&lt;author&gt;Hays, Ron D.&lt;/author&gt;&lt;author&gt;Mangione, Carol M.&lt;/author&gt;&lt;/authors&gt;&lt;/contributors&gt;&lt;added-date format="utc"&gt;1364402263&lt;/added-date&gt;&lt;ref-type name="Journal Article"&gt;17&lt;/ref-type&gt;&lt;dates&gt;&lt;year&gt;2005&lt;/year&gt;&lt;/dates&gt;&lt;rec-number&gt;599&lt;/rec-number&gt;&lt;last-updated-date format="utc"&gt;1364402263&lt;/last-updated-date&gt;&lt;volume&gt;45&lt;/volume&gt;&lt;/record&gt;&lt;/Cite&gt;&lt;/EndNote&gt;</w:instrText>
      </w:r>
      <w:r w:rsidRPr="00787196">
        <w:rPr>
          <w:rFonts w:cs="Arial"/>
          <w:szCs w:val="24"/>
        </w:rPr>
        <w:fldChar w:fldCharType="separate"/>
      </w:r>
      <w:r w:rsidRPr="00787196">
        <w:rPr>
          <w:rFonts w:cs="Arial"/>
          <w:szCs w:val="24"/>
        </w:rPr>
        <w:t>(2005)</w:t>
      </w:r>
      <w:r w:rsidRPr="00787196">
        <w:rPr>
          <w:rFonts w:cs="Arial"/>
          <w:szCs w:val="24"/>
        </w:rPr>
        <w:fldChar w:fldCharType="end"/>
      </w:r>
      <w:r w:rsidRPr="00787196">
        <w:rPr>
          <w:rFonts w:cs="Arial"/>
          <w:szCs w:val="24"/>
        </w:rPr>
        <w:t xml:space="preserve">. This was a shortened version of  ERA-38 </w:t>
      </w:r>
      <w:r w:rsidRPr="00787196">
        <w:rPr>
          <w:rFonts w:cs="Arial"/>
          <w:szCs w:val="24"/>
        </w:rPr>
        <w:fldChar w:fldCharType="begin"/>
      </w:r>
      <w:r w:rsidRPr="00787196">
        <w:rPr>
          <w:rFonts w:cs="Arial"/>
          <w:szCs w:val="24"/>
        </w:rPr>
        <w:instrText xml:space="preserve"> ADDIN EN.CITE &lt;EndNote&gt;&lt;Cite&gt;&lt;Author&gt;Sarkisian&lt;/Author&gt;&lt;Year&gt;2002&lt;/Year&gt;&lt;RecNum&gt;0&lt;/RecNum&gt;&lt;IDText&gt;Development, reliability, and validity of the expectations regarding aging (ERA-38) survey&lt;/IDText&gt;&lt;DisplayText&gt;(Sarkisian et al., 2002a)&lt;/DisplayText&gt;&lt;record&gt;&lt;isbn&gt;0016-9013&lt;/isbn&gt;&lt;titles&gt;&lt;title&gt;Development, reliability, and validity of the expectations regarding aging (ERA-38) survey&lt;/title&gt;&lt;secondary-title&gt;The Gerontologist&lt;/secondary-title&gt;&lt;/titles&gt;&lt;pages&gt;534-542&lt;/pages&gt;&lt;number&gt;4&lt;/number&gt;&lt;contributors&gt;&lt;authors&gt;&lt;author&gt;Sarkisian, Catherine A.&lt;/author&gt;&lt;author&gt;Hays, Ron D.&lt;/author&gt;&lt;author&gt;Berry, Sandra&lt;/author&gt;&lt;author&gt;Mangione, Carol M.&lt;/author&gt;&lt;/authors&gt;&lt;/contributors&gt;&lt;added-date format="utc"&gt;1364402252&lt;/added-date&gt;&lt;ref-type name="Journal Article"&gt;17&lt;/ref-type&gt;&lt;dates&gt;&lt;year&gt;2002&lt;/year&gt;&lt;/dates&gt;&lt;rec-number&gt;598&lt;/rec-number&gt;&lt;last-updated-date format="utc"&gt;1364402252&lt;/last-updated-date&gt;&lt;volume&gt;42&lt;/volume&gt;&lt;/record&gt;&lt;/Cite&gt;&lt;/EndNote&gt;</w:instrText>
      </w:r>
      <w:r w:rsidRPr="00787196">
        <w:rPr>
          <w:rFonts w:cs="Arial"/>
          <w:szCs w:val="24"/>
        </w:rPr>
        <w:fldChar w:fldCharType="separate"/>
      </w:r>
      <w:r w:rsidRPr="00787196">
        <w:rPr>
          <w:rFonts w:cs="Arial"/>
          <w:szCs w:val="24"/>
        </w:rPr>
        <w:t>(Sarkisian et al., 2002a)</w:t>
      </w:r>
      <w:r w:rsidRPr="00787196">
        <w:rPr>
          <w:rFonts w:cs="Arial"/>
          <w:szCs w:val="24"/>
        </w:rPr>
        <w:fldChar w:fldCharType="end"/>
      </w:r>
      <w:r w:rsidRPr="00787196">
        <w:rPr>
          <w:rFonts w:cs="Arial"/>
          <w:szCs w:val="24"/>
        </w:rPr>
        <w:t>. The self-administered questionnaire has three domains: physical health, mental health and cognitive function (four items each). It uses 4-point Likert scales for responses: (1) deﬁnitely true, (2) somewhat true, (3) somewhat false and (4) deﬁnitely false</w:t>
      </w:r>
      <w:r w:rsidR="00AD40CB" w:rsidRPr="00787196">
        <w:rPr>
          <w:rFonts w:cs="Arial"/>
          <w:szCs w:val="24"/>
        </w:rPr>
        <w:t>.</w:t>
      </w:r>
      <w:r w:rsidR="00D24017" w:rsidRPr="00787196">
        <w:rPr>
          <w:rFonts w:cs="Arial"/>
          <w:szCs w:val="24"/>
        </w:rPr>
        <w:t xml:space="preserve"> However the entire scale was reverse coded in this study.</w:t>
      </w:r>
      <w:r w:rsidR="00AD40CB" w:rsidRPr="00787196">
        <w:rPr>
          <w:rFonts w:cs="Arial"/>
          <w:szCs w:val="24"/>
        </w:rPr>
        <w:br w:type="page"/>
      </w:r>
    </w:p>
    <w:p w14:paraId="5036C459" w14:textId="0854209A" w:rsidR="002F72FF" w:rsidRPr="00787196" w:rsidRDefault="002F72FF" w:rsidP="00AD40CB">
      <w:pPr>
        <w:spacing w:before="0"/>
        <w:rPr>
          <w:rFonts w:cs="Arial"/>
          <w:szCs w:val="24"/>
        </w:rPr>
      </w:pPr>
      <w:r w:rsidRPr="00787196">
        <w:rPr>
          <w:rFonts w:cs="Arial"/>
          <w:szCs w:val="24"/>
        </w:rPr>
        <w:lastRenderedPageBreak/>
        <w:t xml:space="preserve">This questionnaire has been translated into Korean with good internal reliability of α = 0.78- 0.86 for the subscales and 0.89 for the entire scale </w:t>
      </w:r>
      <w:r w:rsidRPr="00787196">
        <w:rPr>
          <w:rFonts w:cs="Arial"/>
          <w:szCs w:val="24"/>
        </w:rPr>
        <w:fldChar w:fldCharType="begin"/>
      </w:r>
      <w:r w:rsidR="00223957" w:rsidRPr="00787196">
        <w:rPr>
          <w:rFonts w:cs="Arial"/>
          <w:szCs w:val="24"/>
        </w:rPr>
        <w:instrText xml:space="preserve"> ADDIN EN.CITE &lt;EndNote&gt;&lt;Cite&gt;&lt;Author&gt;Kim&lt;/Author&gt;&lt;Year&gt;2009&lt;/Year&gt;&lt;RecNum&gt;0&lt;/RecNum&gt;&lt;IDText&gt;Older people’s expectations regarding ageing, health-promoting behaviour and health status&lt;/IDText&gt;&lt;DisplayText&gt;(Kim, 2009)&lt;/DisplayText&gt;&lt;record&gt;&lt;keywords&gt;&lt;keyword&gt;Expectations Regarding Aging survey&lt;/keyword&gt;&lt;keyword&gt;Health Promoting Lifestyle Profile II&lt;/keyword&gt;&lt;keyword&gt;Medical Outcomes Study 12-item short form&lt;/keyword&gt;&lt;keyword&gt;nursing&lt;/keyword&gt;&lt;keyword&gt;older people&lt;/keyword&gt;&lt;/keywords&gt;&lt;urls&gt;&lt;related-urls&gt;&lt;url&gt;http://dx.doi.org/10.1111/j.1365-2648.2008.04841.x&lt;/url&gt;&lt;/related-urls&gt;&lt;/urls&gt;&lt;isbn&gt;1365-2648&lt;/isbn&gt;&lt;titles&gt;&lt;title&gt;Older people’s expectations regarding ageing, health-promoting behaviour and health status&lt;/title&gt;&lt;secondary-title&gt;Journal of Advanced Nursing&lt;/secondary-title&gt;&lt;/titles&gt;&lt;pages&gt;84-91&lt;/pages&gt;&lt;number&gt;1&lt;/number&gt;&lt;contributors&gt;&lt;authors&gt;&lt;author&gt;Kim, Su Hyun&lt;/author&gt;&lt;/authors&gt;&lt;/contributors&gt;&lt;added-date format="utc"&gt;1364402943&lt;/added-date&gt;&lt;ref-type name="Journal Article"&gt;17&lt;/ref-type&gt;&lt;dates&gt;&lt;year&gt;2009&lt;/year&gt;&lt;/dates&gt;&lt;rec-number&gt;601&lt;/rec-number&gt;&lt;publisher&gt;Blackwell Publishing Ltd&lt;/publisher&gt;&lt;last-updated-date format="utc"&gt;1385713712&lt;/last-updated-date&gt;&lt;electronic-resource-num&gt;10.1111/j.1365-2648.2008.04841.x&lt;/electronic-resource-num&gt;&lt;volume&gt;65&lt;/volume&gt;&lt;/record&gt;&lt;/Cite&gt;&lt;/EndNote&gt;</w:instrText>
      </w:r>
      <w:r w:rsidRPr="00787196">
        <w:rPr>
          <w:rFonts w:cs="Arial"/>
          <w:szCs w:val="24"/>
        </w:rPr>
        <w:fldChar w:fldCharType="separate"/>
      </w:r>
      <w:r w:rsidR="003F6E53" w:rsidRPr="00787196">
        <w:rPr>
          <w:rFonts w:cs="Arial"/>
          <w:szCs w:val="24"/>
        </w:rPr>
        <w:t>(Kim, 2009)</w:t>
      </w:r>
      <w:r w:rsidRPr="00787196">
        <w:rPr>
          <w:rFonts w:cs="Arial"/>
          <w:szCs w:val="24"/>
        </w:rPr>
        <w:fldChar w:fldCharType="end"/>
      </w:r>
      <w:r w:rsidRPr="00787196">
        <w:rPr>
          <w:rFonts w:cs="Arial"/>
          <w:szCs w:val="24"/>
        </w:rPr>
        <w:t xml:space="preserve">. The scale has also been tested in a Singaporean population  and showed a good internal reliability α = 0.7 </w:t>
      </w:r>
      <w:r w:rsidRPr="00787196">
        <w:rPr>
          <w:rFonts w:cs="Arial"/>
          <w:szCs w:val="24"/>
        </w:rPr>
        <w:fldChar w:fldCharType="begin"/>
      </w:r>
      <w:r w:rsidR="00CE759F" w:rsidRPr="00787196">
        <w:rPr>
          <w:rFonts w:cs="Arial"/>
          <w:szCs w:val="24"/>
        </w:rPr>
        <w:instrText xml:space="preserve"> ADDIN EN.CITE &lt;EndNote&gt;&lt;Cite&gt;&lt;Author&gt;Joshi&lt;/Author&gt;&lt;Year&gt;2010&lt;/Year&gt;&lt;RecNum&gt;0&lt;/RecNum&gt;&lt;IDText&gt;Validity and reliability of the expectations regarding aging (ERA-12) instrument among middle-aged Singaporeans&lt;/IDText&gt;&lt;DisplayText&gt;(Joshi et al., 2010)&lt;/DisplayText&gt;&lt;record&gt;&lt;titles&gt;&lt;title&gt;Validity and reliability of the expectations regarding aging (ERA-12) instrument among middle-aged Singaporeans&lt;/title&gt;&lt;secondary-title&gt;Annals of Academic Medicine Singapore&lt;/secondary-title&gt;&lt;/titles&gt;&lt;pages&gt;394-398&lt;/pages&gt;&lt;contributors&gt;&lt;authors&gt;&lt;author&gt;Joshi, Veena D.&lt;/author&gt;&lt;author&gt;Malhotra, Rahul&lt;/author&gt;&lt;author&gt;Lim, J.&lt;/author&gt;&lt;author&gt;Ostbye, T.&lt;/author&gt;&lt;author&gt;Wong, Michael&lt;/author&gt;&lt;/authors&gt;&lt;/contributors&gt;&lt;added-date format="utc"&gt;1366016467&lt;/added-date&gt;&lt;ref-type name="Journal Article"&gt;17&lt;/ref-type&gt;&lt;dates&gt;&lt;year&gt;2010&lt;/year&gt;&lt;/dates&gt;&lt;rec-number&gt;670&lt;/rec-number&gt;&lt;last-updated-date format="utc"&gt;1366016467&lt;/last-updated-date&gt;&lt;volume&gt;39&lt;/volume&gt;&lt;/record&gt;&lt;/Cite&gt;&lt;/EndNote&gt;</w:instrText>
      </w:r>
      <w:r w:rsidRPr="00787196">
        <w:rPr>
          <w:rFonts w:cs="Arial"/>
          <w:szCs w:val="24"/>
        </w:rPr>
        <w:fldChar w:fldCharType="separate"/>
      </w:r>
      <w:r w:rsidRPr="00787196">
        <w:rPr>
          <w:rFonts w:cs="Arial"/>
          <w:szCs w:val="24"/>
        </w:rPr>
        <w:t>(Joshi et al., 2010)</w:t>
      </w:r>
      <w:r w:rsidRPr="00787196">
        <w:rPr>
          <w:rFonts w:cs="Arial"/>
          <w:szCs w:val="24"/>
        </w:rPr>
        <w:fldChar w:fldCharType="end"/>
      </w:r>
      <w:r w:rsidRPr="00787196">
        <w:rPr>
          <w:rFonts w:cs="Arial"/>
          <w:szCs w:val="24"/>
        </w:rPr>
        <w:t>. To date no studies conducted in India using the ERA 12 have been identified.</w:t>
      </w:r>
    </w:p>
    <w:p w14:paraId="7EEEA0AF" w14:textId="0E376122" w:rsidR="00544CF9" w:rsidRPr="00787196" w:rsidRDefault="00544CF9" w:rsidP="00AD40CB">
      <w:pPr>
        <w:spacing w:before="0"/>
        <w:rPr>
          <w:rFonts w:cs="Arial"/>
          <w:szCs w:val="24"/>
        </w:rPr>
      </w:pPr>
      <w:r w:rsidRPr="00787196">
        <w:rPr>
          <w:rFonts w:cs="Arial"/>
          <w:szCs w:val="24"/>
        </w:rPr>
        <w:t xml:space="preserve">Perceived stress </w:t>
      </w:r>
      <w:r w:rsidR="007D54EC" w:rsidRPr="00787196">
        <w:rPr>
          <w:rFonts w:cs="Arial"/>
          <w:szCs w:val="24"/>
        </w:rPr>
        <w:t>was</w:t>
      </w:r>
      <w:r w:rsidRPr="00787196">
        <w:rPr>
          <w:rFonts w:cs="Arial"/>
          <w:szCs w:val="24"/>
        </w:rPr>
        <w:t xml:space="preserve"> assessed</w:t>
      </w:r>
      <w:r w:rsidR="00B432B8" w:rsidRPr="00787196">
        <w:rPr>
          <w:rFonts w:cs="Arial"/>
          <w:szCs w:val="24"/>
        </w:rPr>
        <w:t xml:space="preserve"> using</w:t>
      </w:r>
      <w:r w:rsidRPr="00787196">
        <w:rPr>
          <w:rFonts w:cs="Arial"/>
          <w:szCs w:val="24"/>
        </w:rPr>
        <w:t xml:space="preserve"> the short form of </w:t>
      </w:r>
      <w:r w:rsidR="00AD40CB" w:rsidRPr="00787196">
        <w:rPr>
          <w:rFonts w:cs="Arial"/>
          <w:szCs w:val="24"/>
        </w:rPr>
        <w:t>the Perceived stress scale PSS</w:t>
      </w:r>
      <w:r w:rsidRPr="00787196">
        <w:rPr>
          <w:rFonts w:cs="Arial"/>
          <w:szCs w:val="24"/>
        </w:rPr>
        <w:t>-4 (4 item version of the</w:t>
      </w:r>
      <w:r w:rsidR="00AD40CB" w:rsidRPr="00787196">
        <w:rPr>
          <w:rFonts w:cs="Arial"/>
          <w:szCs w:val="24"/>
        </w:rPr>
        <w:t xml:space="preserve"> P</w:t>
      </w:r>
      <w:r w:rsidRPr="00787196">
        <w:rPr>
          <w:rFonts w:cs="Arial"/>
          <w:szCs w:val="24"/>
        </w:rPr>
        <w:t>SS-14</w:t>
      </w:r>
      <w:r w:rsidR="00AD40CB" w:rsidRPr="00787196">
        <w:rPr>
          <w:rFonts w:cs="Arial"/>
          <w:szCs w:val="24"/>
        </w:rPr>
        <w:t xml:space="preserve"> scale</w:t>
      </w:r>
      <w:r w:rsidR="00B432B8" w:rsidRPr="00787196">
        <w:rPr>
          <w:rFonts w:cs="Arial"/>
          <w:szCs w:val="24"/>
        </w:rPr>
        <w:t>)</w:t>
      </w:r>
      <w:r w:rsidRPr="00787196">
        <w:rPr>
          <w:rFonts w:cs="Arial"/>
          <w:szCs w:val="24"/>
        </w:rPr>
        <w:t xml:space="preserve">. It was designed by Cohen and colleagues </w:t>
      </w:r>
      <w:r w:rsidR="007D6B7F" w:rsidRPr="00787196">
        <w:rPr>
          <w:rFonts w:cs="Arial"/>
          <w:szCs w:val="24"/>
        </w:rPr>
        <w:fldChar w:fldCharType="begin"/>
      </w:r>
      <w:r w:rsidR="00CE759F" w:rsidRPr="00787196">
        <w:rPr>
          <w:rFonts w:cs="Arial"/>
          <w:szCs w:val="24"/>
        </w:rPr>
        <w:instrText xml:space="preserve"> ADDIN EN.CITE &lt;EndNote&gt;&lt;Cite ExcludeAuth="1"&gt;&lt;Author&gt;Cohen&lt;/Author&gt;&lt;Year&gt;1983&lt;/Year&gt;&lt;RecNum&gt;0&lt;/RecNum&gt;&lt;IDText&gt;A global measure of perceived stress&lt;/IDText&gt;&lt;DisplayText&gt;(1983)&lt;/DisplayText&gt;&lt;record&gt;&lt;isbn&gt;0022-1465&lt;/isbn&gt;&lt;titles&gt;&lt;title&gt;A global measure of perceived stress&lt;/title&gt;&lt;secondary-title&gt;Journal of health and social behavior&lt;/secondary-title&gt;&lt;/titles&gt;&lt;pages&gt;385-396&lt;/pages&gt;&lt;contributors&gt;&lt;authors&gt;&lt;author&gt;Cohen, Sheldon&lt;/author&gt;&lt;author&gt;Kamarck, Tom&lt;/author&gt;&lt;author&gt;Mermelstein, Robin&lt;/author&gt;&lt;/authors&gt;&lt;/contributors&gt;&lt;added-date format="utc"&gt;1364394319&lt;/added-date&gt;&lt;ref-type name="Journal Article"&gt;17&lt;/ref-type&gt;&lt;dates&gt;&lt;year&gt;1983&lt;/year&gt;&lt;/dates&gt;&lt;rec-number&gt;584&lt;/rec-number&gt;&lt;last-updated-date format="utc"&gt;1364394319&lt;/last-updated-date&gt;&lt;/record&gt;&lt;/Cite&gt;&lt;/EndNote&gt;</w:instrText>
      </w:r>
      <w:r w:rsidR="007D6B7F" w:rsidRPr="00787196">
        <w:rPr>
          <w:rFonts w:cs="Arial"/>
          <w:szCs w:val="24"/>
        </w:rPr>
        <w:fldChar w:fldCharType="separate"/>
      </w:r>
      <w:r w:rsidRPr="00787196">
        <w:rPr>
          <w:rFonts w:cs="Arial"/>
          <w:szCs w:val="24"/>
        </w:rPr>
        <w:t>(1983)</w:t>
      </w:r>
      <w:r w:rsidR="007D6B7F" w:rsidRPr="00787196">
        <w:rPr>
          <w:rFonts w:cs="Arial"/>
          <w:szCs w:val="24"/>
        </w:rPr>
        <w:fldChar w:fldCharType="end"/>
      </w:r>
      <w:r w:rsidRPr="00787196">
        <w:rPr>
          <w:rFonts w:cs="Arial"/>
          <w:szCs w:val="24"/>
        </w:rPr>
        <w:t xml:space="preserve"> </w:t>
      </w:r>
      <w:r w:rsidR="00571EA9" w:rsidRPr="00787196">
        <w:rPr>
          <w:rFonts w:cs="Arial"/>
          <w:szCs w:val="24"/>
        </w:rPr>
        <w:t xml:space="preserve">to </w:t>
      </w:r>
      <w:r w:rsidRPr="00787196">
        <w:rPr>
          <w:rFonts w:cs="Arial"/>
          <w:szCs w:val="24"/>
        </w:rPr>
        <w:t xml:space="preserve">measure the degree to which </w:t>
      </w:r>
      <w:r w:rsidR="00571EA9" w:rsidRPr="00787196">
        <w:rPr>
          <w:rFonts w:cs="Arial"/>
          <w:szCs w:val="24"/>
        </w:rPr>
        <w:t xml:space="preserve">life </w:t>
      </w:r>
      <w:r w:rsidRPr="00787196">
        <w:rPr>
          <w:rFonts w:cs="Arial"/>
          <w:szCs w:val="24"/>
        </w:rPr>
        <w:t>situations are appraised as stressful. It also explores t</w:t>
      </w:r>
      <w:r w:rsidR="00571EA9" w:rsidRPr="00787196">
        <w:rPr>
          <w:rFonts w:cs="Arial"/>
          <w:szCs w:val="24"/>
        </w:rPr>
        <w:t>he</w:t>
      </w:r>
      <w:r w:rsidRPr="00787196">
        <w:rPr>
          <w:rFonts w:cs="Arial"/>
          <w:szCs w:val="24"/>
        </w:rPr>
        <w:t xml:space="preserve"> extent </w:t>
      </w:r>
      <w:r w:rsidR="00571EA9" w:rsidRPr="00787196">
        <w:rPr>
          <w:rFonts w:cs="Arial"/>
          <w:szCs w:val="24"/>
        </w:rPr>
        <w:t xml:space="preserve">to which </w:t>
      </w:r>
      <w:r w:rsidRPr="00787196">
        <w:rPr>
          <w:rFonts w:cs="Arial"/>
          <w:szCs w:val="24"/>
        </w:rPr>
        <w:t>people perceive their lives to be unpredictable, uncontrollable, and overloading. Participants answer</w:t>
      </w:r>
      <w:r w:rsidR="004B1D19" w:rsidRPr="00787196">
        <w:rPr>
          <w:rFonts w:cs="Arial"/>
          <w:szCs w:val="24"/>
        </w:rPr>
        <w:t>ed</w:t>
      </w:r>
      <w:r w:rsidRPr="00787196">
        <w:rPr>
          <w:rFonts w:cs="Arial"/>
          <w:szCs w:val="24"/>
        </w:rPr>
        <w:t xml:space="preserve"> </w:t>
      </w:r>
      <w:r w:rsidR="002C72AA" w:rsidRPr="00787196">
        <w:rPr>
          <w:rFonts w:cs="Arial"/>
          <w:szCs w:val="24"/>
        </w:rPr>
        <w:t>items</w:t>
      </w:r>
      <w:r w:rsidRPr="00787196">
        <w:rPr>
          <w:rFonts w:cs="Arial"/>
          <w:szCs w:val="24"/>
        </w:rPr>
        <w:t xml:space="preserve"> on a five–point Likert scale</w:t>
      </w:r>
      <w:r w:rsidR="002C72AA" w:rsidRPr="00787196">
        <w:rPr>
          <w:rFonts w:cs="Arial"/>
          <w:szCs w:val="24"/>
        </w:rPr>
        <w:t xml:space="preserve"> that</w:t>
      </w:r>
      <w:r w:rsidRPr="00787196">
        <w:rPr>
          <w:rFonts w:cs="Arial"/>
          <w:szCs w:val="24"/>
        </w:rPr>
        <w:t xml:space="preserve"> rang</w:t>
      </w:r>
      <w:r w:rsidR="002C72AA" w:rsidRPr="00787196">
        <w:rPr>
          <w:rFonts w:cs="Arial"/>
          <w:szCs w:val="24"/>
        </w:rPr>
        <w:t>ed</w:t>
      </w:r>
      <w:r w:rsidR="00D24017" w:rsidRPr="00787196">
        <w:rPr>
          <w:rFonts w:cs="Arial"/>
          <w:szCs w:val="24"/>
        </w:rPr>
        <w:t xml:space="preserve"> from ‘never’ (1</w:t>
      </w:r>
      <w:r w:rsidRPr="00787196">
        <w:rPr>
          <w:rFonts w:cs="Arial"/>
          <w:szCs w:val="24"/>
        </w:rPr>
        <w:t>) to ‘very often’ (</w:t>
      </w:r>
      <w:r w:rsidR="00D24017" w:rsidRPr="00787196">
        <w:rPr>
          <w:rFonts w:cs="Arial"/>
          <w:szCs w:val="24"/>
        </w:rPr>
        <w:t>5</w:t>
      </w:r>
      <w:r w:rsidRPr="00787196">
        <w:rPr>
          <w:rFonts w:cs="Arial"/>
          <w:szCs w:val="24"/>
        </w:rPr>
        <w:t xml:space="preserve">). </w:t>
      </w:r>
      <w:r w:rsidR="00D24017" w:rsidRPr="00787196">
        <w:rPr>
          <w:rFonts w:cs="Arial"/>
          <w:szCs w:val="24"/>
        </w:rPr>
        <w:t xml:space="preserve">Items 2 and 3 were reverse coded in this study. </w:t>
      </w:r>
      <w:r w:rsidRPr="00787196">
        <w:rPr>
          <w:rFonts w:cs="Arial"/>
          <w:szCs w:val="24"/>
        </w:rPr>
        <w:t>PSS scores are obtained by reversing the scoring of the second and third item</w:t>
      </w:r>
      <w:r w:rsidR="004B1D19" w:rsidRPr="00787196">
        <w:rPr>
          <w:rFonts w:cs="Arial"/>
          <w:szCs w:val="24"/>
        </w:rPr>
        <w:t>s</w:t>
      </w:r>
      <w:r w:rsidRPr="00787196">
        <w:rPr>
          <w:rFonts w:cs="Arial"/>
          <w:szCs w:val="24"/>
        </w:rPr>
        <w:t xml:space="preserve"> and </w:t>
      </w:r>
      <w:r w:rsidR="004B1D19" w:rsidRPr="00787196">
        <w:rPr>
          <w:rFonts w:cs="Arial"/>
          <w:szCs w:val="24"/>
        </w:rPr>
        <w:t>summing the item codes</w:t>
      </w:r>
      <w:r w:rsidRPr="00787196">
        <w:rPr>
          <w:rFonts w:cs="Arial"/>
          <w:szCs w:val="24"/>
        </w:rPr>
        <w:t>. High scores indicate higher levels of stress.</w:t>
      </w:r>
    </w:p>
    <w:p w14:paraId="239756EE" w14:textId="6E24C426" w:rsidR="00326566" w:rsidRPr="00787196" w:rsidRDefault="00544CF9" w:rsidP="00AD40CB">
      <w:pPr>
        <w:spacing w:after="0"/>
        <w:rPr>
          <w:rFonts w:cs="Arial"/>
          <w:szCs w:val="24"/>
        </w:rPr>
      </w:pPr>
      <w:r w:rsidRPr="00787196">
        <w:rPr>
          <w:rFonts w:cs="Arial"/>
          <w:szCs w:val="24"/>
        </w:rPr>
        <w:t>This version of the scale was designed for data collected over telephone and for repeated testing in large samples. In this study, th</w:t>
      </w:r>
      <w:r w:rsidR="004B1D19" w:rsidRPr="00787196">
        <w:rPr>
          <w:rFonts w:cs="Arial"/>
          <w:szCs w:val="24"/>
        </w:rPr>
        <w:t>is</w:t>
      </w:r>
      <w:r w:rsidRPr="00787196">
        <w:rPr>
          <w:rFonts w:cs="Arial"/>
          <w:szCs w:val="24"/>
        </w:rPr>
        <w:t xml:space="preserve"> shorter version </w:t>
      </w:r>
      <w:r w:rsidR="004B1D19" w:rsidRPr="00787196">
        <w:rPr>
          <w:rFonts w:cs="Arial"/>
          <w:szCs w:val="24"/>
        </w:rPr>
        <w:t>was</w:t>
      </w:r>
      <w:r w:rsidRPr="00787196">
        <w:rPr>
          <w:rFonts w:cs="Arial"/>
          <w:szCs w:val="24"/>
        </w:rPr>
        <w:t xml:space="preserve"> used to reduce the overall time taken to complete all the questionnaires. This questionnaire demonstrated adequate reliability </w:t>
      </w:r>
      <w:r w:rsidR="007D6B7F" w:rsidRPr="00787196">
        <w:rPr>
          <w:rFonts w:cs="Arial"/>
          <w:szCs w:val="24"/>
        </w:rPr>
        <w:fldChar w:fldCharType="begin"/>
      </w:r>
      <w:r w:rsidR="00223957" w:rsidRPr="00787196">
        <w:rPr>
          <w:rFonts w:cs="Arial"/>
          <w:szCs w:val="24"/>
        </w:rPr>
        <w:instrText xml:space="preserve"> ADDIN EN.CITE &lt;EndNote&gt;&lt;Cite&gt;&lt;Author&gt;Cohen&lt;/Author&gt;&lt;Year&gt;1986&lt;/Year&gt;&lt;RecNum&gt;0&lt;/RecNum&gt;&lt;IDText&gt;Social skills and the stress-protective role of social support&lt;/IDText&gt;&lt;DisplayText&gt;(Cohen et al., 1986)&lt;/DisplayText&gt;&lt;record&gt;&lt;isbn&gt;1939-1315&lt;/isbn&gt;&lt;titles&gt;&lt;title&gt;Social skills and the stress-protective role of social support&lt;/title&gt;&lt;secondary-title&gt;Journal of personality and social psychology&lt;/secondary-title&gt;&lt;/titles&gt;&lt;pages&gt;963&lt;/pages&gt;&lt;number&gt;5&lt;/number&gt;&lt;contributors&gt;&lt;authors&gt;&lt;author&gt;Cohen, Sheldon&lt;/author&gt;&lt;author&gt;Sherrod, Drury R.&lt;/author&gt;&lt;author&gt;Clark, Margaret S.&lt;/author&gt;&lt;/authors&gt;&lt;/contributors&gt;&lt;added-date format="utc"&gt;1382666098&lt;/added-date&gt;&lt;ref-type name="Journal Article"&gt;17&lt;/ref-type&gt;&lt;dates&gt;&lt;year&gt;1986&lt;/year&gt;&lt;/dates&gt;&lt;rec-number&gt;1226&lt;/rec-number&gt;&lt;publisher&gt;American Psychological Association&lt;/publisher&gt;&lt;last-updated-date format="utc"&gt;1385713712&lt;/last-updated-date&gt;&lt;volume&gt;50&lt;/volume&gt;&lt;/record&gt;&lt;/Cite&gt;&lt;/EndNote&gt;</w:instrText>
      </w:r>
      <w:r w:rsidR="007D6B7F" w:rsidRPr="00787196">
        <w:rPr>
          <w:rFonts w:cs="Arial"/>
          <w:szCs w:val="24"/>
        </w:rPr>
        <w:fldChar w:fldCharType="separate"/>
      </w:r>
      <w:r w:rsidRPr="00787196">
        <w:rPr>
          <w:rFonts w:cs="Arial"/>
          <w:szCs w:val="24"/>
        </w:rPr>
        <w:t>(Cohen et al., 1986)</w:t>
      </w:r>
      <w:r w:rsidR="007D6B7F" w:rsidRPr="00787196">
        <w:rPr>
          <w:rFonts w:cs="Arial"/>
          <w:szCs w:val="24"/>
        </w:rPr>
        <w:fldChar w:fldCharType="end"/>
      </w:r>
      <w:r w:rsidRPr="00787196">
        <w:rPr>
          <w:rFonts w:cs="Arial"/>
          <w:szCs w:val="24"/>
        </w:rPr>
        <w:t xml:space="preserve">. In another study </w:t>
      </w:r>
      <w:r w:rsidR="00AD40CB" w:rsidRPr="00787196">
        <w:rPr>
          <w:rFonts w:cs="Arial"/>
          <w:szCs w:val="24"/>
        </w:rPr>
        <w:t>with</w:t>
      </w:r>
      <w:r w:rsidRPr="00787196">
        <w:rPr>
          <w:rFonts w:cs="Arial"/>
          <w:szCs w:val="24"/>
        </w:rPr>
        <w:t xml:space="preserve"> 2387 people in the United States the PSS-4 showed a reliability of </w:t>
      </w:r>
      <w:r w:rsidR="004B1D19" w:rsidRPr="00787196">
        <w:rPr>
          <w:rFonts w:cs="Arial"/>
          <w:szCs w:val="24"/>
        </w:rPr>
        <w:t xml:space="preserve">α = </w:t>
      </w:r>
      <w:r w:rsidRPr="00787196">
        <w:rPr>
          <w:rFonts w:cs="Arial"/>
          <w:szCs w:val="24"/>
        </w:rPr>
        <w:t>0.60. Mitchell and colleagues</w:t>
      </w:r>
      <w:r w:rsidR="004B1D19" w:rsidRPr="00787196">
        <w:rPr>
          <w:rFonts w:cs="Arial"/>
          <w:szCs w:val="24"/>
        </w:rPr>
        <w:t xml:space="preserve"> </w:t>
      </w:r>
      <w:r w:rsidR="007D6B7F" w:rsidRPr="00787196">
        <w:rPr>
          <w:rFonts w:cs="Arial"/>
          <w:iCs/>
          <w:szCs w:val="24"/>
        </w:rPr>
        <w:fldChar w:fldCharType="begin"/>
      </w:r>
      <w:r w:rsidR="00CE759F" w:rsidRPr="00787196">
        <w:rPr>
          <w:rFonts w:cs="Arial"/>
          <w:iCs/>
          <w:szCs w:val="24"/>
        </w:rPr>
        <w:instrText xml:space="preserve"> ADDIN EN.CITE &lt;EndNote&gt;&lt;Cite ExcludeAuth="1"&gt;&lt;Author&gt;Mitchell&lt;/Author&gt;&lt;Year&gt;2008&lt;/Year&gt;&lt;RecNum&gt;0&lt;/RecNum&gt;&lt;IDText&gt;Perceived stress in survivors of suicide: Psychometric properties of the Perceived Stress Scale&lt;/IDText&gt;&lt;DisplayText&gt;(2008)&lt;/DisplayText&gt;&lt;record&gt;&lt;isbn&gt;1098-240X&lt;/isbn&gt;&lt;titles&gt;&lt;title&gt;Perceived stress in survivors of suicide: Psychometric properties of the Perceived Stress Scale&lt;/title&gt;&lt;secondary-title&gt;Research in nursing &amp;amp; health&lt;/secondary-title&gt;&lt;/titles&gt;&lt;pages&gt;576-585&lt;/pages&gt;&lt;number&gt;6&lt;/number&gt;&lt;contributors&gt;&lt;authors&gt;&lt;author&gt;Mitchell, Ann M.&lt;/author&gt;&lt;author&gt;Crane, Patricia A.&lt;/author&gt;&lt;author&gt;Kim, Yookyung&lt;/author&gt;&lt;/authors&gt;&lt;/contributors&gt;&lt;added-date format="utc"&gt;1364394534&lt;/added-date&gt;&lt;ref-type name="Journal Article"&gt;17&lt;/ref-type&gt;&lt;dates&gt;&lt;year&gt;2008&lt;/year&gt;&lt;/dates&gt;&lt;rec-number&gt;585&lt;/rec-number&gt;&lt;last-updated-date format="utc"&gt;1364394534&lt;/last-updated-date&gt;&lt;volume&gt;31&lt;/volume&gt;&lt;/record&gt;&lt;/Cite&gt;&lt;/EndNote&gt;</w:instrText>
      </w:r>
      <w:r w:rsidR="007D6B7F" w:rsidRPr="00787196">
        <w:rPr>
          <w:rFonts w:cs="Arial"/>
          <w:iCs/>
          <w:szCs w:val="24"/>
        </w:rPr>
        <w:fldChar w:fldCharType="separate"/>
      </w:r>
      <w:r w:rsidRPr="00787196">
        <w:rPr>
          <w:rFonts w:cs="Arial"/>
          <w:iCs/>
          <w:szCs w:val="24"/>
        </w:rPr>
        <w:t>(2008)</w:t>
      </w:r>
      <w:r w:rsidR="007D6B7F" w:rsidRPr="00787196">
        <w:rPr>
          <w:rFonts w:cs="Arial"/>
          <w:iCs/>
          <w:szCs w:val="24"/>
        </w:rPr>
        <w:fldChar w:fldCharType="end"/>
      </w:r>
      <w:r w:rsidRPr="00787196">
        <w:rPr>
          <w:rFonts w:cs="Arial"/>
          <w:iCs/>
          <w:szCs w:val="24"/>
        </w:rPr>
        <w:t xml:space="preserve"> </w:t>
      </w:r>
      <w:r w:rsidRPr="00787196">
        <w:rPr>
          <w:rFonts w:cs="Arial"/>
          <w:szCs w:val="24"/>
        </w:rPr>
        <w:t xml:space="preserve">found the Cronbach’s alphas for the 14-item, 10-item, and 4-item </w:t>
      </w:r>
      <w:r w:rsidR="004B1D19" w:rsidRPr="00787196">
        <w:rPr>
          <w:rFonts w:cs="Arial"/>
          <w:szCs w:val="24"/>
        </w:rPr>
        <w:t xml:space="preserve">PS Scales </w:t>
      </w:r>
      <w:r w:rsidRPr="00787196">
        <w:rPr>
          <w:rFonts w:cs="Arial"/>
          <w:szCs w:val="24"/>
        </w:rPr>
        <w:t xml:space="preserve">as 0.89, 0.91, and 0.82 respectively. In a study </w:t>
      </w:r>
      <w:r w:rsidR="00AD40CB" w:rsidRPr="00787196">
        <w:rPr>
          <w:rFonts w:cs="Arial"/>
          <w:szCs w:val="24"/>
        </w:rPr>
        <w:t>with</w:t>
      </w:r>
      <w:r w:rsidR="006D2545" w:rsidRPr="00787196">
        <w:rPr>
          <w:rFonts w:cs="Arial"/>
          <w:szCs w:val="24"/>
        </w:rPr>
        <w:t xml:space="preserve"> </w:t>
      </w:r>
      <w:r w:rsidRPr="00787196">
        <w:rPr>
          <w:rFonts w:cs="Arial"/>
          <w:szCs w:val="24"/>
        </w:rPr>
        <w:t xml:space="preserve">Chinese population the PSS-4 scale demonstrated an internal reliability of 0.77 and 0.51 for the positive and negative subscales respectively </w:t>
      </w:r>
      <w:r w:rsidR="007D6B7F" w:rsidRPr="00787196">
        <w:rPr>
          <w:rFonts w:cs="Arial"/>
          <w:szCs w:val="24"/>
        </w:rPr>
        <w:fldChar w:fldCharType="begin"/>
      </w:r>
      <w:r w:rsidR="00223957" w:rsidRPr="00787196">
        <w:rPr>
          <w:rFonts w:cs="Arial"/>
          <w:szCs w:val="24"/>
        </w:rPr>
        <w:instrText xml:space="preserve"> ADDIN EN.CITE &lt;EndNote&gt;&lt;Cite&gt;&lt;Author&gt;Leung&lt;/Author&gt;&lt;Year&gt;2010&lt;/Year&gt;&lt;RecNum&gt;0&lt;/RecNum&gt;&lt;IDText&gt;Three versions of Perceived Stress Scale: validation in a sample of Chinese cardiac patients who smoke&lt;/IDText&gt;&lt;DisplayText&gt;(Leung et al., 2010)&lt;/DisplayText&gt;&lt;record&gt;&lt;isbn&gt;1471-2458&lt;/isbn&gt;&lt;titles&gt;&lt;title&gt;Three versions of Perceived Stress Scale: validation in a sample of Chinese cardiac patients who smoke&lt;/title&gt;&lt;secondary-title&gt;BMC public health&lt;/secondary-title&gt;&lt;/titles&gt;&lt;pages&gt;513&lt;/pages&gt;&lt;number&gt;1&lt;/number&gt;&lt;contributors&gt;&lt;authors&gt;&lt;author&gt;Leung, Doris Y. P.&lt;/author&gt;&lt;author&gt;Lam, Tai-hing&lt;/author&gt;&lt;author&gt;Chan, Sophia S. C.&lt;/author&gt;&lt;/authors&gt;&lt;/contributors&gt;&lt;added-date format="utc"&gt;1382667835&lt;/added-date&gt;&lt;ref-type name="Journal Article"&gt;17&lt;/ref-type&gt;&lt;dates&gt;&lt;year&gt;2010&lt;/year&gt;&lt;/dates&gt;&lt;rec-number&gt;1227&lt;/rec-number&gt;&lt;publisher&gt;BioMed Central Ltd&lt;/publisher&gt;&lt;last-updated-date format="utc"&gt;1385713712&lt;/last-updated-date&gt;&lt;volume&gt;10&lt;/volume&gt;&lt;/record&gt;&lt;/Cite&gt;&lt;/EndNote&gt;</w:instrText>
      </w:r>
      <w:r w:rsidR="007D6B7F" w:rsidRPr="00787196">
        <w:rPr>
          <w:rFonts w:cs="Arial"/>
          <w:szCs w:val="24"/>
        </w:rPr>
        <w:fldChar w:fldCharType="separate"/>
      </w:r>
      <w:r w:rsidRPr="00787196">
        <w:rPr>
          <w:rFonts w:cs="Arial"/>
          <w:szCs w:val="24"/>
        </w:rPr>
        <w:t>(Leung et al., 2010)</w:t>
      </w:r>
      <w:r w:rsidR="007D6B7F" w:rsidRPr="00787196">
        <w:rPr>
          <w:rFonts w:cs="Arial"/>
          <w:szCs w:val="24"/>
        </w:rPr>
        <w:fldChar w:fldCharType="end"/>
      </w:r>
      <w:r w:rsidRPr="00787196">
        <w:rPr>
          <w:rFonts w:cs="Arial"/>
          <w:szCs w:val="24"/>
        </w:rPr>
        <w:t xml:space="preserve">. </w:t>
      </w:r>
      <w:r w:rsidR="006D2545" w:rsidRPr="00787196">
        <w:rPr>
          <w:rFonts w:cs="Arial"/>
          <w:szCs w:val="24"/>
        </w:rPr>
        <w:t>Several</w:t>
      </w:r>
      <w:r w:rsidRPr="00787196">
        <w:rPr>
          <w:rFonts w:cs="Arial"/>
          <w:szCs w:val="24"/>
        </w:rPr>
        <w:t xml:space="preserve"> studies conducted in India have used the Perceived stress scale. Most have evaluated yoga and meditation based interventions </w:t>
      </w:r>
      <w:r w:rsidR="007D6B7F" w:rsidRPr="00787196">
        <w:rPr>
          <w:rFonts w:cs="Arial"/>
          <w:szCs w:val="24"/>
        </w:rPr>
        <w:fldChar w:fldCharType="begin">
          <w:fldData xml:space="preserve">PEVuZE5vdGU+PENpdGU+PEF1dGhvcj5CYW5lcmplZTwvQXV0aG9yPjxZZWFyPjIwMDc8L1llYXI+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==
</w:fldData>
        </w:fldChar>
      </w:r>
      <w:r w:rsidR="00223957" w:rsidRPr="00787196">
        <w:rPr>
          <w:rFonts w:cs="Arial"/>
          <w:szCs w:val="24"/>
        </w:rPr>
        <w:instrText xml:space="preserve"> ADDIN EN.CITE </w:instrText>
      </w:r>
      <w:r w:rsidR="00223957" w:rsidRPr="00787196">
        <w:rPr>
          <w:rFonts w:cs="Arial"/>
          <w:szCs w:val="24"/>
        </w:rPr>
        <w:fldChar w:fldCharType="begin">
          <w:fldData xml:space="preserve">PEVuZE5vdGU+PENpdGU+PEF1dGhvcj5CYW5lcmplZTwvQXV0aG9yPjxZZWFyPjIwMDc8L1llYXI+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==
</w:fldData>
        </w:fldChar>
      </w:r>
      <w:r w:rsidR="00223957" w:rsidRPr="00787196">
        <w:rPr>
          <w:rFonts w:cs="Arial"/>
          <w:szCs w:val="24"/>
        </w:rPr>
        <w:instrText xml:space="preserve"> ADDIN EN.CITE.DATA </w:instrText>
      </w:r>
      <w:r w:rsidR="00223957" w:rsidRPr="00787196">
        <w:rPr>
          <w:rFonts w:cs="Arial"/>
          <w:szCs w:val="24"/>
        </w:rPr>
      </w:r>
      <w:r w:rsidR="00223957" w:rsidRPr="00787196">
        <w:rPr>
          <w:rFonts w:cs="Arial"/>
          <w:szCs w:val="24"/>
        </w:rPr>
        <w:fldChar w:fldCharType="end"/>
      </w:r>
      <w:r w:rsidR="007D6B7F" w:rsidRPr="00787196">
        <w:rPr>
          <w:rFonts w:cs="Arial"/>
          <w:szCs w:val="24"/>
        </w:rPr>
      </w:r>
      <w:r w:rsidR="007D6B7F" w:rsidRPr="00787196">
        <w:rPr>
          <w:rFonts w:cs="Arial"/>
          <w:szCs w:val="24"/>
        </w:rPr>
        <w:fldChar w:fldCharType="separate"/>
      </w:r>
      <w:r w:rsidRPr="00787196">
        <w:rPr>
          <w:rFonts w:cs="Arial"/>
          <w:szCs w:val="24"/>
        </w:rPr>
        <w:t>(Banerjee et al., 2007, Satyapriya et al., 2009, Khalsa et al., 2008, Chattha et al., 2008)</w:t>
      </w:r>
      <w:r w:rsidR="007D6B7F" w:rsidRPr="00787196">
        <w:rPr>
          <w:rFonts w:cs="Arial"/>
          <w:szCs w:val="24"/>
        </w:rPr>
        <w:fldChar w:fldCharType="end"/>
      </w:r>
      <w:r w:rsidRPr="00787196">
        <w:rPr>
          <w:rFonts w:cs="Arial"/>
          <w:szCs w:val="24"/>
        </w:rPr>
        <w:t>. They neither used the short version (PSS-4) nor were translated in</w:t>
      </w:r>
      <w:r w:rsidR="006D2545" w:rsidRPr="00787196">
        <w:rPr>
          <w:rFonts w:cs="Arial"/>
          <w:szCs w:val="24"/>
        </w:rPr>
        <w:t>to</w:t>
      </w:r>
      <w:r w:rsidRPr="00787196">
        <w:rPr>
          <w:rFonts w:cs="Arial"/>
          <w:szCs w:val="24"/>
        </w:rPr>
        <w:t xml:space="preserve"> any Indian languages.</w:t>
      </w:r>
    </w:p>
    <w:p w14:paraId="7471D502" w14:textId="77777777" w:rsidR="00326566" w:rsidRPr="00787196" w:rsidRDefault="00326566">
      <w:pPr>
        <w:spacing w:before="0" w:after="0" w:line="240" w:lineRule="auto"/>
        <w:jc w:val="left"/>
        <w:rPr>
          <w:rFonts w:cs="Arial"/>
          <w:szCs w:val="24"/>
        </w:rPr>
      </w:pPr>
      <w:r w:rsidRPr="00787196">
        <w:rPr>
          <w:rFonts w:cs="Arial"/>
          <w:szCs w:val="24"/>
        </w:rPr>
        <w:br w:type="page"/>
      </w:r>
    </w:p>
    <w:p w14:paraId="5A4139B7" w14:textId="27650D84" w:rsidR="008A3CC3" w:rsidRPr="00787196" w:rsidRDefault="008A3CC3" w:rsidP="001A7B07">
      <w:pPr>
        <w:spacing w:before="0"/>
        <w:rPr>
          <w:rFonts w:cs="Arial"/>
          <w:szCs w:val="24"/>
        </w:rPr>
      </w:pPr>
      <w:r w:rsidRPr="00787196">
        <w:rPr>
          <w:rFonts w:cs="Arial"/>
          <w:szCs w:val="24"/>
        </w:rPr>
        <w:lastRenderedPageBreak/>
        <w:t xml:space="preserve">Oral health related quality of life </w:t>
      </w:r>
      <w:r w:rsidR="007D54EC" w:rsidRPr="00787196">
        <w:rPr>
          <w:rFonts w:cs="Arial"/>
          <w:szCs w:val="24"/>
        </w:rPr>
        <w:t>was</w:t>
      </w:r>
      <w:r w:rsidRPr="00787196">
        <w:rPr>
          <w:rFonts w:cs="Arial"/>
          <w:szCs w:val="24"/>
        </w:rPr>
        <w:t xml:space="preserve"> measured using a modified short form of </w:t>
      </w:r>
      <w:r w:rsidR="006D2545" w:rsidRPr="00787196">
        <w:rPr>
          <w:rFonts w:cs="Arial"/>
          <w:szCs w:val="24"/>
        </w:rPr>
        <w:t xml:space="preserve">the </w:t>
      </w:r>
      <w:r w:rsidRPr="00787196">
        <w:rPr>
          <w:rFonts w:cs="Arial"/>
          <w:i/>
          <w:szCs w:val="24"/>
        </w:rPr>
        <w:t>Oral Health Impact Profile</w:t>
      </w:r>
      <w:r w:rsidRPr="00787196">
        <w:rPr>
          <w:rFonts w:cs="Arial"/>
          <w:szCs w:val="24"/>
        </w:rPr>
        <w:t xml:space="preserve"> (OHIP-EDENT</w:t>
      </w:r>
      <w:r w:rsidR="00AD40CB" w:rsidRPr="00787196">
        <w:rPr>
          <w:rFonts w:cs="Arial"/>
          <w:szCs w:val="24"/>
        </w:rPr>
        <w:t>)</w:t>
      </w:r>
      <w:r w:rsidRPr="00787196">
        <w:rPr>
          <w:rFonts w:cs="Arial"/>
          <w:szCs w:val="24"/>
        </w:rPr>
        <w:t xml:space="preserve"> designed </w:t>
      </w:r>
      <w:r w:rsidR="006D2545" w:rsidRPr="00787196">
        <w:rPr>
          <w:rFonts w:cs="Arial"/>
          <w:szCs w:val="24"/>
        </w:rPr>
        <w:t>to</w:t>
      </w:r>
      <w:r w:rsidRPr="00787196">
        <w:rPr>
          <w:rFonts w:cs="Arial"/>
          <w:szCs w:val="24"/>
        </w:rPr>
        <w:t xml:space="preserve"> captur</w:t>
      </w:r>
      <w:r w:rsidR="006D2545" w:rsidRPr="00787196">
        <w:rPr>
          <w:rFonts w:cs="Arial"/>
          <w:szCs w:val="24"/>
        </w:rPr>
        <w:t>e</w:t>
      </w:r>
      <w:r w:rsidRPr="00787196">
        <w:rPr>
          <w:rFonts w:cs="Arial"/>
          <w:szCs w:val="24"/>
        </w:rPr>
        <w:t xml:space="preserve"> impacts from edentulous patients</w:t>
      </w:r>
      <w:r w:rsidR="00AD40CB" w:rsidRPr="00787196">
        <w:rPr>
          <w:rFonts w:cs="Arial"/>
          <w:szCs w:val="24"/>
        </w:rPr>
        <w:t xml:space="preserve"> </w:t>
      </w:r>
      <w:r w:rsidR="00AD40CB" w:rsidRPr="00787196">
        <w:rPr>
          <w:rFonts w:cs="Arial"/>
          <w:szCs w:val="24"/>
        </w:rPr>
        <w:fldChar w:fldCharType="begin"/>
      </w:r>
      <w:r w:rsidR="00AD40CB" w:rsidRPr="00787196">
        <w:rPr>
          <w:rFonts w:cs="Arial"/>
          <w:szCs w:val="24"/>
        </w:rPr>
        <w:instrText xml:space="preserve"> ADDIN EN.CITE &lt;EndNote&gt;&lt;Cite&gt;&lt;Author&gt;Allen&lt;/Author&gt;&lt;Year&gt;2002&lt;/Year&gt;&lt;RecNum&gt;0&lt;/RecNum&gt;&lt;IDText&gt;A modified short version of the oral health impact profile for assessing health-related quality of life in edentulous adults&lt;/IDText&gt;&lt;DisplayText&gt;(Allen and Locker, 2002)&lt;/DisplayText&gt;&lt;record&gt;&lt;isbn&gt;0893-2174&lt;/isbn&gt;&lt;titles&gt;&lt;title&gt;A modified short version of the oral health impact profile for assessing health-related quality of life in edentulous adults&lt;/title&gt;&lt;secondary-title&gt;The International journal of prosthodontics&lt;/secondary-title&gt;&lt;/titles&gt;&lt;pages&gt;446&lt;/pages&gt;&lt;number&gt;5&lt;/number&gt;&lt;contributors&gt;&lt;authors&gt;&lt;author&gt;Allen, F.&lt;/author&gt;&lt;author&gt;Locker, D.&lt;/author&gt;&lt;/authors&gt;&lt;/contributors&gt;&lt;added-date format="utc"&gt;1365659504&lt;/added-date&gt;&lt;ref-type name="Journal Article"&gt;17&lt;/ref-type&gt;&lt;dates&gt;&lt;year&gt;2002&lt;/year&gt;&lt;/dates&gt;&lt;rec-number&gt;630&lt;/rec-number&gt;&lt;last-updated-date format="utc"&gt;1365659504&lt;/last-updated-date&gt;&lt;volume&gt;15&lt;/volume&gt;&lt;/record&gt;&lt;/Cite&gt;&lt;/EndNote&gt;</w:instrText>
      </w:r>
      <w:r w:rsidR="00AD40CB" w:rsidRPr="00787196">
        <w:rPr>
          <w:rFonts w:cs="Arial"/>
          <w:szCs w:val="24"/>
        </w:rPr>
        <w:fldChar w:fldCharType="separate"/>
      </w:r>
      <w:r w:rsidR="00AD40CB" w:rsidRPr="00787196">
        <w:rPr>
          <w:rFonts w:cs="Arial"/>
          <w:szCs w:val="24"/>
        </w:rPr>
        <w:t>(Allen and Locker, 2002)</w:t>
      </w:r>
      <w:r w:rsidR="00AD40CB" w:rsidRPr="00787196">
        <w:rPr>
          <w:rFonts w:cs="Arial"/>
          <w:szCs w:val="24"/>
        </w:rPr>
        <w:fldChar w:fldCharType="end"/>
      </w:r>
      <w:r w:rsidRPr="00787196">
        <w:rPr>
          <w:rFonts w:cs="Arial"/>
          <w:szCs w:val="24"/>
        </w:rPr>
        <w:t xml:space="preserve">. This scale has 19 items that measure the impact of edentulousness on everyday physical, psychological and social functioning </w:t>
      </w:r>
      <w:r w:rsidR="006D2545" w:rsidRPr="00787196">
        <w:rPr>
          <w:rFonts w:cs="Arial"/>
          <w:szCs w:val="24"/>
        </w:rPr>
        <w:t xml:space="preserve">on </w:t>
      </w:r>
      <w:r w:rsidRPr="00787196">
        <w:rPr>
          <w:rFonts w:cs="Arial"/>
          <w:szCs w:val="24"/>
        </w:rPr>
        <w:t xml:space="preserve">seven subscales: Functional limitations, physical </w:t>
      </w:r>
      <w:r w:rsidR="002C72AA" w:rsidRPr="00787196">
        <w:rPr>
          <w:rFonts w:cs="Arial"/>
          <w:szCs w:val="24"/>
        </w:rPr>
        <w:t xml:space="preserve">and </w:t>
      </w:r>
      <w:r w:rsidRPr="00787196">
        <w:rPr>
          <w:rFonts w:cs="Arial"/>
          <w:szCs w:val="24"/>
        </w:rPr>
        <w:t>psychological discomfort, physical</w:t>
      </w:r>
      <w:r w:rsidR="002C72AA" w:rsidRPr="00787196">
        <w:rPr>
          <w:rFonts w:cs="Arial"/>
          <w:szCs w:val="24"/>
        </w:rPr>
        <w:t xml:space="preserve">, psychological, </w:t>
      </w:r>
      <w:r w:rsidRPr="00787196">
        <w:rPr>
          <w:rFonts w:cs="Arial"/>
          <w:szCs w:val="24"/>
        </w:rPr>
        <w:t xml:space="preserve">social disability and handicap. </w:t>
      </w:r>
      <w:r w:rsidR="002C72AA" w:rsidRPr="00787196">
        <w:rPr>
          <w:rFonts w:cs="Arial"/>
          <w:szCs w:val="24"/>
        </w:rPr>
        <w:t>The items asked p</w:t>
      </w:r>
      <w:r w:rsidRPr="00787196">
        <w:rPr>
          <w:rFonts w:cs="Arial"/>
          <w:szCs w:val="24"/>
        </w:rPr>
        <w:t xml:space="preserve">articipants are </w:t>
      </w:r>
      <w:r w:rsidR="001A7B07" w:rsidRPr="00787196">
        <w:rPr>
          <w:rFonts w:cs="Arial"/>
          <w:szCs w:val="24"/>
        </w:rPr>
        <w:t xml:space="preserve">whether </w:t>
      </w:r>
      <w:r w:rsidRPr="00787196">
        <w:rPr>
          <w:rFonts w:cs="Arial"/>
          <w:szCs w:val="24"/>
        </w:rPr>
        <w:t>they have experienced the problem described by each item</w:t>
      </w:r>
      <w:r w:rsidR="001A7B07" w:rsidRPr="00787196">
        <w:rPr>
          <w:rFonts w:cs="Arial"/>
          <w:szCs w:val="24"/>
        </w:rPr>
        <w:t xml:space="preserve"> in the past three months</w:t>
      </w:r>
      <w:r w:rsidRPr="00787196">
        <w:rPr>
          <w:rFonts w:cs="Arial"/>
          <w:szCs w:val="24"/>
        </w:rPr>
        <w:t>. The participants rate</w:t>
      </w:r>
      <w:r w:rsidR="002C72AA" w:rsidRPr="00787196">
        <w:rPr>
          <w:rFonts w:cs="Arial"/>
          <w:szCs w:val="24"/>
        </w:rPr>
        <w:t>d</w:t>
      </w:r>
      <w:r w:rsidRPr="00787196">
        <w:rPr>
          <w:rFonts w:cs="Arial"/>
          <w:szCs w:val="24"/>
        </w:rPr>
        <w:t xml:space="preserve"> their problems on </w:t>
      </w:r>
      <w:r w:rsidR="002C72AA" w:rsidRPr="00787196">
        <w:rPr>
          <w:rFonts w:cs="Arial"/>
          <w:szCs w:val="24"/>
        </w:rPr>
        <w:t xml:space="preserve">a </w:t>
      </w:r>
      <w:r w:rsidRPr="00787196">
        <w:rPr>
          <w:rFonts w:cs="Arial"/>
          <w:szCs w:val="24"/>
        </w:rPr>
        <w:t>five-point Likert scale</w:t>
      </w:r>
      <w:r w:rsidR="006D2545" w:rsidRPr="00787196">
        <w:rPr>
          <w:rFonts w:cs="Arial"/>
          <w:szCs w:val="24"/>
        </w:rPr>
        <w:t>s</w:t>
      </w:r>
      <w:r w:rsidRPr="00787196">
        <w:rPr>
          <w:rFonts w:cs="Arial"/>
          <w:szCs w:val="24"/>
        </w:rPr>
        <w:t xml:space="preserve"> coded as never (score </w:t>
      </w:r>
      <w:r w:rsidR="00D24017" w:rsidRPr="00787196">
        <w:rPr>
          <w:rFonts w:cs="Arial"/>
          <w:szCs w:val="24"/>
        </w:rPr>
        <w:t>1</w:t>
      </w:r>
      <w:r w:rsidRPr="00787196">
        <w:rPr>
          <w:rFonts w:cs="Arial"/>
          <w:szCs w:val="24"/>
        </w:rPr>
        <w:t>), hardly ever (</w:t>
      </w:r>
      <w:r w:rsidR="00D24017" w:rsidRPr="00787196">
        <w:rPr>
          <w:rFonts w:cs="Arial"/>
          <w:szCs w:val="24"/>
        </w:rPr>
        <w:t>2</w:t>
      </w:r>
      <w:r w:rsidRPr="00787196">
        <w:rPr>
          <w:rFonts w:cs="Arial"/>
          <w:szCs w:val="24"/>
        </w:rPr>
        <w:t>), occasionally (</w:t>
      </w:r>
      <w:r w:rsidR="00D24017" w:rsidRPr="00787196">
        <w:rPr>
          <w:rFonts w:cs="Arial"/>
          <w:szCs w:val="24"/>
        </w:rPr>
        <w:t>3</w:t>
      </w:r>
      <w:r w:rsidRPr="00787196">
        <w:rPr>
          <w:rFonts w:cs="Arial"/>
          <w:szCs w:val="24"/>
        </w:rPr>
        <w:t>), fairly often (</w:t>
      </w:r>
      <w:r w:rsidR="00D24017" w:rsidRPr="00787196">
        <w:rPr>
          <w:rFonts w:cs="Arial"/>
          <w:szCs w:val="24"/>
        </w:rPr>
        <w:t>4</w:t>
      </w:r>
      <w:r w:rsidRPr="00787196">
        <w:rPr>
          <w:rFonts w:cs="Arial"/>
          <w:szCs w:val="24"/>
        </w:rPr>
        <w:t>) and very often (</w:t>
      </w:r>
      <w:r w:rsidR="00D24017" w:rsidRPr="00787196">
        <w:rPr>
          <w:rFonts w:cs="Arial"/>
          <w:szCs w:val="24"/>
        </w:rPr>
        <w:t>5</w:t>
      </w:r>
      <w:r w:rsidRPr="00787196">
        <w:rPr>
          <w:rFonts w:cs="Arial"/>
          <w:szCs w:val="24"/>
        </w:rPr>
        <w:t xml:space="preserve">). Higher scores </w:t>
      </w:r>
      <w:r w:rsidR="006D2545" w:rsidRPr="00787196">
        <w:rPr>
          <w:rFonts w:cs="Arial"/>
          <w:szCs w:val="24"/>
        </w:rPr>
        <w:t>indicated worse</w:t>
      </w:r>
      <w:r w:rsidRPr="00787196">
        <w:rPr>
          <w:rFonts w:cs="Arial"/>
          <w:szCs w:val="24"/>
        </w:rPr>
        <w:t xml:space="preserve"> </w:t>
      </w:r>
      <w:r w:rsidR="004A69E8" w:rsidRPr="00787196">
        <w:rPr>
          <w:rFonts w:cs="Arial"/>
          <w:szCs w:val="24"/>
        </w:rPr>
        <w:t>OHQoL</w:t>
      </w:r>
      <w:r w:rsidRPr="00787196">
        <w:rPr>
          <w:rFonts w:cs="Arial"/>
          <w:szCs w:val="24"/>
        </w:rPr>
        <w:t xml:space="preserve">. </w:t>
      </w:r>
      <w:r w:rsidR="007240EE" w:rsidRPr="00787196">
        <w:rPr>
          <w:rFonts w:cs="Arial"/>
          <w:szCs w:val="24"/>
        </w:rPr>
        <w:t>The d</w:t>
      </w:r>
      <w:r w:rsidRPr="00787196">
        <w:rPr>
          <w:rFonts w:cs="Arial"/>
          <w:szCs w:val="24"/>
        </w:rPr>
        <w:t xml:space="preserve">iscriminant validity </w:t>
      </w:r>
      <w:r w:rsidR="007240EE" w:rsidRPr="00787196">
        <w:rPr>
          <w:rFonts w:cs="Arial"/>
          <w:szCs w:val="24"/>
        </w:rPr>
        <w:t xml:space="preserve">of OHIP </w:t>
      </w:r>
      <w:r w:rsidR="001A7B07" w:rsidRPr="00787196">
        <w:rPr>
          <w:rFonts w:cs="Arial"/>
          <w:szCs w:val="24"/>
        </w:rPr>
        <w:t xml:space="preserve">EDENT </w:t>
      </w:r>
      <w:r w:rsidRPr="00787196">
        <w:rPr>
          <w:rFonts w:cs="Arial"/>
          <w:szCs w:val="24"/>
        </w:rPr>
        <w:t>w</w:t>
      </w:r>
      <w:r w:rsidR="001A7B07" w:rsidRPr="00787196">
        <w:rPr>
          <w:rFonts w:cs="Arial"/>
          <w:szCs w:val="24"/>
        </w:rPr>
        <w:t>as</w:t>
      </w:r>
      <w:r w:rsidRPr="00787196">
        <w:rPr>
          <w:rFonts w:cs="Arial"/>
          <w:szCs w:val="24"/>
        </w:rPr>
        <w:t xml:space="preserve"> similar to OHIP-14 and OHIP-49 </w:t>
      </w:r>
      <w:r w:rsidR="007D6B7F" w:rsidRPr="00787196">
        <w:rPr>
          <w:rFonts w:cs="Arial"/>
          <w:szCs w:val="24"/>
        </w:rPr>
        <w:fldChar w:fldCharType="begin"/>
      </w:r>
      <w:r w:rsidR="00CE759F" w:rsidRPr="00787196">
        <w:rPr>
          <w:rFonts w:cs="Arial"/>
          <w:szCs w:val="24"/>
        </w:rPr>
        <w:instrText xml:space="preserve"> ADDIN EN.CITE &lt;EndNote&gt;&lt;Cite&gt;&lt;Author&gt;Allen&lt;/Author&gt;&lt;Year&gt;2002&lt;/Year&gt;&lt;RecNum&gt;0&lt;/RecNum&gt;&lt;IDText&gt;A modified short version of the oral health impact profile for assessing health-related quality of life in edentulous adults&lt;/IDText&gt;&lt;DisplayText&gt;(Allen and Locker, 2002)&lt;/DisplayText&gt;&lt;record&gt;&lt;isbn&gt;0893-2174&lt;/isbn&gt;&lt;titles&gt;&lt;title&gt;A modified short version of the oral health impact profile for assessing health-related quality of life in edentulous adults&lt;/title&gt;&lt;secondary-title&gt;The International journal of prosthodontics&lt;/secondary-title&gt;&lt;/titles&gt;&lt;pages&gt;446&lt;/pages&gt;&lt;number&gt;5&lt;/number&gt;&lt;contributors&gt;&lt;authors&gt;&lt;author&gt;Allen, F.&lt;/author&gt;&lt;author&gt;Locker, D.&lt;/author&gt;&lt;/authors&gt;&lt;/contributors&gt;&lt;added-date format="utc"&gt;1365659504&lt;/added-date&gt;&lt;ref-type name="Journal Article"&gt;17&lt;/ref-type&gt;&lt;dates&gt;&lt;year&gt;2002&lt;/year&gt;&lt;/dates&gt;&lt;rec-number&gt;630&lt;/rec-number&gt;&lt;last-updated-date format="utc"&gt;1365659504&lt;/last-updated-date&gt;&lt;volume&gt;15&lt;/volume&gt;&lt;/record&gt;&lt;/Cite&gt;&lt;/EndNote&gt;</w:instrText>
      </w:r>
      <w:r w:rsidR="007D6B7F" w:rsidRPr="00787196">
        <w:rPr>
          <w:rFonts w:cs="Arial"/>
          <w:szCs w:val="24"/>
        </w:rPr>
        <w:fldChar w:fldCharType="separate"/>
      </w:r>
      <w:r w:rsidRPr="00787196">
        <w:rPr>
          <w:rFonts w:cs="Arial"/>
          <w:szCs w:val="24"/>
        </w:rPr>
        <w:t>(Allen and Locker, 2002)</w:t>
      </w:r>
      <w:r w:rsidR="007D6B7F" w:rsidRPr="00787196">
        <w:rPr>
          <w:rFonts w:cs="Arial"/>
          <w:szCs w:val="24"/>
        </w:rPr>
        <w:fldChar w:fldCharType="end"/>
      </w:r>
      <w:r w:rsidRPr="00787196">
        <w:rPr>
          <w:rFonts w:cs="Arial"/>
          <w:szCs w:val="24"/>
        </w:rPr>
        <w:t>.</w:t>
      </w:r>
    </w:p>
    <w:p w14:paraId="135008CF" w14:textId="1D48CE1B" w:rsidR="008A3CC3" w:rsidRPr="00787196" w:rsidRDefault="008A3CC3" w:rsidP="001A7B07">
      <w:pPr>
        <w:spacing w:before="0"/>
        <w:rPr>
          <w:rFonts w:cs="Arial"/>
          <w:szCs w:val="24"/>
        </w:rPr>
      </w:pPr>
      <w:r w:rsidRPr="00787196">
        <w:rPr>
          <w:rFonts w:cs="Arial"/>
          <w:szCs w:val="24"/>
        </w:rPr>
        <w:t xml:space="preserve">The questionnaire </w:t>
      </w:r>
      <w:r w:rsidR="007240EE" w:rsidRPr="00787196">
        <w:rPr>
          <w:rFonts w:cs="Arial"/>
          <w:szCs w:val="24"/>
        </w:rPr>
        <w:t xml:space="preserve">has </w:t>
      </w:r>
      <w:r w:rsidRPr="00787196">
        <w:rPr>
          <w:rFonts w:cs="Arial"/>
          <w:szCs w:val="24"/>
        </w:rPr>
        <w:t>demonstrated good psychometric properties. The Brazilian version showed good internal consistency of 0.86 an</w:t>
      </w:r>
      <w:r w:rsidR="007240EE" w:rsidRPr="00787196">
        <w:rPr>
          <w:rFonts w:cs="Arial"/>
          <w:szCs w:val="24"/>
        </w:rPr>
        <w:t xml:space="preserve">d 0.90 in various appointments and </w:t>
      </w:r>
      <w:r w:rsidRPr="00787196">
        <w:rPr>
          <w:rFonts w:cs="Arial"/>
          <w:szCs w:val="24"/>
        </w:rPr>
        <w:t xml:space="preserve">test-retest reliability </w:t>
      </w:r>
      <w:r w:rsidR="007240EE" w:rsidRPr="00787196">
        <w:rPr>
          <w:rFonts w:cs="Arial"/>
          <w:szCs w:val="24"/>
        </w:rPr>
        <w:t>with an intra-class</w:t>
      </w:r>
      <w:r w:rsidRPr="00787196">
        <w:rPr>
          <w:rFonts w:cs="Arial"/>
          <w:szCs w:val="24"/>
        </w:rPr>
        <w:t xml:space="preserve"> correlation co-efficient of 0.57 </w:t>
      </w:r>
      <w:r w:rsidR="007D6B7F" w:rsidRPr="00787196">
        <w:rPr>
          <w:rFonts w:cs="Arial"/>
          <w:szCs w:val="24"/>
        </w:rPr>
        <w:fldChar w:fldCharType="begin"/>
      </w:r>
      <w:r w:rsidR="00223957" w:rsidRPr="00787196">
        <w:rPr>
          <w:rFonts w:cs="Arial"/>
          <w:szCs w:val="24"/>
        </w:rPr>
        <w:instrText xml:space="preserve"> ADDIN EN.CITE &lt;EndNote&gt;&lt;Cite&gt;&lt;Author&gt;Souza&lt;/Author&gt;&lt;Year&gt;2007&lt;/Year&gt;&lt;RecNum&gt;0&lt;/RecNum&gt;&lt;IDText&gt;Reliability and validation of a Brazilian version of the Oral Health Impact Profile for assessing edentulous subjects&lt;/IDText&gt;&lt;DisplayText&gt;(Souza et al., 2007)&lt;/DisplayText&gt;&lt;record&gt;&lt;keywords&gt;&lt;keyword&gt;complete denture&lt;/keyword&gt;&lt;keyword&gt;edentulous mouth&lt;/keyword&gt;&lt;keyword&gt;patient satisfaction&lt;/keyword&gt;&lt;keyword&gt;quality of life&lt;/keyword&gt;&lt;keyword&gt;questionnaires&lt;/keyword&gt;&lt;/keywords&gt;&lt;urls&gt;&lt;related-urls&gt;&lt;url&gt;http://dx.doi.org/10.1111/j.1365-2842.2007.01749.x&lt;/url&gt;&lt;/related-urls&gt;&lt;/urls&gt;&lt;isbn&gt;1365-2842&lt;/isbn&gt;&lt;titles&gt;&lt;title&gt;Reliability and validation of a Brazilian version of the Oral Health Impact Profile for assessing edentulous subjects&lt;/title&gt;&lt;secondary-title&gt;Journal of Oral Rehabilitation&lt;/secondary-title&gt;&lt;/titles&gt;&lt;pages&gt;821-826&lt;/pages&gt;&lt;number&gt;11&lt;/number&gt;&lt;contributors&gt;&lt;authors&gt;&lt;author&gt;Souza, R. F.&lt;/author&gt;&lt;author&gt;PatrocÍNio, L.&lt;/author&gt;&lt;author&gt;Pero, A. C.&lt;/author&gt;&lt;author&gt;Marra, J.&lt;/author&gt;&lt;author&gt;Compagnoni, M. A.&lt;/author&gt;&lt;/authors&gt;&lt;/contributors&gt;&lt;added-date format="utc"&gt;1370056177&lt;/added-date&gt;&lt;ref-type name="Journal Article"&gt;17&lt;/ref-type&gt;&lt;dates&gt;&lt;year&gt;2007&lt;/year&gt;&lt;/dates&gt;&lt;rec-number&gt;747&lt;/rec-number&gt;&lt;publisher&gt;Blackwell Publishing Ltd&lt;/publisher&gt;&lt;last-updated-date format="utc"&gt;1385713712&lt;/last-updated-date&gt;&lt;electronic-resource-num&gt;10.1111/j.1365-2842.2007.01749.x&lt;/electronic-resource-num&gt;&lt;volume&gt;34&lt;/volume&gt;&lt;/record&gt;&lt;/Cite&gt;&lt;/EndNote&gt;</w:instrText>
      </w:r>
      <w:r w:rsidR="007D6B7F" w:rsidRPr="00787196">
        <w:rPr>
          <w:rFonts w:cs="Arial"/>
          <w:szCs w:val="24"/>
        </w:rPr>
        <w:fldChar w:fldCharType="separate"/>
      </w:r>
      <w:r w:rsidRPr="00787196">
        <w:rPr>
          <w:rFonts w:cs="Arial"/>
          <w:szCs w:val="24"/>
        </w:rPr>
        <w:t>(Souza et al., 2007)</w:t>
      </w:r>
      <w:r w:rsidR="007D6B7F" w:rsidRPr="00787196">
        <w:rPr>
          <w:rFonts w:cs="Arial"/>
          <w:szCs w:val="24"/>
        </w:rPr>
        <w:fldChar w:fldCharType="end"/>
      </w:r>
      <w:r w:rsidRPr="00787196">
        <w:rPr>
          <w:rFonts w:cs="Arial"/>
          <w:szCs w:val="24"/>
        </w:rPr>
        <w:t>.</w:t>
      </w:r>
    </w:p>
    <w:p w14:paraId="006EB330" w14:textId="3A4C2689" w:rsidR="008A3CC3" w:rsidRPr="00787196" w:rsidRDefault="008A3CC3" w:rsidP="001A7B07">
      <w:pPr>
        <w:rPr>
          <w:rFonts w:cs="Arial"/>
          <w:szCs w:val="24"/>
        </w:rPr>
      </w:pPr>
      <w:r w:rsidRPr="00787196">
        <w:rPr>
          <w:rFonts w:cs="Arial"/>
          <w:szCs w:val="24"/>
        </w:rPr>
        <w:t xml:space="preserve">OHIP-EDENT has been rarely used to assess </w:t>
      </w:r>
      <w:r w:rsidR="004A69E8" w:rsidRPr="00787196">
        <w:rPr>
          <w:rFonts w:cs="Arial"/>
          <w:szCs w:val="24"/>
        </w:rPr>
        <w:t>OHQoL</w:t>
      </w:r>
      <w:r w:rsidRPr="00787196">
        <w:rPr>
          <w:rFonts w:cs="Arial"/>
          <w:szCs w:val="24"/>
        </w:rPr>
        <w:t xml:space="preserve"> in partially edentulous populations as </w:t>
      </w:r>
      <w:r w:rsidR="007240EE" w:rsidRPr="00787196">
        <w:rPr>
          <w:rFonts w:cs="Arial"/>
          <w:szCs w:val="24"/>
        </w:rPr>
        <w:t>it</w:t>
      </w:r>
      <w:r w:rsidRPr="00787196">
        <w:rPr>
          <w:rFonts w:cs="Arial"/>
          <w:szCs w:val="24"/>
        </w:rPr>
        <w:t xml:space="preserve"> was designed </w:t>
      </w:r>
      <w:r w:rsidR="007240EE" w:rsidRPr="00787196">
        <w:rPr>
          <w:rFonts w:cs="Arial"/>
          <w:szCs w:val="24"/>
        </w:rPr>
        <w:t xml:space="preserve">with </w:t>
      </w:r>
      <w:r w:rsidRPr="00787196">
        <w:rPr>
          <w:rFonts w:cs="Arial"/>
          <w:szCs w:val="24"/>
        </w:rPr>
        <w:t xml:space="preserve">completely edentulous patients in mind. </w:t>
      </w:r>
      <w:r w:rsidR="007240EE" w:rsidRPr="00787196">
        <w:rPr>
          <w:rFonts w:cs="Arial"/>
          <w:szCs w:val="24"/>
        </w:rPr>
        <w:t>A</w:t>
      </w:r>
      <w:r w:rsidRPr="00787196">
        <w:rPr>
          <w:rFonts w:cs="Arial"/>
          <w:szCs w:val="24"/>
        </w:rPr>
        <w:t xml:space="preserve"> recent study  </w:t>
      </w:r>
      <w:r w:rsidR="000E1E41" w:rsidRPr="00787196">
        <w:rPr>
          <w:rFonts w:cs="Arial"/>
          <w:szCs w:val="24"/>
        </w:rPr>
        <w:fldChar w:fldCharType="begin"/>
      </w:r>
      <w:r w:rsidR="00CE759F" w:rsidRPr="00787196">
        <w:rPr>
          <w:rFonts w:cs="Arial"/>
          <w:szCs w:val="24"/>
        </w:rPr>
        <w:instrText xml:space="preserve"> ADDIN EN.CITE &lt;EndNote&gt;&lt;Cite&gt;&lt;Author&gt;Gjengedal&lt;/Author&gt;&lt;Year&gt;2011&lt;/Year&gt;&lt;RecNum&gt;0&lt;/RecNum&gt;&lt;IDText&gt;Self-reported oral health and denture satisfaction in partially and completely edentulous patients&lt;/IDText&gt;&lt;DisplayText&gt;(Gjengedal et al., 2011)&lt;/DisplayText&gt;&lt;record&gt;&lt;isbn&gt;0893-2174&lt;/isbn&gt;&lt;titles&gt;&lt;title&gt;Self-reported oral health and denture satisfaction in partially and completely edentulous patients&lt;/title&gt;&lt;secondary-title&gt;The International journal of prosthodontics&lt;/secondary-title&gt;&lt;/titles&gt;&lt;pages&gt;9&lt;/pages&gt;&lt;number&gt;1&lt;/number&gt;&lt;contributors&gt;&lt;authors&gt;&lt;author&gt;Gjengedal, Harald&lt;/author&gt;&lt;author&gt;Berg, Einar&lt;/author&gt;&lt;author&gt;Boe, OE&lt;/author&gt;&lt;author&gt;Trovik, Tordis A&lt;/author&gt;&lt;/authors&gt;&lt;/contributors&gt;&lt;added-date format="utc"&gt;1368174450&lt;/added-date&gt;&lt;ref-type name="Journal Article"&gt;17&lt;/ref-type&gt;&lt;dates&gt;&lt;year&gt;2011&lt;/year&gt;&lt;/dates&gt;&lt;rec-number&gt;681&lt;/rec-number&gt;&lt;last-updated-date format="utc"&gt;1368174450&lt;/last-updated-date&gt;&lt;volume&gt;24&lt;/volume&gt;&lt;/record&gt;&lt;/Cite&gt;&lt;/EndNote&gt;</w:instrText>
      </w:r>
      <w:r w:rsidR="000E1E41" w:rsidRPr="00787196">
        <w:rPr>
          <w:rFonts w:cs="Arial"/>
          <w:szCs w:val="24"/>
        </w:rPr>
        <w:fldChar w:fldCharType="separate"/>
      </w:r>
      <w:r w:rsidR="000E1E41" w:rsidRPr="00787196">
        <w:rPr>
          <w:rFonts w:cs="Arial"/>
          <w:szCs w:val="24"/>
        </w:rPr>
        <w:t>(Gjengedal et al., 2011)</w:t>
      </w:r>
      <w:r w:rsidR="000E1E41" w:rsidRPr="00787196">
        <w:rPr>
          <w:rFonts w:cs="Arial"/>
          <w:szCs w:val="24"/>
        </w:rPr>
        <w:fldChar w:fldCharType="end"/>
      </w:r>
      <w:r w:rsidRPr="00787196">
        <w:rPr>
          <w:rFonts w:cs="Arial"/>
          <w:szCs w:val="24"/>
        </w:rPr>
        <w:t xml:space="preserve"> used OHIP- EDENT in partially edentulous </w:t>
      </w:r>
      <w:r w:rsidR="007240EE" w:rsidRPr="00787196">
        <w:rPr>
          <w:rFonts w:cs="Arial"/>
          <w:szCs w:val="24"/>
        </w:rPr>
        <w:t xml:space="preserve">and </w:t>
      </w:r>
      <w:r w:rsidRPr="00787196">
        <w:rPr>
          <w:rFonts w:cs="Arial"/>
          <w:szCs w:val="24"/>
        </w:rPr>
        <w:t xml:space="preserve"> completely edentulous patients.  Differences were found in the number and nature of significant variables associated with reported oral health and denture satisfaction between the two groups.</w:t>
      </w:r>
    </w:p>
    <w:p w14:paraId="31DCDE94" w14:textId="78B7F87A" w:rsidR="008A3CC3" w:rsidRPr="00787196" w:rsidRDefault="008A3CC3" w:rsidP="00985A3A">
      <w:pPr>
        <w:spacing w:after="0"/>
        <w:rPr>
          <w:rFonts w:cs="Arial"/>
          <w:szCs w:val="24"/>
        </w:rPr>
      </w:pPr>
      <w:r w:rsidRPr="00787196">
        <w:rPr>
          <w:rFonts w:cs="Arial"/>
          <w:szCs w:val="24"/>
        </w:rPr>
        <w:t>This scale has</w:t>
      </w:r>
      <w:r w:rsidR="007240EE" w:rsidRPr="00787196">
        <w:rPr>
          <w:rFonts w:cs="Arial"/>
          <w:szCs w:val="24"/>
        </w:rPr>
        <w:t xml:space="preserve"> also</w:t>
      </w:r>
      <w:r w:rsidRPr="00787196">
        <w:rPr>
          <w:rFonts w:cs="Arial"/>
          <w:szCs w:val="24"/>
        </w:rPr>
        <w:t xml:space="preserve"> hardly been used in Indian populations. Keppanasseril and colleagues </w:t>
      </w:r>
      <w:r w:rsidR="007D6B7F" w:rsidRPr="00787196">
        <w:rPr>
          <w:rFonts w:cs="Arial"/>
          <w:szCs w:val="24"/>
        </w:rPr>
        <w:fldChar w:fldCharType="begin"/>
      </w:r>
      <w:r w:rsidR="00223957" w:rsidRPr="00787196">
        <w:rPr>
          <w:rFonts w:cs="Arial"/>
          <w:szCs w:val="24"/>
        </w:rPr>
        <w:instrText xml:space="preserve"> ADDIN EN.CITE &lt;EndNote&gt;&lt;Cite ExcludeAuth="1"&gt;&lt;Author&gt;Keeppanasserril&lt;/Author&gt;&lt;Year&gt;2011&lt;/Year&gt;&lt;RecNum&gt;0&lt;/RecNum&gt;&lt;IDText&gt;Effectiveness of Tele-guided Interceptive Prosthodontic treatment in rural India: A comparative pilot study&lt;/IDText&gt;&lt;DisplayText&gt;(2011)&lt;/DisplayText&gt;&lt;record&gt;&lt;titles&gt;&lt;title&gt;Effectiveness of Tele-guided Interceptive Prosthodontic treatment in rural India: A comparative pilot study&lt;/title&gt;&lt;secondary-title&gt;Online Journal of Public Health Informatics&lt;/secondary-title&gt;&lt;/titles&gt;&lt;pages&gt;1-8&lt;/pages&gt;&lt;number&gt;2&lt;/number&gt;&lt;contributors&gt;&lt;authors&gt;&lt;author&gt;Keeppanasserril, A&lt;/author&gt;&lt;author&gt;Matthew, A&lt;/author&gt;&lt;author&gt;Muddappa, S&lt;/author&gt;&lt;/authors&gt;&lt;/contributors&gt;&lt;section&gt;1&lt;/section&gt;&lt;added-date format="utc"&gt;1365663725&lt;/added-date&gt;&lt;ref-type name="Journal Article"&gt;17&lt;/ref-type&gt;&lt;dates&gt;&lt;year&gt;2011&lt;/year&gt;&lt;/dates&gt;&lt;rec-number&gt;633&lt;/rec-number&gt;&lt;last-updated-date format="utc"&gt;1385713712&lt;/last-updated-date&gt;&lt;volume&gt;3&lt;/volume&gt;&lt;/record&gt;&lt;/Cite&gt;&lt;/EndNote&gt;</w:instrText>
      </w:r>
      <w:r w:rsidR="007D6B7F" w:rsidRPr="00787196">
        <w:rPr>
          <w:rFonts w:cs="Arial"/>
          <w:szCs w:val="24"/>
        </w:rPr>
        <w:fldChar w:fldCharType="separate"/>
      </w:r>
      <w:r w:rsidRPr="00787196">
        <w:rPr>
          <w:rFonts w:cs="Arial"/>
          <w:szCs w:val="24"/>
        </w:rPr>
        <w:t>(2011)</w:t>
      </w:r>
      <w:r w:rsidR="007D6B7F" w:rsidRPr="00787196">
        <w:rPr>
          <w:rFonts w:cs="Arial"/>
          <w:szCs w:val="24"/>
        </w:rPr>
        <w:fldChar w:fldCharType="end"/>
      </w:r>
      <w:r w:rsidRPr="00787196">
        <w:rPr>
          <w:rFonts w:cs="Arial"/>
          <w:szCs w:val="24"/>
        </w:rPr>
        <w:t>, claim</w:t>
      </w:r>
      <w:r w:rsidR="007240EE" w:rsidRPr="00787196">
        <w:rPr>
          <w:rFonts w:cs="Arial"/>
          <w:szCs w:val="24"/>
        </w:rPr>
        <w:t>ed</w:t>
      </w:r>
      <w:r w:rsidRPr="00787196">
        <w:rPr>
          <w:rFonts w:cs="Arial"/>
          <w:szCs w:val="24"/>
        </w:rPr>
        <w:t xml:space="preserve"> the first study to use </w:t>
      </w:r>
      <w:r w:rsidR="007240EE" w:rsidRPr="00787196">
        <w:rPr>
          <w:rFonts w:cs="Arial"/>
          <w:szCs w:val="24"/>
        </w:rPr>
        <w:t>it in</w:t>
      </w:r>
      <w:r w:rsidRPr="00787196">
        <w:rPr>
          <w:rFonts w:cs="Arial"/>
          <w:szCs w:val="24"/>
        </w:rPr>
        <w:t xml:space="preserve"> India. Although the study mentions translation of the questionnaire into the south Indian langu</w:t>
      </w:r>
      <w:r w:rsidR="007240EE" w:rsidRPr="00787196">
        <w:rPr>
          <w:rFonts w:cs="Arial"/>
          <w:szCs w:val="24"/>
        </w:rPr>
        <w:t>age of Malayalam, there are no details</w:t>
      </w:r>
      <w:r w:rsidRPr="00787196">
        <w:rPr>
          <w:rFonts w:cs="Arial"/>
          <w:szCs w:val="24"/>
        </w:rPr>
        <w:t xml:space="preserve"> about </w:t>
      </w:r>
      <w:r w:rsidR="007240EE" w:rsidRPr="00787196">
        <w:rPr>
          <w:rFonts w:cs="Arial"/>
          <w:szCs w:val="24"/>
        </w:rPr>
        <w:t xml:space="preserve">its </w:t>
      </w:r>
      <w:r w:rsidRPr="00787196">
        <w:rPr>
          <w:rFonts w:cs="Arial"/>
          <w:szCs w:val="24"/>
        </w:rPr>
        <w:t xml:space="preserve">validation.  Two other studies in India have mentioned OHIP EDENT, but have used different measures </w:t>
      </w:r>
      <w:r w:rsidR="007D6B7F" w:rsidRPr="00787196">
        <w:rPr>
          <w:rFonts w:cs="Arial"/>
          <w:szCs w:val="24"/>
        </w:rPr>
        <w:fldChar w:fldCharType="begin">
          <w:fldData xml:space="preserve">PEVuZE5vdGU+PENpdGU+PEF1dGhvcj5TaGlnbGk8L0F1dGhvcj48WWVhcj4yMDEwPC9ZZWFyPjxS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</w:fldData>
        </w:fldChar>
      </w:r>
      <w:r w:rsidR="00CE759F" w:rsidRPr="00787196">
        <w:rPr>
          <w:rFonts w:cs="Arial"/>
          <w:szCs w:val="24"/>
        </w:rPr>
        <w:instrText xml:space="preserve"> ADDIN EN.CITE </w:instrText>
      </w:r>
      <w:r w:rsidR="00CE759F" w:rsidRPr="00787196">
        <w:rPr>
          <w:rFonts w:cs="Arial"/>
          <w:szCs w:val="24"/>
        </w:rPr>
        <w:fldChar w:fldCharType="begin">
          <w:fldData xml:space="preserve">PEVuZE5vdGU+PENpdGU+PEF1dGhvcj5TaGlnbGk8L0F1dGhvcj48WWVhcj4yMDEwPC9ZZWFyPjxS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</w:fldData>
        </w:fldChar>
      </w:r>
      <w:r w:rsidR="00CE759F" w:rsidRPr="00787196">
        <w:rPr>
          <w:rFonts w:cs="Arial"/>
          <w:szCs w:val="24"/>
        </w:rPr>
        <w:instrText xml:space="preserve"> ADDIN EN.CITE.DATA </w:instrText>
      </w:r>
      <w:r w:rsidR="00CE759F" w:rsidRPr="00787196">
        <w:rPr>
          <w:rFonts w:cs="Arial"/>
          <w:szCs w:val="24"/>
        </w:rPr>
      </w:r>
      <w:r w:rsidR="00CE759F" w:rsidRPr="00787196">
        <w:rPr>
          <w:rFonts w:cs="Arial"/>
          <w:szCs w:val="24"/>
        </w:rPr>
        <w:fldChar w:fldCharType="end"/>
      </w:r>
      <w:r w:rsidR="007D6B7F" w:rsidRPr="00787196">
        <w:rPr>
          <w:rFonts w:cs="Arial"/>
          <w:szCs w:val="24"/>
        </w:rPr>
      </w:r>
      <w:r w:rsidR="007D6B7F" w:rsidRPr="00787196">
        <w:rPr>
          <w:rFonts w:cs="Arial"/>
          <w:szCs w:val="24"/>
        </w:rPr>
        <w:fldChar w:fldCharType="separate"/>
      </w:r>
      <w:r w:rsidRPr="00787196">
        <w:rPr>
          <w:rFonts w:cs="Arial"/>
          <w:szCs w:val="24"/>
        </w:rPr>
        <w:t>(Shigli and Hebbal, 2010, Bajoria et al., 2012)</w:t>
      </w:r>
      <w:r w:rsidR="007D6B7F" w:rsidRPr="00787196">
        <w:rPr>
          <w:rFonts w:cs="Arial"/>
          <w:szCs w:val="24"/>
        </w:rPr>
        <w:fldChar w:fldCharType="end"/>
      </w:r>
      <w:r w:rsidRPr="00787196">
        <w:rPr>
          <w:rFonts w:cs="Arial"/>
          <w:szCs w:val="24"/>
        </w:rPr>
        <w:t>. Thus OHIP-EDENT is a relatively new instrument to be used in the Indian population.</w:t>
      </w:r>
    </w:p>
    <w:p w14:paraId="1E3ED8DA" w14:textId="781F4799" w:rsidR="003F02E6" w:rsidRPr="00787196" w:rsidRDefault="008A3CC3" w:rsidP="001A7B07">
      <w:pPr>
        <w:spacing w:before="0" w:after="0"/>
        <w:rPr>
          <w:rFonts w:cs="Arial"/>
          <w:szCs w:val="24"/>
        </w:rPr>
      </w:pPr>
      <w:r w:rsidRPr="00787196">
        <w:rPr>
          <w:rFonts w:cs="Arial"/>
          <w:szCs w:val="24"/>
        </w:rPr>
        <w:lastRenderedPageBreak/>
        <w:t xml:space="preserve">Satisfaction </w:t>
      </w:r>
      <w:r w:rsidR="007240EE" w:rsidRPr="00787196">
        <w:rPr>
          <w:rFonts w:cs="Arial"/>
          <w:szCs w:val="24"/>
        </w:rPr>
        <w:t>with</w:t>
      </w:r>
      <w:r w:rsidRPr="00787196">
        <w:rPr>
          <w:rFonts w:cs="Arial"/>
          <w:szCs w:val="24"/>
        </w:rPr>
        <w:t xml:space="preserve"> dentures is </w:t>
      </w:r>
      <w:r w:rsidR="001A7B07" w:rsidRPr="00787196">
        <w:rPr>
          <w:rFonts w:cs="Arial"/>
          <w:szCs w:val="24"/>
        </w:rPr>
        <w:t xml:space="preserve">a </w:t>
      </w:r>
      <w:r w:rsidRPr="00787196">
        <w:rPr>
          <w:rFonts w:cs="Arial"/>
          <w:szCs w:val="24"/>
        </w:rPr>
        <w:t>secondary outcome in the study</w:t>
      </w:r>
      <w:r w:rsidR="00AD7F7A" w:rsidRPr="00787196">
        <w:rPr>
          <w:rFonts w:cs="Arial"/>
          <w:szCs w:val="24"/>
        </w:rPr>
        <w:t xml:space="preserve"> assessed using the</w:t>
      </w:r>
      <w:r w:rsidRPr="00787196">
        <w:rPr>
          <w:rFonts w:cs="Arial"/>
          <w:szCs w:val="24"/>
        </w:rPr>
        <w:t xml:space="preserve"> 9 item denture satisfaction scale</w:t>
      </w:r>
      <w:r w:rsidR="00AD7F7A" w:rsidRPr="00787196">
        <w:rPr>
          <w:rFonts w:cs="Arial"/>
          <w:szCs w:val="24"/>
        </w:rPr>
        <w:t>.</w:t>
      </w:r>
      <w:r w:rsidR="00C54618" w:rsidRPr="00787196">
        <w:rPr>
          <w:rFonts w:cs="Arial"/>
          <w:szCs w:val="24"/>
        </w:rPr>
        <w:t xml:space="preserve"> </w:t>
      </w:r>
      <w:r w:rsidRPr="00787196">
        <w:rPr>
          <w:rFonts w:cs="Arial"/>
          <w:szCs w:val="24"/>
        </w:rPr>
        <w:t xml:space="preserve">de Liz Pocztaruk  and colleagues </w:t>
      </w:r>
      <w:r w:rsidR="007D6B7F" w:rsidRPr="00787196">
        <w:rPr>
          <w:rFonts w:cs="Arial"/>
          <w:szCs w:val="24"/>
        </w:rPr>
        <w:fldChar w:fldCharType="begin"/>
      </w:r>
      <w:r w:rsidR="00CE759F" w:rsidRPr="00787196">
        <w:rPr>
          <w:rFonts w:cs="Arial"/>
          <w:szCs w:val="24"/>
        </w:rPr>
        <w:instrText xml:space="preserve"> ADDIN EN.CITE &lt;EndNote&gt;&lt;Cite ExcludeAuth="1"&gt;&lt;Author&gt;de Liz Pocztaruk&lt;/Author&gt;&lt;Year&gt;2006&lt;/Year&gt;&lt;RecNum&gt;0&lt;/RecNum&gt;&lt;IDText&gt;Satisfaction level and masticatory capacity in edentulous patients with conventional dentures and implant-retained overdentures&lt;/IDText&gt;&lt;DisplayText&gt;(2006)&lt;/DisplayText&gt;&lt;record&gt;&lt;titles&gt;&lt;title&gt;Satisfaction level and masticatory capacity in edentulous patients with conventional dentures and implant-retained overdentures&lt;/title&gt;&lt;secondary-title&gt;Brazilian Journal of Oral Sciences&lt;/secondary-title&gt;&lt;/titles&gt;&lt;pages&gt;1232-1238&lt;/pages&gt;&lt;number&gt;19&lt;/number&gt;&lt;contributors&gt;&lt;authors&gt;&lt;author&gt;de Liz Pocztaruk, Rafael&lt;/author&gt;&lt;author&gt;da Fontoura Frasca, Luis Carlos&lt;/author&gt;&lt;author&gt;Rivaldo, Elken Gomes&lt;/author&gt;&lt;author&gt;Mattia, Paulo Roberto Castro&lt;/author&gt;&lt;author&gt;Vidal, Rafael Araújo&lt;/author&gt;&lt;author&gt;Fernandes, Eduardo&lt;/author&gt;&lt;author&gt;Gavião, Maria Beatriz Duarte&lt;/author&gt;&lt;/authors&gt;&lt;/contributors&gt;&lt;added-date format="utc"&gt;1367331897&lt;/added-date&gt;&lt;ref-type name="Journal Article"&gt;17&lt;/ref-type&gt;&lt;dates&gt;&lt;year&gt;2006&lt;/year&gt;&lt;/dates&gt;&lt;rec-number&gt;676&lt;/rec-number&gt;&lt;last-updated-date format="utc"&gt;1367331897&lt;/last-updated-date&gt;&lt;volume&gt;5&lt;/volume&gt;&lt;/record&gt;&lt;/Cite&gt;&lt;/EndNote&gt;</w:instrText>
      </w:r>
      <w:r w:rsidR="007D6B7F" w:rsidRPr="00787196">
        <w:rPr>
          <w:rFonts w:cs="Arial"/>
          <w:szCs w:val="24"/>
        </w:rPr>
        <w:fldChar w:fldCharType="separate"/>
      </w:r>
      <w:r w:rsidRPr="00787196">
        <w:rPr>
          <w:rFonts w:cs="Arial"/>
          <w:szCs w:val="24"/>
        </w:rPr>
        <w:t>(2006)</w:t>
      </w:r>
      <w:r w:rsidR="007D6B7F" w:rsidRPr="00787196">
        <w:rPr>
          <w:rFonts w:cs="Arial"/>
          <w:szCs w:val="24"/>
        </w:rPr>
        <w:fldChar w:fldCharType="end"/>
      </w:r>
      <w:r w:rsidRPr="00787196">
        <w:rPr>
          <w:rFonts w:cs="Arial"/>
          <w:szCs w:val="24"/>
        </w:rPr>
        <w:t xml:space="preserve"> compared denture satisfaction between people wearing conventional and implant retained dentures by means of </w:t>
      </w:r>
      <w:r w:rsidR="00C54618" w:rsidRPr="00787196">
        <w:rPr>
          <w:rFonts w:cs="Arial"/>
          <w:szCs w:val="24"/>
        </w:rPr>
        <w:t>this</w:t>
      </w:r>
      <w:r w:rsidRPr="00787196">
        <w:rPr>
          <w:rFonts w:cs="Arial"/>
          <w:szCs w:val="24"/>
        </w:rPr>
        <w:t xml:space="preserve"> questionnaire. </w:t>
      </w:r>
      <w:r w:rsidR="00BE2315" w:rsidRPr="00787196">
        <w:rPr>
          <w:rFonts w:cs="Arial"/>
          <w:szCs w:val="24"/>
        </w:rPr>
        <w:t xml:space="preserve">It contains 5 point Likert </w:t>
      </w:r>
      <w:r w:rsidRPr="00787196">
        <w:rPr>
          <w:rFonts w:cs="Arial"/>
          <w:szCs w:val="24"/>
        </w:rPr>
        <w:t xml:space="preserve">scales </w:t>
      </w:r>
      <w:r w:rsidR="00BE2315" w:rsidRPr="00787196">
        <w:rPr>
          <w:rFonts w:cs="Arial"/>
          <w:szCs w:val="24"/>
        </w:rPr>
        <w:t xml:space="preserve">rating </w:t>
      </w:r>
      <w:r w:rsidRPr="00787196">
        <w:rPr>
          <w:rFonts w:cs="Arial"/>
          <w:szCs w:val="24"/>
        </w:rPr>
        <w:t xml:space="preserve">satisfaction levels </w:t>
      </w:r>
      <w:r w:rsidR="00BE2315" w:rsidRPr="00787196">
        <w:rPr>
          <w:rFonts w:cs="Arial"/>
          <w:szCs w:val="24"/>
        </w:rPr>
        <w:t xml:space="preserve">between </w:t>
      </w:r>
      <w:r w:rsidR="00D24017" w:rsidRPr="00787196">
        <w:rPr>
          <w:rFonts w:cs="Arial"/>
          <w:szCs w:val="24"/>
        </w:rPr>
        <w:t>1</w:t>
      </w:r>
      <w:r w:rsidR="00BE2315" w:rsidRPr="00787196">
        <w:rPr>
          <w:rFonts w:cs="Arial"/>
          <w:szCs w:val="24"/>
        </w:rPr>
        <w:t xml:space="preserve"> </w:t>
      </w:r>
      <w:r w:rsidR="00D24017" w:rsidRPr="00787196">
        <w:rPr>
          <w:rFonts w:cs="Arial"/>
          <w:szCs w:val="24"/>
        </w:rPr>
        <w:t>for total satisfaction and 5</w:t>
      </w:r>
      <w:r w:rsidRPr="00787196">
        <w:rPr>
          <w:rFonts w:cs="Arial"/>
          <w:szCs w:val="24"/>
        </w:rPr>
        <w:t xml:space="preserve"> for total </w:t>
      </w:r>
      <w:r w:rsidR="00D24017" w:rsidRPr="00787196">
        <w:rPr>
          <w:rFonts w:cs="Arial"/>
          <w:szCs w:val="24"/>
        </w:rPr>
        <w:t>dissatisfaction. The scale was however recoded in this study (i.e.) 5 for total satisfaction and 1 for total dissatisfaction</w:t>
      </w:r>
    </w:p>
    <w:p w14:paraId="630EB0F2" w14:textId="77777777" w:rsidR="00F43969" w:rsidRPr="00787196" w:rsidRDefault="00F43969" w:rsidP="00AD7F7A">
      <w:pPr>
        <w:spacing w:before="0" w:after="0"/>
        <w:rPr>
          <w:rFonts w:cs="Arial"/>
          <w:szCs w:val="24"/>
        </w:rPr>
      </w:pPr>
    </w:p>
    <w:p w14:paraId="6C11E26F" w14:textId="11BF121C" w:rsidR="008A3CC3" w:rsidRPr="00787196" w:rsidRDefault="008A3CC3" w:rsidP="00AD7F7A">
      <w:pPr>
        <w:spacing w:before="0"/>
        <w:rPr>
          <w:rFonts w:cs="Arial"/>
        </w:rPr>
      </w:pPr>
      <w:r w:rsidRPr="00787196">
        <w:rPr>
          <w:rFonts w:cs="Arial"/>
          <w:szCs w:val="24"/>
        </w:rPr>
        <w:t xml:space="preserve">Although there are no data on its psychometric properties, a study </w:t>
      </w:r>
      <w:r w:rsidR="00BE2315" w:rsidRPr="00787196">
        <w:rPr>
          <w:rFonts w:cs="Arial"/>
          <w:szCs w:val="24"/>
        </w:rPr>
        <w:t xml:space="preserve">in India </w:t>
      </w:r>
      <w:r w:rsidRPr="00787196">
        <w:rPr>
          <w:rFonts w:cs="Arial"/>
          <w:szCs w:val="24"/>
        </w:rPr>
        <w:t xml:space="preserve">has used a similar approach to assess satisfaction in people wearing dentures. Bajoria and colleagues </w:t>
      </w:r>
      <w:r w:rsidR="007D6B7F" w:rsidRPr="00787196">
        <w:rPr>
          <w:rFonts w:cs="Arial"/>
          <w:szCs w:val="24"/>
        </w:rPr>
        <w:fldChar w:fldCharType="begin"/>
      </w:r>
      <w:r w:rsidR="00CE759F" w:rsidRPr="00787196">
        <w:rPr>
          <w:rFonts w:cs="Arial"/>
          <w:szCs w:val="24"/>
        </w:rPr>
        <w:instrText xml:space="preserve"> ADDIN EN.CITE &lt;EndNote&gt;&lt;Cite ExcludeAuth="1"&gt;&lt;Author&gt;Bajoria&lt;/Author&gt;&lt;Year&gt;2012&lt;/Year&gt;&lt;RecNum&gt;0&lt;/RecNum&gt;&lt;IDText&gt;Evaluation of satisfaction with masticatory efficiency of new conventional complete dentures in edentulous patients‐a survey&lt;/IDText&gt;&lt;DisplayText&gt;(2012)&lt;/DisplayText&gt;&lt;record&gt;&lt;isbn&gt;1741-2358&lt;/isbn&gt;&lt;titles&gt;&lt;title&gt;Evaluation of satisfaction with masticatory efficiency of new conventional complete dentures in edentulous patients‐a survey&lt;/title&gt;&lt;secondary-title&gt;Gerodontology&lt;/secondary-title&gt;&lt;/titles&gt;&lt;pages&gt;231-238&lt;/pages&gt;&lt;number&gt;3&lt;/number&gt;&lt;contributors&gt;&lt;authors&gt;&lt;author&gt;Bajoria, Atul A.&lt;/author&gt;&lt;author&gt;Saldanha, Sharon&lt;/author&gt;&lt;author&gt;Shenoy, Vidya K.&lt;/author&gt;&lt;/authors&gt;&lt;/contributors&gt;&lt;added-date format="utc"&gt;1365665548&lt;/added-date&gt;&lt;ref-type name="Journal Article"&gt;17&lt;/ref-type&gt;&lt;dates&gt;&lt;year&gt;2012&lt;/year&gt;&lt;/dates&gt;&lt;rec-number&gt;634&lt;/rec-number&gt;&lt;last-updated-date format="utc"&gt;1365665548&lt;/last-updated-date&gt;&lt;volume&gt;29&lt;/volume&gt;&lt;/record&gt;&lt;/Cite&gt;&lt;/EndNote&gt;</w:instrText>
      </w:r>
      <w:r w:rsidR="007D6B7F" w:rsidRPr="00787196">
        <w:rPr>
          <w:rFonts w:cs="Arial"/>
          <w:szCs w:val="24"/>
        </w:rPr>
        <w:fldChar w:fldCharType="separate"/>
      </w:r>
      <w:r w:rsidRPr="00787196">
        <w:rPr>
          <w:rFonts w:cs="Arial"/>
          <w:szCs w:val="24"/>
        </w:rPr>
        <w:t>(2012)</w:t>
      </w:r>
      <w:r w:rsidR="007D6B7F" w:rsidRPr="00787196">
        <w:rPr>
          <w:rFonts w:cs="Arial"/>
          <w:szCs w:val="24"/>
        </w:rPr>
        <w:fldChar w:fldCharType="end"/>
      </w:r>
      <w:r w:rsidRPr="00787196">
        <w:rPr>
          <w:rFonts w:cs="Arial"/>
          <w:szCs w:val="24"/>
        </w:rPr>
        <w:t xml:space="preserve"> followed a similar approach to assess  denture satisfaction and masticatory ability in denture wearers. The items used were very different from the scale used in the study by </w:t>
      </w:r>
      <w:r w:rsidR="007D6B7F" w:rsidRPr="00787196">
        <w:rPr>
          <w:rFonts w:cs="Arial"/>
          <w:szCs w:val="24"/>
        </w:rPr>
        <w:fldChar w:fldCharType="begin"/>
      </w:r>
      <w:r w:rsidR="00CE759F" w:rsidRPr="00787196">
        <w:rPr>
          <w:rFonts w:cs="Arial"/>
          <w:szCs w:val="24"/>
        </w:rPr>
        <w:instrText xml:space="preserve"> ADDIN EN.CITE &lt;EndNote&gt;&lt;Cite&gt;&lt;Author&gt;de Liz Pocztaruk&lt;/Author&gt;&lt;Year&gt;2006&lt;/Year&gt;&lt;RecNum&gt;0&lt;/RecNum&gt;&lt;IDText&gt;Satisfaction level and masticatory capacity in edentulous patients with conventional dentures and implant-retained overdentures&lt;/IDText&gt;&lt;DisplayText&gt;(de Liz Pocztaruk et al., 2006)&lt;/DisplayText&gt;&lt;record&gt;&lt;titles&gt;&lt;title&gt;Satisfaction level and masticatory capacity in edentulous patients with conventional dentures and implant-retained overdentures&lt;/title&gt;&lt;secondary-title&gt;Brazilian Journal of Oral Sciences&lt;/secondary-title&gt;&lt;/titles&gt;&lt;pages&gt;1232-1238&lt;/pages&gt;&lt;number&gt;19&lt;/number&gt;&lt;contributors&gt;&lt;authors&gt;&lt;author&gt;de Liz Pocztaruk, Rafael&lt;/author&gt;&lt;author&gt;da Fontoura Frasca, Luis Carlos&lt;/author&gt;&lt;author&gt;Rivaldo, Elken Gomes&lt;/author&gt;&lt;author&gt;Mattia, Paulo Roberto Castro&lt;/author&gt;&lt;author&gt;Vidal, Rafael Araújo&lt;/author&gt;&lt;author&gt;Fernandes, Eduardo&lt;/author&gt;&lt;author&gt;Gavião, Maria Beatriz Duarte&lt;/author&gt;&lt;/authors&gt;&lt;/contributors&gt;&lt;added-date format="utc"&gt;1367331897&lt;/added-date&gt;&lt;ref-type name="Journal Article"&gt;17&lt;/ref-type&gt;&lt;dates&gt;&lt;year&gt;2006&lt;/year&gt;&lt;/dates&gt;&lt;rec-number&gt;676&lt;/rec-number&gt;&lt;last-updated-date format="utc"&gt;1367331897&lt;/last-updated-date&gt;&lt;volume&gt;5&lt;/volume&gt;&lt;/record&gt;&lt;/Cite&gt;&lt;/EndNote&gt;</w:instrText>
      </w:r>
      <w:r w:rsidR="007D6B7F" w:rsidRPr="00787196">
        <w:rPr>
          <w:rFonts w:cs="Arial"/>
          <w:szCs w:val="24"/>
        </w:rPr>
        <w:fldChar w:fldCharType="separate"/>
      </w:r>
      <w:r w:rsidRPr="00787196">
        <w:rPr>
          <w:rFonts w:cs="Arial"/>
          <w:szCs w:val="24"/>
        </w:rPr>
        <w:t>(de Liz Pocztaruk et al., 2006)</w:t>
      </w:r>
      <w:r w:rsidR="007D6B7F" w:rsidRPr="00787196">
        <w:rPr>
          <w:rFonts w:cs="Arial"/>
          <w:szCs w:val="24"/>
        </w:rPr>
        <w:fldChar w:fldCharType="end"/>
      </w:r>
      <w:r w:rsidRPr="00787196">
        <w:rPr>
          <w:rFonts w:cs="Arial"/>
        </w:rPr>
        <w:t>.</w:t>
      </w:r>
    </w:p>
    <w:p w14:paraId="02D606D5" w14:textId="166D9329" w:rsidR="008A3CC3" w:rsidRPr="00787196" w:rsidRDefault="008A3CC3" w:rsidP="001A7B07">
      <w:pPr>
        <w:spacing w:before="0" w:after="0"/>
        <w:rPr>
          <w:rFonts w:cs="Arial"/>
          <w:szCs w:val="24"/>
        </w:rPr>
      </w:pPr>
      <w:r w:rsidRPr="00787196">
        <w:rPr>
          <w:rFonts w:cs="Arial"/>
          <w:szCs w:val="24"/>
        </w:rPr>
        <w:t xml:space="preserve">The </w:t>
      </w:r>
      <w:r w:rsidR="001A7B07" w:rsidRPr="00787196">
        <w:rPr>
          <w:rFonts w:cs="Arial"/>
          <w:szCs w:val="24"/>
        </w:rPr>
        <w:t xml:space="preserve">other secondary variable was chewing ability. </w:t>
      </w:r>
      <w:r w:rsidR="006D32BD" w:rsidRPr="00787196">
        <w:rPr>
          <w:rFonts w:cs="Arial"/>
          <w:szCs w:val="24"/>
        </w:rPr>
        <w:t>The index</w:t>
      </w:r>
      <w:r w:rsidRPr="00787196">
        <w:rPr>
          <w:rFonts w:cs="Arial"/>
          <w:szCs w:val="24"/>
        </w:rPr>
        <w:t xml:space="preserve"> of chewing ability </w:t>
      </w:r>
      <w:r w:rsidR="007D6B7F" w:rsidRPr="00787196">
        <w:rPr>
          <w:rFonts w:cs="Arial"/>
          <w:szCs w:val="24"/>
        </w:rPr>
        <w:fldChar w:fldCharType="begin"/>
      </w:r>
      <w:r w:rsidR="00CE759F" w:rsidRPr="00787196">
        <w:rPr>
          <w:rFonts w:cs="Arial"/>
          <w:szCs w:val="24"/>
        </w:rPr>
        <w:instrText xml:space="preserve"> ADDIN EN.CITE &lt;EndNote&gt;&lt;Cite&gt;&lt;Author&gt;Leake&lt;/Author&gt;&lt;Year&gt;1990&lt;/Year&gt;&lt;RecNum&gt;0&lt;/RecNum&gt;&lt;IDText&gt;An index of chewing ability&lt;/IDText&gt;&lt;DisplayText&gt;(Leake, 1990)&lt;/DisplayText&gt;&lt;record&gt;&lt;isbn&gt;1752-7325&lt;/isbn&gt;&lt;titles&gt;&lt;title&gt;An index of chewing ability&lt;/title&gt;&lt;secondary-title&gt;Journal of public health dentistry&lt;/secondary-title&gt;&lt;/titles&gt;&lt;pages&gt;262-267&lt;/pages&gt;&lt;number&gt;4&lt;/number&gt;&lt;contributors&gt;&lt;authors&gt;&lt;author&gt;Leake, James L.&lt;/author&gt;&lt;/authors&gt;&lt;/contributors&gt;&lt;added-date format="utc"&gt;1364401012&lt;/added-date&gt;&lt;ref-type name="Journal Article"&gt;17&lt;/ref-type&gt;&lt;dates&gt;&lt;year&gt;1990&lt;/year&gt;&lt;/dates&gt;&lt;rec-number&gt;595&lt;/rec-number&gt;&lt;last-updated-date format="utc"&gt;1364401012&lt;/last-updated-date&gt;&lt;volume&gt;50&lt;/volume&gt;&lt;/record&gt;&lt;/Cite&gt;&lt;/EndNote&gt;</w:instrText>
      </w:r>
      <w:r w:rsidR="007D6B7F" w:rsidRPr="00787196">
        <w:rPr>
          <w:rFonts w:cs="Arial"/>
          <w:szCs w:val="24"/>
        </w:rPr>
        <w:fldChar w:fldCharType="separate"/>
      </w:r>
      <w:r w:rsidRPr="00787196">
        <w:rPr>
          <w:rFonts w:cs="Arial"/>
          <w:szCs w:val="24"/>
        </w:rPr>
        <w:t>(Leake, 1990)</w:t>
      </w:r>
      <w:r w:rsidR="007D6B7F" w:rsidRPr="00787196">
        <w:rPr>
          <w:rFonts w:cs="Arial"/>
          <w:szCs w:val="24"/>
        </w:rPr>
        <w:fldChar w:fldCharType="end"/>
      </w:r>
      <w:r w:rsidRPr="00787196">
        <w:rPr>
          <w:rFonts w:cs="Arial"/>
          <w:szCs w:val="24"/>
        </w:rPr>
        <w:t xml:space="preserve"> uses a 5 item scale of about the five most difficult foods to chew.  (Carrot, lettuce or spinach salad, firm meat, boiled vegetables, fresh whole apple) in the order of </w:t>
      </w:r>
      <w:r w:rsidR="001A7B07" w:rsidRPr="00787196">
        <w:rPr>
          <w:rFonts w:cs="Arial"/>
          <w:szCs w:val="24"/>
        </w:rPr>
        <w:t>from easy to difficult to chew.</w:t>
      </w:r>
      <w:r w:rsidRPr="00787196">
        <w:rPr>
          <w:rFonts w:cs="Arial"/>
          <w:szCs w:val="24"/>
        </w:rPr>
        <w:t xml:space="preserve"> The </w:t>
      </w:r>
      <w:r w:rsidR="001A7B07" w:rsidRPr="00787196">
        <w:rPr>
          <w:rFonts w:cs="Arial"/>
          <w:szCs w:val="24"/>
        </w:rPr>
        <w:t xml:space="preserve">items are </w:t>
      </w:r>
      <w:r w:rsidRPr="00787196">
        <w:rPr>
          <w:rFonts w:cs="Arial"/>
          <w:szCs w:val="24"/>
        </w:rPr>
        <w:t>score</w:t>
      </w:r>
      <w:r w:rsidR="001A7B07" w:rsidRPr="00787196">
        <w:rPr>
          <w:rFonts w:cs="Arial"/>
          <w:szCs w:val="24"/>
        </w:rPr>
        <w:t>d</w:t>
      </w:r>
      <w:r w:rsidRPr="00787196">
        <w:rPr>
          <w:rFonts w:cs="Arial"/>
          <w:szCs w:val="24"/>
        </w:rPr>
        <w:t xml:space="preserve"> 0 to 5 where the individual self- reports their ability to chew the most difficult of the five foods at a given time. The harder food they choose the higher would be their score.</w:t>
      </w:r>
    </w:p>
    <w:p w14:paraId="67D0DCAA" w14:textId="77777777" w:rsidR="003F02E6" w:rsidRPr="00787196" w:rsidRDefault="003F02E6" w:rsidP="00985A3A">
      <w:pPr>
        <w:spacing w:before="0" w:after="0"/>
        <w:rPr>
          <w:rFonts w:cs="Arial"/>
          <w:szCs w:val="24"/>
        </w:rPr>
      </w:pPr>
    </w:p>
    <w:p w14:paraId="518AF5E3" w14:textId="2762AA91" w:rsidR="00326566" w:rsidRPr="00787196" w:rsidRDefault="00BE2315" w:rsidP="00F47801">
      <w:pPr>
        <w:spacing w:before="0" w:after="0"/>
        <w:rPr>
          <w:rFonts w:cs="Arial"/>
          <w:szCs w:val="24"/>
        </w:rPr>
      </w:pPr>
      <w:r w:rsidRPr="00787196">
        <w:rPr>
          <w:rFonts w:cs="Arial"/>
          <w:szCs w:val="24"/>
        </w:rPr>
        <w:t>Leake’s</w:t>
      </w:r>
      <w:r w:rsidR="008A3CC3" w:rsidRPr="00787196">
        <w:rPr>
          <w:rFonts w:cs="Arial"/>
          <w:szCs w:val="24"/>
        </w:rPr>
        <w:t xml:space="preserve"> index demonstrate</w:t>
      </w:r>
      <w:r w:rsidRPr="00787196">
        <w:rPr>
          <w:rFonts w:cs="Arial"/>
          <w:szCs w:val="24"/>
        </w:rPr>
        <w:t>d</w:t>
      </w:r>
      <w:r w:rsidR="008A3CC3" w:rsidRPr="00787196">
        <w:rPr>
          <w:rFonts w:cs="Arial"/>
          <w:szCs w:val="24"/>
        </w:rPr>
        <w:t xml:space="preserve"> good reproducibility based on Guttmann Scalogram analysis </w:t>
      </w:r>
      <w:r w:rsidR="007D6B7F" w:rsidRPr="00787196">
        <w:rPr>
          <w:rFonts w:cs="Arial"/>
          <w:szCs w:val="24"/>
        </w:rPr>
        <w:fldChar w:fldCharType="begin"/>
      </w:r>
      <w:r w:rsidR="00CE759F" w:rsidRPr="00787196">
        <w:rPr>
          <w:rFonts w:cs="Arial"/>
          <w:szCs w:val="24"/>
        </w:rPr>
        <w:instrText xml:space="preserve"> ADDIN EN.CITE &lt;EndNote&gt;&lt;Cite&gt;&lt;Author&gt;Leake&lt;/Author&gt;&lt;Year&gt;1990&lt;/Year&gt;&lt;RecNum&gt;0&lt;/RecNum&gt;&lt;IDText&gt;An index of chewing ability&lt;/IDText&gt;&lt;DisplayText&gt;(Leake, 1990)&lt;/DisplayText&gt;&lt;record&gt;&lt;isbn&gt;1752-7325&lt;/isbn&gt;&lt;titles&gt;&lt;title&gt;An index of chewing ability&lt;/title&gt;&lt;secondary-title&gt;Journal of public health dentistry&lt;/secondary-title&gt;&lt;/titles&gt;&lt;pages&gt;262-267&lt;/pages&gt;&lt;number&gt;4&lt;/number&gt;&lt;contributors&gt;&lt;authors&gt;&lt;author&gt;Leake, James L.&lt;/author&gt;&lt;/authors&gt;&lt;/contributors&gt;&lt;added-date format="utc"&gt;1364401012&lt;/added-date&gt;&lt;ref-type name="Journal Article"&gt;17&lt;/ref-type&gt;&lt;dates&gt;&lt;year&gt;1990&lt;/year&gt;&lt;/dates&gt;&lt;rec-number&gt;595&lt;/rec-number&gt;&lt;last-updated-date format="utc"&gt;1364401012&lt;/last-updated-date&gt;&lt;volume&gt;50&lt;/volume&gt;&lt;/record&gt;&lt;/Cite&gt;&lt;/EndNote&gt;</w:instrText>
      </w:r>
      <w:r w:rsidR="007D6B7F" w:rsidRPr="00787196">
        <w:rPr>
          <w:rFonts w:cs="Arial"/>
          <w:szCs w:val="24"/>
        </w:rPr>
        <w:fldChar w:fldCharType="separate"/>
      </w:r>
      <w:r w:rsidR="008A3CC3" w:rsidRPr="00787196">
        <w:rPr>
          <w:rFonts w:cs="Arial"/>
          <w:szCs w:val="24"/>
        </w:rPr>
        <w:t>(Leake, 1990)</w:t>
      </w:r>
      <w:r w:rsidR="007D6B7F" w:rsidRPr="00787196">
        <w:rPr>
          <w:rFonts w:cs="Arial"/>
          <w:szCs w:val="24"/>
        </w:rPr>
        <w:fldChar w:fldCharType="end"/>
      </w:r>
      <w:r w:rsidR="008A3CC3" w:rsidRPr="00787196">
        <w:rPr>
          <w:rFonts w:cs="Arial"/>
          <w:szCs w:val="24"/>
        </w:rPr>
        <w:t xml:space="preserve">. </w:t>
      </w:r>
      <w:r w:rsidRPr="00787196">
        <w:rPr>
          <w:rFonts w:cs="Arial"/>
          <w:szCs w:val="24"/>
        </w:rPr>
        <w:t>D</w:t>
      </w:r>
      <w:r w:rsidR="008A3CC3" w:rsidRPr="00787196">
        <w:rPr>
          <w:rFonts w:cs="Arial"/>
          <w:szCs w:val="24"/>
        </w:rPr>
        <w:t xml:space="preserve">ichotomising the index responses with four of the foods as resulted in a diagnostic test with a sensitivity and specificity of 0.66 and 0.82 respectively. This index has been used in various studies </w:t>
      </w:r>
      <w:r w:rsidR="00E84B86" w:rsidRPr="00787196">
        <w:rPr>
          <w:rFonts w:cs="Arial"/>
          <w:szCs w:val="24"/>
        </w:rPr>
        <w:t xml:space="preserve">and </w:t>
      </w:r>
      <w:r w:rsidR="008A3CC3" w:rsidRPr="00787196">
        <w:rPr>
          <w:rFonts w:cs="Arial"/>
          <w:szCs w:val="24"/>
        </w:rPr>
        <w:t xml:space="preserve">had good psychometric properties </w:t>
      </w:r>
      <w:r w:rsidR="007D6B7F" w:rsidRPr="00787196">
        <w:rPr>
          <w:rFonts w:cs="Arial"/>
          <w:szCs w:val="24"/>
        </w:rPr>
        <w:fldChar w:fldCharType="begin"/>
      </w:r>
      <w:r w:rsidR="00394937" w:rsidRPr="00787196">
        <w:rPr>
          <w:rFonts w:cs="Arial"/>
          <w:szCs w:val="24"/>
        </w:rPr>
        <w:instrText xml:space="preserve"> ADDIN EN.CITE &lt;EndNote&gt;&lt;Cite&gt;&lt;Author&gt;Feine&lt;/Author&gt;&lt;Year&gt;2006&lt;/Year&gt;&lt;RecNum&gt;0&lt;/RecNum&gt;&lt;IDText&gt;Measuring chewing ability in randomized controlled trials with edentulous populations wearing implant prostheses*&lt;/IDText&gt;&lt;DisplayText&gt;(Feine and Lund, 2006, Brennan et al., 2008)&lt;/DisplayText&gt;&lt;record&gt;&lt;isbn&gt;1365-2842&lt;/isbn&gt;&lt;titles&gt;&lt;title&gt;Measuring chewing ability in randomized controlled trials with edentulous populations wearing implant prostheses*&lt;/title&gt;&lt;secondary-title&gt;Journal of Oral Rehabilitation&lt;/secondary-title&gt;&lt;/titles&gt;&lt;pages&gt;301-308&lt;/pages&gt;&lt;number&gt;4&lt;/number&gt;&lt;contributors&gt;&lt;authors&gt;&lt;author&gt;Feine, J. S.&lt;/author&gt;&lt;author&gt;Lund, J. P.&lt;/author&gt;&lt;/authors&gt;&lt;/contributors&gt;&lt;added-date format="utc"&gt;1364401152&lt;/added-date&gt;&lt;ref-type name="Journal Article"&gt;17&lt;/ref-type&gt;&lt;dates&gt;&lt;year&gt;2006&lt;/year&gt;&lt;/dates&gt;&lt;rec-number&gt;597&lt;/rec-number&gt;&lt;last-updated-date format="utc"&gt;1364401152&lt;/last-updated-date&gt;&lt;volume&gt;33&lt;/volume&gt;&lt;/record&gt;&lt;/Cite&gt;&lt;Cite&gt;&lt;Author&gt;Brennan&lt;/Author&gt;&lt;Year&gt;2008&lt;/Year&gt;&lt;RecNum&gt;0&lt;/RecNum&gt;&lt;IDText&gt;Tooth loss, chewing ability and quality of life&lt;/IDText&gt;&lt;record&gt;&lt;isbn&gt;0962-9343&lt;/isbn&gt;&lt;titles&gt;&lt;title&gt;Tooth loss, chewing ability and quality of life&lt;/title&gt;&lt;secondary-title&gt;Quality of Life Research&lt;/secondary-title&gt;&lt;/titles&gt;&lt;pages&gt;227-235&lt;/pages&gt;&lt;number&gt;2&lt;/number&gt;&lt;contributors&gt;&lt;authors&gt;&lt;author&gt;Brennan, David S.&lt;/author&gt;&lt;author&gt;Spencer, A. John&lt;/author&gt;&lt;author&gt;Roberts-Thomson, Kaye F.&lt;/author&gt;&lt;/authors&gt;&lt;/contributors&gt;&lt;added-date format="utc"&gt;1364401138&lt;/added-date&gt;&lt;ref-type name="Journal Article"&gt;17&lt;/ref-type&gt;&lt;dates&gt;&lt;year&gt;2008&lt;/year&gt;&lt;/dates&gt;&lt;rec-number&gt;596&lt;/rec-number&gt;&lt;last-updated-date format="utc"&gt;1364401138&lt;/last-updated-date&gt;&lt;volume&gt;17&lt;/volume&gt;&lt;/record&gt;&lt;/Cite&gt;&lt;/EndNote&gt;</w:instrText>
      </w:r>
      <w:r w:rsidR="007D6B7F" w:rsidRPr="00787196">
        <w:rPr>
          <w:rFonts w:cs="Arial"/>
          <w:szCs w:val="24"/>
        </w:rPr>
        <w:fldChar w:fldCharType="separate"/>
      </w:r>
      <w:r w:rsidR="00394937" w:rsidRPr="00787196">
        <w:rPr>
          <w:rFonts w:cs="Arial"/>
          <w:noProof/>
          <w:szCs w:val="24"/>
        </w:rPr>
        <w:t>(Feine and Lund, 2006, Brennan et al., 2008)</w:t>
      </w:r>
      <w:r w:rsidR="007D6B7F" w:rsidRPr="00787196">
        <w:rPr>
          <w:rFonts w:cs="Arial"/>
          <w:szCs w:val="24"/>
        </w:rPr>
        <w:fldChar w:fldCharType="end"/>
      </w:r>
      <w:r w:rsidR="008A3CC3" w:rsidRPr="00787196">
        <w:rPr>
          <w:rFonts w:cs="Arial"/>
          <w:szCs w:val="24"/>
        </w:rPr>
        <w:t xml:space="preserve">.  As the diet mentioned in the index </w:t>
      </w:r>
      <w:r w:rsidR="00E84B86" w:rsidRPr="00787196">
        <w:rPr>
          <w:rFonts w:cs="Arial"/>
          <w:szCs w:val="24"/>
        </w:rPr>
        <w:t xml:space="preserve">was </w:t>
      </w:r>
      <w:r w:rsidR="008A3CC3" w:rsidRPr="00787196">
        <w:rPr>
          <w:rFonts w:cs="Arial"/>
          <w:szCs w:val="24"/>
        </w:rPr>
        <w:t xml:space="preserve">specific to Canada, United States and Northern Europe </w:t>
      </w:r>
      <w:r w:rsidR="00E84B86" w:rsidRPr="00787196">
        <w:rPr>
          <w:rFonts w:cs="Arial"/>
          <w:szCs w:val="24"/>
        </w:rPr>
        <w:t>researchers are advised to ada</w:t>
      </w:r>
      <w:r w:rsidR="008A3CC3" w:rsidRPr="00787196">
        <w:rPr>
          <w:rFonts w:cs="Arial"/>
          <w:szCs w:val="24"/>
        </w:rPr>
        <w:t xml:space="preserve">pt </w:t>
      </w:r>
      <w:r w:rsidR="00E84B86" w:rsidRPr="00787196">
        <w:rPr>
          <w:rFonts w:cs="Arial"/>
          <w:szCs w:val="24"/>
        </w:rPr>
        <w:t xml:space="preserve">it to </w:t>
      </w:r>
      <w:r w:rsidR="008A3CC3" w:rsidRPr="00787196">
        <w:rPr>
          <w:rFonts w:cs="Arial"/>
          <w:szCs w:val="24"/>
        </w:rPr>
        <w:t xml:space="preserve">a diet pattern relevant to the population </w:t>
      </w:r>
      <w:r w:rsidR="00E84B86" w:rsidRPr="00787196">
        <w:rPr>
          <w:rFonts w:cs="Arial"/>
          <w:szCs w:val="24"/>
        </w:rPr>
        <w:t>under study</w:t>
      </w:r>
      <w:r w:rsidR="008A3CC3" w:rsidRPr="00787196">
        <w:rPr>
          <w:rFonts w:cs="Arial"/>
          <w:szCs w:val="24"/>
        </w:rPr>
        <w:t xml:space="preserve">. </w:t>
      </w:r>
      <w:r w:rsidR="00326566" w:rsidRPr="00787196">
        <w:rPr>
          <w:rFonts w:cs="Arial"/>
          <w:szCs w:val="24"/>
        </w:rPr>
        <w:t xml:space="preserve">However, the </w:t>
      </w:r>
      <w:r w:rsidR="008A3CC3" w:rsidRPr="00787196">
        <w:rPr>
          <w:rFonts w:cs="Arial"/>
          <w:szCs w:val="24"/>
        </w:rPr>
        <w:t>use of this scale in an Indian population could be found. The</w:t>
      </w:r>
      <w:r w:rsidR="00E84B86" w:rsidRPr="00787196">
        <w:rPr>
          <w:rFonts w:cs="Arial"/>
          <w:szCs w:val="24"/>
        </w:rPr>
        <w:t xml:space="preserve"> questions</w:t>
      </w:r>
      <w:r w:rsidR="008A3CC3" w:rsidRPr="00787196">
        <w:rPr>
          <w:rFonts w:cs="Arial"/>
          <w:szCs w:val="24"/>
        </w:rPr>
        <w:t xml:space="preserve"> </w:t>
      </w:r>
      <w:r w:rsidR="00E84B86" w:rsidRPr="00787196">
        <w:rPr>
          <w:rFonts w:cs="Arial"/>
          <w:szCs w:val="24"/>
        </w:rPr>
        <w:t>were</w:t>
      </w:r>
      <w:r w:rsidR="008A3CC3" w:rsidRPr="00787196">
        <w:rPr>
          <w:rFonts w:cs="Arial"/>
          <w:szCs w:val="24"/>
        </w:rPr>
        <w:t xml:space="preserve"> modified to </w:t>
      </w:r>
      <w:r w:rsidR="00E84B86" w:rsidRPr="00787196">
        <w:rPr>
          <w:rFonts w:cs="Arial"/>
          <w:szCs w:val="24"/>
        </w:rPr>
        <w:t>reflect the</w:t>
      </w:r>
      <w:r w:rsidR="008A3CC3" w:rsidRPr="00787196">
        <w:rPr>
          <w:rFonts w:cs="Arial"/>
          <w:szCs w:val="24"/>
        </w:rPr>
        <w:t xml:space="preserve"> diet of </w:t>
      </w:r>
      <w:r w:rsidR="006D32BD" w:rsidRPr="00787196">
        <w:rPr>
          <w:rFonts w:cs="Arial"/>
          <w:szCs w:val="24"/>
        </w:rPr>
        <w:t>s</w:t>
      </w:r>
      <w:r w:rsidR="00E84B86" w:rsidRPr="00787196">
        <w:rPr>
          <w:rFonts w:cs="Arial"/>
          <w:szCs w:val="24"/>
        </w:rPr>
        <w:t xml:space="preserve">outhern </w:t>
      </w:r>
      <w:r w:rsidR="006D32BD" w:rsidRPr="00787196">
        <w:rPr>
          <w:rFonts w:cs="Arial"/>
          <w:szCs w:val="24"/>
        </w:rPr>
        <w:t>I</w:t>
      </w:r>
      <w:r w:rsidR="00E84B86" w:rsidRPr="00787196">
        <w:rPr>
          <w:rFonts w:cs="Arial"/>
          <w:szCs w:val="24"/>
        </w:rPr>
        <w:t>ndia</w:t>
      </w:r>
      <w:r w:rsidR="006D32BD" w:rsidRPr="00787196">
        <w:rPr>
          <w:rFonts w:cs="Arial"/>
          <w:szCs w:val="24"/>
        </w:rPr>
        <w:t>.</w:t>
      </w:r>
      <w:r w:rsidR="00BB6D1C" w:rsidRPr="00787196">
        <w:rPr>
          <w:rFonts w:cs="Arial"/>
          <w:szCs w:val="24"/>
        </w:rPr>
        <w:t xml:space="preserve"> For example, </w:t>
      </w:r>
      <w:r w:rsidR="00743BDB" w:rsidRPr="00787196">
        <w:rPr>
          <w:rFonts w:cs="Arial"/>
          <w:szCs w:val="24"/>
        </w:rPr>
        <w:t>idly</w:t>
      </w:r>
      <w:r w:rsidR="00BB6D1C" w:rsidRPr="00787196">
        <w:rPr>
          <w:rFonts w:cs="Arial"/>
          <w:szCs w:val="24"/>
        </w:rPr>
        <w:t xml:space="preserve"> (rice cake) as a </w:t>
      </w:r>
      <w:r w:rsidR="006D32BD" w:rsidRPr="00787196">
        <w:rPr>
          <w:rFonts w:cs="Arial"/>
          <w:szCs w:val="24"/>
        </w:rPr>
        <w:t>substitute</w:t>
      </w:r>
      <w:r w:rsidR="00BB6D1C" w:rsidRPr="00787196">
        <w:rPr>
          <w:rFonts w:cs="Arial"/>
          <w:szCs w:val="24"/>
        </w:rPr>
        <w:t xml:space="preserve"> for boiled vegetables.</w:t>
      </w:r>
      <w:r w:rsidR="00326566" w:rsidRPr="00787196">
        <w:rPr>
          <w:rFonts w:cs="Arial"/>
          <w:szCs w:val="24"/>
        </w:rPr>
        <w:br w:type="page"/>
      </w:r>
    </w:p>
    <w:p w14:paraId="56F51F44" w14:textId="3A491B10" w:rsidR="00272928" w:rsidRPr="00787196" w:rsidRDefault="001918F0" w:rsidP="001918F0">
      <w:pPr>
        <w:pStyle w:val="Heading2"/>
      </w:pPr>
      <w:bookmarkStart w:id="151" w:name="_Toc488655647"/>
      <w:bookmarkStart w:id="152" w:name="_Toc317517864"/>
      <w:bookmarkStart w:id="153" w:name="_Toc317591190"/>
      <w:bookmarkStart w:id="154" w:name="_Toc319068884"/>
      <w:r w:rsidRPr="00787196">
        <w:lastRenderedPageBreak/>
        <w:t>Challenges with</w:t>
      </w:r>
      <w:r w:rsidR="000F6CF7" w:rsidRPr="00787196">
        <w:t xml:space="preserve"> the</w:t>
      </w:r>
      <w:r w:rsidRPr="00787196">
        <w:t xml:space="preserve"> </w:t>
      </w:r>
      <w:r w:rsidR="00272928" w:rsidRPr="00787196">
        <w:t>measures</w:t>
      </w:r>
      <w:r w:rsidR="000B710C" w:rsidRPr="00787196">
        <w:t xml:space="preserve"> used</w:t>
      </w:r>
      <w:bookmarkEnd w:id="151"/>
    </w:p>
    <w:p w14:paraId="497B9F53" w14:textId="50CE30E1" w:rsidR="00272928" w:rsidRPr="00787196" w:rsidRDefault="009F22F3" w:rsidP="00410B8D">
      <w:r w:rsidRPr="00787196">
        <w:t>Q</w:t>
      </w:r>
      <w:r w:rsidR="005D5CB8" w:rsidRPr="00787196">
        <w:t xml:space="preserve">uestionnaires used </w:t>
      </w:r>
      <w:r w:rsidRPr="00787196">
        <w:t>in research</w:t>
      </w:r>
      <w:r w:rsidR="009F470A" w:rsidRPr="00787196">
        <w:t xml:space="preserve"> </w:t>
      </w:r>
      <w:r w:rsidR="005D5CB8" w:rsidRPr="00787196">
        <w:t xml:space="preserve">must be appropriate, comprehensible, non-equivocal, </w:t>
      </w:r>
      <w:r w:rsidRPr="00787196">
        <w:t xml:space="preserve">resistant to </w:t>
      </w:r>
      <w:r w:rsidR="005D5CB8" w:rsidRPr="00787196">
        <w:t>distort</w:t>
      </w:r>
      <w:r w:rsidRPr="00787196">
        <w:t>ion</w:t>
      </w:r>
      <w:r w:rsidR="005D5CB8" w:rsidRPr="00787196">
        <w:t xml:space="preserve">, capable of covering all possible answers </w:t>
      </w:r>
      <w:r w:rsidR="00C479B9" w:rsidRPr="00787196">
        <w:t>and</w:t>
      </w:r>
      <w:r w:rsidR="005D5CB8" w:rsidRPr="00787196">
        <w:t xml:space="preserve"> easy to be coded </w:t>
      </w:r>
      <w:r w:rsidR="005D5CB8" w:rsidRPr="00787196">
        <w:fldChar w:fldCharType="begin"/>
      </w:r>
      <w:r w:rsidR="005D5CB8" w:rsidRPr="00787196">
        <w:rPr>
          <w:rFonts w:hint="eastAsia"/>
        </w:rPr>
        <w:instrText xml:space="preserve"> ADDIN EN.CITE &lt;EndNote&gt;&lt;Cite&gt;&lt;Author&gt;Segù&lt;/Author&gt;&lt;Year&gt;2005&lt;/Year&gt;&lt;IDText&gt;Cross</w:instrText>
      </w:r>
      <w:r w:rsidR="005D5CB8" w:rsidRPr="00787196">
        <w:rPr>
          <w:rFonts w:hint="eastAsia"/>
        </w:rPr>
        <w:instrText>‐</w:instrText>
      </w:r>
      <w:r w:rsidR="005D5CB8" w:rsidRPr="00787196">
        <w:rPr>
          <w:rFonts w:hint="eastAsia"/>
        </w:rPr>
        <w:instrText>cultural validation of a short form of the Oral Health Impact Profile for temporomandibular disorders&lt;/IDText&gt;&lt;DisplayText&gt;(Segù et al., 2005)&lt;/DisplayText&gt;&lt;record&gt;&lt;isbn&gt;1600-0528&lt;/isbn&gt;&lt;titles&gt;&lt;title&gt;Cross</w:instrText>
      </w:r>
      <w:r w:rsidR="005D5CB8" w:rsidRPr="00787196">
        <w:rPr>
          <w:rFonts w:hint="eastAsia"/>
        </w:rPr>
        <w:instrText>‐</w:instrText>
      </w:r>
      <w:r w:rsidR="005D5CB8" w:rsidRPr="00787196">
        <w:rPr>
          <w:rFonts w:hint="eastAsia"/>
        </w:rPr>
        <w:instrText>cultural validation of a short form of the Oral Health Impact Profile for temporomandibular disorders&lt;/title&gt;&lt;secondary-title&gt;Community dentistry and oral epidemiology&lt;/secondary-title&gt;&lt;/titles&gt;&lt;pages&gt;125-130&lt;/pages&gt;&lt;numb</w:instrText>
      </w:r>
      <w:r w:rsidR="005D5CB8" w:rsidRPr="00787196">
        <w:instrText>er&gt;2&lt;/number&gt;&lt;contributors&gt;&lt;authors&gt;&lt;author&gt;Segù, Marzia&lt;/author&gt;&lt;author&gt;Collesano, Vittorio&lt;/author&gt;&lt;author&gt;Lobbia, Sonia&lt;/author&gt;&lt;author&gt;Rezzani, Cristiana&lt;/author&gt;&lt;/authors&gt;&lt;/contributors&gt;&lt;added-date format="utc"&gt;1498669004&lt;/added-date&gt;&lt;ref-type name="Journal Article"&gt;17&lt;/ref-type&gt;&lt;dates&gt;&lt;year&gt;2005&lt;/year&gt;&lt;/dates&gt;&lt;rec-number&gt;2786&lt;/rec-number&gt;&lt;last-updated-date format="utc"&gt;1498669004&lt;/last-updated-date&gt;&lt;volume&gt;33&lt;/volume&gt;&lt;/record&gt;&lt;/Cite&gt;&lt;/EndNote&gt;</w:instrText>
      </w:r>
      <w:r w:rsidR="005D5CB8" w:rsidRPr="00787196">
        <w:fldChar w:fldCharType="separate"/>
      </w:r>
      <w:r w:rsidR="005D5CB8" w:rsidRPr="00787196">
        <w:rPr>
          <w:noProof/>
        </w:rPr>
        <w:t>(Segù et al., 2005)</w:t>
      </w:r>
      <w:r w:rsidR="005D5CB8" w:rsidRPr="00787196">
        <w:fldChar w:fldCharType="end"/>
      </w:r>
      <w:r w:rsidR="005D5CB8" w:rsidRPr="00787196">
        <w:t>.</w:t>
      </w:r>
      <w:r w:rsidR="00C479B9" w:rsidRPr="00787196">
        <w:t xml:space="preserve"> </w:t>
      </w:r>
      <w:r w:rsidR="009B3F82" w:rsidRPr="00787196">
        <w:t xml:space="preserve">This research </w:t>
      </w:r>
      <w:r w:rsidR="004A0920" w:rsidRPr="00787196">
        <w:t>used a</w:t>
      </w:r>
      <w:r w:rsidR="009B3F82" w:rsidRPr="00787196">
        <w:t xml:space="preserve"> total of </w:t>
      </w:r>
      <w:r w:rsidR="000B710C" w:rsidRPr="00787196">
        <w:t>eight</w:t>
      </w:r>
      <w:r w:rsidR="009B3F82" w:rsidRPr="00787196">
        <w:t xml:space="preserve"> questionnaires </w:t>
      </w:r>
      <w:r w:rsidR="000B710C" w:rsidRPr="00787196">
        <w:t>inc</w:t>
      </w:r>
      <w:r w:rsidR="009B3F82" w:rsidRPr="00787196">
        <w:t>luding the subjective SES MacArthur scale and Leake’s chewing index</w:t>
      </w:r>
      <w:r w:rsidRPr="00787196">
        <w:t>,</w:t>
      </w:r>
      <w:r w:rsidR="009B3F82" w:rsidRPr="00787196">
        <w:t xml:space="preserve"> which </w:t>
      </w:r>
      <w:r w:rsidR="00DA1A35" w:rsidRPr="00787196">
        <w:t>ha</w:t>
      </w:r>
      <w:r w:rsidR="000B710C" w:rsidRPr="00787196">
        <w:t>d</w:t>
      </w:r>
      <w:r w:rsidR="009B3F82" w:rsidRPr="00787196">
        <w:t xml:space="preserve"> </w:t>
      </w:r>
      <w:r w:rsidR="005E70CB" w:rsidRPr="00787196">
        <w:t>an item</w:t>
      </w:r>
      <w:r w:rsidR="000B710C" w:rsidRPr="00787196">
        <w:t xml:space="preserve"> each</w:t>
      </w:r>
      <w:r w:rsidR="009B3F82" w:rsidRPr="00787196">
        <w:t xml:space="preserve">. </w:t>
      </w:r>
      <w:r w:rsidR="00C479B9" w:rsidRPr="00787196">
        <w:t xml:space="preserve">Most of these questionnaire had good psychometric properties </w:t>
      </w:r>
      <w:r w:rsidR="000824D8" w:rsidRPr="00787196">
        <w:t xml:space="preserve">as described in the previous section </w:t>
      </w:r>
      <w:r w:rsidR="00C479B9" w:rsidRPr="00787196">
        <w:t>and some</w:t>
      </w:r>
      <w:r w:rsidR="008E02E7" w:rsidRPr="00787196">
        <w:t xml:space="preserve"> of</w:t>
      </w:r>
      <w:r w:rsidR="00C479B9" w:rsidRPr="00787196">
        <w:t xml:space="preserve"> </w:t>
      </w:r>
      <w:r w:rsidR="00410B8D" w:rsidRPr="00787196">
        <w:t xml:space="preserve">them </w:t>
      </w:r>
      <w:r w:rsidR="00C479B9" w:rsidRPr="00787196">
        <w:t xml:space="preserve">have been </w:t>
      </w:r>
      <w:r w:rsidR="00410B8D" w:rsidRPr="00787196">
        <w:t xml:space="preserve">extensively </w:t>
      </w:r>
      <w:r w:rsidR="00C479B9" w:rsidRPr="00787196">
        <w:t xml:space="preserve">used in cross-cultural studies and </w:t>
      </w:r>
      <w:r w:rsidR="000824D8" w:rsidRPr="00787196">
        <w:t>also in Indian populations</w:t>
      </w:r>
      <w:r w:rsidRPr="00787196">
        <w:t>, where they h</w:t>
      </w:r>
      <w:r w:rsidR="00C479B9" w:rsidRPr="00787196">
        <w:t xml:space="preserve">ave shown </w:t>
      </w:r>
      <w:r w:rsidR="000824D8" w:rsidRPr="00787196">
        <w:t xml:space="preserve">acceptable cross-cultural </w:t>
      </w:r>
      <w:r w:rsidR="00C479B9" w:rsidRPr="00787196">
        <w:t>validity. However, all</w:t>
      </w:r>
      <w:r w:rsidR="000B710C" w:rsidRPr="00787196">
        <w:t xml:space="preserve"> of these questionnaires were originally developed, designed and validated in population</w:t>
      </w:r>
      <w:r w:rsidRPr="00787196">
        <w:t>s</w:t>
      </w:r>
      <w:r w:rsidR="000B710C" w:rsidRPr="00787196">
        <w:t xml:space="preserve"> </w:t>
      </w:r>
      <w:r w:rsidR="00A02F53" w:rsidRPr="00787196">
        <w:t xml:space="preserve">that </w:t>
      </w:r>
      <w:r w:rsidRPr="00787196">
        <w:t>were</w:t>
      </w:r>
      <w:r w:rsidR="00A02F53" w:rsidRPr="00787196">
        <w:t xml:space="preserve"> </w:t>
      </w:r>
      <w:r w:rsidR="000B710C" w:rsidRPr="00787196">
        <w:t>culturally and demographically different from th</w:t>
      </w:r>
      <w:r w:rsidR="00410B8D" w:rsidRPr="00787196">
        <w:t>e</w:t>
      </w:r>
      <w:r w:rsidR="000B710C" w:rsidRPr="00787196">
        <w:t xml:space="preserve"> </w:t>
      </w:r>
      <w:r w:rsidR="005E70CB" w:rsidRPr="00787196">
        <w:t xml:space="preserve">target </w:t>
      </w:r>
      <w:r w:rsidR="000B710C" w:rsidRPr="00787196">
        <w:t>population</w:t>
      </w:r>
      <w:r w:rsidR="00410B8D" w:rsidRPr="00787196">
        <w:t xml:space="preserve"> of this study</w:t>
      </w:r>
      <w:r w:rsidR="000B710C" w:rsidRPr="00787196">
        <w:t xml:space="preserve">. </w:t>
      </w:r>
    </w:p>
    <w:p w14:paraId="242D05C7" w14:textId="199CA5E9" w:rsidR="008C0C9A" w:rsidRPr="00787196" w:rsidRDefault="00A02F53" w:rsidP="00397076">
      <w:r w:rsidRPr="00787196">
        <w:t>Th</w:t>
      </w:r>
      <w:r w:rsidR="00410B8D" w:rsidRPr="00787196">
        <w:t xml:space="preserve">e target population </w:t>
      </w:r>
      <w:r w:rsidR="0006772A" w:rsidRPr="00787196">
        <w:t>here</w:t>
      </w:r>
      <w:r w:rsidR="00C479B9" w:rsidRPr="00787196">
        <w:t xml:space="preserve"> </w:t>
      </w:r>
      <w:r w:rsidR="001918F0" w:rsidRPr="00787196">
        <w:t>was</w:t>
      </w:r>
      <w:r w:rsidR="00410B8D" w:rsidRPr="00787196">
        <w:t xml:space="preserve"> </w:t>
      </w:r>
      <w:r w:rsidRPr="00787196">
        <w:t xml:space="preserve">in </w:t>
      </w:r>
      <w:r w:rsidR="00410B8D" w:rsidRPr="00787196">
        <w:t xml:space="preserve">the state of </w:t>
      </w:r>
      <w:r w:rsidRPr="00787196">
        <w:t>Tamilnadu</w:t>
      </w:r>
      <w:r w:rsidR="00410B8D" w:rsidRPr="00787196">
        <w:t xml:space="preserve"> in</w:t>
      </w:r>
      <w:r w:rsidRPr="00787196">
        <w:t xml:space="preserve"> India</w:t>
      </w:r>
      <w:r w:rsidR="00410B8D" w:rsidRPr="00787196">
        <w:t xml:space="preserve">. </w:t>
      </w:r>
      <w:r w:rsidR="00A92BA8" w:rsidRPr="00787196">
        <w:t>T</w:t>
      </w:r>
      <w:r w:rsidRPr="00787196">
        <w:t xml:space="preserve">he use of these questionnaires </w:t>
      </w:r>
      <w:r w:rsidR="00C479B9" w:rsidRPr="00787196">
        <w:t xml:space="preserve">in </w:t>
      </w:r>
      <w:r w:rsidR="005F7941" w:rsidRPr="00787196">
        <w:t xml:space="preserve">a </w:t>
      </w:r>
      <w:r w:rsidRPr="00787196">
        <w:t>Tamil language</w:t>
      </w:r>
      <w:r w:rsidR="001918F0" w:rsidRPr="00787196">
        <w:t xml:space="preserve"> </w:t>
      </w:r>
      <w:r w:rsidR="005F7941" w:rsidRPr="00787196">
        <w:t>speaking population w</w:t>
      </w:r>
      <w:r w:rsidR="00397076" w:rsidRPr="00787196">
        <w:t xml:space="preserve">as certainly a </w:t>
      </w:r>
      <w:r w:rsidR="005F7941" w:rsidRPr="00787196">
        <w:t>challenge considering</w:t>
      </w:r>
      <w:r w:rsidR="00397076" w:rsidRPr="00787196">
        <w:t xml:space="preserve"> </w:t>
      </w:r>
      <w:r w:rsidR="0006772A" w:rsidRPr="00787196">
        <w:t xml:space="preserve">the </w:t>
      </w:r>
      <w:r w:rsidR="005F7941" w:rsidRPr="00787196">
        <w:t>minimal</w:t>
      </w:r>
      <w:r w:rsidR="00A92BA8" w:rsidRPr="00787196">
        <w:t xml:space="preserve"> literature</w:t>
      </w:r>
      <w:r w:rsidR="005F7941" w:rsidRPr="00787196">
        <w:t xml:space="preserve"> to draw </w:t>
      </w:r>
      <w:r w:rsidR="00397076" w:rsidRPr="00787196">
        <w:t>up</w:t>
      </w:r>
      <w:r w:rsidR="005F7941" w:rsidRPr="00787196">
        <w:t xml:space="preserve">on in terms of cross cultural validity in similar populations. </w:t>
      </w:r>
      <w:r w:rsidR="0006772A" w:rsidRPr="00787196">
        <w:t>W</w:t>
      </w:r>
      <w:r w:rsidR="0029204D" w:rsidRPr="00787196">
        <w:t>ith</w:t>
      </w:r>
      <w:r w:rsidR="005F7941" w:rsidRPr="00787196">
        <w:t xml:space="preserve"> the </w:t>
      </w:r>
      <w:r w:rsidR="0029204D" w:rsidRPr="00787196">
        <w:t>lack of</w:t>
      </w:r>
      <w:r w:rsidR="005F7941" w:rsidRPr="00787196">
        <w:rPr>
          <w:rFonts w:cs="Arial"/>
          <w:shd w:val="clear" w:color="auto" w:fill="FFFFFF"/>
        </w:rPr>
        <w:t xml:space="preserve"> </w:t>
      </w:r>
      <w:r w:rsidR="0029204D" w:rsidRPr="00787196">
        <w:rPr>
          <w:rFonts w:cs="Arial"/>
          <w:shd w:val="clear" w:color="auto" w:fill="FFFFFF"/>
        </w:rPr>
        <w:t xml:space="preserve">strong </w:t>
      </w:r>
      <w:r w:rsidR="005F7941" w:rsidRPr="00787196">
        <w:rPr>
          <w:rFonts w:cs="Arial"/>
          <w:shd w:val="clear" w:color="auto" w:fill="FFFFFF"/>
        </w:rPr>
        <w:t>basis to develop new culturally sensitive questionnaires</w:t>
      </w:r>
      <w:r w:rsidR="0029204D" w:rsidRPr="00787196">
        <w:rPr>
          <w:rFonts w:cs="Arial"/>
          <w:shd w:val="clear" w:color="auto" w:fill="FFFFFF"/>
        </w:rPr>
        <w:t xml:space="preserve"> and given the time constraints </w:t>
      </w:r>
      <w:r w:rsidR="00397076" w:rsidRPr="00787196">
        <w:rPr>
          <w:rFonts w:cs="Arial"/>
          <w:shd w:val="clear" w:color="auto" w:fill="FFFFFF"/>
        </w:rPr>
        <w:t>of</w:t>
      </w:r>
      <w:r w:rsidR="0029204D" w:rsidRPr="00787196">
        <w:rPr>
          <w:rFonts w:cs="Arial"/>
          <w:shd w:val="clear" w:color="auto" w:fill="FFFFFF"/>
        </w:rPr>
        <w:t xml:space="preserve"> this study, generic questionnaires </w:t>
      </w:r>
      <w:r w:rsidR="0006772A" w:rsidRPr="00787196">
        <w:rPr>
          <w:rFonts w:cs="Arial"/>
          <w:shd w:val="clear" w:color="auto" w:fill="FFFFFF"/>
        </w:rPr>
        <w:t xml:space="preserve">had to be used. Those chosen </w:t>
      </w:r>
      <w:r w:rsidR="0029204D" w:rsidRPr="00787196">
        <w:rPr>
          <w:rFonts w:cs="Arial"/>
          <w:shd w:val="clear" w:color="auto" w:fill="FFFFFF"/>
        </w:rPr>
        <w:t>(such as the OHIP-EDENT and Brief COPE)</w:t>
      </w:r>
      <w:r w:rsidR="003C42EC" w:rsidRPr="00787196">
        <w:rPr>
          <w:rFonts w:cs="Arial"/>
          <w:shd w:val="clear" w:color="auto" w:fill="FFFFFF"/>
        </w:rPr>
        <w:t xml:space="preserve">, </w:t>
      </w:r>
      <w:r w:rsidR="0029204D" w:rsidRPr="00787196">
        <w:rPr>
          <w:rFonts w:cs="Arial"/>
          <w:shd w:val="clear" w:color="auto" w:fill="FFFFFF"/>
        </w:rPr>
        <w:t xml:space="preserve">have been widely used and validated across </w:t>
      </w:r>
      <w:r w:rsidR="003C42EC" w:rsidRPr="00787196">
        <w:rPr>
          <w:rFonts w:cs="Arial"/>
          <w:shd w:val="clear" w:color="auto" w:fill="FFFFFF"/>
        </w:rPr>
        <w:t xml:space="preserve">many </w:t>
      </w:r>
      <w:r w:rsidR="0029204D" w:rsidRPr="00787196">
        <w:rPr>
          <w:rFonts w:cs="Arial"/>
          <w:shd w:val="clear" w:color="auto" w:fill="FFFFFF"/>
        </w:rPr>
        <w:t>populations</w:t>
      </w:r>
      <w:r w:rsidR="003C42EC" w:rsidRPr="00787196">
        <w:rPr>
          <w:rFonts w:cs="Arial"/>
          <w:shd w:val="clear" w:color="auto" w:fill="FFFFFF"/>
        </w:rPr>
        <w:t>.</w:t>
      </w:r>
    </w:p>
    <w:p w14:paraId="5940B26A" w14:textId="460D9CE2" w:rsidR="000B710C" w:rsidRPr="00787196" w:rsidRDefault="00A66BDB" w:rsidP="00A458BF">
      <w:r w:rsidRPr="00787196">
        <w:t xml:space="preserve">In order </w:t>
      </w:r>
      <w:r w:rsidR="008C0C9A" w:rsidRPr="00787196">
        <w:t xml:space="preserve">to validate </w:t>
      </w:r>
      <w:r w:rsidRPr="00787196">
        <w:t>the</w:t>
      </w:r>
      <w:r w:rsidR="008C0C9A" w:rsidRPr="00787196">
        <w:t xml:space="preserve"> questionnaire for use in </w:t>
      </w:r>
      <w:r w:rsidRPr="00787196">
        <w:t>the target population</w:t>
      </w:r>
      <w:r w:rsidR="008C0C9A" w:rsidRPr="00787196">
        <w:t>, a</w:t>
      </w:r>
      <w:r w:rsidR="00A458BF" w:rsidRPr="00787196">
        <w:t xml:space="preserve"> rigorous translation process using back </w:t>
      </w:r>
      <w:r w:rsidR="000F6CF7" w:rsidRPr="00787196">
        <w:t xml:space="preserve">the </w:t>
      </w:r>
      <w:r w:rsidR="00A458BF" w:rsidRPr="00787196">
        <w:t xml:space="preserve">translation method </w:t>
      </w:r>
      <w:r w:rsidR="00A20DE0" w:rsidRPr="00787196">
        <w:fldChar w:fldCharType="begin"/>
      </w:r>
      <w:r w:rsidR="00A20DE0" w:rsidRPr="00787196">
        <w:instrText xml:space="preserve"> ADDIN EN.CITE &lt;EndNote&gt;&lt;Cite&gt;&lt;Author&gt;Brislin&lt;/Author&gt;&lt;Year&gt;1970&lt;/Year&gt;&lt;IDText&gt;Back-translation for cross-cultural research&lt;/IDText&gt;&lt;DisplayText&gt;(Brislin, 1970)&lt;/DisplayText&gt;&lt;record&gt;&lt;isbn&gt;0022-0221&lt;/isbn&gt;&lt;titles&gt;&lt;title&gt;Back-translation for cross-cultural research&lt;/title&gt;&lt;secondary-title&gt;Journal of cross-cultural psychology&lt;/secondary-title&gt;&lt;/titles&gt;&lt;pages&gt;185-216&lt;/pages&gt;&lt;number&gt;3&lt;/number&gt;&lt;contributors&gt;&lt;authors&gt;&lt;author&gt;Brislin, Richard W&lt;/author&gt;&lt;/authors&gt;&lt;/contributors&gt;&lt;added-date format="utc"&gt;1500855211&lt;/added-date&gt;&lt;ref-type name="Journal Article"&gt;17&lt;/ref-type&gt;&lt;dates&gt;&lt;year&gt;1970&lt;/year&gt;&lt;/dates&gt;&lt;rec-number&gt;2806&lt;/rec-number&gt;&lt;last-updated-date format="utc"&gt;1500855211&lt;/last-updated-date&gt;&lt;volume&gt;1&lt;/volume&gt;&lt;/record&gt;&lt;/Cite&gt;&lt;/EndNote&gt;</w:instrText>
      </w:r>
      <w:r w:rsidR="00A20DE0" w:rsidRPr="00787196">
        <w:fldChar w:fldCharType="separate"/>
      </w:r>
      <w:r w:rsidR="00A20DE0" w:rsidRPr="00787196">
        <w:rPr>
          <w:noProof/>
        </w:rPr>
        <w:t>(Brislin, 1970)</w:t>
      </w:r>
      <w:r w:rsidR="00A20DE0" w:rsidRPr="00787196">
        <w:fldChar w:fldCharType="end"/>
      </w:r>
      <w:r w:rsidR="00A20DE0" w:rsidRPr="00787196">
        <w:t xml:space="preserve"> </w:t>
      </w:r>
      <w:r w:rsidR="00A458BF" w:rsidRPr="00787196">
        <w:t>was carried out followed by a pilot study in a preliminary sample who were representat</w:t>
      </w:r>
      <w:r w:rsidR="003C42EC" w:rsidRPr="00787196">
        <w:t>ive</w:t>
      </w:r>
      <w:r w:rsidR="00A458BF" w:rsidRPr="00787196">
        <w:t xml:space="preserve"> of the target sampl</w:t>
      </w:r>
      <w:r w:rsidR="008C0C9A" w:rsidRPr="00787196">
        <w:t>e.</w:t>
      </w:r>
    </w:p>
    <w:p w14:paraId="7C3F6FD6" w14:textId="554A7612" w:rsidR="000F6CF7" w:rsidRPr="00787196" w:rsidRDefault="003C42EC" w:rsidP="00A458BF">
      <w:r w:rsidRPr="00787196">
        <w:t>For the</w:t>
      </w:r>
      <w:r w:rsidR="000F6CF7" w:rsidRPr="00787196">
        <w:t xml:space="preserve"> Brief COPE questionnaire</w:t>
      </w:r>
      <w:r w:rsidRPr="00787196">
        <w:t>,</w:t>
      </w:r>
      <w:r w:rsidR="000F6CF7" w:rsidRPr="00787196">
        <w:t xml:space="preserve"> which measured the main independent variable of coping strategies</w:t>
      </w:r>
      <w:r w:rsidRPr="00787196">
        <w:t>,</w:t>
      </w:r>
      <w:r w:rsidR="000F6CF7" w:rsidRPr="00787196">
        <w:t xml:space="preserve"> a factor analysis was carried out post data collection to </w:t>
      </w:r>
      <w:r w:rsidRPr="00787196">
        <w:t>increase its validity in</w:t>
      </w:r>
      <w:r w:rsidR="000F6CF7" w:rsidRPr="00787196">
        <w:t xml:space="preserve"> the study population (section 5.2.4.2).</w:t>
      </w:r>
    </w:p>
    <w:p w14:paraId="3D8197BA" w14:textId="77777777" w:rsidR="00272928" w:rsidRPr="00787196" w:rsidRDefault="00272928" w:rsidP="00272928"/>
    <w:p w14:paraId="2A1A29C9" w14:textId="2C6FC569" w:rsidR="008A3CC3" w:rsidRPr="00787196" w:rsidRDefault="008A3CC3" w:rsidP="00D82952">
      <w:pPr>
        <w:pStyle w:val="Heading2"/>
      </w:pPr>
      <w:bookmarkStart w:id="155" w:name="_Toc488655648"/>
      <w:r w:rsidRPr="00787196">
        <w:lastRenderedPageBreak/>
        <w:t>Translation of the measures</w:t>
      </w:r>
      <w:bookmarkEnd w:id="152"/>
      <w:bookmarkEnd w:id="153"/>
      <w:bookmarkEnd w:id="154"/>
      <w:bookmarkEnd w:id="155"/>
    </w:p>
    <w:p w14:paraId="48C1DA43" w14:textId="6995D081" w:rsidR="008A3CC3" w:rsidRPr="00787196" w:rsidRDefault="009F608D" w:rsidP="00985A3A">
      <w:pPr>
        <w:spacing w:after="0"/>
        <w:rPr>
          <w:rFonts w:cs="Arial"/>
          <w:szCs w:val="24"/>
        </w:rPr>
      </w:pPr>
      <w:r w:rsidRPr="00787196">
        <w:rPr>
          <w:rFonts w:cs="Arial"/>
          <w:szCs w:val="24"/>
        </w:rPr>
        <w:t>Q</w:t>
      </w:r>
      <w:r w:rsidR="008A3CC3" w:rsidRPr="00787196">
        <w:rPr>
          <w:rFonts w:cs="Arial"/>
          <w:szCs w:val="24"/>
        </w:rPr>
        <w:t xml:space="preserve">uestionnaires adapted to the Tamil language </w:t>
      </w:r>
      <w:r w:rsidRPr="00787196">
        <w:rPr>
          <w:rFonts w:cs="Arial"/>
          <w:szCs w:val="24"/>
        </w:rPr>
        <w:t xml:space="preserve">by means of  </w:t>
      </w:r>
      <w:r w:rsidR="008A3CC3" w:rsidRPr="00787196">
        <w:rPr>
          <w:rFonts w:cs="Arial"/>
          <w:szCs w:val="24"/>
        </w:rPr>
        <w:t>back translation</w:t>
      </w:r>
      <w:r w:rsidRPr="00787196">
        <w:rPr>
          <w:rFonts w:cs="Arial"/>
          <w:szCs w:val="24"/>
        </w:rPr>
        <w:t xml:space="preserve"> method</w:t>
      </w:r>
      <w:r w:rsidR="008A3CC3" w:rsidRPr="00787196">
        <w:rPr>
          <w:rFonts w:cs="Arial"/>
          <w:szCs w:val="24"/>
        </w:rPr>
        <w:t xml:space="preserve"> </w:t>
      </w:r>
      <w:r w:rsidR="007D6B7F" w:rsidRPr="00787196">
        <w:rPr>
          <w:rFonts w:cs="Arial"/>
          <w:szCs w:val="24"/>
        </w:rPr>
        <w:fldChar w:fldCharType="begin"/>
      </w:r>
      <w:r w:rsidR="00A20DE0" w:rsidRPr="00787196">
        <w:rPr>
          <w:rFonts w:cs="Arial"/>
          <w:szCs w:val="24"/>
        </w:rPr>
        <w:instrText xml:space="preserve"> ADDIN EN.CITE &lt;EndNote&gt;&lt;Cite&gt;&lt;Author&gt;Brislin&lt;/Author&gt;&lt;Year&gt;1970&lt;/Year&gt;&lt;IDText&gt;Back-translation for cross-cultural research&lt;/IDText&gt;&lt;DisplayText&gt;(Brislin, 1970, Schmidt and Bullinger, 2003)&lt;/DisplayText&gt;&lt;record&gt;&lt;isbn&gt;0022-0221&lt;/isbn&gt;&lt;titles&gt;&lt;title&gt;Back-translation for cross-cultural research&lt;/title&gt;&lt;secondary-title&gt;Journal of cross-cultural psychology&lt;/secondary-title&gt;&lt;/titles&gt;&lt;pages&gt;185-216&lt;/pages&gt;&lt;number&gt;3&lt;/number&gt;&lt;contributors&gt;&lt;authors&gt;&lt;author&gt;Brislin, Richard W&lt;/author&gt;&lt;/authors&gt;&lt;/contributors&gt;&lt;added-date format="utc"&gt;1500855211&lt;/added-date&gt;&lt;ref-type name="Journal Article"&gt;17&lt;/ref-type&gt;&lt;dates&gt;&lt;year&gt;1970&lt;/year&gt;&lt;/dates&gt;&lt;rec-number&gt;2806&lt;/rec-number&gt;&lt;last-updated-date format="utc"&gt;1500855211&lt;/last-updated-date&gt;&lt;volume&gt;1&lt;/volume&gt;&lt;/record&gt;&lt;/Cite&gt;&lt;Cite&gt;&lt;Author&gt;Schmidt&lt;/Author&gt;&lt;Year&gt;2003&lt;/Year&gt;&lt;RecNum&gt;100&lt;/RecNum&gt;&lt;record&gt;&lt;rec-number&gt;100&lt;/rec-number&gt;&lt;foreign-keys&gt;&lt;key app="EN" db-id="xf0vwtv58a0w9wezwe9vp0fn0wwt2fp5srs0"&gt;100&lt;/key&gt;&lt;/foreign-keys&gt;&lt;ref-type name="Journal Article"&gt;17&lt;/ref-type&gt;&lt;contributors&gt;&lt;authors&gt;&lt;author&gt;Schmidt, Silke&lt;/author&gt;&lt;author&gt;Bullinger, Monika&lt;/author&gt;&lt;/authors&gt;&lt;/contributors&gt;&lt;titles&gt;&lt;title&gt;Current issues in cross-cultural quality of life instrument development&lt;/title&gt;&lt;secondary-title&gt;Archives of Physical Medicine and Rehabilitation&lt;/secondary-title&gt;&lt;/titles&gt;&lt;periodical&gt;&lt;full-title&gt;Archives of Physical Medicine and Rehabilitation&lt;/full-title&gt;&lt;/periodical&gt;&lt;pages&gt;S29-S34&lt;/pages&gt;&lt;volume&gt;84&lt;/volume&gt;&lt;number&gt;Supplement 2&lt;/number&gt;&lt;dates&gt;&lt;year&gt;2003&lt;/year&gt;&lt;/dates&gt;&lt;urls&gt;&lt;related-urls&gt;&lt;url&gt;http://www.sciencedirect.com/science/article/pii/S000399930300193X &lt;/url&gt;&lt;/related-urls&gt;&lt;/urls&gt;&lt;/record&gt;&lt;/Cite&gt;&lt;/EndNote&gt;</w:instrText>
      </w:r>
      <w:r w:rsidR="007D6B7F" w:rsidRPr="00787196">
        <w:rPr>
          <w:rFonts w:cs="Arial"/>
          <w:szCs w:val="24"/>
        </w:rPr>
        <w:fldChar w:fldCharType="separate"/>
      </w:r>
      <w:r w:rsidR="00A20DE0" w:rsidRPr="00787196">
        <w:rPr>
          <w:rFonts w:cs="Arial"/>
          <w:noProof/>
          <w:szCs w:val="24"/>
        </w:rPr>
        <w:t>(Brislin, 1970, Schmidt and Bullinger, 2003)</w:t>
      </w:r>
      <w:r w:rsidR="007D6B7F" w:rsidRPr="00787196">
        <w:rPr>
          <w:rFonts w:cs="Arial"/>
          <w:szCs w:val="24"/>
        </w:rPr>
        <w:fldChar w:fldCharType="end"/>
      </w:r>
      <w:r w:rsidR="008A3CC3" w:rsidRPr="00787196">
        <w:rPr>
          <w:rFonts w:cs="Arial"/>
          <w:szCs w:val="24"/>
        </w:rPr>
        <w:t xml:space="preserve">. </w:t>
      </w:r>
      <w:r w:rsidR="00204322" w:rsidRPr="00787196">
        <w:rPr>
          <w:rFonts w:cs="Arial"/>
          <w:szCs w:val="24"/>
        </w:rPr>
        <w:t>To achieve</w:t>
      </w:r>
      <w:r w:rsidR="008A3CC3" w:rsidRPr="00787196">
        <w:rPr>
          <w:rFonts w:cs="Arial"/>
          <w:szCs w:val="24"/>
        </w:rPr>
        <w:t xml:space="preserve"> cross-cultural equivalence</w:t>
      </w:r>
      <w:r w:rsidR="00204322" w:rsidRPr="00787196">
        <w:rPr>
          <w:rFonts w:cs="Arial"/>
          <w:szCs w:val="24"/>
        </w:rPr>
        <w:t>,</w:t>
      </w:r>
      <w:r w:rsidR="008A3CC3" w:rsidRPr="00787196">
        <w:rPr>
          <w:rFonts w:cs="Arial"/>
          <w:szCs w:val="24"/>
        </w:rPr>
        <w:t xml:space="preserve"> a phase of translation involve</w:t>
      </w:r>
      <w:r w:rsidR="008C3EB3" w:rsidRPr="00787196">
        <w:rPr>
          <w:rFonts w:cs="Arial"/>
          <w:szCs w:val="24"/>
        </w:rPr>
        <w:t>d</w:t>
      </w:r>
      <w:r w:rsidR="008A3CC3" w:rsidRPr="00787196">
        <w:rPr>
          <w:rFonts w:cs="Arial"/>
          <w:szCs w:val="24"/>
        </w:rPr>
        <w:t xml:space="preserve"> items being translated from an original source language</w:t>
      </w:r>
      <w:r w:rsidR="00204322" w:rsidRPr="00787196">
        <w:rPr>
          <w:rFonts w:cs="Arial"/>
          <w:szCs w:val="24"/>
        </w:rPr>
        <w:t xml:space="preserve"> (</w:t>
      </w:r>
      <w:r w:rsidR="006D32BD" w:rsidRPr="00787196">
        <w:rPr>
          <w:rFonts w:cs="Arial"/>
          <w:szCs w:val="24"/>
        </w:rPr>
        <w:t>i.e.</w:t>
      </w:r>
      <w:r w:rsidR="00204322" w:rsidRPr="00787196">
        <w:rPr>
          <w:rFonts w:cs="Arial"/>
          <w:szCs w:val="24"/>
        </w:rPr>
        <w:t>) English</w:t>
      </w:r>
      <w:r w:rsidR="008A3CC3" w:rsidRPr="00787196">
        <w:rPr>
          <w:rFonts w:cs="Arial"/>
          <w:szCs w:val="24"/>
        </w:rPr>
        <w:t xml:space="preserve"> </w:t>
      </w:r>
      <w:r w:rsidR="00204322" w:rsidRPr="00787196">
        <w:rPr>
          <w:rFonts w:cs="Arial"/>
          <w:szCs w:val="24"/>
        </w:rPr>
        <w:t xml:space="preserve">to </w:t>
      </w:r>
      <w:r w:rsidR="006D32BD" w:rsidRPr="00787196">
        <w:rPr>
          <w:rFonts w:cs="Arial"/>
          <w:szCs w:val="24"/>
        </w:rPr>
        <w:t>Tamil and</w:t>
      </w:r>
      <w:r w:rsidR="00204322" w:rsidRPr="00787196">
        <w:rPr>
          <w:rFonts w:cs="Arial"/>
          <w:szCs w:val="24"/>
        </w:rPr>
        <w:t xml:space="preserve"> was</w:t>
      </w:r>
      <w:r w:rsidR="008A3CC3" w:rsidRPr="00787196">
        <w:rPr>
          <w:rFonts w:cs="Arial"/>
          <w:szCs w:val="24"/>
        </w:rPr>
        <w:t xml:space="preserve"> translated back to </w:t>
      </w:r>
      <w:r w:rsidR="00204322" w:rsidRPr="00787196">
        <w:rPr>
          <w:rFonts w:cs="Arial"/>
          <w:szCs w:val="24"/>
        </w:rPr>
        <w:t>English</w:t>
      </w:r>
      <w:r w:rsidR="008A3CC3" w:rsidRPr="00787196">
        <w:rPr>
          <w:rFonts w:cs="Arial"/>
          <w:szCs w:val="24"/>
        </w:rPr>
        <w:t>.</w:t>
      </w:r>
    </w:p>
    <w:p w14:paraId="4FDF18CD" w14:textId="468E48C6" w:rsidR="008A3CC3" w:rsidRPr="00787196" w:rsidRDefault="00204322" w:rsidP="00980311">
      <w:pPr>
        <w:rPr>
          <w:rFonts w:cs="Arial"/>
          <w:szCs w:val="24"/>
        </w:rPr>
      </w:pPr>
      <w:r w:rsidRPr="00787196">
        <w:rPr>
          <w:rFonts w:cs="Arial"/>
          <w:szCs w:val="24"/>
        </w:rPr>
        <w:t>A</w:t>
      </w:r>
      <w:r w:rsidR="008A3CC3" w:rsidRPr="00787196">
        <w:rPr>
          <w:rFonts w:cs="Arial"/>
          <w:szCs w:val="24"/>
        </w:rPr>
        <w:t xml:space="preserve"> consensus Tamil version</w:t>
      </w:r>
      <w:r w:rsidRPr="00787196">
        <w:rPr>
          <w:rFonts w:cs="Arial"/>
          <w:szCs w:val="24"/>
        </w:rPr>
        <w:t xml:space="preserve"> was produced </w:t>
      </w:r>
      <w:r w:rsidR="00980311" w:rsidRPr="00787196">
        <w:rPr>
          <w:rFonts w:cs="Arial"/>
          <w:szCs w:val="24"/>
        </w:rPr>
        <w:t xml:space="preserve">by independent </w:t>
      </w:r>
      <w:r w:rsidRPr="00787196">
        <w:rPr>
          <w:rFonts w:cs="Arial"/>
          <w:szCs w:val="24"/>
        </w:rPr>
        <w:t>bilingual speakers</w:t>
      </w:r>
      <w:r w:rsidR="008A3CC3" w:rsidRPr="00787196">
        <w:rPr>
          <w:rFonts w:cs="Arial"/>
          <w:szCs w:val="24"/>
        </w:rPr>
        <w:t xml:space="preserve">, which </w:t>
      </w:r>
      <w:r w:rsidR="007D54EC" w:rsidRPr="00787196">
        <w:rPr>
          <w:rFonts w:cs="Arial"/>
          <w:szCs w:val="24"/>
        </w:rPr>
        <w:t>was</w:t>
      </w:r>
      <w:r w:rsidR="008A3CC3" w:rsidRPr="00787196">
        <w:rPr>
          <w:rFonts w:cs="Arial"/>
          <w:szCs w:val="24"/>
        </w:rPr>
        <w:t xml:space="preserve"> </w:t>
      </w:r>
      <w:r w:rsidRPr="00787196">
        <w:rPr>
          <w:rFonts w:cs="Arial"/>
          <w:szCs w:val="24"/>
        </w:rPr>
        <w:t xml:space="preserve">then </w:t>
      </w:r>
      <w:r w:rsidR="008A3CC3" w:rsidRPr="00787196">
        <w:rPr>
          <w:rFonts w:cs="Arial"/>
          <w:szCs w:val="24"/>
        </w:rPr>
        <w:t xml:space="preserve">translated back into English by </w:t>
      </w:r>
      <w:r w:rsidR="006D32BD" w:rsidRPr="00787196">
        <w:rPr>
          <w:rFonts w:cs="Arial"/>
          <w:szCs w:val="24"/>
        </w:rPr>
        <w:t>another translator</w:t>
      </w:r>
      <w:r w:rsidR="008A3CC3" w:rsidRPr="00787196">
        <w:rPr>
          <w:rFonts w:cs="Arial"/>
          <w:szCs w:val="24"/>
        </w:rPr>
        <w:t xml:space="preserve"> </w:t>
      </w:r>
      <w:r w:rsidR="008C3EB3" w:rsidRPr="00787196">
        <w:rPr>
          <w:rFonts w:cs="Arial"/>
          <w:szCs w:val="24"/>
        </w:rPr>
        <w:t>who ha</w:t>
      </w:r>
      <w:r w:rsidRPr="00787196">
        <w:rPr>
          <w:rFonts w:cs="Arial"/>
          <w:szCs w:val="24"/>
        </w:rPr>
        <w:t>s</w:t>
      </w:r>
      <w:r w:rsidR="008A3CC3" w:rsidRPr="00787196">
        <w:rPr>
          <w:rFonts w:cs="Arial"/>
          <w:szCs w:val="24"/>
        </w:rPr>
        <w:t xml:space="preserve"> not seen the original version. </w:t>
      </w:r>
      <w:r w:rsidRPr="00787196">
        <w:rPr>
          <w:rFonts w:cs="Arial"/>
          <w:szCs w:val="24"/>
        </w:rPr>
        <w:t>T</w:t>
      </w:r>
      <w:r w:rsidR="008A3CC3" w:rsidRPr="00787196">
        <w:rPr>
          <w:rFonts w:cs="Arial"/>
          <w:szCs w:val="24"/>
        </w:rPr>
        <w:t xml:space="preserve">he original and back translated versions </w:t>
      </w:r>
      <w:r w:rsidRPr="00787196">
        <w:rPr>
          <w:rFonts w:cs="Arial"/>
          <w:szCs w:val="24"/>
        </w:rPr>
        <w:t xml:space="preserve">were then checked for discrepancies </w:t>
      </w:r>
      <w:r w:rsidR="008A3CC3" w:rsidRPr="00787196">
        <w:rPr>
          <w:rFonts w:cs="Arial"/>
          <w:szCs w:val="24"/>
        </w:rPr>
        <w:t>by two bilingual dentists. Th</w:t>
      </w:r>
      <w:r w:rsidRPr="00787196">
        <w:rPr>
          <w:rFonts w:cs="Arial"/>
          <w:szCs w:val="24"/>
        </w:rPr>
        <w:t>e</w:t>
      </w:r>
      <w:r w:rsidR="008A3CC3" w:rsidRPr="00787196">
        <w:rPr>
          <w:rFonts w:cs="Arial"/>
          <w:szCs w:val="24"/>
        </w:rPr>
        <w:t xml:space="preserve"> </w:t>
      </w:r>
      <w:r w:rsidRPr="00787196">
        <w:rPr>
          <w:rFonts w:cs="Arial"/>
          <w:szCs w:val="24"/>
        </w:rPr>
        <w:t xml:space="preserve">entire process of translation </w:t>
      </w:r>
      <w:r w:rsidR="007D54EC" w:rsidRPr="00787196">
        <w:rPr>
          <w:rFonts w:cs="Arial"/>
          <w:szCs w:val="24"/>
        </w:rPr>
        <w:t>was</w:t>
      </w:r>
      <w:r w:rsidR="008A3CC3" w:rsidRPr="00787196">
        <w:rPr>
          <w:rFonts w:cs="Arial"/>
          <w:szCs w:val="24"/>
        </w:rPr>
        <w:t xml:space="preserve"> repeated until an acceptable Tamil version </w:t>
      </w:r>
      <w:r w:rsidR="0074560C" w:rsidRPr="00787196">
        <w:rPr>
          <w:rFonts w:cs="Arial"/>
          <w:szCs w:val="24"/>
        </w:rPr>
        <w:t>was</w:t>
      </w:r>
      <w:r w:rsidR="008A3CC3" w:rsidRPr="00787196">
        <w:rPr>
          <w:rFonts w:cs="Arial"/>
          <w:szCs w:val="24"/>
        </w:rPr>
        <w:t xml:space="preserve"> </w:t>
      </w:r>
      <w:r w:rsidRPr="00787196">
        <w:rPr>
          <w:rFonts w:cs="Arial"/>
          <w:szCs w:val="24"/>
        </w:rPr>
        <w:t>achieved</w:t>
      </w:r>
      <w:r w:rsidR="008A3CC3" w:rsidRPr="00787196">
        <w:rPr>
          <w:rFonts w:cs="Arial"/>
          <w:szCs w:val="24"/>
        </w:rPr>
        <w:t xml:space="preserve">. The </w:t>
      </w:r>
      <w:r w:rsidR="003B31C2" w:rsidRPr="00787196">
        <w:rPr>
          <w:rFonts w:cs="Arial"/>
          <w:szCs w:val="24"/>
        </w:rPr>
        <w:t xml:space="preserve">back translated </w:t>
      </w:r>
      <w:r w:rsidR="008A3CC3" w:rsidRPr="00787196">
        <w:rPr>
          <w:rFonts w:cs="Arial"/>
          <w:szCs w:val="24"/>
        </w:rPr>
        <w:t xml:space="preserve">version </w:t>
      </w:r>
      <w:r w:rsidR="007D54EC" w:rsidRPr="00787196">
        <w:rPr>
          <w:rFonts w:cs="Arial"/>
          <w:szCs w:val="24"/>
        </w:rPr>
        <w:t>was</w:t>
      </w:r>
      <w:r w:rsidR="008A3CC3" w:rsidRPr="00787196">
        <w:rPr>
          <w:rFonts w:cs="Arial"/>
          <w:szCs w:val="24"/>
        </w:rPr>
        <w:t xml:space="preserve"> tested in 10 Tamil speaking people </w:t>
      </w:r>
      <w:r w:rsidR="003B31C2" w:rsidRPr="00787196">
        <w:rPr>
          <w:rFonts w:cs="Arial"/>
          <w:szCs w:val="24"/>
        </w:rPr>
        <w:t xml:space="preserve">living </w:t>
      </w:r>
      <w:r w:rsidR="0074560C" w:rsidRPr="00787196">
        <w:rPr>
          <w:rFonts w:cs="Arial"/>
          <w:szCs w:val="24"/>
        </w:rPr>
        <w:t>in the</w:t>
      </w:r>
      <w:r w:rsidR="008A3CC3" w:rsidRPr="00787196">
        <w:rPr>
          <w:rFonts w:cs="Arial"/>
          <w:szCs w:val="24"/>
        </w:rPr>
        <w:t xml:space="preserve"> UK. A</w:t>
      </w:r>
      <w:r w:rsidR="0074560C" w:rsidRPr="00787196">
        <w:rPr>
          <w:rFonts w:cs="Arial"/>
          <w:szCs w:val="24"/>
        </w:rPr>
        <w:t xml:space="preserve"> final</w:t>
      </w:r>
      <w:r w:rsidR="008A3CC3" w:rsidRPr="00787196">
        <w:rPr>
          <w:rFonts w:cs="Arial"/>
          <w:szCs w:val="24"/>
        </w:rPr>
        <w:t xml:space="preserve"> test </w:t>
      </w:r>
      <w:r w:rsidR="003B31C2" w:rsidRPr="00787196">
        <w:rPr>
          <w:rFonts w:cs="Arial"/>
          <w:szCs w:val="24"/>
        </w:rPr>
        <w:t xml:space="preserve">was done </w:t>
      </w:r>
      <w:r w:rsidR="006D32BD" w:rsidRPr="00787196">
        <w:rPr>
          <w:rFonts w:cs="Arial"/>
          <w:szCs w:val="24"/>
        </w:rPr>
        <w:t>in a</w:t>
      </w:r>
      <w:r w:rsidR="008A3CC3" w:rsidRPr="00787196">
        <w:rPr>
          <w:rFonts w:cs="Arial"/>
          <w:szCs w:val="24"/>
        </w:rPr>
        <w:t xml:space="preserve"> sample of 10 patients attending the Department of Oral Medicine at Ramachandra Dental College</w:t>
      </w:r>
      <w:r w:rsidR="0074560C" w:rsidRPr="00787196">
        <w:rPr>
          <w:rFonts w:cs="Arial"/>
          <w:szCs w:val="24"/>
        </w:rPr>
        <w:t xml:space="preserve">. A confirmatory </w:t>
      </w:r>
      <w:r w:rsidR="008A3CC3" w:rsidRPr="00787196">
        <w:rPr>
          <w:rFonts w:cs="Arial"/>
          <w:szCs w:val="24"/>
        </w:rPr>
        <w:t xml:space="preserve">test of the Tamil version </w:t>
      </w:r>
      <w:r w:rsidR="007D54EC" w:rsidRPr="00787196">
        <w:rPr>
          <w:rFonts w:cs="Arial"/>
          <w:szCs w:val="24"/>
        </w:rPr>
        <w:t>was</w:t>
      </w:r>
      <w:r w:rsidR="008A3CC3" w:rsidRPr="00787196">
        <w:rPr>
          <w:rFonts w:cs="Arial"/>
          <w:szCs w:val="24"/>
        </w:rPr>
        <w:t xml:space="preserve"> conducted 4 weeks before the study with 10 participants within the University</w:t>
      </w:r>
      <w:r w:rsidR="0074560C" w:rsidRPr="00787196">
        <w:rPr>
          <w:rFonts w:cs="Arial"/>
          <w:szCs w:val="24"/>
        </w:rPr>
        <w:t>. A</w:t>
      </w:r>
      <w:r w:rsidR="008A3CC3" w:rsidRPr="00787196">
        <w:rPr>
          <w:rFonts w:cs="Arial"/>
          <w:szCs w:val="24"/>
        </w:rPr>
        <w:t xml:space="preserve">ll the recommendations by the respondents </w:t>
      </w:r>
      <w:r w:rsidR="007D54EC" w:rsidRPr="00787196">
        <w:rPr>
          <w:rFonts w:cs="Arial"/>
          <w:szCs w:val="24"/>
        </w:rPr>
        <w:t>were</w:t>
      </w:r>
      <w:r w:rsidR="008A3CC3" w:rsidRPr="00787196">
        <w:rPr>
          <w:rFonts w:cs="Arial"/>
          <w:szCs w:val="24"/>
        </w:rPr>
        <w:t xml:space="preserve"> </w:t>
      </w:r>
      <w:r w:rsidR="003B31C2" w:rsidRPr="00787196">
        <w:rPr>
          <w:rFonts w:cs="Arial"/>
          <w:szCs w:val="24"/>
        </w:rPr>
        <w:t xml:space="preserve">noted </w:t>
      </w:r>
      <w:r w:rsidR="008A3CC3" w:rsidRPr="00787196">
        <w:rPr>
          <w:rFonts w:cs="Arial"/>
          <w:szCs w:val="24"/>
        </w:rPr>
        <w:t xml:space="preserve">and a final version </w:t>
      </w:r>
      <w:r w:rsidR="007D54EC" w:rsidRPr="00787196">
        <w:rPr>
          <w:rFonts w:cs="Arial"/>
          <w:szCs w:val="24"/>
        </w:rPr>
        <w:t>was</w:t>
      </w:r>
      <w:r w:rsidR="008A3CC3" w:rsidRPr="00787196">
        <w:rPr>
          <w:rFonts w:cs="Arial"/>
          <w:szCs w:val="24"/>
        </w:rPr>
        <w:t xml:space="preserve"> produced </w:t>
      </w:r>
      <w:r w:rsidR="003B31C2" w:rsidRPr="00787196">
        <w:rPr>
          <w:rFonts w:cs="Arial"/>
          <w:szCs w:val="24"/>
        </w:rPr>
        <w:t xml:space="preserve">before commencing the </w:t>
      </w:r>
      <w:r w:rsidR="00980311" w:rsidRPr="00787196">
        <w:rPr>
          <w:rFonts w:cs="Arial"/>
          <w:szCs w:val="24"/>
        </w:rPr>
        <w:t xml:space="preserve">pilot </w:t>
      </w:r>
      <w:r w:rsidR="008A3CC3" w:rsidRPr="00787196">
        <w:rPr>
          <w:rFonts w:cs="Arial"/>
          <w:szCs w:val="24"/>
        </w:rPr>
        <w:t>study.</w:t>
      </w:r>
    </w:p>
    <w:p w14:paraId="00BFF248" w14:textId="2E42C43E" w:rsidR="008A3CC3" w:rsidRPr="00787196" w:rsidRDefault="00EC2CF3" w:rsidP="00D82952">
      <w:pPr>
        <w:pStyle w:val="Heading2"/>
      </w:pPr>
      <w:bookmarkStart w:id="156" w:name="_Toc317517868"/>
      <w:bookmarkStart w:id="157" w:name="_Toc317591194"/>
      <w:bookmarkStart w:id="158" w:name="_Toc319068888"/>
      <w:bookmarkStart w:id="159" w:name="_Toc366260757"/>
      <w:bookmarkStart w:id="160" w:name="_Toc371981467"/>
      <w:bookmarkStart w:id="161" w:name="_Toc372541946"/>
      <w:bookmarkStart w:id="162" w:name="_Toc456211162"/>
      <w:bookmarkStart w:id="163" w:name="_Toc488655649"/>
      <w:r w:rsidRPr="00787196">
        <w:t>Conduct</w:t>
      </w:r>
      <w:bookmarkEnd w:id="156"/>
      <w:bookmarkEnd w:id="157"/>
      <w:bookmarkEnd w:id="158"/>
      <w:bookmarkEnd w:id="159"/>
      <w:bookmarkEnd w:id="160"/>
      <w:bookmarkEnd w:id="161"/>
      <w:bookmarkEnd w:id="162"/>
      <w:bookmarkEnd w:id="163"/>
    </w:p>
    <w:p w14:paraId="0BAE22E5" w14:textId="77777777" w:rsidR="003F0C88" w:rsidRPr="00787196" w:rsidRDefault="003F0C88" w:rsidP="00D9694A">
      <w:pPr>
        <w:pStyle w:val="Heading3"/>
        <w:rPr>
          <w:iCs/>
        </w:rPr>
      </w:pPr>
      <w:bookmarkStart w:id="164" w:name="_Toc488655650"/>
      <w:bookmarkStart w:id="165" w:name="_Toc317517869"/>
      <w:bookmarkStart w:id="166" w:name="_Toc317591195"/>
      <w:bookmarkStart w:id="167" w:name="_Toc319068889"/>
      <w:r w:rsidRPr="00787196">
        <w:t>Pilot Study</w:t>
      </w:r>
      <w:bookmarkEnd w:id="164"/>
    </w:p>
    <w:p w14:paraId="0FDEE9B3" w14:textId="672F2464" w:rsidR="003F0C88" w:rsidRPr="00787196" w:rsidRDefault="006E6159" w:rsidP="003C32D5">
      <w:pPr>
        <w:rPr>
          <w:rFonts w:cs="Arial"/>
        </w:rPr>
      </w:pPr>
      <w:r w:rsidRPr="00787196">
        <w:rPr>
          <w:rFonts w:cs="Arial"/>
        </w:rPr>
        <w:t xml:space="preserve">The pilot </w:t>
      </w:r>
      <w:r w:rsidR="003F0C88" w:rsidRPr="00787196">
        <w:rPr>
          <w:rFonts w:cs="Arial"/>
        </w:rPr>
        <w:t xml:space="preserve">testing </w:t>
      </w:r>
      <w:r w:rsidRPr="00787196">
        <w:rPr>
          <w:rFonts w:cs="Arial"/>
        </w:rPr>
        <w:t xml:space="preserve">of the questionnaires was carried out </w:t>
      </w:r>
      <w:r w:rsidR="003F0C88" w:rsidRPr="00787196">
        <w:rPr>
          <w:rFonts w:cs="Arial"/>
        </w:rPr>
        <w:t xml:space="preserve">in a convenience sample of 10 </w:t>
      </w:r>
      <w:r w:rsidR="002B6631" w:rsidRPr="00787196">
        <w:rPr>
          <w:rFonts w:cs="Arial"/>
        </w:rPr>
        <w:t xml:space="preserve">participants from </w:t>
      </w:r>
      <w:r w:rsidR="003F0C88" w:rsidRPr="00787196">
        <w:rPr>
          <w:rFonts w:cs="Arial"/>
        </w:rPr>
        <w:t xml:space="preserve">a </w:t>
      </w:r>
      <w:r w:rsidR="002B6631" w:rsidRPr="00787196">
        <w:rPr>
          <w:rFonts w:cs="Arial"/>
        </w:rPr>
        <w:t xml:space="preserve">private </w:t>
      </w:r>
      <w:r w:rsidR="003F0C88" w:rsidRPr="00787196">
        <w:rPr>
          <w:rFonts w:cs="Arial"/>
        </w:rPr>
        <w:t>den</w:t>
      </w:r>
      <w:r w:rsidR="002B6631" w:rsidRPr="00787196">
        <w:rPr>
          <w:rFonts w:cs="Arial"/>
        </w:rPr>
        <w:t>tal practice in Chennai</w:t>
      </w:r>
      <w:r w:rsidR="00A458BF" w:rsidRPr="00787196">
        <w:rPr>
          <w:rFonts w:cs="Arial"/>
        </w:rPr>
        <w:t xml:space="preserve"> city</w:t>
      </w:r>
      <w:r w:rsidR="002B6631" w:rsidRPr="00787196">
        <w:rPr>
          <w:rFonts w:cs="Arial"/>
        </w:rPr>
        <w:t xml:space="preserve">, India. </w:t>
      </w:r>
      <w:r w:rsidR="00A458BF" w:rsidRPr="00787196">
        <w:rPr>
          <w:rFonts w:cs="Arial"/>
        </w:rPr>
        <w:t xml:space="preserve">The </w:t>
      </w:r>
      <w:r w:rsidRPr="00787196">
        <w:rPr>
          <w:rFonts w:cs="Arial"/>
        </w:rPr>
        <w:t>back translated Tamil-versions of the questionnaires were given the participants to be filled and were asked for a feedback.  P</w:t>
      </w:r>
      <w:r w:rsidR="00A458BF" w:rsidRPr="00787196">
        <w:rPr>
          <w:rFonts w:cs="Arial"/>
        </w:rPr>
        <w:t xml:space="preserve">articipants </w:t>
      </w:r>
      <w:r w:rsidRPr="00787196">
        <w:rPr>
          <w:rFonts w:cs="Arial"/>
        </w:rPr>
        <w:t xml:space="preserve">did </w:t>
      </w:r>
      <w:r w:rsidR="00A458BF" w:rsidRPr="00787196">
        <w:rPr>
          <w:rFonts w:cs="Arial"/>
        </w:rPr>
        <w:t xml:space="preserve">raise concerns </w:t>
      </w:r>
      <w:r w:rsidRPr="00787196">
        <w:rPr>
          <w:rFonts w:cs="Arial"/>
        </w:rPr>
        <w:t xml:space="preserve">regarding the </w:t>
      </w:r>
      <w:r w:rsidR="00A458BF" w:rsidRPr="00787196">
        <w:rPr>
          <w:rFonts w:cs="Arial"/>
        </w:rPr>
        <w:t xml:space="preserve">meaning of certain items </w:t>
      </w:r>
      <w:r w:rsidRPr="00787196">
        <w:rPr>
          <w:rFonts w:cs="Arial"/>
        </w:rPr>
        <w:t>in the</w:t>
      </w:r>
      <w:r w:rsidR="00A458BF" w:rsidRPr="00787196">
        <w:rPr>
          <w:rFonts w:cs="Arial"/>
        </w:rPr>
        <w:t xml:space="preserve"> questionnaires.</w:t>
      </w:r>
      <w:r w:rsidRPr="00787196">
        <w:rPr>
          <w:rFonts w:cs="Arial"/>
        </w:rPr>
        <w:t xml:space="preserve"> Their concerns were duly noted and amendments </w:t>
      </w:r>
      <w:r w:rsidR="003C32D5" w:rsidRPr="00787196">
        <w:rPr>
          <w:rFonts w:cs="Arial"/>
        </w:rPr>
        <w:t xml:space="preserve">were made to </w:t>
      </w:r>
      <w:r w:rsidRPr="00787196">
        <w:rPr>
          <w:rFonts w:cs="Arial"/>
        </w:rPr>
        <w:t xml:space="preserve">the translation </w:t>
      </w:r>
      <w:r w:rsidR="003C32D5" w:rsidRPr="00787196">
        <w:rPr>
          <w:rFonts w:cs="Arial"/>
        </w:rPr>
        <w:t>using an independent bilingual dentist</w:t>
      </w:r>
      <w:r w:rsidRPr="00787196">
        <w:rPr>
          <w:rFonts w:cs="Arial"/>
        </w:rPr>
        <w:t xml:space="preserve"> accordingly. </w:t>
      </w:r>
      <w:r w:rsidR="002B6631" w:rsidRPr="00787196">
        <w:rPr>
          <w:rFonts w:cs="Arial"/>
        </w:rPr>
        <w:t xml:space="preserve">Further testing was done </w:t>
      </w:r>
      <w:r w:rsidR="003C32D5" w:rsidRPr="00787196">
        <w:rPr>
          <w:rFonts w:cs="Arial"/>
        </w:rPr>
        <w:t xml:space="preserve">again in 5 more </w:t>
      </w:r>
      <w:r w:rsidR="002B6631" w:rsidRPr="00787196">
        <w:rPr>
          <w:rFonts w:cs="Arial"/>
        </w:rPr>
        <w:t>random pa</w:t>
      </w:r>
      <w:r w:rsidR="003C32D5" w:rsidRPr="00787196">
        <w:rPr>
          <w:rFonts w:cs="Arial"/>
        </w:rPr>
        <w:t xml:space="preserve">rticipants </w:t>
      </w:r>
      <w:r w:rsidR="002B6631" w:rsidRPr="00787196">
        <w:rPr>
          <w:rFonts w:cs="Arial"/>
        </w:rPr>
        <w:t xml:space="preserve">from Ramachandra University. </w:t>
      </w:r>
      <w:r w:rsidR="003C32D5" w:rsidRPr="00787196">
        <w:rPr>
          <w:rFonts w:cs="Arial"/>
        </w:rPr>
        <w:t>Their</w:t>
      </w:r>
      <w:r w:rsidR="003F0C88" w:rsidRPr="00787196">
        <w:rPr>
          <w:rFonts w:cs="Arial"/>
        </w:rPr>
        <w:t xml:space="preserve"> suggestions and comments that </w:t>
      </w:r>
      <w:r w:rsidR="003C32D5" w:rsidRPr="00787196">
        <w:rPr>
          <w:rFonts w:cs="Arial"/>
        </w:rPr>
        <w:t>w</w:t>
      </w:r>
      <w:r w:rsidR="003F0C88" w:rsidRPr="00787196">
        <w:rPr>
          <w:rFonts w:cs="Arial"/>
        </w:rPr>
        <w:t xml:space="preserve">ere noted and accordingly incorporated </w:t>
      </w:r>
      <w:r w:rsidR="003C32D5" w:rsidRPr="00787196">
        <w:rPr>
          <w:rFonts w:cs="Arial"/>
        </w:rPr>
        <w:t xml:space="preserve">into the questionnaires </w:t>
      </w:r>
      <w:r w:rsidR="003F0C88" w:rsidRPr="00787196">
        <w:rPr>
          <w:rFonts w:cs="Arial"/>
        </w:rPr>
        <w:t>for the main data collection</w:t>
      </w:r>
      <w:r w:rsidR="003C32D5" w:rsidRPr="00787196">
        <w:rPr>
          <w:rFonts w:cs="Arial"/>
        </w:rPr>
        <w:t>.</w:t>
      </w:r>
    </w:p>
    <w:p w14:paraId="5EBE6DED" w14:textId="752A98A5" w:rsidR="008A3CC3" w:rsidRPr="00787196" w:rsidRDefault="008A3CC3" w:rsidP="00D9694A">
      <w:pPr>
        <w:pStyle w:val="Heading3"/>
      </w:pPr>
      <w:bookmarkStart w:id="168" w:name="_Toc488655651"/>
      <w:r w:rsidRPr="00787196">
        <w:lastRenderedPageBreak/>
        <w:t>Data Collection</w:t>
      </w:r>
      <w:bookmarkEnd w:id="165"/>
      <w:bookmarkEnd w:id="166"/>
      <w:bookmarkEnd w:id="167"/>
      <w:bookmarkEnd w:id="168"/>
    </w:p>
    <w:p w14:paraId="4A8BF8A9" w14:textId="3384F804" w:rsidR="008A3CC3" w:rsidRPr="00787196" w:rsidRDefault="008A3CC3" w:rsidP="00C119A5">
      <w:pPr>
        <w:numPr>
          <w:ilvl w:val="0"/>
          <w:numId w:val="14"/>
        </w:numPr>
        <w:spacing w:after="0"/>
        <w:ind w:left="426" w:hanging="426"/>
        <w:rPr>
          <w:rFonts w:cs="Arial"/>
          <w:szCs w:val="24"/>
        </w:rPr>
      </w:pPr>
      <w:r w:rsidRPr="00787196">
        <w:rPr>
          <w:rFonts w:cs="Arial"/>
          <w:szCs w:val="24"/>
        </w:rPr>
        <w:t>With the help of colleague</w:t>
      </w:r>
      <w:r w:rsidR="002B6631" w:rsidRPr="00787196">
        <w:rPr>
          <w:rFonts w:cs="Arial"/>
          <w:szCs w:val="24"/>
        </w:rPr>
        <w:t xml:space="preserve">s from </w:t>
      </w:r>
      <w:r w:rsidR="001D7F54" w:rsidRPr="00787196">
        <w:rPr>
          <w:rFonts w:cs="Arial"/>
          <w:szCs w:val="24"/>
        </w:rPr>
        <w:t>participating</w:t>
      </w:r>
      <w:r w:rsidR="002B6631" w:rsidRPr="00787196">
        <w:rPr>
          <w:rFonts w:cs="Arial"/>
          <w:szCs w:val="24"/>
        </w:rPr>
        <w:t xml:space="preserve"> departments i.e.</w:t>
      </w:r>
      <w:r w:rsidRPr="00787196">
        <w:rPr>
          <w:rFonts w:cs="Arial"/>
          <w:szCs w:val="24"/>
        </w:rPr>
        <w:t xml:space="preserve"> Oral medicine (outpatients’ first point of contact), Public Health Dentistry (patients referred from outreach camps), Oral Surgery (where post dental extraction patients would follow up), Prosthodontics (patients already undergoing treatment for </w:t>
      </w:r>
      <w:r w:rsidR="00F0157F" w:rsidRPr="00787196">
        <w:rPr>
          <w:rFonts w:cs="Arial"/>
          <w:szCs w:val="24"/>
        </w:rPr>
        <w:t>a conventional prosthesis</w:t>
      </w:r>
      <w:r w:rsidRPr="00787196">
        <w:rPr>
          <w:rFonts w:cs="Arial"/>
          <w:szCs w:val="24"/>
        </w:rPr>
        <w:t xml:space="preserve">, notice about the study </w:t>
      </w:r>
      <w:r w:rsidR="007D54EC" w:rsidRPr="00787196">
        <w:rPr>
          <w:rFonts w:cs="Arial"/>
          <w:szCs w:val="24"/>
        </w:rPr>
        <w:t>w</w:t>
      </w:r>
      <w:r w:rsidR="00F375AD" w:rsidRPr="00787196">
        <w:rPr>
          <w:rFonts w:cs="Arial"/>
          <w:szCs w:val="24"/>
        </w:rPr>
        <w:t>as</w:t>
      </w:r>
      <w:r w:rsidRPr="00787196">
        <w:rPr>
          <w:rFonts w:cs="Arial"/>
          <w:szCs w:val="24"/>
        </w:rPr>
        <w:t xml:space="preserve"> circulated in the form of flyers, pamphlets and mini posters </w:t>
      </w:r>
      <w:r w:rsidR="00F0157F" w:rsidRPr="00787196">
        <w:rPr>
          <w:rFonts w:cs="Arial"/>
          <w:szCs w:val="24"/>
        </w:rPr>
        <w:t>etc.</w:t>
      </w:r>
      <w:r w:rsidRPr="00787196">
        <w:rPr>
          <w:rFonts w:cs="Arial"/>
          <w:szCs w:val="24"/>
        </w:rPr>
        <w:t xml:space="preserve"> to reach as many people potential participants as possible.</w:t>
      </w:r>
    </w:p>
    <w:p w14:paraId="76CF4F59" w14:textId="36258D00" w:rsidR="008A3CC3" w:rsidRPr="00787196" w:rsidRDefault="008A3CC3" w:rsidP="00C119A5">
      <w:pPr>
        <w:numPr>
          <w:ilvl w:val="0"/>
          <w:numId w:val="14"/>
        </w:numPr>
        <w:spacing w:after="0"/>
        <w:ind w:left="426" w:right="-99" w:hanging="426"/>
        <w:rPr>
          <w:rFonts w:cs="Arial"/>
          <w:szCs w:val="24"/>
        </w:rPr>
      </w:pPr>
      <w:r w:rsidRPr="00787196">
        <w:rPr>
          <w:rFonts w:cs="Arial"/>
          <w:szCs w:val="24"/>
        </w:rPr>
        <w:t xml:space="preserve">Patients expressing interest from other departments </w:t>
      </w:r>
      <w:r w:rsidR="007D54EC" w:rsidRPr="00787196">
        <w:rPr>
          <w:rFonts w:cs="Arial"/>
          <w:szCs w:val="24"/>
        </w:rPr>
        <w:t>were</w:t>
      </w:r>
      <w:r w:rsidRPr="00787196">
        <w:rPr>
          <w:rFonts w:cs="Arial"/>
          <w:szCs w:val="24"/>
        </w:rPr>
        <w:t xml:space="preserve"> referred to the Department of P</w:t>
      </w:r>
      <w:r w:rsidR="004464FB" w:rsidRPr="00787196">
        <w:rPr>
          <w:rFonts w:cs="Arial"/>
          <w:szCs w:val="24"/>
        </w:rPr>
        <w:t xml:space="preserve">rosthodontics on the same day. </w:t>
      </w:r>
      <w:r w:rsidRPr="00787196">
        <w:rPr>
          <w:rFonts w:cs="Arial"/>
          <w:szCs w:val="24"/>
        </w:rPr>
        <w:t>The participant</w:t>
      </w:r>
      <w:r w:rsidR="00F0157F" w:rsidRPr="00787196">
        <w:rPr>
          <w:rFonts w:cs="Arial"/>
          <w:szCs w:val="24"/>
        </w:rPr>
        <w:t>s</w:t>
      </w:r>
      <w:r w:rsidRPr="00787196">
        <w:rPr>
          <w:rFonts w:cs="Arial"/>
          <w:szCs w:val="24"/>
        </w:rPr>
        <w:t xml:space="preserve"> </w:t>
      </w:r>
      <w:r w:rsidR="007D54EC" w:rsidRPr="00787196">
        <w:rPr>
          <w:rFonts w:cs="Arial"/>
          <w:szCs w:val="24"/>
        </w:rPr>
        <w:t>were</w:t>
      </w:r>
      <w:r w:rsidRPr="00787196">
        <w:rPr>
          <w:rFonts w:cs="Arial"/>
          <w:szCs w:val="24"/>
        </w:rPr>
        <w:t xml:space="preserve"> informed about the study by (KP) and provided with an Information Sheet. Non-reader patients </w:t>
      </w:r>
      <w:r w:rsidR="007D54EC" w:rsidRPr="00787196">
        <w:rPr>
          <w:rFonts w:cs="Arial"/>
          <w:szCs w:val="24"/>
        </w:rPr>
        <w:t>were</w:t>
      </w:r>
      <w:r w:rsidRPr="00787196">
        <w:rPr>
          <w:rFonts w:cs="Arial"/>
          <w:szCs w:val="24"/>
        </w:rPr>
        <w:t xml:space="preserve"> read the contents of the Information Sheet.</w:t>
      </w:r>
    </w:p>
    <w:p w14:paraId="0A23EF03" w14:textId="01149171" w:rsidR="008A3CC3" w:rsidRPr="00787196" w:rsidRDefault="008A3CC3" w:rsidP="00C119A5">
      <w:pPr>
        <w:numPr>
          <w:ilvl w:val="0"/>
          <w:numId w:val="14"/>
        </w:numPr>
        <w:spacing w:after="0"/>
        <w:ind w:left="426" w:right="-99" w:hanging="426"/>
        <w:rPr>
          <w:rFonts w:cs="Arial"/>
          <w:szCs w:val="24"/>
        </w:rPr>
      </w:pPr>
      <w:r w:rsidRPr="00787196">
        <w:rPr>
          <w:rFonts w:cs="Arial"/>
          <w:szCs w:val="24"/>
        </w:rPr>
        <w:t xml:space="preserve">Consent </w:t>
      </w:r>
      <w:r w:rsidR="007D54EC" w:rsidRPr="00787196">
        <w:rPr>
          <w:rFonts w:cs="Arial"/>
          <w:szCs w:val="24"/>
        </w:rPr>
        <w:t>w</w:t>
      </w:r>
      <w:r w:rsidR="004464FB" w:rsidRPr="00787196">
        <w:rPr>
          <w:rFonts w:cs="Arial"/>
          <w:szCs w:val="24"/>
        </w:rPr>
        <w:t>as</w:t>
      </w:r>
      <w:r w:rsidRPr="00787196">
        <w:rPr>
          <w:rFonts w:cs="Arial"/>
          <w:szCs w:val="24"/>
        </w:rPr>
        <w:t xml:space="preserve"> obtained</w:t>
      </w:r>
      <w:r w:rsidR="004464FB" w:rsidRPr="00787196">
        <w:rPr>
          <w:rFonts w:cs="Arial"/>
          <w:szCs w:val="24"/>
        </w:rPr>
        <w:t xml:space="preserve"> from </w:t>
      </w:r>
      <w:r w:rsidR="00F0157F" w:rsidRPr="00787196">
        <w:rPr>
          <w:rFonts w:cs="Arial"/>
          <w:szCs w:val="24"/>
        </w:rPr>
        <w:t>participants</w:t>
      </w:r>
      <w:r w:rsidRPr="00787196">
        <w:rPr>
          <w:rFonts w:cs="Arial"/>
          <w:szCs w:val="24"/>
        </w:rPr>
        <w:t xml:space="preserve"> after explanation about the study </w:t>
      </w:r>
      <w:r w:rsidR="004464FB" w:rsidRPr="00787196">
        <w:rPr>
          <w:rFonts w:cs="Arial"/>
          <w:szCs w:val="24"/>
        </w:rPr>
        <w:t xml:space="preserve">and </w:t>
      </w:r>
      <w:r w:rsidR="00F375AD" w:rsidRPr="00787196">
        <w:rPr>
          <w:rFonts w:cs="Arial"/>
          <w:szCs w:val="24"/>
        </w:rPr>
        <w:t xml:space="preserve">after </w:t>
      </w:r>
      <w:r w:rsidRPr="00787196">
        <w:rPr>
          <w:rFonts w:cs="Arial"/>
          <w:szCs w:val="24"/>
        </w:rPr>
        <w:t>KP</w:t>
      </w:r>
      <w:r w:rsidR="00F375AD" w:rsidRPr="00787196">
        <w:rPr>
          <w:rFonts w:cs="Arial"/>
          <w:szCs w:val="24"/>
        </w:rPr>
        <w:t xml:space="preserve"> had</w:t>
      </w:r>
      <w:r w:rsidRPr="00787196">
        <w:rPr>
          <w:rFonts w:cs="Arial"/>
          <w:szCs w:val="24"/>
        </w:rPr>
        <w:t xml:space="preserve"> ensured </w:t>
      </w:r>
      <w:r w:rsidR="004464FB" w:rsidRPr="00787196">
        <w:rPr>
          <w:rFonts w:cs="Arial"/>
          <w:szCs w:val="24"/>
        </w:rPr>
        <w:t xml:space="preserve">that </w:t>
      </w:r>
      <w:r w:rsidRPr="00787196">
        <w:rPr>
          <w:rFonts w:cs="Arial"/>
          <w:szCs w:val="24"/>
        </w:rPr>
        <w:t xml:space="preserve">they understood it completely. A thumb impression </w:t>
      </w:r>
      <w:r w:rsidR="007D54EC" w:rsidRPr="00787196">
        <w:rPr>
          <w:rFonts w:cs="Arial"/>
          <w:szCs w:val="24"/>
        </w:rPr>
        <w:t>was</w:t>
      </w:r>
      <w:r w:rsidRPr="00787196">
        <w:rPr>
          <w:rFonts w:cs="Arial"/>
          <w:szCs w:val="24"/>
        </w:rPr>
        <w:t xml:space="preserve"> obtained fr</w:t>
      </w:r>
      <w:r w:rsidR="007D54EC" w:rsidRPr="00787196">
        <w:rPr>
          <w:rFonts w:cs="Arial"/>
          <w:szCs w:val="24"/>
        </w:rPr>
        <w:t xml:space="preserve">om non-reader patients. KP </w:t>
      </w:r>
      <w:r w:rsidRPr="00787196">
        <w:rPr>
          <w:rFonts w:cs="Arial"/>
          <w:szCs w:val="24"/>
        </w:rPr>
        <w:t>fix</w:t>
      </w:r>
      <w:r w:rsidR="007D54EC" w:rsidRPr="00787196">
        <w:rPr>
          <w:rFonts w:cs="Arial"/>
          <w:szCs w:val="24"/>
        </w:rPr>
        <w:t>ed</w:t>
      </w:r>
      <w:r w:rsidRPr="00787196">
        <w:rPr>
          <w:rFonts w:cs="Arial"/>
          <w:szCs w:val="24"/>
        </w:rPr>
        <w:t xml:space="preserve"> appointments and collect</w:t>
      </w:r>
      <w:r w:rsidR="004464FB" w:rsidRPr="00787196">
        <w:rPr>
          <w:rFonts w:cs="Arial"/>
          <w:szCs w:val="24"/>
        </w:rPr>
        <w:t>ed</w:t>
      </w:r>
      <w:r w:rsidRPr="00787196">
        <w:rPr>
          <w:rFonts w:cs="Arial"/>
          <w:szCs w:val="24"/>
        </w:rPr>
        <w:t xml:space="preserve"> the contact details of consented participants. Participants w</w:t>
      </w:r>
      <w:r w:rsidR="004464FB" w:rsidRPr="00787196">
        <w:rPr>
          <w:rFonts w:cs="Arial"/>
          <w:szCs w:val="24"/>
        </w:rPr>
        <w:t>ere</w:t>
      </w:r>
      <w:r w:rsidRPr="00787196">
        <w:rPr>
          <w:rFonts w:cs="Arial"/>
          <w:szCs w:val="24"/>
        </w:rPr>
        <w:t xml:space="preserve"> sent a reminder a week and a day ahead of their appointments.</w:t>
      </w:r>
    </w:p>
    <w:p w14:paraId="1F950C4D" w14:textId="666C177B" w:rsidR="008A3CC3" w:rsidRPr="00787196" w:rsidRDefault="008A3CC3" w:rsidP="00C119A5">
      <w:pPr>
        <w:numPr>
          <w:ilvl w:val="0"/>
          <w:numId w:val="14"/>
        </w:numPr>
        <w:spacing w:after="0"/>
        <w:ind w:left="426" w:right="-99" w:hanging="426"/>
        <w:rPr>
          <w:rFonts w:cs="Arial"/>
          <w:szCs w:val="24"/>
        </w:rPr>
      </w:pPr>
      <w:r w:rsidRPr="00787196">
        <w:rPr>
          <w:rFonts w:cs="Arial"/>
          <w:szCs w:val="24"/>
        </w:rPr>
        <w:t xml:space="preserve">Other possibilities for recruitment </w:t>
      </w:r>
      <w:r w:rsidR="007D54EC" w:rsidRPr="00787196">
        <w:rPr>
          <w:rFonts w:cs="Arial"/>
          <w:szCs w:val="24"/>
        </w:rPr>
        <w:t>were</w:t>
      </w:r>
      <w:r w:rsidRPr="00787196">
        <w:rPr>
          <w:rFonts w:cs="Arial"/>
          <w:szCs w:val="24"/>
        </w:rPr>
        <w:t xml:space="preserve"> explored through outreach programmes of the dental college with the help from the Department of Public Health Dentistry.</w:t>
      </w:r>
    </w:p>
    <w:p w14:paraId="7D7B7276" w14:textId="58A0260E" w:rsidR="006E6159" w:rsidRPr="00787196" w:rsidRDefault="008A3CC3" w:rsidP="00C45564">
      <w:pPr>
        <w:numPr>
          <w:ilvl w:val="0"/>
          <w:numId w:val="14"/>
        </w:numPr>
        <w:spacing w:after="0"/>
        <w:ind w:left="426" w:hanging="426"/>
        <w:rPr>
          <w:rFonts w:cs="Arial"/>
          <w:szCs w:val="24"/>
        </w:rPr>
      </w:pPr>
      <w:r w:rsidRPr="00787196">
        <w:rPr>
          <w:rFonts w:cs="Arial"/>
          <w:szCs w:val="24"/>
        </w:rPr>
        <w:t>On the</w:t>
      </w:r>
      <w:r w:rsidR="004464FB" w:rsidRPr="00787196">
        <w:rPr>
          <w:rFonts w:cs="Arial"/>
          <w:szCs w:val="24"/>
        </w:rPr>
        <w:t xml:space="preserve"> day of their first appointment</w:t>
      </w:r>
      <w:r w:rsidR="006E6159" w:rsidRPr="00787196">
        <w:rPr>
          <w:rFonts w:cs="Arial"/>
          <w:szCs w:val="24"/>
        </w:rPr>
        <w:t xml:space="preserve"> the principal researcher (KP) ensured the clinical examinations were conducted as per the WHO diagnostic criteria (World Health Organisation, 2013) by either the </w:t>
      </w:r>
      <w:r w:rsidR="00C45564" w:rsidRPr="00787196">
        <w:rPr>
          <w:rFonts w:cs="Arial"/>
          <w:szCs w:val="24"/>
        </w:rPr>
        <w:t xml:space="preserve">trainee </w:t>
      </w:r>
      <w:r w:rsidR="006E6159" w:rsidRPr="00787196">
        <w:rPr>
          <w:rFonts w:cs="Arial"/>
          <w:szCs w:val="24"/>
        </w:rPr>
        <w:t xml:space="preserve">students or </w:t>
      </w:r>
      <w:r w:rsidR="00C45564" w:rsidRPr="00787196">
        <w:rPr>
          <w:rFonts w:cs="Arial"/>
          <w:szCs w:val="24"/>
        </w:rPr>
        <w:t>staff members</w:t>
      </w:r>
      <w:r w:rsidR="006E6159" w:rsidRPr="00787196">
        <w:rPr>
          <w:rFonts w:cs="Arial"/>
          <w:szCs w:val="24"/>
        </w:rPr>
        <w:t xml:space="preserve">. </w:t>
      </w:r>
    </w:p>
    <w:p w14:paraId="56FEF563" w14:textId="0A398FE4" w:rsidR="008A3CC3" w:rsidRPr="00787196" w:rsidRDefault="008A3CC3" w:rsidP="00C119A5">
      <w:pPr>
        <w:numPr>
          <w:ilvl w:val="0"/>
          <w:numId w:val="14"/>
        </w:numPr>
        <w:spacing w:after="0"/>
        <w:ind w:left="426" w:hanging="426"/>
        <w:rPr>
          <w:rFonts w:cs="Arial"/>
          <w:szCs w:val="24"/>
        </w:rPr>
      </w:pPr>
      <w:r w:rsidRPr="00787196">
        <w:rPr>
          <w:rFonts w:cs="Arial"/>
          <w:szCs w:val="24"/>
        </w:rPr>
        <w:t>Trainee dental</w:t>
      </w:r>
      <w:r w:rsidR="007D54EC" w:rsidRPr="00787196">
        <w:rPr>
          <w:rFonts w:cs="Arial"/>
          <w:szCs w:val="24"/>
        </w:rPr>
        <w:t xml:space="preserve"> students or staff conducted </w:t>
      </w:r>
      <w:r w:rsidRPr="00787196">
        <w:rPr>
          <w:rFonts w:cs="Arial"/>
          <w:szCs w:val="24"/>
        </w:rPr>
        <w:t xml:space="preserve">the clinical examination. All clinical examinations </w:t>
      </w:r>
      <w:r w:rsidR="007D54EC" w:rsidRPr="00787196">
        <w:rPr>
          <w:rFonts w:cs="Arial"/>
          <w:szCs w:val="24"/>
        </w:rPr>
        <w:t>were</w:t>
      </w:r>
      <w:r w:rsidRPr="00787196">
        <w:rPr>
          <w:rFonts w:cs="Arial"/>
          <w:szCs w:val="24"/>
        </w:rPr>
        <w:t xml:space="preserve"> conducted on a well-equipped dental chair with a clinical light. The examiner </w:t>
      </w:r>
      <w:r w:rsidR="004464FB" w:rsidRPr="00787196">
        <w:rPr>
          <w:rFonts w:cs="Arial"/>
          <w:szCs w:val="24"/>
        </w:rPr>
        <w:t>c</w:t>
      </w:r>
      <w:r w:rsidRPr="00787196">
        <w:rPr>
          <w:rFonts w:cs="Arial"/>
          <w:szCs w:val="24"/>
        </w:rPr>
        <w:t>all</w:t>
      </w:r>
      <w:r w:rsidR="004464FB" w:rsidRPr="00787196">
        <w:rPr>
          <w:rFonts w:cs="Arial"/>
          <w:szCs w:val="24"/>
        </w:rPr>
        <w:t>ed</w:t>
      </w:r>
      <w:r w:rsidRPr="00787196">
        <w:rPr>
          <w:rFonts w:cs="Arial"/>
          <w:szCs w:val="24"/>
        </w:rPr>
        <w:t xml:space="preserve"> out </w:t>
      </w:r>
      <w:r w:rsidR="0066188A" w:rsidRPr="00787196">
        <w:rPr>
          <w:rFonts w:cs="Arial"/>
          <w:szCs w:val="24"/>
        </w:rPr>
        <w:t xml:space="preserve">the </w:t>
      </w:r>
      <w:r w:rsidRPr="00787196">
        <w:rPr>
          <w:rFonts w:cs="Arial"/>
          <w:szCs w:val="24"/>
        </w:rPr>
        <w:t xml:space="preserve">upper teeth present starting at the top right and go to top left then call out lower teeth starting at lower left moving to lower right. All the data </w:t>
      </w:r>
      <w:r w:rsidR="007D54EC" w:rsidRPr="00787196">
        <w:rPr>
          <w:rFonts w:cs="Arial"/>
          <w:szCs w:val="24"/>
        </w:rPr>
        <w:t>were</w:t>
      </w:r>
      <w:r w:rsidRPr="00787196">
        <w:rPr>
          <w:rFonts w:cs="Arial"/>
          <w:szCs w:val="24"/>
        </w:rPr>
        <w:t xml:space="preserve"> entered into a clinical examination form by a trainee dentist or a dental </w:t>
      </w:r>
      <w:r w:rsidR="004464FB" w:rsidRPr="00787196">
        <w:rPr>
          <w:rFonts w:cs="Arial"/>
          <w:szCs w:val="24"/>
        </w:rPr>
        <w:t xml:space="preserve">chairside </w:t>
      </w:r>
      <w:r w:rsidRPr="00787196">
        <w:rPr>
          <w:rFonts w:cs="Arial"/>
          <w:szCs w:val="24"/>
        </w:rPr>
        <w:t>nurse (assistant).</w:t>
      </w:r>
    </w:p>
    <w:p w14:paraId="0E18B621" w14:textId="01B1E997" w:rsidR="008A3CC3" w:rsidRPr="00787196" w:rsidRDefault="00F0157F" w:rsidP="00C119A5">
      <w:pPr>
        <w:numPr>
          <w:ilvl w:val="0"/>
          <w:numId w:val="14"/>
        </w:numPr>
        <w:spacing w:after="0"/>
        <w:ind w:left="426" w:hanging="426"/>
        <w:rPr>
          <w:rFonts w:cs="Arial"/>
          <w:szCs w:val="24"/>
        </w:rPr>
      </w:pPr>
      <w:r w:rsidRPr="00787196">
        <w:rPr>
          <w:rFonts w:cs="Arial"/>
          <w:szCs w:val="24"/>
        </w:rPr>
        <w:lastRenderedPageBreak/>
        <w:t>Participants</w:t>
      </w:r>
      <w:r w:rsidR="004464FB" w:rsidRPr="00787196">
        <w:rPr>
          <w:rFonts w:cs="Arial"/>
          <w:szCs w:val="24"/>
        </w:rPr>
        <w:t xml:space="preserve"> </w:t>
      </w:r>
      <w:r w:rsidR="007D54EC" w:rsidRPr="00787196">
        <w:rPr>
          <w:rFonts w:cs="Arial"/>
          <w:szCs w:val="24"/>
        </w:rPr>
        <w:t>were</w:t>
      </w:r>
      <w:r w:rsidR="008A3CC3" w:rsidRPr="00787196">
        <w:rPr>
          <w:rFonts w:cs="Arial"/>
          <w:szCs w:val="24"/>
        </w:rPr>
        <w:t xml:space="preserve"> </w:t>
      </w:r>
      <w:r w:rsidR="00C45564" w:rsidRPr="00787196">
        <w:rPr>
          <w:rFonts w:cs="Arial"/>
          <w:szCs w:val="24"/>
        </w:rPr>
        <w:t xml:space="preserve">then </w:t>
      </w:r>
      <w:r w:rsidR="004464FB" w:rsidRPr="00787196">
        <w:rPr>
          <w:rFonts w:cs="Arial"/>
          <w:szCs w:val="24"/>
        </w:rPr>
        <w:t xml:space="preserve">given </w:t>
      </w:r>
      <w:r w:rsidR="008A3CC3" w:rsidRPr="00787196">
        <w:rPr>
          <w:rFonts w:cs="Arial"/>
          <w:szCs w:val="24"/>
        </w:rPr>
        <w:t xml:space="preserve">the questionnaire </w:t>
      </w:r>
      <w:r w:rsidR="004464FB" w:rsidRPr="00787196">
        <w:rPr>
          <w:rFonts w:cs="Arial"/>
          <w:szCs w:val="24"/>
        </w:rPr>
        <w:t xml:space="preserve">to be completed. They were </w:t>
      </w:r>
      <w:r w:rsidRPr="00787196">
        <w:rPr>
          <w:rFonts w:cs="Arial"/>
          <w:szCs w:val="24"/>
        </w:rPr>
        <w:t>overseen</w:t>
      </w:r>
      <w:r w:rsidR="004464FB" w:rsidRPr="00787196">
        <w:rPr>
          <w:rFonts w:cs="Arial"/>
          <w:szCs w:val="24"/>
        </w:rPr>
        <w:t xml:space="preserve"> </w:t>
      </w:r>
      <w:r w:rsidR="008A3CC3" w:rsidRPr="00787196">
        <w:rPr>
          <w:rFonts w:cs="Arial"/>
          <w:szCs w:val="24"/>
        </w:rPr>
        <w:t xml:space="preserve">by another trainee dentist or </w:t>
      </w:r>
      <w:r w:rsidR="004464FB" w:rsidRPr="00787196">
        <w:rPr>
          <w:rFonts w:cs="Arial"/>
          <w:szCs w:val="24"/>
        </w:rPr>
        <w:t xml:space="preserve">chairside </w:t>
      </w:r>
      <w:r w:rsidR="008A3CC3" w:rsidRPr="00787196">
        <w:rPr>
          <w:rFonts w:cs="Arial"/>
          <w:szCs w:val="24"/>
        </w:rPr>
        <w:t>dental nurse (assistant)</w:t>
      </w:r>
      <w:r w:rsidR="004464FB" w:rsidRPr="00787196">
        <w:rPr>
          <w:rFonts w:cs="Arial"/>
          <w:szCs w:val="24"/>
        </w:rPr>
        <w:t xml:space="preserve"> along with </w:t>
      </w:r>
      <w:r w:rsidR="00C45564" w:rsidRPr="00787196">
        <w:rPr>
          <w:rFonts w:cs="Arial"/>
          <w:szCs w:val="24"/>
        </w:rPr>
        <w:t xml:space="preserve">investigator </w:t>
      </w:r>
      <w:r w:rsidR="004464FB" w:rsidRPr="00787196">
        <w:rPr>
          <w:rFonts w:cs="Arial"/>
          <w:szCs w:val="24"/>
        </w:rPr>
        <w:t>KP</w:t>
      </w:r>
      <w:r w:rsidR="008A3CC3" w:rsidRPr="00787196">
        <w:rPr>
          <w:rFonts w:cs="Arial"/>
          <w:szCs w:val="24"/>
        </w:rPr>
        <w:t>.</w:t>
      </w:r>
    </w:p>
    <w:p w14:paraId="650FB753" w14:textId="05E14A21" w:rsidR="008A3CC3" w:rsidRPr="00787196" w:rsidRDefault="008A3CC3" w:rsidP="00C119A5">
      <w:pPr>
        <w:numPr>
          <w:ilvl w:val="0"/>
          <w:numId w:val="14"/>
        </w:numPr>
        <w:spacing w:after="0"/>
        <w:ind w:left="426" w:hanging="426"/>
        <w:rPr>
          <w:rFonts w:cs="Arial"/>
          <w:szCs w:val="24"/>
        </w:rPr>
      </w:pPr>
      <w:r w:rsidRPr="00787196">
        <w:rPr>
          <w:rFonts w:cs="Arial"/>
          <w:szCs w:val="24"/>
        </w:rPr>
        <w:t xml:space="preserve">Questions and their choices </w:t>
      </w:r>
      <w:r w:rsidR="007D54EC" w:rsidRPr="00787196">
        <w:rPr>
          <w:rFonts w:cs="Arial"/>
          <w:szCs w:val="24"/>
        </w:rPr>
        <w:t>were</w:t>
      </w:r>
      <w:r w:rsidRPr="00787196">
        <w:rPr>
          <w:rFonts w:cs="Arial"/>
          <w:szCs w:val="24"/>
        </w:rPr>
        <w:t xml:space="preserve"> read to the people who </w:t>
      </w:r>
      <w:r w:rsidR="001D7F54" w:rsidRPr="00787196">
        <w:rPr>
          <w:rFonts w:cs="Arial"/>
          <w:szCs w:val="24"/>
        </w:rPr>
        <w:t>we</w:t>
      </w:r>
      <w:r w:rsidRPr="00787196">
        <w:rPr>
          <w:rFonts w:cs="Arial"/>
          <w:szCs w:val="24"/>
        </w:rPr>
        <w:t>re unable to read and understand the questi</w:t>
      </w:r>
      <w:r w:rsidR="004464FB" w:rsidRPr="00787196">
        <w:rPr>
          <w:rFonts w:cs="Arial"/>
          <w:szCs w:val="24"/>
        </w:rPr>
        <w:t>onnaires. A separate variable was</w:t>
      </w:r>
      <w:r w:rsidRPr="00787196">
        <w:rPr>
          <w:rFonts w:cs="Arial"/>
          <w:szCs w:val="24"/>
        </w:rPr>
        <w:t xml:space="preserve"> record</w:t>
      </w:r>
      <w:r w:rsidR="004464FB" w:rsidRPr="00787196">
        <w:rPr>
          <w:rFonts w:cs="Arial"/>
          <w:szCs w:val="24"/>
        </w:rPr>
        <w:t>ed</w:t>
      </w:r>
      <w:r w:rsidR="00C45564" w:rsidRPr="00787196">
        <w:rPr>
          <w:rFonts w:cs="Arial"/>
          <w:szCs w:val="24"/>
        </w:rPr>
        <w:t xml:space="preserve"> for</w:t>
      </w:r>
      <w:r w:rsidRPr="00787196">
        <w:rPr>
          <w:rFonts w:cs="Arial"/>
          <w:szCs w:val="24"/>
        </w:rPr>
        <w:t xml:space="preserve"> such participants to</w:t>
      </w:r>
      <w:r w:rsidR="00F212C4" w:rsidRPr="00787196">
        <w:rPr>
          <w:rFonts w:cs="Arial"/>
          <w:szCs w:val="24"/>
        </w:rPr>
        <w:t xml:space="preserve"> test whether literacy </w:t>
      </w:r>
      <w:r w:rsidR="00C45564" w:rsidRPr="00787196">
        <w:rPr>
          <w:rFonts w:cs="Arial"/>
          <w:szCs w:val="24"/>
        </w:rPr>
        <w:t xml:space="preserve">level </w:t>
      </w:r>
      <w:r w:rsidR="00F212C4" w:rsidRPr="00787196">
        <w:rPr>
          <w:rFonts w:cs="Arial"/>
          <w:szCs w:val="24"/>
        </w:rPr>
        <w:t>was a confounder.</w:t>
      </w:r>
    </w:p>
    <w:p w14:paraId="26F8D2DB" w14:textId="6D0BE48F" w:rsidR="008A3CC3" w:rsidRPr="00787196" w:rsidRDefault="008A3CC3" w:rsidP="00C119A5">
      <w:pPr>
        <w:numPr>
          <w:ilvl w:val="0"/>
          <w:numId w:val="14"/>
        </w:numPr>
        <w:spacing w:after="0"/>
        <w:ind w:left="426" w:hanging="426"/>
        <w:rPr>
          <w:rFonts w:cs="Arial"/>
          <w:szCs w:val="24"/>
        </w:rPr>
      </w:pPr>
      <w:r w:rsidRPr="00787196">
        <w:rPr>
          <w:rFonts w:cs="Arial"/>
          <w:szCs w:val="24"/>
        </w:rPr>
        <w:t xml:space="preserve">After completion </w:t>
      </w:r>
      <w:r w:rsidR="004464FB" w:rsidRPr="00787196">
        <w:rPr>
          <w:rFonts w:cs="Arial"/>
          <w:szCs w:val="24"/>
        </w:rPr>
        <w:t xml:space="preserve">of </w:t>
      </w:r>
      <w:r w:rsidRPr="00787196">
        <w:rPr>
          <w:rFonts w:cs="Arial"/>
          <w:szCs w:val="24"/>
        </w:rPr>
        <w:t xml:space="preserve">the questionnaires, participants </w:t>
      </w:r>
      <w:r w:rsidR="007D54EC" w:rsidRPr="00787196">
        <w:rPr>
          <w:rFonts w:cs="Arial"/>
          <w:szCs w:val="24"/>
        </w:rPr>
        <w:t>were</w:t>
      </w:r>
      <w:r w:rsidRPr="00787196">
        <w:rPr>
          <w:rFonts w:cs="Arial"/>
          <w:szCs w:val="24"/>
        </w:rPr>
        <w:t xml:space="preserve"> informed about th</w:t>
      </w:r>
      <w:r w:rsidR="004464FB" w:rsidRPr="00787196">
        <w:rPr>
          <w:rFonts w:cs="Arial"/>
          <w:szCs w:val="24"/>
        </w:rPr>
        <w:t>e follow up study 3 months after denture insertion. A</w:t>
      </w:r>
      <w:r w:rsidRPr="00787196">
        <w:rPr>
          <w:rFonts w:cs="Arial"/>
          <w:szCs w:val="24"/>
        </w:rPr>
        <w:t>ppointments</w:t>
      </w:r>
      <w:r w:rsidR="004464FB" w:rsidRPr="00787196">
        <w:rPr>
          <w:rFonts w:cs="Arial"/>
          <w:szCs w:val="24"/>
        </w:rPr>
        <w:t xml:space="preserve"> were arranged</w:t>
      </w:r>
      <w:r w:rsidRPr="00787196">
        <w:rPr>
          <w:rFonts w:cs="Arial"/>
          <w:szCs w:val="24"/>
        </w:rPr>
        <w:t xml:space="preserve"> accordingly.</w:t>
      </w:r>
    </w:p>
    <w:p w14:paraId="32BDDE05" w14:textId="6A666394" w:rsidR="008A3CC3" w:rsidRPr="00787196" w:rsidRDefault="003F02E6" w:rsidP="00F0157F">
      <w:pPr>
        <w:numPr>
          <w:ilvl w:val="0"/>
          <w:numId w:val="14"/>
        </w:numPr>
        <w:spacing w:after="0"/>
        <w:ind w:left="426" w:hanging="426"/>
        <w:rPr>
          <w:rFonts w:cs="Arial"/>
          <w:szCs w:val="24"/>
        </w:rPr>
      </w:pPr>
      <w:r w:rsidRPr="00787196">
        <w:rPr>
          <w:rFonts w:cs="Arial"/>
          <w:szCs w:val="24"/>
        </w:rPr>
        <w:t xml:space="preserve"> </w:t>
      </w:r>
      <w:r w:rsidR="008A3CC3" w:rsidRPr="00787196">
        <w:rPr>
          <w:rFonts w:cs="Arial"/>
          <w:szCs w:val="24"/>
        </w:rPr>
        <w:t xml:space="preserve">Consistency of the clinical data </w:t>
      </w:r>
      <w:r w:rsidR="007D54EC" w:rsidRPr="00787196">
        <w:rPr>
          <w:rFonts w:cs="Arial"/>
          <w:szCs w:val="24"/>
        </w:rPr>
        <w:t>were</w:t>
      </w:r>
      <w:r w:rsidR="008A3CC3" w:rsidRPr="00787196">
        <w:rPr>
          <w:rFonts w:cs="Arial"/>
          <w:szCs w:val="24"/>
        </w:rPr>
        <w:t xml:space="preserve"> checked by re-examining patients straight after the clinical examination </w:t>
      </w:r>
      <w:r w:rsidR="00CE1652" w:rsidRPr="00787196">
        <w:rPr>
          <w:rFonts w:cs="Arial"/>
          <w:szCs w:val="24"/>
        </w:rPr>
        <w:t>wa</w:t>
      </w:r>
      <w:r w:rsidR="008A3CC3" w:rsidRPr="00787196">
        <w:rPr>
          <w:rFonts w:cs="Arial"/>
          <w:szCs w:val="24"/>
        </w:rPr>
        <w:t xml:space="preserve">s completed. Random selection of patients </w:t>
      </w:r>
      <w:r w:rsidR="00F0157F" w:rsidRPr="00787196">
        <w:rPr>
          <w:rFonts w:cs="Arial"/>
          <w:szCs w:val="24"/>
        </w:rPr>
        <w:t xml:space="preserve">was </w:t>
      </w:r>
      <w:r w:rsidR="008A3CC3" w:rsidRPr="00787196">
        <w:rPr>
          <w:rFonts w:cs="Arial"/>
          <w:szCs w:val="24"/>
        </w:rPr>
        <w:t>done by rolling a ten sided dice.</w:t>
      </w:r>
    </w:p>
    <w:p w14:paraId="1A6F7A13" w14:textId="3BC0B2A6" w:rsidR="008A3CC3" w:rsidRPr="00787196" w:rsidRDefault="008A3CC3" w:rsidP="00C119A5">
      <w:pPr>
        <w:numPr>
          <w:ilvl w:val="0"/>
          <w:numId w:val="14"/>
        </w:numPr>
        <w:spacing w:after="0"/>
        <w:ind w:left="426" w:hanging="426"/>
        <w:rPr>
          <w:rFonts w:cs="Arial"/>
          <w:szCs w:val="24"/>
        </w:rPr>
      </w:pPr>
      <w:r w:rsidRPr="00787196">
        <w:rPr>
          <w:rFonts w:cs="Arial"/>
          <w:szCs w:val="24"/>
        </w:rPr>
        <w:t>The questi</w:t>
      </w:r>
      <w:r w:rsidR="00CE1652" w:rsidRPr="00787196">
        <w:rPr>
          <w:rFonts w:cs="Arial"/>
          <w:szCs w:val="24"/>
        </w:rPr>
        <w:t xml:space="preserve">onnaires were given </w:t>
      </w:r>
      <w:r w:rsidRPr="00787196">
        <w:rPr>
          <w:rFonts w:cs="Arial"/>
          <w:szCs w:val="24"/>
        </w:rPr>
        <w:t xml:space="preserve">again </w:t>
      </w:r>
      <w:r w:rsidR="00CE1652" w:rsidRPr="00787196">
        <w:rPr>
          <w:rFonts w:cs="Arial"/>
          <w:szCs w:val="24"/>
        </w:rPr>
        <w:t xml:space="preserve">to </w:t>
      </w:r>
      <w:r w:rsidR="00F0157F" w:rsidRPr="00787196">
        <w:rPr>
          <w:rFonts w:cs="Arial"/>
          <w:szCs w:val="24"/>
        </w:rPr>
        <w:t>participants</w:t>
      </w:r>
      <w:r w:rsidR="00CE1652" w:rsidRPr="00787196">
        <w:rPr>
          <w:rFonts w:cs="Arial"/>
          <w:szCs w:val="24"/>
        </w:rPr>
        <w:t xml:space="preserve"> to be filled </w:t>
      </w:r>
      <w:r w:rsidRPr="00787196">
        <w:rPr>
          <w:rFonts w:cs="Arial"/>
          <w:szCs w:val="24"/>
        </w:rPr>
        <w:t xml:space="preserve">3 months </w:t>
      </w:r>
      <w:r w:rsidR="00CE1652" w:rsidRPr="00787196">
        <w:rPr>
          <w:rFonts w:cs="Arial"/>
          <w:szCs w:val="24"/>
        </w:rPr>
        <w:t xml:space="preserve">after </w:t>
      </w:r>
      <w:r w:rsidR="004E06B7" w:rsidRPr="00787196">
        <w:rPr>
          <w:rFonts w:cs="Arial"/>
          <w:szCs w:val="24"/>
        </w:rPr>
        <w:t xml:space="preserve">denture </w:t>
      </w:r>
      <w:r w:rsidR="00F0157F" w:rsidRPr="00787196">
        <w:rPr>
          <w:rFonts w:cs="Arial"/>
          <w:szCs w:val="24"/>
        </w:rPr>
        <w:t>insertion</w:t>
      </w:r>
      <w:r w:rsidR="001D7F54" w:rsidRPr="00787196">
        <w:rPr>
          <w:rFonts w:cs="Arial"/>
          <w:szCs w:val="24"/>
        </w:rPr>
        <w:t xml:space="preserve"> as</w:t>
      </w:r>
      <w:r w:rsidR="004E06B7" w:rsidRPr="00787196">
        <w:rPr>
          <w:rFonts w:cs="Arial"/>
          <w:szCs w:val="24"/>
        </w:rPr>
        <w:t xml:space="preserve"> </w:t>
      </w:r>
      <w:r w:rsidR="00CE1652" w:rsidRPr="00787196">
        <w:rPr>
          <w:rFonts w:cs="Arial"/>
          <w:szCs w:val="24"/>
        </w:rPr>
        <w:t>f</w:t>
      </w:r>
      <w:r w:rsidRPr="00787196">
        <w:rPr>
          <w:rFonts w:cs="Arial"/>
          <w:szCs w:val="24"/>
        </w:rPr>
        <w:t xml:space="preserve">ollow-up data. </w:t>
      </w:r>
      <w:r w:rsidR="001D7F54" w:rsidRPr="00787196">
        <w:rPr>
          <w:rFonts w:cs="Arial"/>
          <w:szCs w:val="24"/>
        </w:rPr>
        <w:t>No c</w:t>
      </w:r>
      <w:r w:rsidRPr="00787196">
        <w:rPr>
          <w:rFonts w:cs="Arial"/>
          <w:szCs w:val="24"/>
        </w:rPr>
        <w:t>linical examinations</w:t>
      </w:r>
      <w:r w:rsidR="001D7F54" w:rsidRPr="00787196">
        <w:rPr>
          <w:rFonts w:cs="Arial"/>
          <w:szCs w:val="24"/>
        </w:rPr>
        <w:t xml:space="preserve"> and data</w:t>
      </w:r>
      <w:r w:rsidRPr="00787196">
        <w:rPr>
          <w:rFonts w:cs="Arial"/>
          <w:szCs w:val="24"/>
        </w:rPr>
        <w:t xml:space="preserve"> </w:t>
      </w:r>
      <w:r w:rsidR="0028506F" w:rsidRPr="00787196">
        <w:rPr>
          <w:rFonts w:cs="Arial"/>
          <w:szCs w:val="24"/>
        </w:rPr>
        <w:t xml:space="preserve">were </w:t>
      </w:r>
      <w:r w:rsidR="001D7F54" w:rsidRPr="00787196">
        <w:rPr>
          <w:rFonts w:cs="Arial"/>
          <w:szCs w:val="24"/>
        </w:rPr>
        <w:t>recorded</w:t>
      </w:r>
      <w:r w:rsidRPr="00787196">
        <w:rPr>
          <w:rFonts w:cs="Arial"/>
          <w:szCs w:val="24"/>
        </w:rPr>
        <w:t xml:space="preserve"> at follow-up</w:t>
      </w:r>
      <w:r w:rsidR="00CE1652" w:rsidRPr="00787196">
        <w:rPr>
          <w:rFonts w:cs="Arial"/>
          <w:szCs w:val="24"/>
        </w:rPr>
        <w:t xml:space="preserve"> (T2)</w:t>
      </w:r>
      <w:r w:rsidRPr="00787196">
        <w:rPr>
          <w:rFonts w:cs="Arial"/>
          <w:szCs w:val="24"/>
        </w:rPr>
        <w:t>.</w:t>
      </w:r>
    </w:p>
    <w:p w14:paraId="41AAF754" w14:textId="4D1D2144" w:rsidR="008A3CC3" w:rsidRPr="00787196" w:rsidRDefault="008A3CC3" w:rsidP="00C119A5">
      <w:pPr>
        <w:numPr>
          <w:ilvl w:val="0"/>
          <w:numId w:val="14"/>
        </w:numPr>
        <w:spacing w:after="0"/>
        <w:ind w:left="426" w:hanging="426"/>
        <w:rPr>
          <w:rFonts w:cs="Arial"/>
          <w:szCs w:val="24"/>
        </w:rPr>
      </w:pPr>
      <w:r w:rsidRPr="00787196">
        <w:rPr>
          <w:rFonts w:cs="Arial"/>
          <w:szCs w:val="24"/>
        </w:rPr>
        <w:t xml:space="preserve">Appointments </w:t>
      </w:r>
      <w:r w:rsidR="007D54EC" w:rsidRPr="00787196">
        <w:rPr>
          <w:rFonts w:cs="Arial"/>
          <w:szCs w:val="24"/>
        </w:rPr>
        <w:t>were</w:t>
      </w:r>
      <w:r w:rsidRPr="00787196">
        <w:rPr>
          <w:rFonts w:cs="Arial"/>
          <w:szCs w:val="24"/>
        </w:rPr>
        <w:t xml:space="preserve"> given for follow up with regular reminders. Participants </w:t>
      </w:r>
      <w:r w:rsidR="00CE1652" w:rsidRPr="00787196">
        <w:rPr>
          <w:rFonts w:cs="Arial"/>
          <w:szCs w:val="24"/>
        </w:rPr>
        <w:t xml:space="preserve">who were </w:t>
      </w:r>
      <w:r w:rsidRPr="00787196">
        <w:rPr>
          <w:rFonts w:cs="Arial"/>
          <w:szCs w:val="24"/>
        </w:rPr>
        <w:t xml:space="preserve">unable to </w:t>
      </w:r>
      <w:r w:rsidR="00CE1652" w:rsidRPr="00787196">
        <w:rPr>
          <w:rFonts w:cs="Arial"/>
          <w:szCs w:val="24"/>
        </w:rPr>
        <w:t xml:space="preserve">attend </w:t>
      </w:r>
      <w:r w:rsidRPr="00787196">
        <w:rPr>
          <w:rFonts w:cs="Arial"/>
          <w:szCs w:val="24"/>
        </w:rPr>
        <w:t xml:space="preserve">for follow up </w:t>
      </w:r>
      <w:r w:rsidR="007D54EC" w:rsidRPr="00787196">
        <w:rPr>
          <w:rFonts w:cs="Arial"/>
          <w:szCs w:val="24"/>
        </w:rPr>
        <w:t>were</w:t>
      </w:r>
      <w:r w:rsidRPr="00787196">
        <w:rPr>
          <w:rFonts w:cs="Arial"/>
          <w:szCs w:val="24"/>
        </w:rPr>
        <w:t xml:space="preserve"> </w:t>
      </w:r>
      <w:r w:rsidR="00F0157F" w:rsidRPr="00787196">
        <w:rPr>
          <w:rFonts w:cs="Arial"/>
          <w:szCs w:val="24"/>
        </w:rPr>
        <w:t>contacted for</w:t>
      </w:r>
      <w:r w:rsidRPr="00787196">
        <w:rPr>
          <w:rFonts w:cs="Arial"/>
          <w:szCs w:val="24"/>
        </w:rPr>
        <w:t xml:space="preserve"> a home visit by KP and address details </w:t>
      </w:r>
      <w:r w:rsidR="007D54EC" w:rsidRPr="00787196">
        <w:rPr>
          <w:rFonts w:cs="Arial"/>
          <w:szCs w:val="24"/>
        </w:rPr>
        <w:t>were</w:t>
      </w:r>
      <w:r w:rsidRPr="00787196">
        <w:rPr>
          <w:rFonts w:cs="Arial"/>
          <w:szCs w:val="24"/>
        </w:rPr>
        <w:t xml:space="preserve"> </w:t>
      </w:r>
      <w:r w:rsidR="00CE1652" w:rsidRPr="00787196">
        <w:rPr>
          <w:rFonts w:cs="Arial"/>
          <w:szCs w:val="24"/>
        </w:rPr>
        <w:t xml:space="preserve">duly </w:t>
      </w:r>
      <w:r w:rsidRPr="00787196">
        <w:rPr>
          <w:rFonts w:cs="Arial"/>
          <w:szCs w:val="24"/>
        </w:rPr>
        <w:t>obtained.</w:t>
      </w:r>
    </w:p>
    <w:p w14:paraId="52121504" w14:textId="783A9393" w:rsidR="00D82952" w:rsidRPr="00787196" w:rsidRDefault="00D82952" w:rsidP="00D9694A">
      <w:pPr>
        <w:pStyle w:val="Heading3"/>
      </w:pPr>
      <w:bookmarkStart w:id="169" w:name="_Toc397681274"/>
      <w:bookmarkStart w:id="170" w:name="_Toc488655652"/>
      <w:r w:rsidRPr="00787196">
        <w:t>Problems and Pitfalls</w:t>
      </w:r>
      <w:bookmarkEnd w:id="169"/>
      <w:bookmarkEnd w:id="170"/>
      <w:r w:rsidRPr="00787196">
        <w:t xml:space="preserve"> </w:t>
      </w:r>
    </w:p>
    <w:p w14:paraId="1AC6A7D0" w14:textId="708E841B" w:rsidR="002E3DB7" w:rsidRPr="00787196" w:rsidRDefault="00EB5F2C" w:rsidP="001C34CB">
      <w:pPr>
        <w:spacing w:before="240" w:after="240"/>
        <w:rPr>
          <w:rFonts w:cs="Arial"/>
          <w:szCs w:val="24"/>
        </w:rPr>
      </w:pPr>
      <w:r w:rsidRPr="00787196">
        <w:rPr>
          <w:rFonts w:cs="Arial"/>
          <w:szCs w:val="24"/>
        </w:rPr>
        <w:t>Participant</w:t>
      </w:r>
      <w:r w:rsidR="0078217E" w:rsidRPr="00787196">
        <w:rPr>
          <w:rFonts w:cs="Arial"/>
          <w:szCs w:val="24"/>
        </w:rPr>
        <w:t xml:space="preserve"> drop</w:t>
      </w:r>
      <w:r w:rsidR="00CE1652" w:rsidRPr="00787196">
        <w:rPr>
          <w:rFonts w:cs="Arial"/>
          <w:szCs w:val="24"/>
        </w:rPr>
        <w:t>out</w:t>
      </w:r>
      <w:r w:rsidR="003742DF" w:rsidRPr="00787196">
        <w:rPr>
          <w:rFonts w:cs="Arial"/>
          <w:szCs w:val="24"/>
        </w:rPr>
        <w:t xml:space="preserve"> within the </w:t>
      </w:r>
      <w:r w:rsidR="00F0157F" w:rsidRPr="00787196">
        <w:rPr>
          <w:rFonts w:cs="Arial"/>
          <w:szCs w:val="24"/>
        </w:rPr>
        <w:t>three-month</w:t>
      </w:r>
      <w:r w:rsidR="003742DF" w:rsidRPr="00787196">
        <w:rPr>
          <w:rFonts w:cs="Arial"/>
          <w:szCs w:val="24"/>
        </w:rPr>
        <w:t xml:space="preserve"> follow-up</w:t>
      </w:r>
      <w:r w:rsidR="00D82952" w:rsidRPr="00787196">
        <w:rPr>
          <w:rFonts w:cs="Arial"/>
          <w:szCs w:val="24"/>
        </w:rPr>
        <w:t xml:space="preserve"> period</w:t>
      </w:r>
      <w:r w:rsidR="003742DF" w:rsidRPr="00787196">
        <w:rPr>
          <w:rFonts w:cs="Arial"/>
          <w:szCs w:val="24"/>
        </w:rPr>
        <w:t xml:space="preserve"> was anticipated</w:t>
      </w:r>
      <w:r w:rsidR="007D5B64" w:rsidRPr="00787196">
        <w:rPr>
          <w:rFonts w:cs="Arial"/>
          <w:szCs w:val="24"/>
        </w:rPr>
        <w:t xml:space="preserve"> as they may prefer not to participate. Hence, participants were given verbal </w:t>
      </w:r>
      <w:r w:rsidR="00F0496B" w:rsidRPr="00787196">
        <w:rPr>
          <w:rFonts w:cs="Arial"/>
          <w:szCs w:val="24"/>
        </w:rPr>
        <w:t xml:space="preserve">information </w:t>
      </w:r>
      <w:r w:rsidR="007D5B64" w:rsidRPr="00787196">
        <w:rPr>
          <w:rFonts w:cs="Arial"/>
          <w:szCs w:val="24"/>
        </w:rPr>
        <w:t xml:space="preserve">apart from the information sheets regarding the benefits they could bring by taking part in the study. Every possible effort was made to keep the participants involved with the study by giving </w:t>
      </w:r>
      <w:r w:rsidR="00F47738" w:rsidRPr="00787196">
        <w:rPr>
          <w:rFonts w:cs="Arial"/>
          <w:szCs w:val="24"/>
        </w:rPr>
        <w:t xml:space="preserve">them </w:t>
      </w:r>
      <w:r w:rsidR="007D5B64" w:rsidRPr="00787196">
        <w:rPr>
          <w:rFonts w:cs="Arial"/>
          <w:szCs w:val="24"/>
        </w:rPr>
        <w:t>regular reminders by mail, phone.</w:t>
      </w:r>
      <w:r w:rsidR="00F0496B" w:rsidRPr="00787196">
        <w:rPr>
          <w:rFonts w:cs="Arial"/>
          <w:szCs w:val="24"/>
        </w:rPr>
        <w:t xml:space="preserve"> </w:t>
      </w:r>
      <w:r w:rsidRPr="00787196">
        <w:rPr>
          <w:rFonts w:cs="Arial"/>
          <w:szCs w:val="24"/>
        </w:rPr>
        <w:t>Inducements in the form of a prize draw were</w:t>
      </w:r>
      <w:r w:rsidR="00F0496B" w:rsidRPr="00787196">
        <w:rPr>
          <w:rFonts w:cs="Arial"/>
          <w:szCs w:val="24"/>
        </w:rPr>
        <w:t xml:space="preserve"> offered to the </w:t>
      </w:r>
      <w:r w:rsidRPr="00787196">
        <w:rPr>
          <w:rFonts w:cs="Arial"/>
          <w:szCs w:val="24"/>
        </w:rPr>
        <w:t>participants</w:t>
      </w:r>
      <w:r w:rsidR="00F0496B" w:rsidRPr="00787196">
        <w:rPr>
          <w:rFonts w:cs="Arial"/>
          <w:szCs w:val="24"/>
        </w:rPr>
        <w:t xml:space="preserve"> in order to keep them interested with their participation of the study.</w:t>
      </w:r>
    </w:p>
    <w:p w14:paraId="40D81AAC" w14:textId="210302ED" w:rsidR="003742DF" w:rsidRPr="00787196" w:rsidRDefault="00EB5F2C" w:rsidP="00CE1652">
      <w:pPr>
        <w:spacing w:before="0" w:after="0"/>
        <w:rPr>
          <w:rFonts w:cs="Arial"/>
          <w:szCs w:val="24"/>
        </w:rPr>
      </w:pPr>
      <w:r w:rsidRPr="00787196">
        <w:rPr>
          <w:rFonts w:cs="Arial"/>
          <w:szCs w:val="24"/>
        </w:rPr>
        <w:t>Participants</w:t>
      </w:r>
      <w:r w:rsidR="007D5B64" w:rsidRPr="00787196">
        <w:rPr>
          <w:rFonts w:cs="Arial"/>
          <w:szCs w:val="24"/>
        </w:rPr>
        <w:t xml:space="preserve"> were treated by trainee undergraduate/ postgraduate dental students</w:t>
      </w:r>
      <w:r w:rsidR="00F0496B" w:rsidRPr="00787196">
        <w:rPr>
          <w:rFonts w:cs="Arial"/>
          <w:szCs w:val="24"/>
        </w:rPr>
        <w:t>. H</w:t>
      </w:r>
      <w:r w:rsidR="007D5B64" w:rsidRPr="00787196">
        <w:rPr>
          <w:rFonts w:cs="Arial"/>
          <w:szCs w:val="24"/>
        </w:rPr>
        <w:t xml:space="preserve">ence, there were long gaps between appointments. </w:t>
      </w:r>
      <w:r w:rsidR="00F0496B" w:rsidRPr="00787196">
        <w:rPr>
          <w:rFonts w:cs="Arial"/>
          <w:szCs w:val="24"/>
        </w:rPr>
        <w:t>In</w:t>
      </w:r>
      <w:r w:rsidR="00165CFB" w:rsidRPr="00787196">
        <w:rPr>
          <w:rFonts w:cs="Arial"/>
          <w:szCs w:val="24"/>
        </w:rPr>
        <w:t xml:space="preserve"> constant</w:t>
      </w:r>
      <w:r w:rsidR="007D5B64" w:rsidRPr="00787196">
        <w:rPr>
          <w:rFonts w:cs="Arial"/>
          <w:szCs w:val="24"/>
        </w:rPr>
        <w:t xml:space="preserve"> </w:t>
      </w:r>
      <w:r w:rsidRPr="00787196">
        <w:rPr>
          <w:rFonts w:cs="Arial"/>
          <w:szCs w:val="24"/>
        </w:rPr>
        <w:t>liaison</w:t>
      </w:r>
      <w:r w:rsidR="007D5B64" w:rsidRPr="00787196">
        <w:rPr>
          <w:rFonts w:cs="Arial"/>
          <w:szCs w:val="24"/>
        </w:rPr>
        <w:t xml:space="preserve"> </w:t>
      </w:r>
      <w:r w:rsidR="007D5B64" w:rsidRPr="00787196">
        <w:rPr>
          <w:rFonts w:cs="Arial"/>
          <w:szCs w:val="24"/>
        </w:rPr>
        <w:lastRenderedPageBreak/>
        <w:t>with the supervisors and overseers of students</w:t>
      </w:r>
      <w:r w:rsidR="00165CFB" w:rsidRPr="00787196">
        <w:rPr>
          <w:rFonts w:cs="Arial"/>
          <w:szCs w:val="24"/>
        </w:rPr>
        <w:t>, every effort was made to</w:t>
      </w:r>
      <w:r w:rsidR="007D5B64" w:rsidRPr="00787196">
        <w:rPr>
          <w:rFonts w:cs="Arial"/>
          <w:szCs w:val="24"/>
        </w:rPr>
        <w:t xml:space="preserve"> expedite p</w:t>
      </w:r>
      <w:r w:rsidR="00165CFB" w:rsidRPr="00787196">
        <w:rPr>
          <w:rFonts w:cs="Arial"/>
          <w:szCs w:val="24"/>
        </w:rPr>
        <w:t>atient appointments.</w:t>
      </w:r>
      <w:bookmarkStart w:id="171" w:name="_Toc397681193"/>
    </w:p>
    <w:p w14:paraId="5CE6AD13" w14:textId="77777777" w:rsidR="00CE1652" w:rsidRPr="00787196" w:rsidRDefault="00CE1652" w:rsidP="00D9694A">
      <w:pPr>
        <w:pStyle w:val="Heading3"/>
      </w:pPr>
      <w:bookmarkStart w:id="172" w:name="_Toc488655653"/>
      <w:r w:rsidRPr="00787196">
        <w:t>Data transfer</w:t>
      </w:r>
      <w:bookmarkEnd w:id="172"/>
    </w:p>
    <w:p w14:paraId="0FB420D6" w14:textId="1B9C46E9" w:rsidR="003742DF" w:rsidRPr="00787196" w:rsidRDefault="00CE1652" w:rsidP="002E3DB7">
      <w:pPr>
        <w:spacing w:after="0"/>
        <w:rPr>
          <w:rFonts w:cs="Arial"/>
          <w:i/>
          <w:iCs/>
          <w:szCs w:val="24"/>
        </w:rPr>
      </w:pPr>
      <w:r w:rsidRPr="00787196">
        <w:rPr>
          <w:rFonts w:cs="Arial"/>
          <w:szCs w:val="24"/>
        </w:rPr>
        <w:t xml:space="preserve">Researcher KP transferred all the clinical and questionnaire data into the SPSS software. Professor Sarah Baker and the researcher (KP) randomly checked 10% of the chosen questionnaires against the SPSS files. A preliminary analysis of data was done to check the quality of the data transfer. </w:t>
      </w:r>
    </w:p>
    <w:p w14:paraId="659A7211" w14:textId="71E3DBC6" w:rsidR="00D82952" w:rsidRPr="00787196" w:rsidRDefault="00337C06" w:rsidP="00CE1652">
      <w:pPr>
        <w:pStyle w:val="Caption"/>
        <w:rPr>
          <w:rFonts w:cs="Arial"/>
          <w:b/>
          <w:bCs/>
          <w:i w:val="0"/>
          <w:iCs w:val="0"/>
          <w:color w:val="auto"/>
          <w:sz w:val="20"/>
          <w:szCs w:val="20"/>
        </w:rPr>
      </w:pPr>
      <w:bookmarkStart w:id="173" w:name="_Toc488655529"/>
      <w:bookmarkEnd w:id="171"/>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4</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w:t>
      </w:r>
      <w:r w:rsidR="000332A1" w:rsidRPr="00787196">
        <w:rPr>
          <w:b/>
          <w:bCs/>
          <w:i w:val="0"/>
          <w:iCs w:val="0"/>
          <w:color w:val="auto"/>
          <w:sz w:val="20"/>
          <w:szCs w:val="20"/>
        </w:rPr>
        <w:fldChar w:fldCharType="end"/>
      </w:r>
      <w:r w:rsidR="00CE1652" w:rsidRPr="00787196">
        <w:rPr>
          <w:b/>
          <w:bCs/>
          <w:i w:val="0"/>
          <w:iCs w:val="0"/>
          <w:color w:val="auto"/>
          <w:sz w:val="20"/>
          <w:szCs w:val="20"/>
        </w:rPr>
        <w:t>.</w:t>
      </w:r>
      <w:r w:rsidRPr="00787196">
        <w:rPr>
          <w:rFonts w:cs="Arial"/>
          <w:b/>
          <w:bCs/>
          <w:i w:val="0"/>
          <w:iCs w:val="0"/>
          <w:color w:val="auto"/>
          <w:sz w:val="20"/>
          <w:szCs w:val="20"/>
        </w:rPr>
        <w:t xml:space="preserve"> </w:t>
      </w:r>
      <w:r w:rsidRPr="00787196">
        <w:rPr>
          <w:b/>
          <w:bCs/>
          <w:i w:val="0"/>
          <w:iCs w:val="0"/>
          <w:color w:val="auto"/>
          <w:sz w:val="20"/>
          <w:szCs w:val="20"/>
        </w:rPr>
        <w:t>List of variables</w:t>
      </w:r>
      <w:r w:rsidR="00953258" w:rsidRPr="00787196">
        <w:rPr>
          <w:b/>
          <w:bCs/>
          <w:i w:val="0"/>
          <w:iCs w:val="0"/>
          <w:color w:val="auto"/>
          <w:sz w:val="20"/>
          <w:szCs w:val="20"/>
        </w:rPr>
        <w:t xml:space="preserve"> </w:t>
      </w:r>
      <w:r w:rsidR="00CE1652" w:rsidRPr="00787196">
        <w:rPr>
          <w:b/>
          <w:bCs/>
          <w:i w:val="0"/>
          <w:iCs w:val="0"/>
          <w:color w:val="auto"/>
          <w:sz w:val="20"/>
          <w:szCs w:val="20"/>
        </w:rPr>
        <w:t>used in the stu</w:t>
      </w:r>
      <w:r w:rsidRPr="00787196">
        <w:rPr>
          <w:b/>
          <w:bCs/>
          <w:i w:val="0"/>
          <w:iCs w:val="0"/>
          <w:color w:val="auto"/>
          <w:sz w:val="20"/>
          <w:szCs w:val="20"/>
        </w:rPr>
        <w:t>dy</w:t>
      </w:r>
      <w:r w:rsidR="00CE1652" w:rsidRPr="00787196">
        <w:rPr>
          <w:b/>
          <w:bCs/>
          <w:i w:val="0"/>
          <w:iCs w:val="0"/>
          <w:color w:val="auto"/>
          <w:sz w:val="20"/>
          <w:szCs w:val="20"/>
        </w:rPr>
        <w:t xml:space="preserve"> </w:t>
      </w:r>
      <w:r w:rsidR="001D7F54" w:rsidRPr="00787196">
        <w:rPr>
          <w:b/>
          <w:bCs/>
          <w:i w:val="0"/>
          <w:iCs w:val="0"/>
          <w:color w:val="auto"/>
          <w:sz w:val="20"/>
          <w:szCs w:val="20"/>
        </w:rPr>
        <w:t>at</w:t>
      </w:r>
      <w:r w:rsidR="00CE1652" w:rsidRPr="00787196">
        <w:rPr>
          <w:b/>
          <w:bCs/>
          <w:i w:val="0"/>
          <w:iCs w:val="0"/>
          <w:color w:val="auto"/>
          <w:sz w:val="20"/>
          <w:szCs w:val="20"/>
        </w:rPr>
        <w:t xml:space="preserve"> both stages</w:t>
      </w:r>
      <w:bookmarkEnd w:id="173"/>
    </w:p>
    <w:tbl>
      <w:tblPr>
        <w:tblStyle w:val="TableGrid"/>
        <w:tblW w:w="0" w:type="auto"/>
        <w:jc w:val="center"/>
        <w:tblLook w:val="04A0" w:firstRow="1" w:lastRow="0" w:firstColumn="1" w:lastColumn="0" w:noHBand="0" w:noVBand="1"/>
      </w:tblPr>
      <w:tblGrid>
        <w:gridCol w:w="4390"/>
        <w:gridCol w:w="3969"/>
      </w:tblGrid>
      <w:tr w:rsidR="00DB2D4E" w:rsidRPr="00787196" w14:paraId="5251BCCD" w14:textId="77777777" w:rsidTr="00DB2D4E">
        <w:trPr>
          <w:trHeight w:val="719"/>
          <w:jc w:val="center"/>
        </w:trPr>
        <w:tc>
          <w:tcPr>
            <w:tcW w:w="4390" w:type="dxa"/>
            <w:vAlign w:val="center"/>
          </w:tcPr>
          <w:p w14:paraId="7116EAFC" w14:textId="00C983E1" w:rsidR="00D82952" w:rsidRPr="00787196" w:rsidRDefault="00D82952" w:rsidP="001D7F54">
            <w:pPr>
              <w:pStyle w:val="ListParagraph"/>
              <w:spacing w:before="0" w:after="0" w:line="240" w:lineRule="auto"/>
              <w:ind w:left="0"/>
              <w:jc w:val="left"/>
              <w:rPr>
                <w:rFonts w:cs="Arial"/>
                <w:b/>
                <w:szCs w:val="24"/>
                <w:lang w:val="en-GB"/>
              </w:rPr>
            </w:pPr>
            <w:r w:rsidRPr="00787196">
              <w:rPr>
                <w:rFonts w:cs="Arial"/>
                <w:b/>
                <w:szCs w:val="24"/>
                <w:lang w:val="en-GB"/>
              </w:rPr>
              <w:t xml:space="preserve">Variables </w:t>
            </w:r>
            <w:r w:rsidR="001D7F54" w:rsidRPr="00787196">
              <w:rPr>
                <w:rFonts w:cs="Arial"/>
                <w:b/>
                <w:szCs w:val="24"/>
                <w:lang w:val="en-GB"/>
              </w:rPr>
              <w:t>measured</w:t>
            </w:r>
            <w:r w:rsidRPr="00787196">
              <w:rPr>
                <w:rFonts w:cs="Arial"/>
                <w:b/>
                <w:szCs w:val="24"/>
                <w:lang w:val="en-GB"/>
              </w:rPr>
              <w:t xml:space="preserve"> at </w:t>
            </w:r>
            <w:r w:rsidR="00DB2D4E" w:rsidRPr="00787196">
              <w:rPr>
                <w:rFonts w:cs="Arial"/>
                <w:b/>
                <w:szCs w:val="24"/>
                <w:lang w:val="en-GB"/>
              </w:rPr>
              <w:t>Baseline T</w:t>
            </w:r>
            <w:r w:rsidRPr="00787196">
              <w:rPr>
                <w:rFonts w:cs="Arial"/>
                <w:b/>
                <w:szCs w:val="24"/>
                <w:lang w:val="en-GB"/>
              </w:rPr>
              <w:t>1</w:t>
            </w:r>
          </w:p>
        </w:tc>
        <w:tc>
          <w:tcPr>
            <w:tcW w:w="3969" w:type="dxa"/>
            <w:vAlign w:val="center"/>
          </w:tcPr>
          <w:p w14:paraId="1741CC92" w14:textId="2CCD6A36" w:rsidR="00D82952" w:rsidRPr="00787196" w:rsidRDefault="005E6720" w:rsidP="005E6720">
            <w:pPr>
              <w:pStyle w:val="ListParagraph"/>
              <w:spacing w:before="0" w:after="0" w:line="240" w:lineRule="auto"/>
              <w:ind w:left="0"/>
              <w:jc w:val="left"/>
              <w:rPr>
                <w:rFonts w:cs="Arial"/>
                <w:b/>
                <w:szCs w:val="24"/>
                <w:lang w:val="en-GB"/>
              </w:rPr>
            </w:pPr>
            <w:r w:rsidRPr="00787196">
              <w:rPr>
                <w:rFonts w:cs="Arial"/>
                <w:b/>
                <w:szCs w:val="24"/>
                <w:lang w:val="en-GB"/>
              </w:rPr>
              <w:t xml:space="preserve">Variables </w:t>
            </w:r>
            <w:r w:rsidR="00F0157F" w:rsidRPr="00787196">
              <w:rPr>
                <w:rFonts w:cs="Arial"/>
                <w:b/>
                <w:szCs w:val="24"/>
                <w:lang w:val="en-GB"/>
              </w:rPr>
              <w:t>measured collected</w:t>
            </w:r>
            <w:r w:rsidRPr="00787196">
              <w:rPr>
                <w:rFonts w:cs="Arial"/>
                <w:b/>
                <w:szCs w:val="24"/>
                <w:lang w:val="en-GB"/>
              </w:rPr>
              <w:t xml:space="preserve"> at T</w:t>
            </w:r>
            <w:r w:rsidR="00D82952" w:rsidRPr="00787196">
              <w:rPr>
                <w:rFonts w:cs="Arial"/>
                <w:b/>
                <w:szCs w:val="24"/>
                <w:lang w:val="en-GB"/>
              </w:rPr>
              <w:t>2</w:t>
            </w:r>
          </w:p>
        </w:tc>
      </w:tr>
      <w:tr w:rsidR="00D82952" w:rsidRPr="00787196" w14:paraId="0D5C2F6F" w14:textId="77777777" w:rsidTr="00DB2D4E">
        <w:trPr>
          <w:jc w:val="center"/>
        </w:trPr>
        <w:tc>
          <w:tcPr>
            <w:tcW w:w="4390" w:type="dxa"/>
            <w:vAlign w:val="center"/>
          </w:tcPr>
          <w:p w14:paraId="24C4F46B" w14:textId="17172583" w:rsidR="00D82952" w:rsidRPr="00787196" w:rsidRDefault="00DB2D4E" w:rsidP="004464FB">
            <w:pPr>
              <w:pStyle w:val="ListParagraph"/>
              <w:ind w:left="0"/>
              <w:jc w:val="left"/>
              <w:rPr>
                <w:rFonts w:cs="Arial"/>
                <w:szCs w:val="24"/>
                <w:lang w:val="en-GB"/>
              </w:rPr>
            </w:pPr>
            <w:r w:rsidRPr="00787196">
              <w:rPr>
                <w:rFonts w:cs="Arial"/>
                <w:szCs w:val="24"/>
                <w:lang w:val="en-GB"/>
              </w:rPr>
              <w:t>Number of teeth present, Occluding pairs, P</w:t>
            </w:r>
            <w:r w:rsidR="00D82952" w:rsidRPr="00787196">
              <w:rPr>
                <w:rFonts w:cs="Arial"/>
                <w:szCs w:val="24"/>
                <w:lang w:val="en-GB"/>
              </w:rPr>
              <w:t>rosthetic status and need</w:t>
            </w:r>
            <w:r w:rsidRPr="00787196">
              <w:rPr>
                <w:rFonts w:cs="Arial"/>
                <w:szCs w:val="24"/>
                <w:lang w:val="en-GB"/>
              </w:rPr>
              <w:t>,</w:t>
            </w:r>
            <w:r w:rsidR="004464FB" w:rsidRPr="00787196">
              <w:rPr>
                <w:rFonts w:cs="Arial"/>
                <w:szCs w:val="24"/>
                <w:lang w:val="en-GB"/>
              </w:rPr>
              <w:t xml:space="preserve"> </w:t>
            </w:r>
            <w:r w:rsidR="004464FB" w:rsidRPr="00787196">
              <w:rPr>
                <w:rFonts w:cs="Arial"/>
              </w:rPr>
              <w:t xml:space="preserve">Denture expertise, </w:t>
            </w:r>
            <w:r w:rsidR="004464FB" w:rsidRPr="00787196">
              <w:rPr>
                <w:rFonts w:cs="Arial"/>
                <w:szCs w:val="24"/>
              </w:rPr>
              <w:t>Time since tooth loss</w:t>
            </w:r>
            <w:r w:rsidRPr="00787196">
              <w:rPr>
                <w:rFonts w:cs="Arial"/>
                <w:szCs w:val="24"/>
                <w:lang w:val="en-GB"/>
              </w:rPr>
              <w:t xml:space="preserve"> </w:t>
            </w:r>
          </w:p>
        </w:tc>
        <w:tc>
          <w:tcPr>
            <w:tcW w:w="3969" w:type="dxa"/>
            <w:vAlign w:val="center"/>
          </w:tcPr>
          <w:p w14:paraId="32E16E96" w14:textId="7904F627" w:rsidR="00D82952" w:rsidRPr="00787196" w:rsidRDefault="00D82952" w:rsidP="00F47738">
            <w:pPr>
              <w:pStyle w:val="ListParagraph"/>
              <w:spacing w:before="0" w:after="0"/>
              <w:ind w:left="0"/>
              <w:jc w:val="left"/>
              <w:rPr>
                <w:rFonts w:cs="Arial"/>
                <w:szCs w:val="24"/>
                <w:lang w:val="en-GB"/>
              </w:rPr>
            </w:pPr>
            <w:r w:rsidRPr="00787196">
              <w:rPr>
                <w:rFonts w:cs="Arial"/>
                <w:szCs w:val="24"/>
                <w:lang w:val="en-GB"/>
              </w:rPr>
              <w:t>Not collected at T2</w:t>
            </w:r>
          </w:p>
        </w:tc>
      </w:tr>
      <w:tr w:rsidR="00D82952" w:rsidRPr="00787196" w14:paraId="53179E77" w14:textId="77777777" w:rsidTr="00DB2D4E">
        <w:trPr>
          <w:jc w:val="center"/>
        </w:trPr>
        <w:tc>
          <w:tcPr>
            <w:tcW w:w="4390" w:type="dxa"/>
            <w:vAlign w:val="center"/>
          </w:tcPr>
          <w:p w14:paraId="24947EFB" w14:textId="3EFD6FFA" w:rsidR="00D82952" w:rsidRPr="00787196" w:rsidRDefault="005E6720" w:rsidP="00DB2D4E">
            <w:pPr>
              <w:pStyle w:val="ListParagraph"/>
              <w:spacing w:before="0" w:after="0"/>
              <w:ind w:left="0"/>
              <w:jc w:val="left"/>
              <w:rPr>
                <w:rFonts w:cs="Arial"/>
                <w:szCs w:val="24"/>
                <w:lang w:val="en-GB"/>
              </w:rPr>
            </w:pPr>
            <w:r w:rsidRPr="00787196">
              <w:rPr>
                <w:rFonts w:cs="Arial"/>
                <w:szCs w:val="24"/>
                <w:lang w:val="en-GB"/>
              </w:rPr>
              <w:t xml:space="preserve">Age, Gender, </w:t>
            </w:r>
            <w:r w:rsidR="00D82952" w:rsidRPr="00787196">
              <w:rPr>
                <w:rFonts w:cs="Arial"/>
                <w:szCs w:val="24"/>
                <w:lang w:val="en-GB"/>
              </w:rPr>
              <w:t>Income, Occupation, Education, Marital status, Religion</w:t>
            </w:r>
            <w:r w:rsidR="00DB2D4E" w:rsidRPr="00787196">
              <w:rPr>
                <w:rFonts w:cs="Arial"/>
                <w:szCs w:val="24"/>
                <w:lang w:val="en-GB"/>
              </w:rPr>
              <w:t xml:space="preserve">, </w:t>
            </w:r>
            <w:r w:rsidR="00F47738" w:rsidRPr="00787196">
              <w:rPr>
                <w:rFonts w:cs="Arial"/>
                <w:szCs w:val="24"/>
                <w:lang w:val="en-GB"/>
              </w:rPr>
              <w:t xml:space="preserve">Caste and </w:t>
            </w:r>
            <w:r w:rsidR="00DB2D4E" w:rsidRPr="00787196">
              <w:rPr>
                <w:rFonts w:cs="Arial"/>
                <w:szCs w:val="24"/>
                <w:lang w:val="en-GB"/>
              </w:rPr>
              <w:t>Subjective SES</w:t>
            </w:r>
          </w:p>
        </w:tc>
        <w:tc>
          <w:tcPr>
            <w:tcW w:w="3969" w:type="dxa"/>
            <w:vAlign w:val="center"/>
          </w:tcPr>
          <w:p w14:paraId="6FD82BDD" w14:textId="685D27EC" w:rsidR="00D82952" w:rsidRPr="00787196" w:rsidRDefault="00D82952" w:rsidP="00F47738">
            <w:pPr>
              <w:pStyle w:val="ListParagraph"/>
              <w:spacing w:before="0" w:after="0"/>
              <w:ind w:left="0"/>
              <w:jc w:val="left"/>
              <w:rPr>
                <w:rFonts w:cs="Arial"/>
                <w:szCs w:val="24"/>
                <w:lang w:val="en-GB"/>
              </w:rPr>
            </w:pPr>
            <w:r w:rsidRPr="00787196">
              <w:rPr>
                <w:rFonts w:cs="Arial"/>
                <w:szCs w:val="24"/>
                <w:lang w:val="en-GB"/>
              </w:rPr>
              <w:t>Not collected at T2</w:t>
            </w:r>
          </w:p>
        </w:tc>
      </w:tr>
      <w:tr w:rsidR="00D82952" w:rsidRPr="00787196" w14:paraId="24914CFD" w14:textId="77777777" w:rsidTr="00DB2D4E">
        <w:trPr>
          <w:jc w:val="center"/>
        </w:trPr>
        <w:tc>
          <w:tcPr>
            <w:tcW w:w="4390" w:type="dxa"/>
            <w:vAlign w:val="center"/>
          </w:tcPr>
          <w:p w14:paraId="4C272BB3" w14:textId="07B10C63" w:rsidR="00D82952" w:rsidRPr="00787196" w:rsidRDefault="00DB2D4E" w:rsidP="00DB2D4E">
            <w:pPr>
              <w:pStyle w:val="ListParagraph"/>
              <w:spacing w:before="0" w:after="0"/>
              <w:ind w:left="0"/>
              <w:jc w:val="left"/>
              <w:rPr>
                <w:rFonts w:cs="Arial"/>
                <w:szCs w:val="24"/>
                <w:lang w:val="en-GB"/>
              </w:rPr>
            </w:pPr>
            <w:r w:rsidRPr="00787196">
              <w:rPr>
                <w:rFonts w:cs="Arial"/>
                <w:szCs w:val="24"/>
                <w:lang w:val="en-GB"/>
              </w:rPr>
              <w:t>Coping strategies</w:t>
            </w:r>
          </w:p>
        </w:tc>
        <w:tc>
          <w:tcPr>
            <w:tcW w:w="3969" w:type="dxa"/>
            <w:vAlign w:val="center"/>
          </w:tcPr>
          <w:p w14:paraId="15C43E28" w14:textId="2D038604" w:rsidR="00D82952" w:rsidRPr="00787196" w:rsidRDefault="00DB2D4E" w:rsidP="00DB2D4E">
            <w:pPr>
              <w:pStyle w:val="ListParagraph"/>
              <w:spacing w:before="0" w:after="0"/>
              <w:ind w:left="0"/>
              <w:jc w:val="left"/>
              <w:rPr>
                <w:rFonts w:cs="Arial"/>
                <w:szCs w:val="24"/>
                <w:lang w:val="en-GB"/>
              </w:rPr>
            </w:pPr>
            <w:r w:rsidRPr="00787196">
              <w:rPr>
                <w:rFonts w:cs="Arial"/>
                <w:szCs w:val="24"/>
                <w:lang w:val="en-GB"/>
              </w:rPr>
              <w:t>Coping strategies</w:t>
            </w:r>
          </w:p>
        </w:tc>
      </w:tr>
      <w:tr w:rsidR="00D82952" w:rsidRPr="00787196" w14:paraId="5DE29C7D" w14:textId="77777777" w:rsidTr="00DB2D4E">
        <w:trPr>
          <w:jc w:val="center"/>
        </w:trPr>
        <w:tc>
          <w:tcPr>
            <w:tcW w:w="4390" w:type="dxa"/>
            <w:vAlign w:val="center"/>
          </w:tcPr>
          <w:p w14:paraId="7543522F" w14:textId="09DCB0AE" w:rsidR="00D82952" w:rsidRPr="00787196" w:rsidRDefault="005E6720" w:rsidP="005E6720">
            <w:pPr>
              <w:pStyle w:val="ListParagraph"/>
              <w:spacing w:before="0" w:after="0"/>
              <w:ind w:left="0"/>
              <w:jc w:val="left"/>
              <w:rPr>
                <w:rFonts w:cs="Arial"/>
                <w:szCs w:val="24"/>
                <w:lang w:val="en-GB"/>
              </w:rPr>
            </w:pPr>
            <w:r w:rsidRPr="00787196">
              <w:rPr>
                <w:rFonts w:cs="Arial"/>
                <w:szCs w:val="24"/>
                <w:lang w:val="en-GB"/>
              </w:rPr>
              <w:t>Conc</w:t>
            </w:r>
            <w:r w:rsidR="00DB2D4E" w:rsidRPr="00787196">
              <w:rPr>
                <w:rFonts w:cs="Arial"/>
                <w:szCs w:val="24"/>
                <w:lang w:val="en-GB"/>
              </w:rPr>
              <w:t>ern about oral health, Ageing expectation</w:t>
            </w:r>
            <w:r w:rsidRPr="00787196">
              <w:rPr>
                <w:rFonts w:cs="Arial"/>
                <w:szCs w:val="24"/>
                <w:lang w:val="en-GB"/>
              </w:rPr>
              <w:t>s, Perceived stress.</w:t>
            </w:r>
            <w:r w:rsidR="00D82952" w:rsidRPr="00787196">
              <w:rPr>
                <w:rFonts w:cs="Arial"/>
                <w:szCs w:val="24"/>
                <w:lang w:val="en-GB"/>
              </w:rPr>
              <w:t xml:space="preserve"> </w:t>
            </w:r>
          </w:p>
        </w:tc>
        <w:tc>
          <w:tcPr>
            <w:tcW w:w="3969" w:type="dxa"/>
            <w:vAlign w:val="center"/>
          </w:tcPr>
          <w:p w14:paraId="32B4D1D5" w14:textId="0CA5849A" w:rsidR="00D82952" w:rsidRPr="00787196" w:rsidRDefault="005E6720" w:rsidP="005E6720">
            <w:pPr>
              <w:pStyle w:val="ListParagraph"/>
              <w:spacing w:before="0" w:after="0"/>
              <w:ind w:left="0"/>
              <w:jc w:val="left"/>
              <w:rPr>
                <w:rFonts w:cs="Arial"/>
                <w:szCs w:val="24"/>
                <w:lang w:val="en-GB"/>
              </w:rPr>
            </w:pPr>
            <w:r w:rsidRPr="00787196">
              <w:rPr>
                <w:rFonts w:cs="Arial"/>
                <w:szCs w:val="24"/>
                <w:lang w:val="en-GB"/>
              </w:rPr>
              <w:t>Concern about oral health, Ageing expectations, Perceived stress.</w:t>
            </w:r>
          </w:p>
        </w:tc>
      </w:tr>
      <w:tr w:rsidR="00D82952" w:rsidRPr="00787196" w14:paraId="0EC6304E" w14:textId="77777777" w:rsidTr="005E6720">
        <w:trPr>
          <w:trHeight w:val="1033"/>
          <w:jc w:val="center"/>
        </w:trPr>
        <w:tc>
          <w:tcPr>
            <w:tcW w:w="4390" w:type="dxa"/>
            <w:vAlign w:val="center"/>
          </w:tcPr>
          <w:p w14:paraId="599A4585" w14:textId="7D070845" w:rsidR="00D82952" w:rsidRPr="00787196" w:rsidRDefault="00D82952" w:rsidP="005E6720">
            <w:pPr>
              <w:pStyle w:val="ListParagraph"/>
              <w:spacing w:before="0" w:after="0"/>
              <w:ind w:left="0"/>
              <w:jc w:val="left"/>
              <w:rPr>
                <w:rFonts w:cs="Arial"/>
                <w:szCs w:val="24"/>
                <w:lang w:val="en-GB"/>
              </w:rPr>
            </w:pPr>
            <w:r w:rsidRPr="00787196">
              <w:rPr>
                <w:rFonts w:cs="Arial"/>
                <w:szCs w:val="24"/>
                <w:lang w:val="en-GB"/>
              </w:rPr>
              <w:t>OHQo</w:t>
            </w:r>
            <w:r w:rsidR="005E6720" w:rsidRPr="00787196">
              <w:rPr>
                <w:rFonts w:cs="Arial"/>
                <w:szCs w:val="24"/>
                <w:lang w:val="en-GB"/>
              </w:rPr>
              <w:t>L</w:t>
            </w:r>
          </w:p>
          <w:p w14:paraId="0E69DE8E" w14:textId="3F7D1E39" w:rsidR="00D82952" w:rsidRPr="00787196" w:rsidRDefault="00DB2D4E" w:rsidP="00DB2D4E">
            <w:pPr>
              <w:pStyle w:val="ListParagraph"/>
              <w:spacing w:before="0" w:after="0"/>
              <w:ind w:left="0"/>
              <w:jc w:val="left"/>
              <w:rPr>
                <w:rFonts w:cs="Arial"/>
                <w:szCs w:val="24"/>
                <w:lang w:val="en-GB"/>
              </w:rPr>
            </w:pPr>
            <w:r w:rsidRPr="00787196">
              <w:rPr>
                <w:rFonts w:cs="Arial"/>
                <w:szCs w:val="24"/>
                <w:lang w:val="en-GB"/>
              </w:rPr>
              <w:t>Denture satisfaction</w:t>
            </w:r>
          </w:p>
          <w:p w14:paraId="0E8B9BE5" w14:textId="742567C1" w:rsidR="00D82952" w:rsidRPr="00787196" w:rsidRDefault="00DB2D4E" w:rsidP="00DB2D4E">
            <w:pPr>
              <w:pStyle w:val="ListParagraph"/>
              <w:spacing w:before="0" w:after="0"/>
              <w:ind w:left="0"/>
              <w:jc w:val="left"/>
              <w:rPr>
                <w:rFonts w:cs="Arial"/>
                <w:szCs w:val="24"/>
                <w:lang w:val="en-GB"/>
              </w:rPr>
            </w:pPr>
            <w:r w:rsidRPr="00787196">
              <w:rPr>
                <w:rFonts w:cs="Arial"/>
                <w:szCs w:val="24"/>
                <w:lang w:val="en-GB"/>
              </w:rPr>
              <w:t>Chewing ability</w:t>
            </w:r>
          </w:p>
        </w:tc>
        <w:tc>
          <w:tcPr>
            <w:tcW w:w="3969" w:type="dxa"/>
            <w:vAlign w:val="center"/>
          </w:tcPr>
          <w:p w14:paraId="10EA1703" w14:textId="4C90D4C2" w:rsidR="00DB2D4E" w:rsidRPr="00787196" w:rsidRDefault="00DB2D4E" w:rsidP="005E6720">
            <w:pPr>
              <w:pStyle w:val="ListParagraph"/>
              <w:spacing w:before="0" w:after="0"/>
              <w:ind w:left="0"/>
              <w:jc w:val="left"/>
              <w:rPr>
                <w:rFonts w:cs="Arial"/>
                <w:szCs w:val="24"/>
                <w:lang w:val="en-GB"/>
              </w:rPr>
            </w:pPr>
            <w:r w:rsidRPr="00787196">
              <w:rPr>
                <w:rFonts w:cs="Arial"/>
                <w:szCs w:val="24"/>
                <w:lang w:val="en-GB"/>
              </w:rPr>
              <w:t>OHQoL</w:t>
            </w:r>
          </w:p>
          <w:p w14:paraId="7F817D11" w14:textId="77777777" w:rsidR="00DB2D4E" w:rsidRPr="00787196" w:rsidRDefault="00DB2D4E" w:rsidP="00DB2D4E">
            <w:pPr>
              <w:pStyle w:val="ListParagraph"/>
              <w:spacing w:before="0" w:after="0"/>
              <w:ind w:left="0"/>
              <w:jc w:val="left"/>
              <w:rPr>
                <w:rFonts w:cs="Arial"/>
                <w:szCs w:val="24"/>
                <w:lang w:val="en-GB"/>
              </w:rPr>
            </w:pPr>
            <w:r w:rsidRPr="00787196">
              <w:rPr>
                <w:rFonts w:cs="Arial"/>
                <w:szCs w:val="24"/>
                <w:lang w:val="en-GB"/>
              </w:rPr>
              <w:t>Denture satisfaction</w:t>
            </w:r>
          </w:p>
          <w:p w14:paraId="515A42EC" w14:textId="25A7F11C" w:rsidR="00D82952" w:rsidRPr="00787196" w:rsidRDefault="00DB2D4E" w:rsidP="00DB2D4E">
            <w:pPr>
              <w:pStyle w:val="ListParagraph"/>
              <w:spacing w:before="0" w:after="0"/>
              <w:ind w:left="0"/>
              <w:jc w:val="left"/>
              <w:rPr>
                <w:rFonts w:cs="Arial"/>
                <w:szCs w:val="24"/>
                <w:lang w:val="en-GB"/>
              </w:rPr>
            </w:pPr>
            <w:r w:rsidRPr="00787196">
              <w:rPr>
                <w:rFonts w:cs="Arial"/>
                <w:szCs w:val="24"/>
                <w:lang w:val="en-GB"/>
              </w:rPr>
              <w:t>Chewing ability</w:t>
            </w:r>
          </w:p>
        </w:tc>
      </w:tr>
    </w:tbl>
    <w:p w14:paraId="4EEF5866" w14:textId="77777777" w:rsidR="002E3DB7" w:rsidRPr="00787196" w:rsidRDefault="002E3DB7">
      <w:pPr>
        <w:spacing w:before="0" w:after="0" w:line="240" w:lineRule="auto"/>
        <w:jc w:val="left"/>
        <w:rPr>
          <w:rFonts w:cs="Arial"/>
          <w:b/>
          <w:szCs w:val="24"/>
        </w:rPr>
      </w:pPr>
      <w:bookmarkStart w:id="174" w:name="_Toc397681275"/>
      <w:r w:rsidRPr="00787196">
        <w:rPr>
          <w:rFonts w:cs="Arial"/>
          <w:szCs w:val="24"/>
        </w:rPr>
        <w:br w:type="page"/>
      </w:r>
    </w:p>
    <w:p w14:paraId="6437C845" w14:textId="33A152B9" w:rsidR="00D82952" w:rsidRPr="00787196" w:rsidRDefault="00D82952" w:rsidP="00D82952">
      <w:pPr>
        <w:pStyle w:val="Heading2"/>
        <w:rPr>
          <w:rFonts w:cs="Arial"/>
          <w:sz w:val="24"/>
          <w:szCs w:val="24"/>
        </w:rPr>
      </w:pPr>
      <w:bookmarkStart w:id="175" w:name="_Toc488655654"/>
      <w:r w:rsidRPr="00787196">
        <w:rPr>
          <w:rFonts w:cs="Arial"/>
          <w:sz w:val="24"/>
          <w:szCs w:val="24"/>
        </w:rPr>
        <w:lastRenderedPageBreak/>
        <w:t>Data management</w:t>
      </w:r>
      <w:bookmarkEnd w:id="174"/>
      <w:bookmarkEnd w:id="175"/>
    </w:p>
    <w:p w14:paraId="7EDEB805" w14:textId="362BFD12" w:rsidR="00D82952" w:rsidRPr="00787196" w:rsidRDefault="00D82952" w:rsidP="00CA7B10">
      <w:pPr>
        <w:rPr>
          <w:rFonts w:cs="Arial"/>
          <w:szCs w:val="24"/>
        </w:rPr>
      </w:pPr>
      <w:r w:rsidRPr="00787196">
        <w:rPr>
          <w:rFonts w:cs="Arial"/>
          <w:bCs/>
          <w:szCs w:val="24"/>
        </w:rPr>
        <w:t xml:space="preserve">For </w:t>
      </w:r>
      <w:r w:rsidR="0059336F" w:rsidRPr="00787196">
        <w:rPr>
          <w:rFonts w:cs="Arial"/>
          <w:bCs/>
          <w:szCs w:val="24"/>
        </w:rPr>
        <w:t xml:space="preserve">all the </w:t>
      </w:r>
      <w:r w:rsidRPr="00787196">
        <w:rPr>
          <w:rFonts w:cs="Arial"/>
          <w:bCs/>
          <w:szCs w:val="24"/>
        </w:rPr>
        <w:t>individual</w:t>
      </w:r>
      <w:r w:rsidR="0059336F" w:rsidRPr="00787196">
        <w:rPr>
          <w:rFonts w:cs="Arial"/>
          <w:bCs/>
          <w:szCs w:val="24"/>
        </w:rPr>
        <w:t xml:space="preserve"> variables </w:t>
      </w:r>
      <w:r w:rsidRPr="00787196">
        <w:rPr>
          <w:rFonts w:cs="Arial"/>
          <w:bCs/>
          <w:szCs w:val="24"/>
        </w:rPr>
        <w:t>measure</w:t>
      </w:r>
      <w:r w:rsidR="0059336F" w:rsidRPr="00787196">
        <w:rPr>
          <w:rFonts w:cs="Arial"/>
          <w:bCs/>
          <w:szCs w:val="24"/>
        </w:rPr>
        <w:t>s</w:t>
      </w:r>
      <w:r w:rsidRPr="00787196">
        <w:rPr>
          <w:rFonts w:cs="Arial"/>
          <w:bCs/>
          <w:szCs w:val="24"/>
        </w:rPr>
        <w:t xml:space="preserve"> w</w:t>
      </w:r>
      <w:r w:rsidR="0059336F" w:rsidRPr="00787196">
        <w:rPr>
          <w:rFonts w:cs="Arial"/>
          <w:bCs/>
          <w:szCs w:val="24"/>
        </w:rPr>
        <w:t>ere</w:t>
      </w:r>
      <w:r w:rsidRPr="00787196">
        <w:rPr>
          <w:rFonts w:cs="Arial"/>
          <w:bCs/>
          <w:szCs w:val="24"/>
        </w:rPr>
        <w:t xml:space="preserve"> </w:t>
      </w:r>
      <w:r w:rsidR="001D7F54" w:rsidRPr="00787196">
        <w:rPr>
          <w:rFonts w:cs="Arial"/>
          <w:bCs/>
          <w:szCs w:val="24"/>
        </w:rPr>
        <w:t xml:space="preserve">added </w:t>
      </w:r>
      <w:r w:rsidRPr="00787196">
        <w:rPr>
          <w:rFonts w:cs="Arial"/>
          <w:bCs/>
          <w:szCs w:val="24"/>
        </w:rPr>
        <w:t xml:space="preserve">to </w:t>
      </w:r>
      <w:r w:rsidR="00F0157F" w:rsidRPr="00787196">
        <w:rPr>
          <w:rFonts w:cs="Arial"/>
          <w:bCs/>
          <w:szCs w:val="24"/>
        </w:rPr>
        <w:t>total scores</w:t>
      </w:r>
      <w:r w:rsidRPr="00787196">
        <w:rPr>
          <w:rFonts w:cs="Arial"/>
          <w:bCs/>
          <w:szCs w:val="24"/>
        </w:rPr>
        <w:t xml:space="preserve">. </w:t>
      </w:r>
      <w:r w:rsidRPr="00787196">
        <w:rPr>
          <w:rFonts w:cs="Arial"/>
          <w:szCs w:val="24"/>
        </w:rPr>
        <w:t xml:space="preserve">For </w:t>
      </w:r>
      <w:r w:rsidR="00953258" w:rsidRPr="00787196">
        <w:rPr>
          <w:rFonts w:cs="Arial"/>
          <w:szCs w:val="24"/>
        </w:rPr>
        <w:t>example,</w:t>
      </w:r>
      <w:r w:rsidRPr="00787196">
        <w:rPr>
          <w:rFonts w:cs="Arial"/>
          <w:szCs w:val="24"/>
        </w:rPr>
        <w:t xml:space="preserve"> in </w:t>
      </w:r>
      <w:r w:rsidR="0059336F" w:rsidRPr="00787196">
        <w:rPr>
          <w:rFonts w:cs="Arial"/>
          <w:szCs w:val="24"/>
        </w:rPr>
        <w:t>Brief COPE</w:t>
      </w:r>
      <w:r w:rsidRPr="00787196">
        <w:rPr>
          <w:rFonts w:cs="Arial"/>
          <w:szCs w:val="24"/>
        </w:rPr>
        <w:t xml:space="preserve">, all the items were computed to generate a total score (items </w:t>
      </w:r>
      <w:r w:rsidR="0059336F" w:rsidRPr="00787196">
        <w:rPr>
          <w:rFonts w:cs="Arial"/>
          <w:szCs w:val="24"/>
        </w:rPr>
        <w:t>that had emotion focussed coping strategies e</w:t>
      </w:r>
      <w:r w:rsidRPr="00787196">
        <w:rPr>
          <w:rFonts w:cs="Arial"/>
          <w:szCs w:val="24"/>
        </w:rPr>
        <w:t>re reverse scored). Higher scores indicate</w:t>
      </w:r>
      <w:r w:rsidR="00CA7B10" w:rsidRPr="00787196">
        <w:rPr>
          <w:rFonts w:cs="Arial"/>
          <w:szCs w:val="24"/>
        </w:rPr>
        <w:t>d</w:t>
      </w:r>
      <w:r w:rsidRPr="00787196">
        <w:rPr>
          <w:rFonts w:cs="Arial"/>
          <w:szCs w:val="24"/>
        </w:rPr>
        <w:t xml:space="preserve"> </w:t>
      </w:r>
      <w:r w:rsidR="00CA7B10" w:rsidRPr="00787196">
        <w:rPr>
          <w:rFonts w:cs="Arial"/>
          <w:szCs w:val="24"/>
        </w:rPr>
        <w:t>greater use of problem focussed coping strategies</w:t>
      </w:r>
      <w:r w:rsidRPr="00787196">
        <w:rPr>
          <w:rFonts w:cs="Arial"/>
          <w:szCs w:val="24"/>
        </w:rPr>
        <w:t>. The same proce</w:t>
      </w:r>
      <w:r w:rsidR="00E34C83" w:rsidRPr="00787196">
        <w:rPr>
          <w:rFonts w:cs="Arial"/>
          <w:szCs w:val="24"/>
        </w:rPr>
        <w:t>ss</w:t>
      </w:r>
      <w:r w:rsidRPr="00787196">
        <w:rPr>
          <w:rFonts w:cs="Arial"/>
          <w:szCs w:val="24"/>
        </w:rPr>
        <w:t xml:space="preserve"> was </w:t>
      </w:r>
      <w:r w:rsidR="00E34C83" w:rsidRPr="00787196">
        <w:rPr>
          <w:rFonts w:cs="Arial"/>
          <w:szCs w:val="24"/>
        </w:rPr>
        <w:t>repeated for</w:t>
      </w:r>
      <w:r w:rsidRPr="00787196">
        <w:rPr>
          <w:rFonts w:cs="Arial"/>
          <w:szCs w:val="24"/>
        </w:rPr>
        <w:t xml:space="preserve"> the other</w:t>
      </w:r>
      <w:r w:rsidR="00E34C83" w:rsidRPr="00787196">
        <w:rPr>
          <w:rFonts w:cs="Arial"/>
          <w:szCs w:val="24"/>
        </w:rPr>
        <w:t xml:space="preserve"> </w:t>
      </w:r>
      <w:r w:rsidRPr="00787196">
        <w:rPr>
          <w:rFonts w:cs="Arial"/>
          <w:szCs w:val="24"/>
        </w:rPr>
        <w:t xml:space="preserve">variables </w:t>
      </w:r>
    </w:p>
    <w:p w14:paraId="475B37AA" w14:textId="3DDDD722" w:rsidR="001A1A2A" w:rsidRPr="00787196" w:rsidRDefault="0059336F" w:rsidP="002E3DB7">
      <w:pPr>
        <w:pStyle w:val="ListParagraph"/>
        <w:ind w:left="0"/>
        <w:rPr>
          <w:rFonts w:cs="Arial"/>
          <w:szCs w:val="24"/>
        </w:rPr>
      </w:pPr>
      <w:r w:rsidRPr="00787196">
        <w:rPr>
          <w:rFonts w:cs="Arial"/>
          <w:szCs w:val="24"/>
        </w:rPr>
        <w:t xml:space="preserve">OHQoL was </w:t>
      </w:r>
      <w:r w:rsidR="00E34C83" w:rsidRPr="00787196">
        <w:rPr>
          <w:rFonts w:cs="Arial"/>
          <w:szCs w:val="24"/>
        </w:rPr>
        <w:t xml:space="preserve">measured </w:t>
      </w:r>
      <w:r w:rsidRPr="00787196">
        <w:rPr>
          <w:rFonts w:cs="Arial"/>
          <w:szCs w:val="24"/>
        </w:rPr>
        <w:t>using OHIP-EDENT</w:t>
      </w:r>
      <w:r w:rsidR="00D82952" w:rsidRPr="00787196">
        <w:rPr>
          <w:rFonts w:cs="Arial"/>
          <w:szCs w:val="24"/>
        </w:rPr>
        <w:t xml:space="preserve">; items were </w:t>
      </w:r>
      <w:r w:rsidR="00E34C83" w:rsidRPr="00787196">
        <w:rPr>
          <w:rFonts w:cs="Arial"/>
          <w:szCs w:val="24"/>
        </w:rPr>
        <w:t>added</w:t>
      </w:r>
      <w:r w:rsidR="00D82952" w:rsidRPr="00787196">
        <w:rPr>
          <w:rFonts w:cs="Arial"/>
          <w:szCs w:val="24"/>
        </w:rPr>
        <w:t xml:space="preserve"> to generate total scores. Higher scores </w:t>
      </w:r>
      <w:r w:rsidR="00F0157F" w:rsidRPr="00787196">
        <w:rPr>
          <w:rFonts w:cs="Arial"/>
          <w:szCs w:val="24"/>
        </w:rPr>
        <w:t>indicated</w:t>
      </w:r>
      <w:r w:rsidR="00D82952" w:rsidRPr="00787196">
        <w:rPr>
          <w:rFonts w:cs="Arial"/>
          <w:szCs w:val="24"/>
        </w:rPr>
        <w:t xml:space="preserve"> greater levels of impact and </w:t>
      </w:r>
      <w:r w:rsidR="00E34C83" w:rsidRPr="00787196">
        <w:rPr>
          <w:rFonts w:cs="Arial"/>
          <w:szCs w:val="24"/>
        </w:rPr>
        <w:t xml:space="preserve">a </w:t>
      </w:r>
      <w:r w:rsidR="00D82952" w:rsidRPr="00787196">
        <w:rPr>
          <w:rFonts w:cs="Arial"/>
          <w:szCs w:val="24"/>
        </w:rPr>
        <w:t>wo</w:t>
      </w:r>
      <w:r w:rsidRPr="00787196">
        <w:rPr>
          <w:rFonts w:cs="Arial"/>
          <w:szCs w:val="24"/>
        </w:rPr>
        <w:t>rse oral health quality of life.</w:t>
      </w:r>
      <w:r w:rsidR="00CA7B10" w:rsidRPr="00787196">
        <w:rPr>
          <w:rFonts w:cs="Arial"/>
          <w:szCs w:val="24"/>
        </w:rPr>
        <w:t xml:space="preserve"> The same procedure was followed for the outcome variables.</w:t>
      </w:r>
    </w:p>
    <w:p w14:paraId="229C2CC1" w14:textId="3B25F6B0" w:rsidR="008A3CC3" w:rsidRPr="00787196" w:rsidRDefault="008A3CC3" w:rsidP="004F119E">
      <w:pPr>
        <w:pStyle w:val="Heading2"/>
      </w:pPr>
      <w:bookmarkStart w:id="176" w:name="_Toc317517874"/>
      <w:bookmarkStart w:id="177" w:name="_Toc317591200"/>
      <w:bookmarkStart w:id="178" w:name="_Toc319068894"/>
      <w:bookmarkStart w:id="179" w:name="_Toc366260759"/>
      <w:bookmarkStart w:id="180" w:name="_Toc371981469"/>
      <w:bookmarkStart w:id="181" w:name="_Toc372541948"/>
      <w:bookmarkStart w:id="182" w:name="_Toc456211164"/>
      <w:bookmarkStart w:id="183" w:name="_Toc488655655"/>
      <w:r w:rsidRPr="00787196">
        <w:t>Data Analysis</w:t>
      </w:r>
      <w:bookmarkEnd w:id="176"/>
      <w:bookmarkEnd w:id="177"/>
      <w:bookmarkEnd w:id="178"/>
      <w:bookmarkEnd w:id="179"/>
      <w:bookmarkEnd w:id="180"/>
      <w:bookmarkEnd w:id="181"/>
      <w:bookmarkEnd w:id="182"/>
      <w:bookmarkEnd w:id="183"/>
      <w:r w:rsidRPr="00787196">
        <w:tab/>
      </w:r>
    </w:p>
    <w:p w14:paraId="5C6D9E83" w14:textId="275FAB7B" w:rsidR="008A3CC3" w:rsidRPr="00787196" w:rsidRDefault="008A3CC3" w:rsidP="00985A3A">
      <w:pPr>
        <w:rPr>
          <w:rFonts w:cs="Arial"/>
          <w:bCs/>
          <w:szCs w:val="24"/>
        </w:rPr>
      </w:pPr>
      <w:r w:rsidRPr="00787196">
        <w:rPr>
          <w:rFonts w:cs="Arial"/>
          <w:bCs/>
          <w:szCs w:val="24"/>
        </w:rPr>
        <w:t xml:space="preserve">Data analysis </w:t>
      </w:r>
      <w:r w:rsidR="007D54EC" w:rsidRPr="00787196">
        <w:rPr>
          <w:rFonts w:cs="Arial"/>
          <w:bCs/>
          <w:szCs w:val="24"/>
        </w:rPr>
        <w:t>was</w:t>
      </w:r>
      <w:r w:rsidRPr="00787196">
        <w:rPr>
          <w:rFonts w:cs="Arial"/>
          <w:bCs/>
          <w:szCs w:val="24"/>
        </w:rPr>
        <w:t xml:space="preserve"> conducted in three stages; </w:t>
      </w:r>
    </w:p>
    <w:p w14:paraId="7466DC7B" w14:textId="7C667A4C" w:rsidR="008A3CC3" w:rsidRPr="00787196" w:rsidRDefault="008A3CC3" w:rsidP="00D9694A">
      <w:pPr>
        <w:pStyle w:val="Heading3"/>
      </w:pPr>
      <w:bookmarkStart w:id="184" w:name="_Toc366260760"/>
      <w:bookmarkStart w:id="185" w:name="_Toc371981470"/>
      <w:bookmarkStart w:id="186" w:name="_Toc372541949"/>
      <w:bookmarkStart w:id="187" w:name="_Toc456211165"/>
      <w:bookmarkStart w:id="188" w:name="_Toc488655656"/>
      <w:r w:rsidRPr="00787196">
        <w:t>Descriptive analysis</w:t>
      </w:r>
      <w:bookmarkEnd w:id="184"/>
      <w:bookmarkEnd w:id="185"/>
      <w:bookmarkEnd w:id="186"/>
      <w:bookmarkEnd w:id="187"/>
      <w:bookmarkEnd w:id="188"/>
      <w:r w:rsidRPr="00787196">
        <w:t xml:space="preserve"> </w:t>
      </w:r>
    </w:p>
    <w:p w14:paraId="033AF1AA" w14:textId="2AD059C4" w:rsidR="00D101B5" w:rsidRPr="00787196" w:rsidRDefault="008A3CC3" w:rsidP="00561D07">
      <w:pPr>
        <w:spacing w:after="0"/>
        <w:rPr>
          <w:rFonts w:cs="Arial"/>
          <w:szCs w:val="24"/>
        </w:rPr>
      </w:pPr>
      <w:r w:rsidRPr="00787196">
        <w:rPr>
          <w:rFonts w:cs="Arial"/>
          <w:bCs/>
          <w:szCs w:val="24"/>
        </w:rPr>
        <w:t>This stage involve</w:t>
      </w:r>
      <w:r w:rsidR="00D101B5" w:rsidRPr="00787196">
        <w:rPr>
          <w:rFonts w:cs="Arial"/>
          <w:bCs/>
          <w:szCs w:val="24"/>
        </w:rPr>
        <w:t>d</w:t>
      </w:r>
      <w:r w:rsidRPr="00787196">
        <w:rPr>
          <w:rFonts w:cs="Arial"/>
          <w:bCs/>
          <w:szCs w:val="24"/>
        </w:rPr>
        <w:t xml:space="preserve"> </w:t>
      </w:r>
      <w:r w:rsidR="005D5AFA" w:rsidRPr="00787196">
        <w:rPr>
          <w:rFonts w:cs="Arial"/>
          <w:bCs/>
          <w:szCs w:val="24"/>
        </w:rPr>
        <w:t>measures of</w:t>
      </w:r>
      <w:r w:rsidRPr="00787196">
        <w:rPr>
          <w:rFonts w:cs="Arial"/>
          <w:szCs w:val="24"/>
        </w:rPr>
        <w:t xml:space="preserve"> central tendency and distribution </w:t>
      </w:r>
      <w:r w:rsidR="00E34C83" w:rsidRPr="00787196">
        <w:rPr>
          <w:rFonts w:cs="Arial"/>
          <w:szCs w:val="24"/>
        </w:rPr>
        <w:t>of</w:t>
      </w:r>
      <w:r w:rsidRPr="00787196">
        <w:rPr>
          <w:rFonts w:cs="Arial"/>
          <w:szCs w:val="24"/>
        </w:rPr>
        <w:t xml:space="preserve"> independent and outcome variables at baseline and follow-up. </w:t>
      </w:r>
      <w:r w:rsidR="00561D07" w:rsidRPr="00787196">
        <w:rPr>
          <w:rFonts w:cs="Arial"/>
          <w:szCs w:val="24"/>
        </w:rPr>
        <w:t>Coping strategies, a</w:t>
      </w:r>
      <w:r w:rsidRPr="00787196">
        <w:rPr>
          <w:rFonts w:cs="Arial"/>
          <w:szCs w:val="24"/>
        </w:rPr>
        <w:t xml:space="preserve">geing expectations, </w:t>
      </w:r>
      <w:r w:rsidR="006E71B1" w:rsidRPr="00787196">
        <w:rPr>
          <w:rFonts w:cs="Arial"/>
          <w:szCs w:val="24"/>
        </w:rPr>
        <w:t>concern about oral health</w:t>
      </w:r>
      <w:r w:rsidRPr="00787196">
        <w:rPr>
          <w:rFonts w:cs="Arial"/>
          <w:szCs w:val="24"/>
        </w:rPr>
        <w:t xml:space="preserve">, </w:t>
      </w:r>
      <w:r w:rsidR="00561D07" w:rsidRPr="00787196">
        <w:rPr>
          <w:rFonts w:cs="Arial"/>
          <w:szCs w:val="24"/>
        </w:rPr>
        <w:t>p</w:t>
      </w:r>
      <w:r w:rsidRPr="00787196">
        <w:rPr>
          <w:rFonts w:cs="Arial"/>
          <w:szCs w:val="24"/>
        </w:rPr>
        <w:t>erceived stress,</w:t>
      </w:r>
      <w:r w:rsidR="00561D07" w:rsidRPr="00787196">
        <w:rPr>
          <w:rFonts w:cs="Arial"/>
          <w:szCs w:val="24"/>
        </w:rPr>
        <w:t xml:space="preserve"> OHQoL, denture satisfaction and c</w:t>
      </w:r>
      <w:r w:rsidRPr="00787196">
        <w:rPr>
          <w:rFonts w:cs="Arial"/>
          <w:szCs w:val="24"/>
        </w:rPr>
        <w:t>hewing ability</w:t>
      </w:r>
      <w:r w:rsidR="00561D07" w:rsidRPr="00787196">
        <w:rPr>
          <w:rFonts w:cs="Arial"/>
          <w:szCs w:val="24"/>
        </w:rPr>
        <w:t xml:space="preserve"> </w:t>
      </w:r>
      <w:r w:rsidRPr="00787196">
        <w:rPr>
          <w:rFonts w:cs="Arial"/>
          <w:szCs w:val="24"/>
        </w:rPr>
        <w:t>scores at baseline (T</w:t>
      </w:r>
      <w:r w:rsidR="00561D07" w:rsidRPr="00787196">
        <w:rPr>
          <w:rFonts w:cs="Arial"/>
          <w:szCs w:val="24"/>
        </w:rPr>
        <w:t>1</w:t>
      </w:r>
      <w:r w:rsidRPr="00787196">
        <w:rPr>
          <w:rFonts w:cs="Arial"/>
          <w:szCs w:val="24"/>
        </w:rPr>
        <w:t xml:space="preserve">) and 3 months follow up (T2) </w:t>
      </w:r>
      <w:r w:rsidR="007D54EC" w:rsidRPr="00787196">
        <w:rPr>
          <w:rFonts w:cs="Arial"/>
          <w:szCs w:val="24"/>
        </w:rPr>
        <w:t>w</w:t>
      </w:r>
      <w:r w:rsidR="005D5AFA" w:rsidRPr="00787196">
        <w:rPr>
          <w:rFonts w:cs="Arial"/>
          <w:szCs w:val="24"/>
        </w:rPr>
        <w:t>ere</w:t>
      </w:r>
      <w:r w:rsidRPr="00787196">
        <w:rPr>
          <w:rFonts w:cs="Arial"/>
          <w:szCs w:val="24"/>
        </w:rPr>
        <w:t xml:space="preserve"> calculated </w:t>
      </w:r>
      <w:r w:rsidR="005D5AFA" w:rsidRPr="00787196">
        <w:rPr>
          <w:rFonts w:cs="Arial"/>
          <w:szCs w:val="24"/>
        </w:rPr>
        <w:t>by</w:t>
      </w:r>
      <w:r w:rsidRPr="00787196">
        <w:rPr>
          <w:rFonts w:cs="Arial"/>
          <w:szCs w:val="24"/>
        </w:rPr>
        <w:t xml:space="preserve"> summing the item</w:t>
      </w:r>
      <w:r w:rsidR="005D5AFA" w:rsidRPr="00787196">
        <w:rPr>
          <w:rFonts w:cs="Arial"/>
          <w:szCs w:val="24"/>
        </w:rPr>
        <w:t xml:space="preserve"> </w:t>
      </w:r>
      <w:r w:rsidRPr="00787196">
        <w:rPr>
          <w:rFonts w:cs="Arial"/>
          <w:szCs w:val="24"/>
        </w:rPr>
        <w:t>s</w:t>
      </w:r>
      <w:r w:rsidR="005D5AFA" w:rsidRPr="00787196">
        <w:rPr>
          <w:rFonts w:cs="Arial"/>
          <w:szCs w:val="24"/>
        </w:rPr>
        <w:t>cores</w:t>
      </w:r>
      <w:r w:rsidRPr="00787196">
        <w:rPr>
          <w:rFonts w:cs="Arial"/>
          <w:szCs w:val="24"/>
        </w:rPr>
        <w:t>.</w:t>
      </w:r>
    </w:p>
    <w:p w14:paraId="094EE380" w14:textId="4ADC90FE" w:rsidR="002E3DB7" w:rsidRPr="00787196" w:rsidRDefault="0025279C" w:rsidP="006C2B50">
      <w:pPr>
        <w:spacing w:after="0"/>
        <w:rPr>
          <w:rFonts w:cs="Arial"/>
          <w:szCs w:val="24"/>
        </w:rPr>
      </w:pPr>
      <w:r w:rsidRPr="00787196">
        <w:rPr>
          <w:rFonts w:cs="Arial"/>
          <w:szCs w:val="24"/>
        </w:rPr>
        <w:t xml:space="preserve">Individual and </w:t>
      </w:r>
      <w:r w:rsidR="006233A4" w:rsidRPr="00787196">
        <w:rPr>
          <w:rFonts w:cs="Arial"/>
          <w:szCs w:val="24"/>
        </w:rPr>
        <w:t>environmental factor</w:t>
      </w:r>
      <w:r w:rsidR="008A3CC3" w:rsidRPr="00787196">
        <w:rPr>
          <w:rFonts w:cs="Arial"/>
          <w:szCs w:val="24"/>
        </w:rPr>
        <w:t xml:space="preserve"> measures </w:t>
      </w:r>
      <w:r w:rsidR="007D54EC" w:rsidRPr="00787196">
        <w:rPr>
          <w:rFonts w:cs="Arial"/>
          <w:szCs w:val="24"/>
        </w:rPr>
        <w:t>were</w:t>
      </w:r>
      <w:r w:rsidR="008A3CC3" w:rsidRPr="00787196">
        <w:rPr>
          <w:rFonts w:cs="Arial"/>
          <w:szCs w:val="24"/>
        </w:rPr>
        <w:t xml:space="preserve"> summed to generate total raw scores where some items are reverse scored and then added to achieve a total </w:t>
      </w:r>
      <w:r w:rsidR="00F0157F" w:rsidRPr="00787196">
        <w:rPr>
          <w:rFonts w:cs="Arial"/>
          <w:szCs w:val="24"/>
        </w:rPr>
        <w:t>score. The</w:t>
      </w:r>
      <w:r w:rsidR="005D5AFA" w:rsidRPr="00787196">
        <w:rPr>
          <w:rFonts w:cs="Arial"/>
          <w:szCs w:val="24"/>
        </w:rPr>
        <w:t xml:space="preserve"> p</w:t>
      </w:r>
      <w:r w:rsidR="00D101B5" w:rsidRPr="00787196">
        <w:rPr>
          <w:rFonts w:cs="Arial"/>
          <w:szCs w:val="24"/>
        </w:rPr>
        <w:t>sychometric properties of all</w:t>
      </w:r>
      <w:r w:rsidR="008A3CC3" w:rsidRPr="00787196">
        <w:rPr>
          <w:rFonts w:cs="Arial"/>
          <w:szCs w:val="24"/>
        </w:rPr>
        <w:t xml:space="preserve"> the questionnaires </w:t>
      </w:r>
      <w:r w:rsidR="007D54EC" w:rsidRPr="00787196">
        <w:rPr>
          <w:rFonts w:cs="Arial"/>
          <w:szCs w:val="24"/>
        </w:rPr>
        <w:t>were</w:t>
      </w:r>
      <w:r w:rsidR="008A3CC3" w:rsidRPr="00787196">
        <w:rPr>
          <w:rFonts w:cs="Arial"/>
          <w:szCs w:val="24"/>
        </w:rPr>
        <w:t xml:space="preserve"> assessed including test retest reliability, internal reliability and construct validity.</w:t>
      </w:r>
    </w:p>
    <w:p w14:paraId="1BDF330B" w14:textId="77777777" w:rsidR="002E3DB7" w:rsidRPr="00787196" w:rsidRDefault="002E3DB7">
      <w:pPr>
        <w:spacing w:before="0" w:after="0" w:line="240" w:lineRule="auto"/>
        <w:jc w:val="left"/>
        <w:rPr>
          <w:rFonts w:cs="Arial"/>
          <w:szCs w:val="24"/>
        </w:rPr>
      </w:pPr>
      <w:r w:rsidRPr="00787196">
        <w:rPr>
          <w:rFonts w:cs="Arial"/>
          <w:szCs w:val="24"/>
        </w:rPr>
        <w:br w:type="page"/>
      </w:r>
    </w:p>
    <w:p w14:paraId="184AE55E" w14:textId="327A60C5" w:rsidR="008A3CC3" w:rsidRPr="00787196" w:rsidRDefault="008A3CC3" w:rsidP="006C2B50">
      <w:pPr>
        <w:spacing w:after="0"/>
        <w:rPr>
          <w:rFonts w:cs="Arial"/>
          <w:szCs w:val="24"/>
        </w:rPr>
      </w:pPr>
      <w:r w:rsidRPr="00787196">
        <w:rPr>
          <w:rFonts w:cs="Arial"/>
          <w:szCs w:val="24"/>
        </w:rPr>
        <w:lastRenderedPageBreak/>
        <w:t xml:space="preserve"> </w:t>
      </w:r>
    </w:p>
    <w:p w14:paraId="0C4E1527" w14:textId="622AF7BB" w:rsidR="008A3CC3" w:rsidRPr="00787196" w:rsidRDefault="008A3CC3" w:rsidP="00D9694A">
      <w:pPr>
        <w:pStyle w:val="Heading3"/>
      </w:pPr>
      <w:bookmarkStart w:id="189" w:name="_Toc366260761"/>
      <w:bookmarkStart w:id="190" w:name="_Toc371981471"/>
      <w:bookmarkStart w:id="191" w:name="_Toc372541950"/>
      <w:bookmarkStart w:id="192" w:name="_Toc456211166"/>
      <w:bookmarkStart w:id="193" w:name="_Toc488655657"/>
      <w:r w:rsidRPr="00787196">
        <w:t>Bivariate analysis</w:t>
      </w:r>
      <w:bookmarkEnd w:id="189"/>
      <w:bookmarkEnd w:id="190"/>
      <w:bookmarkEnd w:id="191"/>
      <w:bookmarkEnd w:id="192"/>
      <w:bookmarkEnd w:id="193"/>
    </w:p>
    <w:p w14:paraId="2E358A06" w14:textId="65BAAF46" w:rsidR="00930530" w:rsidRPr="00787196" w:rsidRDefault="008A3CC3" w:rsidP="0063472D">
      <w:pPr>
        <w:rPr>
          <w:rFonts w:cs="Arial"/>
          <w:szCs w:val="24"/>
        </w:rPr>
      </w:pPr>
      <w:r w:rsidRPr="00787196">
        <w:rPr>
          <w:rFonts w:cs="Arial"/>
          <w:szCs w:val="24"/>
        </w:rPr>
        <w:t xml:space="preserve">Bivariate analysis </w:t>
      </w:r>
      <w:r w:rsidR="007D54EC" w:rsidRPr="00787196">
        <w:rPr>
          <w:rFonts w:cs="Arial"/>
          <w:szCs w:val="24"/>
        </w:rPr>
        <w:t>was</w:t>
      </w:r>
      <w:r w:rsidRPr="00787196">
        <w:rPr>
          <w:rFonts w:cs="Arial"/>
          <w:szCs w:val="24"/>
        </w:rPr>
        <w:t xml:space="preserve"> conducted </w:t>
      </w:r>
      <w:r w:rsidR="005D5AFA" w:rsidRPr="00787196">
        <w:rPr>
          <w:rFonts w:cs="Arial"/>
          <w:szCs w:val="24"/>
        </w:rPr>
        <w:t>screen</w:t>
      </w:r>
      <w:r w:rsidRPr="00787196">
        <w:rPr>
          <w:rFonts w:cs="Arial"/>
          <w:szCs w:val="24"/>
        </w:rPr>
        <w:t xml:space="preserve"> lagged associations between variables </w:t>
      </w:r>
      <w:r w:rsidR="006318D6" w:rsidRPr="00787196">
        <w:rPr>
          <w:rFonts w:cs="Arial"/>
          <w:szCs w:val="24"/>
        </w:rPr>
        <w:t xml:space="preserve">populated </w:t>
      </w:r>
      <w:r w:rsidRPr="00787196">
        <w:rPr>
          <w:rFonts w:cs="Arial"/>
          <w:szCs w:val="24"/>
        </w:rPr>
        <w:t>within the framework developed adoptin</w:t>
      </w:r>
      <w:r w:rsidR="006318D6" w:rsidRPr="00787196">
        <w:rPr>
          <w:rFonts w:cs="Arial"/>
          <w:szCs w:val="24"/>
        </w:rPr>
        <w:t>g the Wilson and Cleary (1995) model</w:t>
      </w:r>
      <w:r w:rsidRPr="00787196">
        <w:rPr>
          <w:rFonts w:cs="Arial"/>
          <w:szCs w:val="24"/>
        </w:rPr>
        <w:t xml:space="preserve"> at baseline (T1) and </w:t>
      </w:r>
      <w:r w:rsidR="00F0157F" w:rsidRPr="00787196">
        <w:rPr>
          <w:rFonts w:cs="Arial"/>
          <w:szCs w:val="24"/>
        </w:rPr>
        <w:t>3-month</w:t>
      </w:r>
      <w:r w:rsidRPr="00787196">
        <w:rPr>
          <w:rFonts w:cs="Arial"/>
          <w:szCs w:val="24"/>
        </w:rPr>
        <w:t xml:space="preserve"> follow-up (T2)</w:t>
      </w:r>
      <w:r w:rsidR="00D101B5" w:rsidRPr="00787196">
        <w:rPr>
          <w:rFonts w:cs="Arial"/>
          <w:szCs w:val="24"/>
        </w:rPr>
        <w:t>.</w:t>
      </w:r>
      <w:r w:rsidR="008C4C64" w:rsidRPr="00787196">
        <w:rPr>
          <w:rFonts w:cs="Arial"/>
          <w:szCs w:val="24"/>
        </w:rPr>
        <w:t xml:space="preserve"> </w:t>
      </w:r>
    </w:p>
    <w:p w14:paraId="581F683D" w14:textId="61ECF2C2" w:rsidR="00930530" w:rsidRPr="00787196" w:rsidRDefault="006E786F" w:rsidP="00930530">
      <w:pPr>
        <w:rPr>
          <w:rFonts w:cs="Arial"/>
          <w:szCs w:val="24"/>
        </w:rPr>
      </w:pPr>
      <w:r w:rsidRPr="00787196">
        <w:rPr>
          <w:rFonts w:cs="Arial"/>
          <w:szCs w:val="24"/>
        </w:rPr>
        <w:t>Whether c</w:t>
      </w:r>
      <w:r w:rsidR="00930530" w:rsidRPr="00787196">
        <w:rPr>
          <w:rFonts w:cs="Arial"/>
          <w:szCs w:val="24"/>
        </w:rPr>
        <w:t>oping strategies determine</w:t>
      </w:r>
      <w:r w:rsidRPr="00787196">
        <w:rPr>
          <w:rFonts w:cs="Arial"/>
          <w:szCs w:val="24"/>
        </w:rPr>
        <w:t>d</w:t>
      </w:r>
      <w:r w:rsidR="00930530" w:rsidRPr="00787196">
        <w:rPr>
          <w:rFonts w:cs="Arial"/>
          <w:szCs w:val="24"/>
        </w:rPr>
        <w:t xml:space="preserve"> successful denture treatment outcomes </w:t>
      </w:r>
      <w:r w:rsidRPr="00787196">
        <w:rPr>
          <w:rFonts w:cs="Arial"/>
          <w:szCs w:val="24"/>
        </w:rPr>
        <w:t xml:space="preserve">was tested </w:t>
      </w:r>
      <w:r w:rsidR="00930530" w:rsidRPr="00787196">
        <w:rPr>
          <w:rFonts w:cs="Arial"/>
          <w:szCs w:val="24"/>
        </w:rPr>
        <w:t xml:space="preserve">using appropriate bivariate analyses. Pearson’s correlation and spearman’s rank correlation </w:t>
      </w:r>
      <w:r w:rsidR="00D07CFC" w:rsidRPr="00787196">
        <w:rPr>
          <w:rFonts w:cs="Arial"/>
          <w:szCs w:val="24"/>
        </w:rPr>
        <w:t xml:space="preserve">as appropriate </w:t>
      </w:r>
      <w:r w:rsidR="00930530" w:rsidRPr="00787196">
        <w:rPr>
          <w:rFonts w:cs="Arial"/>
          <w:szCs w:val="24"/>
        </w:rPr>
        <w:t xml:space="preserve">to test the associations between coping strategies </w:t>
      </w:r>
      <w:r w:rsidR="006318D6" w:rsidRPr="00787196">
        <w:rPr>
          <w:rFonts w:cs="Arial"/>
          <w:szCs w:val="24"/>
        </w:rPr>
        <w:t xml:space="preserve">baseline (T1) </w:t>
      </w:r>
      <w:r w:rsidRPr="00787196">
        <w:rPr>
          <w:rFonts w:cs="Arial"/>
          <w:szCs w:val="24"/>
        </w:rPr>
        <w:t>with OHQoL, Denture satisfaction</w:t>
      </w:r>
      <w:r w:rsidR="00930530" w:rsidRPr="00787196">
        <w:rPr>
          <w:rFonts w:cs="Arial"/>
          <w:szCs w:val="24"/>
        </w:rPr>
        <w:t xml:space="preserve"> and </w:t>
      </w:r>
      <w:r w:rsidRPr="00787196">
        <w:rPr>
          <w:rFonts w:cs="Arial"/>
          <w:szCs w:val="24"/>
        </w:rPr>
        <w:t>Chewing ability a</w:t>
      </w:r>
      <w:r w:rsidR="00930530" w:rsidRPr="00787196">
        <w:rPr>
          <w:rFonts w:cs="Arial"/>
          <w:szCs w:val="24"/>
        </w:rPr>
        <w:t>t follow-up</w:t>
      </w:r>
      <w:r w:rsidRPr="00787196">
        <w:rPr>
          <w:rFonts w:cs="Arial"/>
          <w:szCs w:val="24"/>
        </w:rPr>
        <w:t xml:space="preserve"> (T2)</w:t>
      </w:r>
      <w:r w:rsidR="00930530" w:rsidRPr="00787196">
        <w:rPr>
          <w:rFonts w:cs="Arial"/>
          <w:szCs w:val="24"/>
        </w:rPr>
        <w:t>.</w:t>
      </w:r>
    </w:p>
    <w:p w14:paraId="715EEC0C" w14:textId="5C555FCE" w:rsidR="0094255B" w:rsidRPr="00787196" w:rsidRDefault="0094255B" w:rsidP="0094255B">
      <w:r w:rsidRPr="00787196">
        <w:t xml:space="preserve">The </w:t>
      </w:r>
      <w:r w:rsidR="0063472D" w:rsidRPr="00787196">
        <w:t>Wilson</w:t>
      </w:r>
      <w:r w:rsidRPr="00787196">
        <w:t xml:space="preserve"> and Cleary model was adopted for analysis as shown below in Figure (4-4). This model draws a hypothesis that C is predicted by A, B, D and E. Hence </w:t>
      </w:r>
      <w:r w:rsidR="00A651B4" w:rsidRPr="00787196">
        <w:t xml:space="preserve">the presence/absence of </w:t>
      </w:r>
      <w:r w:rsidRPr="00787196">
        <w:t xml:space="preserve">associations were </w:t>
      </w:r>
      <w:r w:rsidR="00A651B4" w:rsidRPr="00787196">
        <w:t xml:space="preserve">explored </w:t>
      </w:r>
      <w:r w:rsidRPr="00787196">
        <w:t xml:space="preserve">between A, B, D and E at </w:t>
      </w:r>
      <w:r w:rsidR="00A651B4" w:rsidRPr="00787196">
        <w:t>T1 stage</w:t>
      </w:r>
      <w:r w:rsidRPr="00787196">
        <w:t xml:space="preserve"> and C at </w:t>
      </w:r>
      <w:r w:rsidR="00A651B4" w:rsidRPr="00787196">
        <w:t>T2 stage</w:t>
      </w:r>
      <w:r w:rsidRPr="00787196">
        <w:t xml:space="preserve">. The model also hypothesised that B is predicted by A, D and E. Hence the </w:t>
      </w:r>
      <w:r w:rsidR="00A651B4" w:rsidRPr="00787196">
        <w:t xml:space="preserve">presence/absence of the </w:t>
      </w:r>
      <w:r w:rsidRPr="00787196">
        <w:t xml:space="preserve">association was </w:t>
      </w:r>
      <w:r w:rsidR="00A651B4" w:rsidRPr="00787196">
        <w:t>explored</w:t>
      </w:r>
      <w:r w:rsidRPr="00787196">
        <w:t xml:space="preserve"> between A, B, D and E at </w:t>
      </w:r>
      <w:r w:rsidR="00A651B4" w:rsidRPr="00787196">
        <w:t xml:space="preserve">T1 stage </w:t>
      </w:r>
      <w:r w:rsidRPr="00787196">
        <w:t xml:space="preserve">with B at </w:t>
      </w:r>
      <w:r w:rsidR="00A651B4" w:rsidRPr="00787196">
        <w:t>T2 stage</w:t>
      </w:r>
      <w:r w:rsidRPr="00787196">
        <w:t xml:space="preserve">. </w:t>
      </w:r>
    </w:p>
    <w:p w14:paraId="7AAEA17A" w14:textId="3DF26116" w:rsidR="00F4764D" w:rsidRPr="00787196" w:rsidRDefault="008A1F31" w:rsidP="008A1F31">
      <w:pPr>
        <w:pStyle w:val="Caption"/>
        <w:jc w:val="center"/>
        <w:rPr>
          <w:b/>
          <w:bCs/>
          <w:i w:val="0"/>
          <w:iCs w:val="0"/>
          <w:color w:val="auto"/>
          <w:sz w:val="22"/>
          <w:szCs w:val="22"/>
        </w:rPr>
      </w:pPr>
      <w:bookmarkStart w:id="194" w:name="_Toc488655586"/>
      <w:r w:rsidRPr="00787196">
        <w:rPr>
          <w:b/>
          <w:bCs/>
          <w:i w:val="0"/>
          <w:iCs w:val="0"/>
          <w:color w:val="auto"/>
          <w:sz w:val="22"/>
          <w:szCs w:val="22"/>
        </w:rPr>
        <w:t xml:space="preserve">Figure </w:t>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STYLEREF 1 \s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4</w:t>
      </w:r>
      <w:r w:rsidR="00786B0E" w:rsidRPr="00787196">
        <w:rPr>
          <w:b/>
          <w:bCs/>
          <w:i w:val="0"/>
          <w:iCs w:val="0"/>
          <w:color w:val="auto"/>
          <w:sz w:val="22"/>
          <w:szCs w:val="22"/>
        </w:rPr>
        <w:fldChar w:fldCharType="end"/>
      </w:r>
      <w:r w:rsidR="00786B0E" w:rsidRPr="00787196">
        <w:rPr>
          <w:b/>
          <w:bCs/>
          <w:i w:val="0"/>
          <w:iCs w:val="0"/>
          <w:color w:val="auto"/>
          <w:sz w:val="22"/>
          <w:szCs w:val="22"/>
        </w:rPr>
        <w:noBreakHyphen/>
      </w:r>
      <w:r w:rsidR="00786B0E" w:rsidRPr="00787196">
        <w:rPr>
          <w:b/>
          <w:bCs/>
          <w:i w:val="0"/>
          <w:iCs w:val="0"/>
          <w:color w:val="auto"/>
          <w:sz w:val="22"/>
          <w:szCs w:val="22"/>
        </w:rPr>
        <w:fldChar w:fldCharType="begin"/>
      </w:r>
      <w:r w:rsidR="00786B0E" w:rsidRPr="00787196">
        <w:rPr>
          <w:b/>
          <w:bCs/>
          <w:i w:val="0"/>
          <w:iCs w:val="0"/>
          <w:color w:val="auto"/>
          <w:sz w:val="22"/>
          <w:szCs w:val="22"/>
        </w:rPr>
        <w:instrText xml:space="preserve"> SEQ Figure \* ARABIC \s 1 </w:instrText>
      </w:r>
      <w:r w:rsidR="00786B0E" w:rsidRPr="00787196">
        <w:rPr>
          <w:b/>
          <w:bCs/>
          <w:i w:val="0"/>
          <w:iCs w:val="0"/>
          <w:color w:val="auto"/>
          <w:sz w:val="22"/>
          <w:szCs w:val="22"/>
        </w:rPr>
        <w:fldChar w:fldCharType="separate"/>
      </w:r>
      <w:r w:rsidR="00C069BC" w:rsidRPr="00787196">
        <w:rPr>
          <w:b/>
          <w:bCs/>
          <w:i w:val="0"/>
          <w:iCs w:val="0"/>
          <w:noProof/>
          <w:color w:val="auto"/>
          <w:sz w:val="22"/>
          <w:szCs w:val="22"/>
        </w:rPr>
        <w:t>2</w:t>
      </w:r>
      <w:r w:rsidR="00786B0E" w:rsidRPr="00787196">
        <w:rPr>
          <w:b/>
          <w:bCs/>
          <w:i w:val="0"/>
          <w:iCs w:val="0"/>
          <w:color w:val="auto"/>
          <w:sz w:val="22"/>
          <w:szCs w:val="22"/>
        </w:rPr>
        <w:fldChar w:fldCharType="end"/>
      </w:r>
      <w:r w:rsidR="003B59F1" w:rsidRPr="00787196">
        <w:rPr>
          <w:b/>
          <w:bCs/>
          <w:i w:val="0"/>
          <w:iCs w:val="0"/>
          <w:color w:val="auto"/>
          <w:sz w:val="22"/>
          <w:szCs w:val="22"/>
        </w:rPr>
        <w:t>.</w:t>
      </w:r>
      <w:r w:rsidRPr="00787196">
        <w:rPr>
          <w:b/>
          <w:bCs/>
          <w:i w:val="0"/>
          <w:iCs w:val="0"/>
          <w:color w:val="auto"/>
          <w:sz w:val="22"/>
          <w:szCs w:val="22"/>
        </w:rPr>
        <w:t xml:space="preserve"> Analytical strategy based on Wilson and Cleary (1995) model</w:t>
      </w:r>
      <w:bookmarkEnd w:id="194"/>
    </w:p>
    <w:p w14:paraId="1875CC6B" w14:textId="01E6369A" w:rsidR="00F4764D" w:rsidRPr="00787196" w:rsidRDefault="00D82E20" w:rsidP="00F4764D">
      <w:r w:rsidRPr="00787196">
        <w:rPr>
          <w:i/>
          <w:iCs/>
          <w:noProof/>
          <w:sz w:val="22"/>
        </w:rPr>
        <mc:AlternateContent>
          <mc:Choice Requires="wpg">
            <w:drawing>
              <wp:anchor distT="0" distB="0" distL="114300" distR="114300" simplePos="0" relativeHeight="251619840" behindDoc="0" locked="0" layoutInCell="1" allowOverlap="1" wp14:anchorId="09901961" wp14:editId="2EE8187D">
                <wp:simplePos x="0" y="0"/>
                <wp:positionH relativeFrom="column">
                  <wp:posOffset>269867</wp:posOffset>
                </wp:positionH>
                <wp:positionV relativeFrom="paragraph">
                  <wp:posOffset>170617</wp:posOffset>
                </wp:positionV>
                <wp:extent cx="4892081" cy="2838203"/>
                <wp:effectExtent l="0" t="0" r="3810" b="635"/>
                <wp:wrapNone/>
                <wp:docPr id="99"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81" cy="2838203"/>
                          <a:chOff x="3126" y="3503"/>
                          <a:chExt cx="10983" cy="6161"/>
                        </a:xfrm>
                      </wpg:grpSpPr>
                      <wps:wsp>
                        <wps:cNvPr id="103" name="Text Box 222"/>
                        <wps:cNvSpPr txBox="1">
                          <a:spLocks noChangeArrowheads="1"/>
                        </wps:cNvSpPr>
                        <wps:spPr bwMode="auto">
                          <a:xfrm>
                            <a:off x="7332" y="5826"/>
                            <a:ext cx="2516" cy="1329"/>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7D35BA" w14:textId="77777777" w:rsidR="006E7D7A" w:rsidRPr="00B92F56" w:rsidRDefault="006E7D7A" w:rsidP="00F4764D">
                              <w:pPr>
                                <w:spacing w:after="0"/>
                                <w:jc w:val="center"/>
                                <w:rPr>
                                  <w:rFonts w:ascii="Times New Roman" w:hAnsi="Times New Roman"/>
                                  <w:sz w:val="40"/>
                                  <w:szCs w:val="40"/>
                                </w:rPr>
                              </w:pPr>
                              <w:r w:rsidRPr="00B92F56">
                                <w:rPr>
                                  <w:rFonts w:ascii="Times New Roman" w:hAnsi="Times New Roman"/>
                                  <w:sz w:val="40"/>
                                  <w:szCs w:val="40"/>
                                </w:rPr>
                                <w:t>B</w:t>
                              </w:r>
                            </w:p>
                          </w:txbxContent>
                        </wps:txbx>
                        <wps:bodyPr rot="0" vert="horz" wrap="square" lIns="91440" tIns="45720" rIns="91440" bIns="45720" anchor="ctr" anchorCtr="0" upright="1">
                          <a:noAutofit/>
                        </wps:bodyPr>
                      </wps:wsp>
                      <wps:wsp>
                        <wps:cNvPr id="104" name="Text Box 223"/>
                        <wps:cNvSpPr txBox="1">
                          <a:spLocks noChangeArrowheads="1"/>
                        </wps:cNvSpPr>
                        <wps:spPr bwMode="auto">
                          <a:xfrm>
                            <a:off x="3126" y="5782"/>
                            <a:ext cx="2516" cy="1440"/>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82FBE9" w14:textId="77777777" w:rsidR="006E7D7A" w:rsidRPr="00B92F56" w:rsidRDefault="006E7D7A" w:rsidP="00F4764D">
                              <w:pPr>
                                <w:spacing w:after="0"/>
                                <w:jc w:val="center"/>
                                <w:rPr>
                                  <w:rFonts w:ascii="TUOS Blake" w:hAnsi="TUOS Blake"/>
                                  <w:sz w:val="40"/>
                                  <w:szCs w:val="40"/>
                                </w:rPr>
                              </w:pPr>
                              <w:r w:rsidRPr="00B92F56">
                                <w:rPr>
                                  <w:rFonts w:ascii="Times New Roman" w:hAnsi="Times New Roman"/>
                                  <w:sz w:val="40"/>
                                  <w:szCs w:val="40"/>
                                </w:rPr>
                                <w:t>A</w:t>
                              </w:r>
                            </w:p>
                          </w:txbxContent>
                        </wps:txbx>
                        <wps:bodyPr rot="0" vert="horz" wrap="square" lIns="91440" tIns="45720" rIns="91440" bIns="45720" anchor="ctr" anchorCtr="0" upright="1">
                          <a:noAutofit/>
                        </wps:bodyPr>
                      </wps:wsp>
                      <wps:wsp>
                        <wps:cNvPr id="105" name="Text Box 224"/>
                        <wps:cNvSpPr txBox="1">
                          <a:spLocks noChangeArrowheads="1"/>
                        </wps:cNvSpPr>
                        <wps:spPr bwMode="auto">
                          <a:xfrm>
                            <a:off x="11593" y="5782"/>
                            <a:ext cx="2516" cy="1440"/>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06DD3B" w14:textId="77777777" w:rsidR="006E7D7A" w:rsidRPr="00B92F56" w:rsidRDefault="006E7D7A" w:rsidP="00F4764D">
                              <w:pPr>
                                <w:spacing w:after="0"/>
                                <w:jc w:val="center"/>
                                <w:rPr>
                                  <w:rFonts w:ascii="Times New Roman" w:hAnsi="Times New Roman"/>
                                  <w:sz w:val="40"/>
                                  <w:szCs w:val="40"/>
                                </w:rPr>
                              </w:pPr>
                              <w:r w:rsidRPr="00B92F56">
                                <w:rPr>
                                  <w:rFonts w:ascii="Times New Roman" w:hAnsi="Times New Roman"/>
                                  <w:sz w:val="40"/>
                                  <w:szCs w:val="40"/>
                                </w:rPr>
                                <w:t>C</w:t>
                              </w:r>
                            </w:p>
                          </w:txbxContent>
                        </wps:txbx>
                        <wps:bodyPr rot="0" vert="horz" wrap="square" lIns="91440" tIns="45720" rIns="91440" bIns="45720" anchor="ctr" anchorCtr="0" upright="1">
                          <a:noAutofit/>
                        </wps:bodyPr>
                      </wps:wsp>
                      <wps:wsp>
                        <wps:cNvPr id="106" name="Text Box 225"/>
                        <wps:cNvSpPr txBox="1">
                          <a:spLocks noChangeArrowheads="1"/>
                        </wps:cNvSpPr>
                        <wps:spPr bwMode="auto">
                          <a:xfrm>
                            <a:off x="7301" y="8224"/>
                            <a:ext cx="2583" cy="1440"/>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61F421" w14:textId="77777777" w:rsidR="006E7D7A" w:rsidRPr="00B92F56" w:rsidRDefault="006E7D7A" w:rsidP="00F4764D">
                              <w:pPr>
                                <w:spacing w:after="0"/>
                                <w:jc w:val="center"/>
                                <w:rPr>
                                  <w:rFonts w:ascii="Times New Roman" w:hAnsi="Times New Roman"/>
                                  <w:sz w:val="40"/>
                                  <w:szCs w:val="40"/>
                                </w:rPr>
                              </w:pPr>
                              <w:r>
                                <w:rPr>
                                  <w:rFonts w:ascii="Times New Roman" w:hAnsi="Times New Roman"/>
                                  <w:sz w:val="40"/>
                                  <w:szCs w:val="40"/>
                                </w:rPr>
                                <w:t>E</w:t>
                              </w:r>
                            </w:p>
                          </w:txbxContent>
                        </wps:txbx>
                        <wps:bodyPr rot="0" vert="horz" wrap="square" lIns="91440" tIns="45720" rIns="91440" bIns="45720" anchor="ctr" anchorCtr="0" upright="1">
                          <a:noAutofit/>
                        </wps:bodyPr>
                      </wps:wsp>
                      <wps:wsp>
                        <wps:cNvPr id="108" name="Line 228"/>
                        <wps:cNvCnPr>
                          <a:stCxn id="106" idx="0"/>
                          <a:endCxn id="103" idx="2"/>
                        </wps:cNvCnPr>
                        <wps:spPr bwMode="auto">
                          <a:xfrm flipH="1" flipV="1">
                            <a:off x="8590" y="7155"/>
                            <a:ext cx="3" cy="106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229"/>
                        <wps:cNvCnPr>
                          <a:stCxn id="103" idx="0"/>
                          <a:endCxn id="119" idx="2"/>
                        </wps:cNvCnPr>
                        <wps:spPr bwMode="auto">
                          <a:xfrm flipH="1" flipV="1">
                            <a:off x="8577" y="4943"/>
                            <a:ext cx="13" cy="883"/>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 name="Line 230"/>
                        <wps:cNvCnPr>
                          <a:stCxn id="119" idx="3"/>
                          <a:endCxn id="105" idx="0"/>
                        </wps:cNvCnPr>
                        <wps:spPr bwMode="auto">
                          <a:xfrm>
                            <a:off x="9835" y="4223"/>
                            <a:ext cx="3016" cy="155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233"/>
                        <wps:cNvCnPr>
                          <a:stCxn id="106" idx="3"/>
                          <a:endCxn id="105" idx="2"/>
                        </wps:cNvCnPr>
                        <wps:spPr bwMode="auto">
                          <a:xfrm flipV="1">
                            <a:off x="9884" y="7222"/>
                            <a:ext cx="2967" cy="172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236"/>
                        <wps:cNvCnPr>
                          <a:stCxn id="103" idx="3"/>
                          <a:endCxn id="105" idx="1"/>
                        </wps:cNvCnPr>
                        <wps:spPr bwMode="auto">
                          <a:xfrm>
                            <a:off x="9848" y="6491"/>
                            <a:ext cx="1745" cy="1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237"/>
                        <wps:cNvCnPr>
                          <a:stCxn id="103" idx="1"/>
                          <a:endCxn id="104" idx="3"/>
                        </wps:cNvCnPr>
                        <wps:spPr bwMode="auto">
                          <a:xfrm flipH="1">
                            <a:off x="5642" y="6491"/>
                            <a:ext cx="1690" cy="11"/>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9" name="Text Box 239"/>
                        <wps:cNvSpPr txBox="1">
                          <a:spLocks noChangeArrowheads="1"/>
                        </wps:cNvSpPr>
                        <wps:spPr bwMode="auto">
                          <a:xfrm>
                            <a:off x="7319" y="3503"/>
                            <a:ext cx="2516" cy="1440"/>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DF6BB6" w14:textId="77777777" w:rsidR="006E7D7A" w:rsidRPr="00B92F56" w:rsidRDefault="006E7D7A" w:rsidP="00F4764D">
                              <w:pPr>
                                <w:spacing w:after="0"/>
                                <w:jc w:val="center"/>
                                <w:rPr>
                                  <w:rFonts w:ascii="Times New Roman" w:hAnsi="Times New Roman"/>
                                  <w:sz w:val="40"/>
                                  <w:szCs w:val="40"/>
                                </w:rPr>
                              </w:pPr>
                              <w:r>
                                <w:rPr>
                                  <w:rFonts w:ascii="Times New Roman" w:hAnsi="Times New Roman"/>
                                  <w:sz w:val="40"/>
                                  <w:szCs w:val="40"/>
                                </w:rPr>
                                <w:t>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01961" id="_x0000_s1144" style="position:absolute;left:0;text-align:left;margin-left:21.25pt;margin-top:13.45pt;width:385.2pt;height:223.5pt;z-index:251619840;mso-position-horizontal-relative:text;mso-position-vertical-relative:text" coordorigin="3126,3503" coordsize="10983,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">
                <v:shape id="Text Box 222" o:spid="_x0000_s1145" type="#_x0000_t202" style="position:absolute;left:7332;top:5826;width:2516;height:1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NgsEA&#10;AADcAAAADwAAAGRycy9kb3ducmV2LnhtbERPS4vCMBC+L/gfwgje1rQKItUoIiy7N/HBrsehmTbF&#10;ZlKTrNZ/bxYWvM3H95zluretuJEPjWMF+TgDQVw63XCt4HT8eJ+DCBFZY+uYFDwowHo1eFtiod2d&#10;93Q7xFqkEA4FKjAxdoWUoTRkMYxdR5y4ynmLMUFfS+3xnsJtKydZNpMWG04NBjvaGiovh1+r4Do9&#10;5/nR2GryM6938vFZfXuzU2o07DcLEJH6+BL/u790mp9N4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JjYLBAAAA3AAAAA8AAAAAAAAAAAAAAAAAmAIAAGRycy9kb3du&#10;cmV2LnhtbFBLBQYAAAAABAAEAPUAAACGAwAAAAA=&#10;" fillcolor="#d9d9d9" stroked="f" strokeweight=".5pt">
                  <v:textbox>
                    <w:txbxContent>
                      <w:p w14:paraId="527D35BA" w14:textId="77777777" w:rsidR="006E7D7A" w:rsidRPr="00B92F56" w:rsidRDefault="006E7D7A" w:rsidP="00F4764D">
                        <w:pPr>
                          <w:spacing w:after="0"/>
                          <w:jc w:val="center"/>
                          <w:rPr>
                            <w:rFonts w:ascii="Times New Roman" w:hAnsi="Times New Roman"/>
                            <w:sz w:val="40"/>
                            <w:szCs w:val="40"/>
                          </w:rPr>
                        </w:pPr>
                        <w:r w:rsidRPr="00B92F56">
                          <w:rPr>
                            <w:rFonts w:ascii="Times New Roman" w:hAnsi="Times New Roman"/>
                            <w:sz w:val="40"/>
                            <w:szCs w:val="40"/>
                          </w:rPr>
                          <w:t>B</w:t>
                        </w:r>
                      </w:p>
                    </w:txbxContent>
                  </v:textbox>
                </v:shape>
                <v:shape id="Text Box 223" o:spid="_x0000_s1146" type="#_x0000_t202" style="position:absolute;left:3126;top:5782;width:25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V9sEA&#10;AADcAAAADwAAAGRycy9kb3ducmV2LnhtbERPTWsCMRC9F/wPYYTeanatiKxGEaHYm6ilehw2s5vF&#10;zWSbRF3/fVMoeJvH+5zFqretuJEPjWMF+SgDQVw63XCt4Ov48TYDESKyxtYxKXhQgNVy8LLAQrs7&#10;7+l2iLVIIRwKVGBi7AopQ2nIYhi5jjhxlfMWY4K+ltrjPYXbVo6zbCotNpwaDHa0MVReDler4Of9&#10;nOdHY6vxaVbv5GNbfXuzU+p12K/nICL18Sn+d3/qND+bwN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FfbBAAAA3AAAAA8AAAAAAAAAAAAAAAAAmAIAAGRycy9kb3du&#10;cmV2LnhtbFBLBQYAAAAABAAEAPUAAACGAwAAAAA=&#10;" fillcolor="#d9d9d9" stroked="f" strokeweight=".5pt">
                  <v:textbox>
                    <w:txbxContent>
                      <w:p w14:paraId="2882FBE9" w14:textId="77777777" w:rsidR="006E7D7A" w:rsidRPr="00B92F56" w:rsidRDefault="006E7D7A" w:rsidP="00F4764D">
                        <w:pPr>
                          <w:spacing w:after="0"/>
                          <w:jc w:val="center"/>
                          <w:rPr>
                            <w:rFonts w:ascii="TUOS Blake" w:hAnsi="TUOS Blake"/>
                            <w:sz w:val="40"/>
                            <w:szCs w:val="40"/>
                          </w:rPr>
                        </w:pPr>
                        <w:r w:rsidRPr="00B92F56">
                          <w:rPr>
                            <w:rFonts w:ascii="Times New Roman" w:hAnsi="Times New Roman"/>
                            <w:sz w:val="40"/>
                            <w:szCs w:val="40"/>
                          </w:rPr>
                          <w:t>A</w:t>
                        </w:r>
                      </w:p>
                    </w:txbxContent>
                  </v:textbox>
                </v:shape>
                <v:shape id="Text Box 224" o:spid="_x0000_s1147" type="#_x0000_t202" style="position:absolute;left:11593;top:5782;width:25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bcEA&#10;AADcAAAADwAAAGRycy9kb3ducmV2LnhtbERPTWsCMRC9F/wPYYTeanYtiqxGEaHYm6ilehw2s5vF&#10;zWSbRF3/fVMoeJvH+5zFqretuJEPjWMF+SgDQVw63XCt4Ov48TYDESKyxtYxKXhQgNVy8LLAQrs7&#10;7+l2iLVIIRwKVGBi7AopQ2nIYhi5jjhxlfMWY4K+ltrjPYXbVo6zbCotNpwaDHa0MVReDler4Of9&#10;nOdHY6vxaVbv5GNbfXuzU+p12K/nICL18Sn+d3/qND+bwN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sG3BAAAA3AAAAA8AAAAAAAAAAAAAAAAAmAIAAGRycy9kb3du&#10;cmV2LnhtbFBLBQYAAAAABAAEAPUAAACGAwAAAAA=&#10;" fillcolor="#d9d9d9" stroked="f" strokeweight=".5pt">
                  <v:textbox>
                    <w:txbxContent>
                      <w:p w14:paraId="4406DD3B" w14:textId="77777777" w:rsidR="006E7D7A" w:rsidRPr="00B92F56" w:rsidRDefault="006E7D7A" w:rsidP="00F4764D">
                        <w:pPr>
                          <w:spacing w:after="0"/>
                          <w:jc w:val="center"/>
                          <w:rPr>
                            <w:rFonts w:ascii="Times New Roman" w:hAnsi="Times New Roman"/>
                            <w:sz w:val="40"/>
                            <w:szCs w:val="40"/>
                          </w:rPr>
                        </w:pPr>
                        <w:r w:rsidRPr="00B92F56">
                          <w:rPr>
                            <w:rFonts w:ascii="Times New Roman" w:hAnsi="Times New Roman"/>
                            <w:sz w:val="40"/>
                            <w:szCs w:val="40"/>
                          </w:rPr>
                          <w:t>C</w:t>
                        </w:r>
                      </w:p>
                    </w:txbxContent>
                  </v:textbox>
                </v:shape>
                <v:shape id="Text Box 225" o:spid="_x0000_s1148" type="#_x0000_t202" style="position:absolute;left:7301;top:8224;width:2583;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uGsEA&#10;AADcAAAADwAAAGRycy9kb3ducmV2LnhtbERPTYvCMBC9L/gfwgh7W9O6IFKNIsKye5NVUY9DM22K&#10;zaQmWa3/fiMI3ubxPme+7G0rruRD41hBPspAEJdON1wr2O++PqYgQkTW2DomBXcKsFwM3uZYaHfj&#10;X7puYy1SCIcCFZgYu0LKUBqyGEauI05c5bzFmKCvpfZ4S+G2leMsm0iLDacGgx2tDZXn7Z9VcPk8&#10;5fnO2Gp8nNYbef+uDt5slHof9qsZiEh9fImf7h+d5mcTeDy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hrBAAAA3AAAAA8AAAAAAAAAAAAAAAAAmAIAAGRycy9kb3du&#10;cmV2LnhtbFBLBQYAAAAABAAEAPUAAACGAwAAAAA=&#10;" fillcolor="#d9d9d9" stroked="f" strokeweight=".5pt">
                  <v:textbox>
                    <w:txbxContent>
                      <w:p w14:paraId="5661F421" w14:textId="77777777" w:rsidR="006E7D7A" w:rsidRPr="00B92F56" w:rsidRDefault="006E7D7A" w:rsidP="00F4764D">
                        <w:pPr>
                          <w:spacing w:after="0"/>
                          <w:jc w:val="center"/>
                          <w:rPr>
                            <w:rFonts w:ascii="Times New Roman" w:hAnsi="Times New Roman"/>
                            <w:sz w:val="40"/>
                            <w:szCs w:val="40"/>
                          </w:rPr>
                        </w:pPr>
                        <w:r>
                          <w:rPr>
                            <w:rFonts w:ascii="Times New Roman" w:hAnsi="Times New Roman"/>
                            <w:sz w:val="40"/>
                            <w:szCs w:val="40"/>
                          </w:rPr>
                          <w:t>E</w:t>
                        </w:r>
                      </w:p>
                    </w:txbxContent>
                  </v:textbox>
                </v:shape>
                <v:line id="Line 228" o:spid="_x0000_s1149" style="position:absolute;flip:x y;visibility:visible;mso-wrap-style:square" from="8590,7155" to="8593,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9HcMAAADcAAAADwAAAGRycy9kb3ducmV2LnhtbESPQWsCMRCF7wX/QxjBi2i2UlpZjWKL&#10;Qg9etOJ52IzZxc1k2aSa/vvOQfA2w3vz3jfLdfatulEfm8AGXqcFKOIq2IadgdPPbjIHFROyxTYw&#10;GfijCOvV4GWJpQ13PtDtmJySEI4lGqhT6kqtY1WTxzgNHbFol9B7TLL2Ttse7xLuWz0rinftsWFp&#10;qLGjr5qq6/HXG9iFT7c9u4+3Lp/T3o6zv7rxzJjRMG8WoBLl9DQ/rr+t4BdCK8/IB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fR3DAAAA3AAAAA8AAAAAAAAAAAAA&#10;AAAAoQIAAGRycy9kb3ducmV2LnhtbFBLBQYAAAAABAAEAPkAAACRAwAAAAA=&#10;" strokeweight="1pt">
                  <v:stroke endarrow="block"/>
                </v:line>
                <v:line id="Line 229" o:spid="_x0000_s1150" style="position:absolute;flip:x y;visibility:visible;mso-wrap-style:square" from="8577,4943" to="8590,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1UysMAAADcAAAADwAAAGRycy9kb3ducmV2LnhtbERPTWsCMRC9C/0PYYTeNLEFbVejlFKh&#10;lx5WPfQ4bKa7i5vJmqRx7a9vBMHbPN7nrDaD7UQiH1rHGmZTBYK4cqblWsNhv528gAgR2WDnmDRc&#10;KMBm/TBaYWHcmUtKu1iLHMKhQA1NjH0hZagashimrifO3I/zFmOGvpbG4zmH204+KTWXFlvODQ32&#10;9N5Qddz9Wg1/7WLx/fFVzrZ8evbqUqZTOiatH8fD2xJEpCHexTf3p8nz1Stcn8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VMrDAAAA3AAAAA8AAAAAAAAAAAAA&#10;AAAAoQIAAGRycy9kb3ducmV2LnhtbFBLBQYAAAAABAAEAPkAAACRAwAAAAA=&#10;" strokeweight="1pt">
                  <v:stroke startarrow="block"/>
                </v:line>
                <v:line id="Line 230" o:spid="_x0000_s1151" style="position:absolute;visibility:visible;mso-wrap-style:square" from="9835,4223" to="12851,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bfacUAAADcAAAADwAAAGRycy9kb3ducmV2LnhtbESPQWvCQBCF70L/wzKCN92YQ1uiqxQh&#10;pfVQaFSktyE7TUKzsyG7TeK/dw6F3mZ4b977ZrufXKsG6kPj2cB6lYAiLr1tuDJwPuXLZ1AhIlts&#10;PZOBGwXY7x5mW8ysH/mThiJWSkI4ZGigjrHLtA5lTQ7DynfEon373mGUta+07XGUcNfqNEketcOG&#10;paHGjg41lT/FrzNQDmFwT+n1Xed0ep2+PvzlWHljFvPpZQMq0hT/zX/Xb1bw14Ivz8gEe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bfacUAAADcAAAADwAAAAAAAAAA&#10;AAAAAAChAgAAZHJzL2Rvd25yZXYueG1sUEsFBgAAAAAEAAQA+QAAAJMDAAAAAA==&#10;" strokeweight="1pt">
                  <v:stroke endarrow="block"/>
                </v:line>
                <v:line id="Line 233" o:spid="_x0000_s1152" style="position:absolute;flip:y;visibility:visible;mso-wrap-style:square" from="9884,7222" to="12851,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i8IAAADcAAAADwAAAGRycy9kb3ducmV2LnhtbERP32vCMBB+H/g/hBP2pqkTRqlGGYIo&#10;EwZWx16vzdnUNZfSZFr/eyMIe7uP7+fNl71txIU6XztWMBknIIhLp2uuFBwP61EKwgdkjY1jUnAj&#10;D8vF4GWOmXZX3tMlD5WIIewzVGBCaDMpfWnIoh+7ljhyJ9dZDBF2ldQdXmO4beRbkrxLizXHBoMt&#10;rQyVv/mfVTBtt58nuzf5z1dapJvzd1GUq51Sr8P+YwYiUB/+xU/3Vsf5k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z+i8IAAADcAAAADwAAAAAAAAAAAAAA&#10;AAChAgAAZHJzL2Rvd25yZXYueG1sUEsFBgAAAAAEAAQA+QAAAJADAAAAAA==&#10;" strokeweight="1pt">
                  <v:stroke endarrow="block"/>
                </v:line>
                <v:line id="Line 236" o:spid="_x0000_s1153" style="position:absolute;visibility:visible;mso-wrap-style:square" from="9848,6491" to="1159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Pihr8AAADcAAAADwAAAGRycy9kb3ducmV2LnhtbERPy6rCMBDdC/5DGMGdprpQqUYRQVEX&#10;gnov4m5oxrbYTEoTa/17Iwju5nCeM1s0phA1VS63rGDQj0AQJ1bnnCr4O697ExDOI2ssLJOCFzlY&#10;zNutGcbaPvlI9cmnIoSwi1FB5n0ZS+mSjAy6vi2JA3ezlUEfYJVKXeEzhJtCDqNoJA3mHBoyLGmV&#10;UXI/PYyCpHa1GQ8vO7mm86a5Huz/PrVKdTvNcgrCU+N/4q97q8P8wQg+z4QL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Pihr8AAADcAAAADwAAAAAAAAAAAAAAAACh&#10;AgAAZHJzL2Rvd25yZXYueG1sUEsFBgAAAAAEAAQA+QAAAI0DAAAAAA==&#10;" strokeweight="1pt">
                  <v:stroke endarrow="block"/>
                </v:line>
                <v:line id="Line 237" o:spid="_x0000_s1154" style="position:absolute;flip:x;visibility:visible;mso-wrap-style:square" from="5642,6491" to="73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kFMIAAADcAAAADwAAAGRycy9kb3ducmV2LnhtbERPS2vCQBC+F/wPywi91U0CrRJdJQgt&#10;treqeB6zYxLNzqbZNY9/3y0UvM3H95zVZjC16Kh1lWUF8SwCQZxbXXGh4Hh4f1mAcB5ZY22ZFIzk&#10;YLOePK0w1bbnb+r2vhAhhF2KCkrvm1RKl5dk0M1sQxy4i20N+gDbQuoW+xBuaplE0Zs0WHFoKLGh&#10;bUn5bX83CpL+ero1X/Xuzq9jNj8fPj7zn0Sp5+mQLUF4GvxD/O/e6TA/nsP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ekFMIAAADcAAAADwAAAAAAAAAAAAAA&#10;AAChAgAAZHJzL2Rvd25yZXYueG1sUEsFBgAAAAAEAAQA+QAAAJADAAAAAA==&#10;" strokeweight="1pt">
                  <v:stroke startarrow="block"/>
                </v:line>
                <v:shape id="Text Box 239" o:spid="_x0000_s1155" type="#_x0000_t202" style="position:absolute;left:7319;top:3503;width:25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stcEA&#10;AADcAAAADwAAAGRycy9kb3ducmV2LnhtbERPTWsCMRC9F/wPYYTeanYtFF2NIkKpN1FL9ThsZjeL&#10;m8maRF3/vSkUepvH+5z5sretuJEPjWMF+SgDQVw63XCt4Pvw+TYBESKyxtYxKXhQgOVi8DLHQrs7&#10;7+i2j7VIIRwKVGBi7AopQ2nIYhi5jjhxlfMWY4K+ltrjPYXbVo6z7ENabDg1GOxobag8769WweX9&#10;lOcHY6vxcVJv5eOr+vFmq9TrsF/NQETq47/4z73RaX4+hd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LLXBAAAA3AAAAA8AAAAAAAAAAAAAAAAAmAIAAGRycy9kb3du&#10;cmV2LnhtbFBLBQYAAAAABAAEAPUAAACGAwAAAAA=&#10;" fillcolor="#d9d9d9" stroked="f" strokeweight=".5pt">
                  <v:textbox>
                    <w:txbxContent>
                      <w:p w14:paraId="06DF6BB6" w14:textId="77777777" w:rsidR="006E7D7A" w:rsidRPr="00B92F56" w:rsidRDefault="006E7D7A" w:rsidP="00F4764D">
                        <w:pPr>
                          <w:spacing w:after="0"/>
                          <w:jc w:val="center"/>
                          <w:rPr>
                            <w:rFonts w:ascii="Times New Roman" w:hAnsi="Times New Roman"/>
                            <w:sz w:val="40"/>
                            <w:szCs w:val="40"/>
                          </w:rPr>
                        </w:pPr>
                        <w:r>
                          <w:rPr>
                            <w:rFonts w:ascii="Times New Roman" w:hAnsi="Times New Roman"/>
                            <w:sz w:val="40"/>
                            <w:szCs w:val="40"/>
                          </w:rPr>
                          <w:t>D</w:t>
                        </w:r>
                      </w:p>
                    </w:txbxContent>
                  </v:textbox>
                </v:shape>
              </v:group>
            </w:pict>
          </mc:Fallback>
        </mc:AlternateContent>
      </w:r>
      <w:r w:rsidR="00F4764D" w:rsidRPr="00787196">
        <w:t xml:space="preserve"> </w:t>
      </w:r>
    </w:p>
    <w:p w14:paraId="7A2FEB86" w14:textId="77777777" w:rsidR="00F4764D" w:rsidRPr="00787196" w:rsidRDefault="00F4764D" w:rsidP="00F4764D">
      <w:pPr>
        <w:spacing w:before="0" w:after="0"/>
        <w:rPr>
          <w:rFonts w:eastAsia="Calibri" w:cs="Arial"/>
          <w:lang w:eastAsia="en-US"/>
        </w:rPr>
      </w:pPr>
    </w:p>
    <w:p w14:paraId="1B6B7EE6" w14:textId="77777777" w:rsidR="00F4764D" w:rsidRPr="00787196" w:rsidRDefault="00F4764D" w:rsidP="00F4764D">
      <w:pPr>
        <w:spacing w:before="0" w:after="0"/>
        <w:rPr>
          <w:rFonts w:eastAsia="Calibri" w:cs="Arial"/>
          <w:lang w:eastAsia="en-US"/>
        </w:rPr>
      </w:pPr>
    </w:p>
    <w:p w14:paraId="05F003EB" w14:textId="77777777" w:rsidR="00F4764D" w:rsidRPr="00787196" w:rsidRDefault="00F4764D" w:rsidP="00F4764D">
      <w:pPr>
        <w:spacing w:before="0" w:after="0"/>
        <w:rPr>
          <w:rFonts w:eastAsia="Calibri" w:cs="Arial"/>
          <w:lang w:eastAsia="en-US"/>
        </w:rPr>
      </w:pPr>
    </w:p>
    <w:p w14:paraId="63D2F0FC" w14:textId="77777777" w:rsidR="00F4764D" w:rsidRPr="00787196" w:rsidRDefault="00F4764D" w:rsidP="00F4764D">
      <w:pPr>
        <w:spacing w:before="0" w:after="0"/>
        <w:rPr>
          <w:rFonts w:eastAsia="Calibri" w:cs="Arial"/>
          <w:lang w:eastAsia="en-US"/>
        </w:rPr>
      </w:pPr>
    </w:p>
    <w:p w14:paraId="2E73F09B" w14:textId="77777777" w:rsidR="00F4764D" w:rsidRPr="00787196" w:rsidRDefault="00F4764D" w:rsidP="00F4764D">
      <w:pPr>
        <w:spacing w:before="0" w:after="0"/>
        <w:rPr>
          <w:rFonts w:eastAsia="Calibri" w:cs="Arial"/>
          <w:lang w:eastAsia="en-US"/>
        </w:rPr>
      </w:pPr>
    </w:p>
    <w:p w14:paraId="30E223DB" w14:textId="77777777" w:rsidR="00F4764D" w:rsidRPr="00787196" w:rsidRDefault="00F4764D" w:rsidP="00F4764D">
      <w:pPr>
        <w:spacing w:before="0" w:after="0"/>
        <w:rPr>
          <w:rFonts w:eastAsia="Calibri" w:cs="Arial"/>
          <w:lang w:eastAsia="en-US"/>
        </w:rPr>
      </w:pPr>
    </w:p>
    <w:p w14:paraId="6E864F37" w14:textId="77777777" w:rsidR="00F4764D" w:rsidRPr="00787196" w:rsidRDefault="00F4764D" w:rsidP="00F4764D">
      <w:pPr>
        <w:spacing w:before="0" w:after="0"/>
        <w:rPr>
          <w:rFonts w:eastAsia="Calibri" w:cs="Arial"/>
          <w:lang w:eastAsia="en-US"/>
        </w:rPr>
      </w:pPr>
    </w:p>
    <w:p w14:paraId="3199D5D6" w14:textId="77777777" w:rsidR="00F4764D" w:rsidRPr="00787196" w:rsidRDefault="00F4764D" w:rsidP="00F4764D">
      <w:pPr>
        <w:spacing w:before="0" w:after="0"/>
        <w:rPr>
          <w:rFonts w:eastAsia="Calibri" w:cs="Arial"/>
          <w:lang w:eastAsia="en-US"/>
        </w:rPr>
      </w:pPr>
    </w:p>
    <w:p w14:paraId="75AD3919" w14:textId="77777777" w:rsidR="00F4764D" w:rsidRPr="00787196" w:rsidRDefault="00F4764D" w:rsidP="0094255B">
      <w:pPr>
        <w:spacing w:before="0"/>
        <w:rPr>
          <w:rFonts w:eastAsia="Calibri" w:cs="Arial"/>
          <w:sz w:val="36"/>
          <w:szCs w:val="36"/>
          <w:lang w:eastAsia="en-US"/>
        </w:rPr>
      </w:pPr>
      <w:r w:rsidRPr="00787196">
        <w:rPr>
          <w:rFonts w:eastAsia="Calibri" w:cs="Arial"/>
          <w:sz w:val="36"/>
          <w:szCs w:val="36"/>
          <w:lang w:eastAsia="en-US"/>
        </w:rPr>
        <w:t xml:space="preserve">  </w:t>
      </w:r>
    </w:p>
    <w:p w14:paraId="1174636E" w14:textId="77777777" w:rsidR="00F4764D" w:rsidRPr="00787196" w:rsidRDefault="00F4764D" w:rsidP="00F4764D">
      <w:pPr>
        <w:spacing w:before="0" w:after="0"/>
        <w:rPr>
          <w:rFonts w:cs="Arial"/>
        </w:rPr>
      </w:pPr>
    </w:p>
    <w:p w14:paraId="77325B7B" w14:textId="77777777" w:rsidR="0094255B" w:rsidRPr="00787196" w:rsidRDefault="0094255B" w:rsidP="0094255B">
      <w:pPr>
        <w:rPr>
          <w:rFonts w:cs="Arial"/>
          <w:szCs w:val="24"/>
        </w:rPr>
      </w:pPr>
      <w:r w:rsidRPr="00787196">
        <w:rPr>
          <w:rFonts w:cs="Arial"/>
          <w:szCs w:val="24"/>
        </w:rPr>
        <w:t>Associations between clinical status and individual, environmental factors at baseline (T1) were also tested for associations with the outcomes (OHQoL, Denture satisfaction and Chewing ability) at follow up (T2).</w:t>
      </w:r>
    </w:p>
    <w:p w14:paraId="2A70B48C" w14:textId="6286D0BC" w:rsidR="00D125CE" w:rsidRPr="00787196" w:rsidRDefault="0094255B" w:rsidP="00CA4B3A">
      <w:pPr>
        <w:rPr>
          <w:rFonts w:cs="Arial"/>
          <w:szCs w:val="24"/>
        </w:rPr>
      </w:pPr>
      <w:r w:rsidRPr="00787196">
        <w:rPr>
          <w:rFonts w:cs="Arial"/>
          <w:szCs w:val="24"/>
        </w:rPr>
        <w:t xml:space="preserve">To assess if there were confounding factors influencing coping strategies, clinical status and individual, environmental factors baseline (T1) were tested for associations with </w:t>
      </w:r>
      <w:r w:rsidR="00AF67A6" w:rsidRPr="00787196">
        <w:rPr>
          <w:rFonts w:cs="Arial"/>
          <w:szCs w:val="24"/>
        </w:rPr>
        <w:t>coping</w:t>
      </w:r>
      <w:r w:rsidRPr="00787196">
        <w:rPr>
          <w:rFonts w:cs="Arial"/>
          <w:szCs w:val="24"/>
        </w:rPr>
        <w:t xml:space="preserve"> strategies at follow up (T2).</w:t>
      </w:r>
    </w:p>
    <w:p w14:paraId="46C63295" w14:textId="16C6C382" w:rsidR="0094255B" w:rsidRPr="00787196" w:rsidRDefault="0094255B" w:rsidP="00D9694A">
      <w:pPr>
        <w:pStyle w:val="Heading3"/>
      </w:pPr>
      <w:bookmarkStart w:id="195" w:name="_Toc488655658"/>
      <w:bookmarkStart w:id="196" w:name="_Toc366260762"/>
      <w:bookmarkStart w:id="197" w:name="_Toc371981472"/>
      <w:bookmarkStart w:id="198" w:name="_Toc372541951"/>
      <w:bookmarkStart w:id="199" w:name="_Toc456211167"/>
      <w:r w:rsidRPr="00787196">
        <w:t>Multiple regression Analysis</w:t>
      </w:r>
      <w:bookmarkEnd w:id="195"/>
      <w:r w:rsidRPr="00787196">
        <w:t xml:space="preserve"> </w:t>
      </w:r>
      <w:bookmarkEnd w:id="196"/>
      <w:bookmarkEnd w:id="197"/>
      <w:bookmarkEnd w:id="198"/>
      <w:bookmarkEnd w:id="199"/>
    </w:p>
    <w:p w14:paraId="3C8F459C" w14:textId="384998FB" w:rsidR="0094255B" w:rsidRPr="00787196" w:rsidRDefault="0094255B" w:rsidP="0094255B">
      <w:pPr>
        <w:rPr>
          <w:rFonts w:cs="Arial"/>
          <w:szCs w:val="24"/>
        </w:rPr>
      </w:pPr>
      <w:r w:rsidRPr="00787196">
        <w:rPr>
          <w:rFonts w:cs="Arial"/>
          <w:szCs w:val="24"/>
        </w:rPr>
        <w:t xml:space="preserve">As bivariate analyses are unlikely to capture entire complex interrelationships within theoretical model, multiple regression analysis was carried out to examine </w:t>
      </w:r>
      <w:r w:rsidR="00AB58A1" w:rsidRPr="00787196">
        <w:rPr>
          <w:rFonts w:cs="Arial"/>
          <w:szCs w:val="24"/>
        </w:rPr>
        <w:t>direct and indirect associations</w:t>
      </w:r>
      <w:r w:rsidRPr="00787196">
        <w:rPr>
          <w:rFonts w:cs="Arial"/>
          <w:szCs w:val="24"/>
        </w:rPr>
        <w:t xml:space="preserve"> between key individual and </w:t>
      </w:r>
      <w:r w:rsidR="00EB5F2C" w:rsidRPr="00787196">
        <w:rPr>
          <w:rFonts w:cs="Arial"/>
          <w:szCs w:val="24"/>
        </w:rPr>
        <w:t>environmental</w:t>
      </w:r>
      <w:r w:rsidRPr="00787196">
        <w:rPr>
          <w:rFonts w:cs="Arial"/>
          <w:szCs w:val="24"/>
        </w:rPr>
        <w:t xml:space="preserve"> </w:t>
      </w:r>
      <w:r w:rsidR="00AC6E44" w:rsidRPr="00787196">
        <w:rPr>
          <w:rFonts w:cs="Arial"/>
          <w:szCs w:val="24"/>
        </w:rPr>
        <w:t xml:space="preserve">variables </w:t>
      </w:r>
      <w:r w:rsidRPr="00787196">
        <w:rPr>
          <w:rFonts w:cs="Arial"/>
          <w:szCs w:val="24"/>
        </w:rPr>
        <w:t>and the outcome</w:t>
      </w:r>
      <w:r w:rsidR="00AC6E44" w:rsidRPr="00787196">
        <w:rPr>
          <w:rFonts w:cs="Arial"/>
          <w:szCs w:val="24"/>
        </w:rPr>
        <w:t xml:space="preserve"> variables</w:t>
      </w:r>
      <w:r w:rsidRPr="00787196">
        <w:rPr>
          <w:rFonts w:cs="Arial"/>
          <w:szCs w:val="24"/>
        </w:rPr>
        <w:t xml:space="preserve">. </w:t>
      </w:r>
      <w:r w:rsidR="00AC6E44" w:rsidRPr="00787196">
        <w:rPr>
          <w:rFonts w:cs="Arial"/>
          <w:szCs w:val="24"/>
        </w:rPr>
        <w:t>T</w:t>
      </w:r>
      <w:r w:rsidRPr="00787196">
        <w:rPr>
          <w:rFonts w:cs="Arial"/>
          <w:szCs w:val="24"/>
        </w:rPr>
        <w:t xml:space="preserve">he </w:t>
      </w:r>
      <w:r w:rsidR="00AC6E44" w:rsidRPr="00787196">
        <w:rPr>
          <w:rFonts w:cs="Arial"/>
          <w:szCs w:val="24"/>
        </w:rPr>
        <w:t xml:space="preserve">associations </w:t>
      </w:r>
      <w:r w:rsidRPr="00787196">
        <w:rPr>
          <w:rFonts w:cs="Arial"/>
          <w:szCs w:val="24"/>
        </w:rPr>
        <w:t>hypothesised within the model</w:t>
      </w:r>
      <w:r w:rsidR="00AC6E44" w:rsidRPr="00787196">
        <w:rPr>
          <w:rFonts w:cs="Arial"/>
          <w:szCs w:val="24"/>
        </w:rPr>
        <w:t xml:space="preserve"> (Wilson and Cleary) was tested</w:t>
      </w:r>
      <w:r w:rsidRPr="00787196">
        <w:rPr>
          <w:rFonts w:cs="Arial"/>
          <w:szCs w:val="24"/>
        </w:rPr>
        <w:t xml:space="preserve"> </w:t>
      </w:r>
      <w:r w:rsidR="00AC6E44" w:rsidRPr="00787196">
        <w:rPr>
          <w:rFonts w:cs="Arial"/>
          <w:szCs w:val="24"/>
        </w:rPr>
        <w:t xml:space="preserve">by </w:t>
      </w:r>
      <w:r w:rsidRPr="00787196">
        <w:rPr>
          <w:rFonts w:cs="Arial"/>
          <w:szCs w:val="24"/>
        </w:rPr>
        <w:t xml:space="preserve">using baseline data </w:t>
      </w:r>
      <w:r w:rsidR="00AC6E44" w:rsidRPr="00787196">
        <w:rPr>
          <w:rFonts w:cs="Arial"/>
          <w:szCs w:val="24"/>
        </w:rPr>
        <w:t xml:space="preserve">at </w:t>
      </w:r>
      <w:r w:rsidRPr="00787196">
        <w:rPr>
          <w:rFonts w:cs="Arial"/>
          <w:szCs w:val="24"/>
        </w:rPr>
        <w:t>T1</w:t>
      </w:r>
      <w:r w:rsidR="00AC6E44" w:rsidRPr="00787196">
        <w:rPr>
          <w:rFonts w:cs="Arial"/>
          <w:szCs w:val="24"/>
        </w:rPr>
        <w:t xml:space="preserve"> stage</w:t>
      </w:r>
      <w:r w:rsidRPr="00787196">
        <w:rPr>
          <w:rFonts w:cs="Arial"/>
          <w:szCs w:val="24"/>
        </w:rPr>
        <w:t xml:space="preserve"> to predict scores at </w:t>
      </w:r>
      <w:r w:rsidR="00AC6E44" w:rsidRPr="00787196">
        <w:rPr>
          <w:rFonts w:cs="Arial"/>
          <w:szCs w:val="24"/>
        </w:rPr>
        <w:t xml:space="preserve">the </w:t>
      </w:r>
      <w:r w:rsidR="00F0157F" w:rsidRPr="00787196">
        <w:rPr>
          <w:rFonts w:cs="Arial"/>
          <w:szCs w:val="24"/>
        </w:rPr>
        <w:t>3-month</w:t>
      </w:r>
      <w:r w:rsidRPr="00787196">
        <w:rPr>
          <w:rFonts w:cs="Arial"/>
          <w:szCs w:val="24"/>
        </w:rPr>
        <w:t xml:space="preserve"> follow-u</w:t>
      </w:r>
      <w:r w:rsidR="00AC6E44" w:rsidRPr="00787196">
        <w:rPr>
          <w:rFonts w:cs="Arial"/>
          <w:szCs w:val="24"/>
        </w:rPr>
        <w:t>p stage</w:t>
      </w:r>
      <w:r w:rsidRPr="00787196">
        <w:rPr>
          <w:rFonts w:cs="Arial"/>
          <w:szCs w:val="24"/>
        </w:rPr>
        <w:t>T2</w:t>
      </w:r>
      <w:r w:rsidR="00AC6E44" w:rsidRPr="00787196">
        <w:rPr>
          <w:rFonts w:cs="Arial"/>
          <w:szCs w:val="24"/>
        </w:rPr>
        <w:t xml:space="preserve"> in the lagged analyses</w:t>
      </w:r>
      <w:r w:rsidRPr="00787196">
        <w:rPr>
          <w:rFonts w:cs="Arial"/>
          <w:szCs w:val="24"/>
        </w:rPr>
        <w:t>.</w:t>
      </w:r>
    </w:p>
    <w:p w14:paraId="0D81A19B" w14:textId="5C342570" w:rsidR="003B59F1" w:rsidRPr="00787196" w:rsidRDefault="003B59F1" w:rsidP="00D125CE">
      <w:r w:rsidRPr="00787196">
        <w:t>A series of lagged forward stepwise multiple linear regression analyses were conducted to look for longitudinal relationships amongst various set of variables identif</w:t>
      </w:r>
      <w:r w:rsidR="00D125CE" w:rsidRPr="00787196">
        <w:t xml:space="preserve">ied from the bivariate </w:t>
      </w:r>
      <w:r w:rsidRPr="00787196">
        <w:t>analyse</w:t>
      </w:r>
      <w:r w:rsidR="00D125CE" w:rsidRPr="00787196">
        <w:t>s.</w:t>
      </w:r>
    </w:p>
    <w:p w14:paraId="3307E14B" w14:textId="77777777" w:rsidR="00F4764D" w:rsidRPr="00787196" w:rsidRDefault="00F4764D" w:rsidP="00985A3A">
      <w:pPr>
        <w:rPr>
          <w:rFonts w:cs="Arial"/>
          <w:szCs w:val="24"/>
        </w:rPr>
        <w:sectPr w:rsidR="00F4764D" w:rsidRPr="00787196" w:rsidSect="00EB5F2C">
          <w:pgSz w:w="11952" w:h="16848" w:code="9"/>
          <w:pgMar w:top="1134" w:right="1134" w:bottom="1134" w:left="2268" w:header="475" w:footer="533" w:gutter="0"/>
          <w:cols w:space="720"/>
          <w:noEndnote/>
          <w:docGrid w:linePitch="360"/>
        </w:sectPr>
      </w:pPr>
    </w:p>
    <w:p w14:paraId="00D1CADC" w14:textId="389555DF" w:rsidR="006233A4" w:rsidRPr="00787196" w:rsidRDefault="00284C60" w:rsidP="00D95B27">
      <w:pPr>
        <w:pStyle w:val="Heading1"/>
        <w:ind w:left="330" w:hanging="330"/>
        <w:rPr>
          <w:rFonts w:cs="Arial"/>
        </w:rPr>
      </w:pPr>
      <w:bookmarkStart w:id="200" w:name="_Toc456211175"/>
      <w:bookmarkStart w:id="201" w:name="_Toc488655659"/>
      <w:r w:rsidRPr="00787196">
        <w:rPr>
          <w:rFonts w:cs="Arial"/>
        </w:rPr>
        <w:lastRenderedPageBreak/>
        <w:t xml:space="preserve">CHAPTER </w:t>
      </w:r>
      <w:bookmarkEnd w:id="200"/>
      <w:r w:rsidR="00B76E54" w:rsidRPr="00787196">
        <w:rPr>
          <w:rFonts w:cs="Arial"/>
        </w:rPr>
        <w:t>FIVE RESULTS</w:t>
      </w:r>
      <w:bookmarkEnd w:id="201"/>
    </w:p>
    <w:p w14:paraId="0B60181E" w14:textId="3FE29AA6" w:rsidR="006233A4" w:rsidRPr="00787196" w:rsidRDefault="006233A4" w:rsidP="004F119E">
      <w:pPr>
        <w:pStyle w:val="Heading2"/>
      </w:pPr>
      <w:bookmarkStart w:id="202" w:name="_Ref423486993"/>
      <w:bookmarkStart w:id="203" w:name="_Toc456211176"/>
      <w:bookmarkStart w:id="204" w:name="_Toc488655660"/>
      <w:r w:rsidRPr="00787196">
        <w:t>Introduction</w:t>
      </w:r>
      <w:bookmarkEnd w:id="202"/>
      <w:bookmarkEnd w:id="203"/>
      <w:bookmarkEnd w:id="204"/>
    </w:p>
    <w:p w14:paraId="0089E13D" w14:textId="4CE280C0" w:rsidR="006233A4" w:rsidRPr="00787196" w:rsidRDefault="00B76E54" w:rsidP="00EC0EE8">
      <w:r w:rsidRPr="00787196">
        <w:t>In total</w:t>
      </w:r>
      <w:r w:rsidR="00245247" w:rsidRPr="00787196">
        <w:t>,</w:t>
      </w:r>
      <w:r w:rsidR="006233A4" w:rsidRPr="00787196">
        <w:t xml:space="preserve"> 201 </w:t>
      </w:r>
      <w:r w:rsidRPr="00787196">
        <w:t>participants registered</w:t>
      </w:r>
      <w:r w:rsidR="00245247" w:rsidRPr="00787196">
        <w:t xml:space="preserve"> </w:t>
      </w:r>
      <w:r w:rsidR="00EC0EE8" w:rsidRPr="00787196">
        <w:t xml:space="preserve">in </w:t>
      </w:r>
      <w:r w:rsidR="006233A4" w:rsidRPr="00787196">
        <w:t>the study</w:t>
      </w:r>
      <w:r w:rsidR="00EC0EE8" w:rsidRPr="00787196">
        <w:t xml:space="preserve"> </w:t>
      </w:r>
      <w:r w:rsidR="00C07EFD" w:rsidRPr="00787196">
        <w:t>at baseline</w:t>
      </w:r>
      <w:r w:rsidR="00847845" w:rsidRPr="00787196">
        <w:t xml:space="preserve"> (T1)</w:t>
      </w:r>
      <w:r w:rsidR="00D4662C" w:rsidRPr="00787196">
        <w:t>, during t</w:t>
      </w:r>
      <w:r w:rsidR="00EC0EE8" w:rsidRPr="00787196">
        <w:t xml:space="preserve">he </w:t>
      </w:r>
      <w:r w:rsidR="00D4662C" w:rsidRPr="00787196">
        <w:t>period September</w:t>
      </w:r>
      <w:r w:rsidR="00866B55" w:rsidRPr="00787196">
        <w:t>–</w:t>
      </w:r>
      <w:r w:rsidR="00EC0EE8" w:rsidRPr="00787196">
        <w:t xml:space="preserve">February 2014. The </w:t>
      </w:r>
      <w:r w:rsidRPr="00787196">
        <w:t>3-month</w:t>
      </w:r>
      <w:r w:rsidR="00EC0EE8" w:rsidRPr="00787196">
        <w:t xml:space="preserve"> post denture-insertion follow up stage</w:t>
      </w:r>
      <w:r w:rsidR="00847845" w:rsidRPr="00787196">
        <w:t xml:space="preserve"> (T2)</w:t>
      </w:r>
      <w:r w:rsidR="00D4662C" w:rsidRPr="00787196">
        <w:t xml:space="preserve"> lasted</w:t>
      </w:r>
      <w:r w:rsidR="00EC0EE8" w:rsidRPr="00787196">
        <w:t xml:space="preserve"> from December 2014</w:t>
      </w:r>
      <w:r w:rsidR="00866B55" w:rsidRPr="00787196">
        <w:t xml:space="preserve"> to</w:t>
      </w:r>
      <w:r w:rsidR="00EC0EE8" w:rsidRPr="00787196">
        <w:t xml:space="preserve"> June 2015. </w:t>
      </w:r>
      <w:r w:rsidR="00F519D9" w:rsidRPr="00787196">
        <w:t>Eight participants discontinued w</w:t>
      </w:r>
      <w:r w:rsidR="00866B55" w:rsidRPr="00787196">
        <w:t xml:space="preserve">ith </w:t>
      </w:r>
      <w:r w:rsidR="00F519D9" w:rsidRPr="00787196">
        <w:t xml:space="preserve">their new dentures due to </w:t>
      </w:r>
      <w:r w:rsidR="00595C34" w:rsidRPr="00787196">
        <w:t xml:space="preserve">clinical </w:t>
      </w:r>
      <w:r w:rsidR="00F519D9" w:rsidRPr="00787196">
        <w:t xml:space="preserve">reasons such as denture failure, fractures and </w:t>
      </w:r>
      <w:r w:rsidR="00D4662C" w:rsidRPr="00787196">
        <w:t>loss. Hence they were excluded at</w:t>
      </w:r>
      <w:r w:rsidR="00F519D9" w:rsidRPr="00787196">
        <w:t xml:space="preserve"> the follow up stage</w:t>
      </w:r>
      <w:r w:rsidR="00847845" w:rsidRPr="00787196">
        <w:t xml:space="preserve"> (T2)</w:t>
      </w:r>
      <w:r w:rsidR="00F519D9" w:rsidRPr="00787196">
        <w:t xml:space="preserve">. One participant opted out of the study. </w:t>
      </w:r>
      <w:r w:rsidR="00866B55" w:rsidRPr="00787196">
        <w:t>A further</w:t>
      </w:r>
      <w:r w:rsidR="00F519D9" w:rsidRPr="00787196">
        <w:t xml:space="preserve"> participant </w:t>
      </w:r>
      <w:r w:rsidR="00D4662C" w:rsidRPr="00787196">
        <w:t xml:space="preserve">could not be traced using </w:t>
      </w:r>
      <w:r w:rsidR="00847845" w:rsidRPr="00787196">
        <w:t>the contact details provided by them</w:t>
      </w:r>
      <w:r w:rsidR="00F519D9" w:rsidRPr="00787196">
        <w:t>. Th</w:t>
      </w:r>
      <w:r w:rsidR="00866B55" w:rsidRPr="00787196">
        <w:t>us, the</w:t>
      </w:r>
      <w:r w:rsidR="00F519D9" w:rsidRPr="00787196">
        <w:t xml:space="preserve"> total</w:t>
      </w:r>
      <w:r w:rsidR="00866B55" w:rsidRPr="00787196">
        <w:t xml:space="preserve"> participants involved in the follow up stage w</w:t>
      </w:r>
      <w:r w:rsidR="00113D9C" w:rsidRPr="00787196">
        <w:t>as</w:t>
      </w:r>
      <w:r w:rsidR="00F519D9" w:rsidRPr="00787196">
        <w:t xml:space="preserve"> 191.</w:t>
      </w:r>
    </w:p>
    <w:p w14:paraId="449291D3" w14:textId="71901F66" w:rsidR="00F519D9" w:rsidRPr="00787196" w:rsidRDefault="00F519D9" w:rsidP="00EC0EE8">
      <w:r w:rsidRPr="00787196">
        <w:t>Th</w:t>
      </w:r>
      <w:r w:rsidR="00AB58A1" w:rsidRPr="00787196">
        <w:t xml:space="preserve">is </w:t>
      </w:r>
      <w:r w:rsidR="00847845" w:rsidRPr="00787196">
        <w:t>chapter present</w:t>
      </w:r>
      <w:r w:rsidR="00AB58A1" w:rsidRPr="00787196">
        <w:t>s the results</w:t>
      </w:r>
      <w:r w:rsidR="00847845" w:rsidRPr="00787196">
        <w:t xml:space="preserve"> </w:t>
      </w:r>
      <w:r w:rsidR="00D4662C" w:rsidRPr="00787196">
        <w:t>in three sections:</w:t>
      </w:r>
    </w:p>
    <w:p w14:paraId="45F137BD" w14:textId="67621BB9" w:rsidR="008B5C13" w:rsidRPr="00787196" w:rsidRDefault="00F519D9" w:rsidP="00EC0EE8">
      <w:r w:rsidRPr="00787196">
        <w:t xml:space="preserve">Section </w:t>
      </w:r>
      <w:r w:rsidRPr="00787196">
        <w:fldChar w:fldCharType="begin"/>
      </w:r>
      <w:r w:rsidRPr="00787196">
        <w:instrText xml:space="preserve"> REF _Ref423486572 \r \h </w:instrText>
      </w:r>
      <w:r w:rsidR="00787196" w:rsidRPr="00787196">
        <w:instrText xml:space="preserve"> \* MERGEFORMAT </w:instrText>
      </w:r>
      <w:r w:rsidRPr="00787196">
        <w:fldChar w:fldCharType="separate"/>
      </w:r>
      <w:r w:rsidR="00C069BC" w:rsidRPr="00787196">
        <w:t>5.2</w:t>
      </w:r>
      <w:r w:rsidRPr="00787196">
        <w:fldChar w:fldCharType="end"/>
      </w:r>
      <w:r w:rsidRPr="00787196">
        <w:t xml:space="preserve"> </w:t>
      </w:r>
      <w:r w:rsidR="008B5C13" w:rsidRPr="00787196">
        <w:t xml:space="preserve"> </w:t>
      </w:r>
      <w:r w:rsidR="00D4662C" w:rsidRPr="00787196">
        <w:t xml:space="preserve">describes </w:t>
      </w:r>
      <w:r w:rsidR="008B5C13" w:rsidRPr="00787196">
        <w:t xml:space="preserve">demographic and clinical data </w:t>
      </w:r>
      <w:r w:rsidR="00D4662C" w:rsidRPr="00787196">
        <w:t xml:space="preserve">among the </w:t>
      </w:r>
      <w:r w:rsidR="008B5C13" w:rsidRPr="00787196">
        <w:t xml:space="preserve">study sample </w:t>
      </w:r>
      <w:r w:rsidR="00D4662C" w:rsidRPr="00787196">
        <w:t xml:space="preserve">as </w:t>
      </w:r>
      <w:r w:rsidR="008B5C13" w:rsidRPr="00787196">
        <w:t>distribution</w:t>
      </w:r>
      <w:r w:rsidR="00D4662C" w:rsidRPr="00787196">
        <w:t>s</w:t>
      </w:r>
      <w:r w:rsidRPr="00787196">
        <w:t xml:space="preserve"> of all the variables collected</w:t>
      </w:r>
      <w:r w:rsidR="00D4662C" w:rsidRPr="00787196">
        <w:t xml:space="preserve"> </w:t>
      </w:r>
      <w:r w:rsidRPr="00787196">
        <w:t>at baseline and follow-up</w:t>
      </w:r>
      <w:r w:rsidR="00D4662C" w:rsidRPr="00787196">
        <w:t xml:space="preserve">. Where relevant, the </w:t>
      </w:r>
      <w:r w:rsidR="008B5C13" w:rsidRPr="00787196">
        <w:t xml:space="preserve">reliability (internal; test-retest) of the measures used in the study </w:t>
      </w:r>
      <w:r w:rsidR="00113D9C" w:rsidRPr="00787196">
        <w:t>is</w:t>
      </w:r>
      <w:r w:rsidR="008B5C13" w:rsidRPr="00787196">
        <w:t xml:space="preserve"> outlined.</w:t>
      </w:r>
    </w:p>
    <w:p w14:paraId="51F42075" w14:textId="39CE7B26" w:rsidR="00847845" w:rsidRPr="00787196" w:rsidRDefault="008B5C13" w:rsidP="00EC0EE8">
      <w:r w:rsidRPr="00787196">
        <w:t xml:space="preserve">Section </w:t>
      </w:r>
      <w:r w:rsidRPr="00787196">
        <w:fldChar w:fldCharType="begin"/>
      </w:r>
      <w:r w:rsidRPr="00787196">
        <w:instrText xml:space="preserve"> REF _Ref423486997 \r \h </w:instrText>
      </w:r>
      <w:r w:rsidR="00787196" w:rsidRPr="00787196">
        <w:instrText xml:space="preserve"> \* MERGEFORMAT </w:instrText>
      </w:r>
      <w:r w:rsidRPr="00787196">
        <w:fldChar w:fldCharType="separate"/>
      </w:r>
      <w:r w:rsidR="00C069BC" w:rsidRPr="00787196">
        <w:t>5.3</w:t>
      </w:r>
      <w:r w:rsidRPr="00787196">
        <w:fldChar w:fldCharType="end"/>
      </w:r>
      <w:r w:rsidRPr="00787196">
        <w:t xml:space="preserve"> outlines the </w:t>
      </w:r>
      <w:r w:rsidR="00BC003B" w:rsidRPr="00787196">
        <w:t>bivariate analyses</w:t>
      </w:r>
      <w:r w:rsidRPr="00787196">
        <w:t xml:space="preserve"> between the independent and the dependant variables </w:t>
      </w:r>
      <w:r w:rsidR="00D4662C" w:rsidRPr="00787196">
        <w:t xml:space="preserve">in lagged analyses between </w:t>
      </w:r>
      <w:r w:rsidR="00847845" w:rsidRPr="00787196">
        <w:t>baseline (T1) and follow-up (T2</w:t>
      </w:r>
      <w:r w:rsidR="00D4662C" w:rsidRPr="00787196">
        <w:t>)</w:t>
      </w:r>
      <w:r w:rsidR="00847845" w:rsidRPr="00787196">
        <w:t>.</w:t>
      </w:r>
      <w:r w:rsidR="00D4662C" w:rsidRPr="00787196">
        <w:t xml:space="preserve"> </w:t>
      </w:r>
      <w:r w:rsidR="00866B55" w:rsidRPr="00787196">
        <w:t>The m</w:t>
      </w:r>
      <w:r w:rsidR="00847845" w:rsidRPr="00787196">
        <w:t>odel adapted from Wilson and Cleary</w:t>
      </w:r>
      <w:r w:rsidR="002630F5" w:rsidRPr="00787196">
        <w:t xml:space="preserve"> </w:t>
      </w:r>
      <w:r w:rsidR="00847845" w:rsidRPr="00787196">
        <w:t xml:space="preserve">guided the analyses to test the hypothesised relationships. </w:t>
      </w:r>
      <w:r w:rsidR="00BC003B" w:rsidRPr="00787196">
        <w:t>Student t-tests, P</w:t>
      </w:r>
      <w:r w:rsidR="00847845" w:rsidRPr="00787196">
        <w:t>earson</w:t>
      </w:r>
      <w:r w:rsidR="00BC003B" w:rsidRPr="00787196">
        <w:t>’s correlation</w:t>
      </w:r>
      <w:r w:rsidR="00847845" w:rsidRPr="00787196">
        <w:t xml:space="preserve"> and Spearman’s rank correlation were used</w:t>
      </w:r>
      <w:r w:rsidR="00BC003B" w:rsidRPr="00787196">
        <w:t xml:space="preserve"> as appropriate</w:t>
      </w:r>
      <w:r w:rsidR="00847845" w:rsidRPr="00787196">
        <w:t>.</w:t>
      </w:r>
    </w:p>
    <w:p w14:paraId="6A562EA6" w14:textId="3A46D970" w:rsidR="00F519D9" w:rsidRPr="00787196" w:rsidRDefault="00847845" w:rsidP="00F85064">
      <w:r w:rsidRPr="00787196">
        <w:t xml:space="preserve">Section </w:t>
      </w:r>
      <w:r w:rsidR="00323BBC" w:rsidRPr="00787196">
        <w:t>5.4</w:t>
      </w:r>
      <w:r w:rsidR="00F519D9" w:rsidRPr="00787196">
        <w:t xml:space="preserve"> </w:t>
      </w:r>
      <w:r w:rsidRPr="00787196">
        <w:t xml:space="preserve">presents the results from </w:t>
      </w:r>
      <w:r w:rsidR="00BC003B" w:rsidRPr="00787196">
        <w:t xml:space="preserve">the primary analyses of the study; the </w:t>
      </w:r>
      <w:r w:rsidRPr="00787196">
        <w:t xml:space="preserve">multiple regression </w:t>
      </w:r>
      <w:r w:rsidR="006F138B" w:rsidRPr="00787196">
        <w:t>analys</w:t>
      </w:r>
      <w:r w:rsidR="00866B55" w:rsidRPr="00787196">
        <w:t>e</w:t>
      </w:r>
      <w:r w:rsidR="006F138B" w:rsidRPr="00787196">
        <w:t>s to</w:t>
      </w:r>
      <w:r w:rsidR="001F6117" w:rsidRPr="00787196">
        <w:t xml:space="preserve"> test the interrelationships between the variables</w:t>
      </w:r>
      <w:r w:rsidR="00BC003B" w:rsidRPr="00787196">
        <w:t xml:space="preserve"> whilst accounting for confounding</w:t>
      </w:r>
      <w:r w:rsidR="001F6117" w:rsidRPr="00787196">
        <w:t>.</w:t>
      </w:r>
      <w:r w:rsidR="00BC003B" w:rsidRPr="00787196">
        <w:t xml:space="preserve"> An additional series of analyses </w:t>
      </w:r>
      <w:r w:rsidR="00F85064" w:rsidRPr="00787196">
        <w:t xml:space="preserve">to test the </w:t>
      </w:r>
      <w:r w:rsidR="00BC003B" w:rsidRPr="00787196">
        <w:t>predictors of</w:t>
      </w:r>
      <w:r w:rsidR="00F85064" w:rsidRPr="00787196">
        <w:t xml:space="preserve"> coping </w:t>
      </w:r>
      <w:r w:rsidR="00AB58A1" w:rsidRPr="00787196">
        <w:t>strategies</w:t>
      </w:r>
      <w:r w:rsidR="00F85064" w:rsidRPr="00787196">
        <w:t xml:space="preserve"> at follow-up (T2) was also done</w:t>
      </w:r>
      <w:r w:rsidR="00BC003B" w:rsidRPr="00787196">
        <w:t>.</w:t>
      </w:r>
      <w:r w:rsidR="002630F5" w:rsidRPr="00787196">
        <w:br w:type="page"/>
      </w:r>
    </w:p>
    <w:p w14:paraId="07488E0B" w14:textId="77777777" w:rsidR="00F519D9" w:rsidRPr="00787196" w:rsidRDefault="001F6117" w:rsidP="004F119E">
      <w:pPr>
        <w:pStyle w:val="Heading2"/>
      </w:pPr>
      <w:bookmarkStart w:id="205" w:name="_Toc456211177"/>
      <w:bookmarkStart w:id="206" w:name="_Toc488655661"/>
      <w:bookmarkStart w:id="207" w:name="_Ref423486572"/>
      <w:r w:rsidRPr="00787196">
        <w:lastRenderedPageBreak/>
        <w:t>Descriptive analysis</w:t>
      </w:r>
      <w:bookmarkEnd w:id="205"/>
      <w:bookmarkEnd w:id="206"/>
    </w:p>
    <w:p w14:paraId="057DF984" w14:textId="049CEA2D" w:rsidR="001F6117" w:rsidRPr="00787196" w:rsidRDefault="00222302" w:rsidP="00D9694A">
      <w:pPr>
        <w:pStyle w:val="Heading3"/>
      </w:pPr>
      <w:r w:rsidRPr="00787196">
        <w:t xml:space="preserve"> </w:t>
      </w:r>
      <w:bookmarkStart w:id="208" w:name="_Toc456211178"/>
      <w:bookmarkStart w:id="209" w:name="_Toc488655662"/>
      <w:r w:rsidR="001F6117" w:rsidRPr="00787196">
        <w:t xml:space="preserve">Demographic </w:t>
      </w:r>
      <w:bookmarkEnd w:id="208"/>
      <w:r w:rsidR="00297A9A" w:rsidRPr="00787196">
        <w:t>information</w:t>
      </w:r>
      <w:bookmarkEnd w:id="209"/>
    </w:p>
    <w:p w14:paraId="4CD9F54C" w14:textId="140D3D27" w:rsidR="001F6117" w:rsidRPr="00787196" w:rsidRDefault="002630F5" w:rsidP="00755F46">
      <w:r w:rsidRPr="00787196">
        <w:fldChar w:fldCharType="begin"/>
      </w:r>
      <w:r w:rsidRPr="00787196">
        <w:instrText xml:space="preserve"> REF _Ref424769714 \h  \* MERGEFORMAT </w:instrText>
      </w:r>
      <w:r w:rsidRPr="00787196">
        <w:fldChar w:fldCharType="separate"/>
      </w:r>
      <w:r w:rsidR="00C069BC" w:rsidRPr="00787196">
        <w:rPr>
          <w:szCs w:val="24"/>
        </w:rPr>
        <w:t xml:space="preserve">Table </w:t>
      </w:r>
      <w:r w:rsidR="00C069BC" w:rsidRPr="00787196">
        <w:rPr>
          <w:rFonts w:cs="Arial"/>
          <w:szCs w:val="24"/>
        </w:rPr>
        <w:t>5</w:t>
      </w:r>
      <w:r w:rsidR="00C069BC" w:rsidRPr="00787196">
        <w:rPr>
          <w:rFonts w:cs="Arial"/>
          <w:szCs w:val="24"/>
        </w:rPr>
        <w:noBreakHyphen/>
        <w:t>1</w:t>
      </w:r>
      <w:r w:rsidRPr="00787196">
        <w:fldChar w:fldCharType="end"/>
      </w:r>
      <w:r w:rsidRPr="00787196">
        <w:t xml:space="preserve"> summarises the demographic characteristics of the participants</w:t>
      </w:r>
      <w:r w:rsidR="00C07EFD" w:rsidRPr="00787196">
        <w:t>. Their mean</w:t>
      </w:r>
      <w:r w:rsidRPr="00787196">
        <w:t xml:space="preserve"> </w:t>
      </w:r>
      <w:r w:rsidR="00C07EFD" w:rsidRPr="00787196">
        <w:t xml:space="preserve">age </w:t>
      </w:r>
      <w:r w:rsidRPr="00787196">
        <w:t xml:space="preserve">was 58.5 years (range 27-85).  </w:t>
      </w:r>
      <w:r w:rsidR="001D72B6" w:rsidRPr="00787196">
        <w:t>Most were female</w:t>
      </w:r>
      <w:r w:rsidRPr="00787196">
        <w:t xml:space="preserve"> </w:t>
      </w:r>
      <w:r w:rsidR="00C07EFD" w:rsidRPr="00787196">
        <w:t>and had a</w:t>
      </w:r>
      <w:r w:rsidR="002E5450" w:rsidRPr="00787196">
        <w:t xml:space="preserve"> living </w:t>
      </w:r>
      <w:r w:rsidR="00C07EFD" w:rsidRPr="00787196">
        <w:t>life partner (73.6% n= 148)</w:t>
      </w:r>
      <w:r w:rsidR="002E5450" w:rsidRPr="00787196">
        <w:t xml:space="preserve">. </w:t>
      </w:r>
      <w:r w:rsidR="00595C34" w:rsidRPr="00787196">
        <w:t xml:space="preserve">The majority identified themselves as </w:t>
      </w:r>
      <w:r w:rsidR="002E5450" w:rsidRPr="00787196">
        <w:t>follow</w:t>
      </w:r>
      <w:r w:rsidR="00595C34" w:rsidRPr="00787196">
        <w:t>ing</w:t>
      </w:r>
      <w:r w:rsidR="002E5450" w:rsidRPr="00787196">
        <w:t xml:space="preserve"> </w:t>
      </w:r>
      <w:r w:rsidRPr="00787196">
        <w:t xml:space="preserve">the </w:t>
      </w:r>
      <w:r w:rsidR="002E5450" w:rsidRPr="00787196">
        <w:t xml:space="preserve">Hindu faith and were from the backward </w:t>
      </w:r>
      <w:r w:rsidRPr="00787196">
        <w:t>castes as</w:t>
      </w:r>
      <w:r w:rsidR="002E5450" w:rsidRPr="00787196">
        <w:t xml:space="preserve"> per </w:t>
      </w:r>
      <w:r w:rsidR="00BC003B" w:rsidRPr="00787196">
        <w:t xml:space="preserve">the </w:t>
      </w:r>
      <w:r w:rsidR="002E5450" w:rsidRPr="00787196">
        <w:t>Tamilnadu government’s caste classification</w:t>
      </w:r>
      <w:r w:rsidR="00C07EFD" w:rsidRPr="00787196">
        <w:t xml:space="preserve"> </w:t>
      </w:r>
      <w:r w:rsidR="00C1301A" w:rsidRPr="00787196">
        <w:fldChar w:fldCharType="begin"/>
      </w:r>
      <w:r w:rsidR="00CE759F" w:rsidRPr="00787196">
        <w:instrText xml:space="preserve"> ADDIN EN.CITE &lt;EndNote&gt;&lt;Cite&gt;&lt;Author&gt;TNPSC&lt;/Author&gt;&lt;Year&gt;2015&lt;/Year&gt;&lt;RecNum&gt;0&lt;/RecNum&gt;&lt;IDText&gt;Departmental Question Papers&lt;/IDText&gt;&lt;DisplayText&gt;(TNPSC, 2015)&lt;/DisplayText&gt;&lt;record&gt;&lt;urls&gt;&lt;related-urls&gt;&lt;url&gt;http://www.tnpsc.gov.in/communities-list.html&lt;/url&gt;&lt;/related-urls&gt;&lt;/urls&gt;&lt;titles&gt;&lt;title&gt;Departmental Question Papers&lt;/title&gt;&lt;/titles&gt;&lt;number&gt;18th August&lt;/number&gt;&lt;contributors&gt;&lt;authors&gt;&lt;author&gt;TNPSC&lt;/author&gt;&lt;/authors&gt;&lt;/contributors&gt;&lt;added-date format="utc"&gt;1440644490&lt;/added-date&gt;&lt;pub-location&gt;Chennai, India&lt;/pub-location&gt;&lt;ref-type name="Web Page"&gt;12&lt;/ref-type&gt;&lt;dates&gt;&lt;year&gt;2015&lt;/year&gt;&lt;/dates&gt;&lt;rec-number&gt;2018&lt;/rec-number&gt;&lt;publisher&gt;Tamil Nadu Public Service Commision&lt;/publisher&gt;&lt;last-updated-date format="utc"&gt;1440644490&lt;/last-updated-date&gt;&lt;volume&gt;2015&lt;/volume&gt;&lt;/record&gt;&lt;/Cite&gt;&lt;/EndNote&gt;</w:instrText>
      </w:r>
      <w:r w:rsidR="00C1301A" w:rsidRPr="00787196">
        <w:fldChar w:fldCharType="separate"/>
      </w:r>
      <w:r w:rsidR="00C1301A" w:rsidRPr="00787196">
        <w:t>(TNPSC, 2015)</w:t>
      </w:r>
      <w:r w:rsidR="00C1301A" w:rsidRPr="00787196">
        <w:fldChar w:fldCharType="end"/>
      </w:r>
      <w:r w:rsidR="00C1301A" w:rsidRPr="00787196">
        <w:t xml:space="preserve"> </w:t>
      </w:r>
      <w:r w:rsidR="00C07EFD" w:rsidRPr="00787196">
        <w:t>and</w:t>
      </w:r>
      <w:r w:rsidR="002E5450" w:rsidRPr="00787196">
        <w:t xml:space="preserve"> </w:t>
      </w:r>
      <w:r w:rsidR="008E7C42" w:rsidRPr="00787196">
        <w:t xml:space="preserve">were </w:t>
      </w:r>
      <w:r w:rsidR="00C07EFD" w:rsidRPr="00787196">
        <w:t xml:space="preserve">either </w:t>
      </w:r>
      <w:r w:rsidR="008E7C42" w:rsidRPr="00787196">
        <w:t>retired or unemployed. More than three-</w:t>
      </w:r>
      <w:r w:rsidR="00245247" w:rsidRPr="00787196">
        <w:t xml:space="preserve">fourth of the participants had a monthly income </w:t>
      </w:r>
      <w:r w:rsidR="008E7C42" w:rsidRPr="00787196">
        <w:t xml:space="preserve">less than 7594/- </w:t>
      </w:r>
      <w:r w:rsidRPr="00787196">
        <w:t>rupees (approximately £76)</w:t>
      </w:r>
      <w:r w:rsidR="008E7C42" w:rsidRPr="00787196">
        <w:t xml:space="preserve">. </w:t>
      </w:r>
      <w:r w:rsidR="00595C34" w:rsidRPr="00787196">
        <w:t xml:space="preserve">Ninety percent of all participants </w:t>
      </w:r>
      <w:r w:rsidR="00C07EFD" w:rsidRPr="00787196">
        <w:t>were educated</w:t>
      </w:r>
      <w:r w:rsidR="00106490" w:rsidRPr="00787196">
        <w:t xml:space="preserve"> </w:t>
      </w:r>
      <w:r w:rsidR="008E7C42" w:rsidRPr="00787196">
        <w:t xml:space="preserve">only </w:t>
      </w:r>
      <w:r w:rsidR="00A35F17" w:rsidRPr="00787196">
        <w:t xml:space="preserve">up to </w:t>
      </w:r>
      <w:r w:rsidR="008E7C42" w:rsidRPr="00787196">
        <w:t xml:space="preserve">school </w:t>
      </w:r>
      <w:r w:rsidR="00C07EFD" w:rsidRPr="00787196">
        <w:t>level</w:t>
      </w:r>
      <w:r w:rsidR="00F536C7" w:rsidRPr="00787196">
        <w:t>.</w:t>
      </w:r>
    </w:p>
    <w:p w14:paraId="60A4553A" w14:textId="139A7D1C" w:rsidR="00273F16" w:rsidRPr="00787196" w:rsidRDefault="00222302" w:rsidP="00D9694A">
      <w:pPr>
        <w:pStyle w:val="Heading3"/>
      </w:pPr>
      <w:r w:rsidRPr="00787196">
        <w:t xml:space="preserve"> </w:t>
      </w:r>
      <w:bookmarkStart w:id="210" w:name="_Toc456211179"/>
      <w:bookmarkStart w:id="211" w:name="_Toc488655663"/>
      <w:r w:rsidR="00273F16" w:rsidRPr="00787196">
        <w:t xml:space="preserve">Clinical </w:t>
      </w:r>
      <w:bookmarkEnd w:id="210"/>
      <w:r w:rsidR="00297A9A" w:rsidRPr="00787196">
        <w:t>characteristics</w:t>
      </w:r>
      <w:bookmarkEnd w:id="211"/>
    </w:p>
    <w:p w14:paraId="1B666C23" w14:textId="58C20AE7" w:rsidR="004F1CC4" w:rsidRPr="00787196" w:rsidRDefault="00F536C7" w:rsidP="00755F46">
      <w:pPr>
        <w:rPr>
          <w:szCs w:val="24"/>
        </w:rPr>
      </w:pPr>
      <w:r w:rsidRPr="00787196">
        <w:fldChar w:fldCharType="begin"/>
      </w:r>
      <w:r w:rsidRPr="00787196">
        <w:instrText xml:space="preserve"> REF _Ref424770659 \h </w:instrText>
      </w:r>
      <w:r w:rsidR="00755F46" w:rsidRPr="00787196">
        <w:instrText xml:space="preserve"> \* MERGEFORMAT </w:instrText>
      </w:r>
      <w:r w:rsidRPr="00787196">
        <w:fldChar w:fldCharType="separate"/>
      </w:r>
      <w:r w:rsidR="00C069BC" w:rsidRPr="00787196">
        <w:t xml:space="preserve">Table </w:t>
      </w:r>
      <w:r w:rsidR="00C069BC" w:rsidRPr="00787196">
        <w:rPr>
          <w:rFonts w:cs="Arial"/>
        </w:rPr>
        <w:t>5</w:t>
      </w:r>
      <w:r w:rsidR="00C069BC" w:rsidRPr="00787196">
        <w:rPr>
          <w:rFonts w:cs="Arial"/>
        </w:rPr>
        <w:noBreakHyphen/>
        <w:t>2</w:t>
      </w:r>
      <w:r w:rsidRPr="00787196">
        <w:fldChar w:fldCharType="end"/>
      </w:r>
      <w:r w:rsidRPr="00787196">
        <w:t xml:space="preserve"> summarises the clinical characteristics of participants at baseline (T1)</w:t>
      </w:r>
      <w:r w:rsidR="00C07EFD" w:rsidRPr="00787196">
        <w:t>. The dent</w:t>
      </w:r>
      <w:r w:rsidRPr="00787196">
        <w:t xml:space="preserve">ures were fabricated </w:t>
      </w:r>
      <w:r w:rsidR="00C07EFD" w:rsidRPr="00787196">
        <w:t>and provide</w:t>
      </w:r>
      <w:r w:rsidR="00595C34" w:rsidRPr="00787196">
        <w:t>d</w:t>
      </w:r>
      <w:r w:rsidR="00C07EFD" w:rsidRPr="00787196">
        <w:t xml:space="preserve"> m</w:t>
      </w:r>
      <w:r w:rsidRPr="00787196">
        <w:t xml:space="preserve">ostly by undergraduate </w:t>
      </w:r>
      <w:r w:rsidR="00C07EFD" w:rsidRPr="00787196">
        <w:t xml:space="preserve">dental </w:t>
      </w:r>
      <w:r w:rsidRPr="00787196">
        <w:t xml:space="preserve">students.  </w:t>
      </w:r>
      <w:r w:rsidR="00344D61" w:rsidRPr="00787196">
        <w:t>M</w:t>
      </w:r>
      <w:r w:rsidR="00273F16" w:rsidRPr="00787196">
        <w:t>ore than half</w:t>
      </w:r>
      <w:r w:rsidR="00C07EFD" w:rsidRPr="00787196">
        <w:t xml:space="preserve"> of the participants</w:t>
      </w:r>
      <w:r w:rsidR="00273F16" w:rsidRPr="00787196">
        <w:t xml:space="preserve"> were completely edentulous.  A</w:t>
      </w:r>
      <w:r w:rsidR="00C50A90" w:rsidRPr="00787196">
        <w:t>lmost</w:t>
      </w:r>
      <w:r w:rsidR="00273F16" w:rsidRPr="00787196">
        <w:t xml:space="preserve"> </w:t>
      </w:r>
      <w:r w:rsidR="00C07EFD" w:rsidRPr="00787196">
        <w:t>s</w:t>
      </w:r>
      <w:r w:rsidRPr="00787196">
        <w:t>eventy percent</w:t>
      </w:r>
      <w:r w:rsidR="00273F16" w:rsidRPr="00787196">
        <w:t xml:space="preserve"> had no occluding pairs of teeth.  </w:t>
      </w:r>
      <w:bookmarkStart w:id="212" w:name="_Ref423581355"/>
      <w:r w:rsidR="00481F48" w:rsidRPr="00787196">
        <w:rPr>
          <w:szCs w:val="24"/>
        </w:rPr>
        <w:t xml:space="preserve">Just </w:t>
      </w:r>
      <w:r w:rsidR="00933669" w:rsidRPr="00787196">
        <w:rPr>
          <w:szCs w:val="24"/>
        </w:rPr>
        <w:t xml:space="preserve">above half of the participants </w:t>
      </w:r>
      <w:r w:rsidR="00481F48" w:rsidRPr="00787196">
        <w:rPr>
          <w:szCs w:val="24"/>
        </w:rPr>
        <w:t xml:space="preserve">sought new dentures within a year </w:t>
      </w:r>
      <w:r w:rsidR="00595C34" w:rsidRPr="00787196">
        <w:rPr>
          <w:szCs w:val="24"/>
        </w:rPr>
        <w:t xml:space="preserve">of </w:t>
      </w:r>
      <w:r w:rsidR="00C07EFD" w:rsidRPr="00787196">
        <w:rPr>
          <w:szCs w:val="24"/>
        </w:rPr>
        <w:t>a</w:t>
      </w:r>
      <w:r w:rsidR="00EA3E0B" w:rsidRPr="00787196">
        <w:rPr>
          <w:szCs w:val="24"/>
        </w:rPr>
        <w:t xml:space="preserve"> tooth loss</w:t>
      </w:r>
      <w:r w:rsidR="00C07EFD" w:rsidRPr="00787196">
        <w:rPr>
          <w:szCs w:val="24"/>
        </w:rPr>
        <w:t xml:space="preserve"> episode</w:t>
      </w:r>
      <w:r w:rsidR="00EA3E0B" w:rsidRPr="00787196">
        <w:rPr>
          <w:szCs w:val="24"/>
        </w:rPr>
        <w:t>.</w:t>
      </w:r>
      <w:r w:rsidR="004E50C6" w:rsidRPr="00787196">
        <w:rPr>
          <w:szCs w:val="24"/>
        </w:rPr>
        <w:t xml:space="preserve"> On</w:t>
      </w:r>
      <w:r w:rsidR="00DB726F" w:rsidRPr="00787196">
        <w:rPr>
          <w:szCs w:val="24"/>
        </w:rPr>
        <w:t>ly 2% of the denture wearers had</w:t>
      </w:r>
      <w:r w:rsidR="004E50C6" w:rsidRPr="00787196">
        <w:rPr>
          <w:szCs w:val="24"/>
        </w:rPr>
        <w:t xml:space="preserve"> mucosal disease.</w:t>
      </w:r>
      <w:r w:rsidR="00EA3E0B" w:rsidRPr="00787196">
        <w:rPr>
          <w:i/>
          <w:iCs/>
          <w:szCs w:val="24"/>
        </w:rPr>
        <w:t xml:space="preserve"> </w:t>
      </w:r>
    </w:p>
    <w:p w14:paraId="4635A4F0" w14:textId="2EAE49B6" w:rsidR="00C67FF2" w:rsidRPr="00787196" w:rsidRDefault="00933669" w:rsidP="006A2AD4">
      <w:r w:rsidRPr="00787196">
        <w:rPr>
          <w:szCs w:val="24"/>
        </w:rPr>
        <w:fldChar w:fldCharType="begin"/>
      </w:r>
      <w:r w:rsidRPr="00787196">
        <w:rPr>
          <w:szCs w:val="24"/>
        </w:rPr>
        <w:instrText xml:space="preserve"> REF _Ref424770932 \h  \* MERGEFORMAT </w:instrText>
      </w:r>
      <w:r w:rsidRPr="00787196">
        <w:rPr>
          <w:szCs w:val="24"/>
        </w:rPr>
      </w:r>
      <w:r w:rsidRPr="00787196">
        <w:rPr>
          <w:szCs w:val="24"/>
        </w:rPr>
        <w:fldChar w:fldCharType="separate"/>
      </w:r>
      <w:r w:rsidR="00C069BC" w:rsidRPr="00787196">
        <w:rPr>
          <w:szCs w:val="24"/>
        </w:rPr>
        <w:t xml:space="preserve">Table </w:t>
      </w:r>
      <w:r w:rsidR="00C069BC" w:rsidRPr="00787196">
        <w:rPr>
          <w:rFonts w:cs="Arial"/>
          <w:szCs w:val="24"/>
        </w:rPr>
        <w:t>5</w:t>
      </w:r>
      <w:r w:rsidR="00C069BC" w:rsidRPr="00787196">
        <w:rPr>
          <w:rFonts w:cs="Arial"/>
          <w:szCs w:val="24"/>
        </w:rPr>
        <w:noBreakHyphen/>
        <w:t>3</w:t>
      </w:r>
      <w:r w:rsidRPr="00787196">
        <w:rPr>
          <w:szCs w:val="24"/>
        </w:rPr>
        <w:fldChar w:fldCharType="end"/>
      </w:r>
      <w:r w:rsidRPr="00787196">
        <w:rPr>
          <w:szCs w:val="24"/>
        </w:rPr>
        <w:t xml:space="preserve"> lists </w:t>
      </w:r>
      <w:r w:rsidR="00595C34" w:rsidRPr="00787196">
        <w:rPr>
          <w:szCs w:val="24"/>
        </w:rPr>
        <w:t xml:space="preserve">participants’ </w:t>
      </w:r>
      <w:r w:rsidRPr="00787196">
        <w:rPr>
          <w:szCs w:val="24"/>
        </w:rPr>
        <w:t xml:space="preserve">prosthetic status and prosthetic treatment need at baseline (T1). </w:t>
      </w:r>
      <w:r w:rsidR="004F1CC4" w:rsidRPr="00787196">
        <w:rPr>
          <w:szCs w:val="24"/>
        </w:rPr>
        <w:t>Nearly half (44.8%) had</w:t>
      </w:r>
      <w:r w:rsidR="00FB5835" w:rsidRPr="00787196">
        <w:rPr>
          <w:szCs w:val="24"/>
        </w:rPr>
        <w:t xml:space="preserve"> no history of denture wearing i</w:t>
      </w:r>
      <w:r w:rsidR="004F1CC4" w:rsidRPr="00787196">
        <w:rPr>
          <w:szCs w:val="24"/>
        </w:rPr>
        <w:t xml:space="preserve">n both </w:t>
      </w:r>
      <w:r w:rsidR="00FB5835" w:rsidRPr="00787196">
        <w:rPr>
          <w:szCs w:val="24"/>
        </w:rPr>
        <w:t>a</w:t>
      </w:r>
      <w:r w:rsidR="004F1CC4" w:rsidRPr="00787196">
        <w:rPr>
          <w:szCs w:val="24"/>
        </w:rPr>
        <w:t>rches. More than half (53.7%) required new/rep</w:t>
      </w:r>
      <w:r w:rsidR="00FB5835" w:rsidRPr="00787196">
        <w:rPr>
          <w:szCs w:val="24"/>
        </w:rPr>
        <w:t>lacement full dentures i</w:t>
      </w:r>
      <w:r w:rsidRPr="00787196">
        <w:rPr>
          <w:szCs w:val="24"/>
        </w:rPr>
        <w:t>n both</w:t>
      </w:r>
      <w:r w:rsidR="00C07EFD" w:rsidRPr="00787196">
        <w:rPr>
          <w:szCs w:val="24"/>
        </w:rPr>
        <w:t xml:space="preserve"> </w:t>
      </w:r>
      <w:r w:rsidR="004F1CC4" w:rsidRPr="00787196">
        <w:rPr>
          <w:szCs w:val="24"/>
        </w:rPr>
        <w:t>arches</w:t>
      </w:r>
      <w:r w:rsidR="006A2AD4" w:rsidRPr="00787196">
        <w:rPr>
          <w:szCs w:val="24"/>
        </w:rPr>
        <w:t xml:space="preserve">. </w:t>
      </w:r>
      <w:r w:rsidR="006A2AD4" w:rsidRPr="00787196">
        <w:t>The clinical and demographic data were recoded to facilitate data analysis. For example, Age was not normally distributed so this variable was dichotomised around the median age (</w:t>
      </w:r>
      <w:r w:rsidR="006F178C" w:rsidRPr="00787196">
        <w:t>Table 5-4)</w:t>
      </w:r>
    </w:p>
    <w:p w14:paraId="1B76AE34" w14:textId="3C38278F" w:rsidR="006A2AD4" w:rsidRPr="00787196" w:rsidRDefault="00C67FF2" w:rsidP="00C67FF2">
      <w:pPr>
        <w:spacing w:before="0" w:after="0" w:line="240" w:lineRule="auto"/>
        <w:jc w:val="left"/>
      </w:pPr>
      <w:r w:rsidRPr="00787196">
        <w:br w:type="page"/>
      </w:r>
    </w:p>
    <w:p w14:paraId="4A6B4FC2" w14:textId="10AF9DBB" w:rsidR="008E7C42" w:rsidRPr="00787196" w:rsidRDefault="008E7C42" w:rsidP="00BB6DB1">
      <w:pPr>
        <w:pStyle w:val="Caption"/>
        <w:spacing w:line="360" w:lineRule="auto"/>
        <w:jc w:val="left"/>
        <w:rPr>
          <w:i w:val="0"/>
          <w:iCs w:val="0"/>
          <w:color w:val="auto"/>
          <w:sz w:val="24"/>
          <w:szCs w:val="24"/>
        </w:rPr>
      </w:pPr>
      <w:bookmarkStart w:id="213" w:name="_Ref424769714"/>
      <w:bookmarkStart w:id="214" w:name="_Toc461641226"/>
      <w:bookmarkStart w:id="215" w:name="_Toc488655530"/>
      <w:r w:rsidRPr="00787196">
        <w:rPr>
          <w:b/>
          <w:bCs/>
          <w:i w:val="0"/>
          <w:iCs w:val="0"/>
          <w:color w:val="auto"/>
          <w:sz w:val="24"/>
          <w:szCs w:val="24"/>
        </w:rPr>
        <w:lastRenderedPageBreak/>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1</w:t>
      </w:r>
      <w:r w:rsidR="000332A1" w:rsidRPr="00787196">
        <w:rPr>
          <w:b/>
          <w:bCs/>
          <w:i w:val="0"/>
          <w:iCs w:val="0"/>
          <w:color w:val="auto"/>
          <w:sz w:val="24"/>
          <w:szCs w:val="24"/>
        </w:rPr>
        <w:fldChar w:fldCharType="end"/>
      </w:r>
      <w:bookmarkEnd w:id="212"/>
      <w:bookmarkEnd w:id="213"/>
      <w:r w:rsidR="00FC7334" w:rsidRPr="00787196">
        <w:rPr>
          <w:b/>
          <w:bCs/>
          <w:i w:val="0"/>
          <w:iCs w:val="0"/>
          <w:color w:val="auto"/>
          <w:sz w:val="24"/>
          <w:szCs w:val="24"/>
        </w:rPr>
        <w:t>.</w:t>
      </w:r>
      <w:r w:rsidRPr="00787196">
        <w:rPr>
          <w:b/>
          <w:bCs/>
          <w:i w:val="0"/>
          <w:iCs w:val="0"/>
          <w:color w:val="auto"/>
          <w:sz w:val="24"/>
          <w:szCs w:val="24"/>
        </w:rPr>
        <w:t xml:space="preserve"> Demographic </w:t>
      </w:r>
      <w:r w:rsidR="00BB6DB1" w:rsidRPr="00787196">
        <w:rPr>
          <w:b/>
          <w:bCs/>
          <w:i w:val="0"/>
          <w:iCs w:val="0"/>
          <w:color w:val="auto"/>
          <w:sz w:val="24"/>
          <w:szCs w:val="24"/>
        </w:rPr>
        <w:t>characteristics</w:t>
      </w:r>
      <w:r w:rsidRPr="00787196">
        <w:rPr>
          <w:b/>
          <w:bCs/>
          <w:i w:val="0"/>
          <w:iCs w:val="0"/>
          <w:color w:val="auto"/>
          <w:sz w:val="24"/>
          <w:szCs w:val="24"/>
        </w:rPr>
        <w:t xml:space="preserve"> </w:t>
      </w:r>
      <w:r w:rsidR="00776075" w:rsidRPr="00787196">
        <w:rPr>
          <w:b/>
          <w:bCs/>
          <w:i w:val="0"/>
          <w:iCs w:val="0"/>
          <w:color w:val="auto"/>
          <w:sz w:val="24"/>
          <w:szCs w:val="24"/>
        </w:rPr>
        <w:t xml:space="preserve">of </w:t>
      </w:r>
      <w:r w:rsidR="006F178C" w:rsidRPr="00787196">
        <w:rPr>
          <w:b/>
          <w:bCs/>
          <w:i w:val="0"/>
          <w:iCs w:val="0"/>
          <w:color w:val="auto"/>
          <w:sz w:val="24"/>
          <w:szCs w:val="24"/>
        </w:rPr>
        <w:t xml:space="preserve">201 </w:t>
      </w:r>
      <w:r w:rsidR="00776075" w:rsidRPr="00787196">
        <w:rPr>
          <w:b/>
          <w:bCs/>
          <w:i w:val="0"/>
          <w:iCs w:val="0"/>
          <w:color w:val="auto"/>
          <w:sz w:val="24"/>
          <w:szCs w:val="24"/>
        </w:rPr>
        <w:t>participants</w:t>
      </w:r>
      <w:r w:rsidRPr="00787196">
        <w:rPr>
          <w:b/>
          <w:bCs/>
          <w:i w:val="0"/>
          <w:iCs w:val="0"/>
          <w:color w:val="auto"/>
          <w:sz w:val="24"/>
          <w:szCs w:val="24"/>
        </w:rPr>
        <w:t xml:space="preserve"> at baseline (T1)</w:t>
      </w:r>
      <w:bookmarkEnd w:id="214"/>
      <w:bookmarkEnd w:id="215"/>
    </w:p>
    <w:tbl>
      <w:tblPr>
        <w:tblW w:w="0" w:type="auto"/>
        <w:jc w:val="center"/>
        <w:tblBorders>
          <w:top w:val="single" w:sz="8" w:space="0" w:color="000000"/>
          <w:bottom w:val="single" w:sz="8" w:space="0" w:color="000000"/>
        </w:tblBorders>
        <w:tblLook w:val="04A0" w:firstRow="1" w:lastRow="0" w:firstColumn="1" w:lastColumn="0" w:noHBand="0" w:noVBand="1"/>
      </w:tblPr>
      <w:tblGrid>
        <w:gridCol w:w="4713"/>
        <w:gridCol w:w="1808"/>
        <w:gridCol w:w="218"/>
        <w:gridCol w:w="1199"/>
      </w:tblGrid>
      <w:tr w:rsidR="004118DD" w:rsidRPr="00787196" w14:paraId="5B52F549" w14:textId="77777777" w:rsidTr="006A2AD4">
        <w:trPr>
          <w:trHeight w:val="299"/>
          <w:jc w:val="center"/>
        </w:trPr>
        <w:tc>
          <w:tcPr>
            <w:tcW w:w="4713" w:type="dxa"/>
            <w:tcBorders>
              <w:top w:val="single" w:sz="8" w:space="0" w:color="000000"/>
              <w:bottom w:val="single" w:sz="8" w:space="0" w:color="000000"/>
            </w:tcBorders>
            <w:shd w:val="clear" w:color="auto" w:fill="FFFFFF"/>
          </w:tcPr>
          <w:p w14:paraId="11DFAD08" w14:textId="77777777" w:rsidR="004118DD" w:rsidRPr="00787196" w:rsidRDefault="004118DD" w:rsidP="00755F46">
            <w:pPr>
              <w:autoSpaceDE w:val="0"/>
              <w:autoSpaceDN w:val="0"/>
              <w:adjustRightInd w:val="0"/>
              <w:spacing w:before="0" w:after="0" w:line="240" w:lineRule="auto"/>
              <w:rPr>
                <w:rFonts w:cs="Arial"/>
                <w:b/>
                <w:bCs/>
                <w:color w:val="000000"/>
                <w:sz w:val="22"/>
              </w:rPr>
            </w:pPr>
            <w:r w:rsidRPr="00787196">
              <w:rPr>
                <w:rFonts w:cs="Arial"/>
                <w:b/>
                <w:bCs/>
                <w:color w:val="000000"/>
                <w:sz w:val="22"/>
              </w:rPr>
              <w:t>Participants</w:t>
            </w:r>
          </w:p>
        </w:tc>
        <w:tc>
          <w:tcPr>
            <w:tcW w:w="1808" w:type="dxa"/>
            <w:tcBorders>
              <w:top w:val="single" w:sz="8" w:space="0" w:color="000000"/>
              <w:bottom w:val="single" w:sz="8" w:space="0" w:color="000000"/>
            </w:tcBorders>
            <w:shd w:val="clear" w:color="auto" w:fill="FFFFFF"/>
          </w:tcPr>
          <w:p w14:paraId="4CFDC06E" w14:textId="77777777" w:rsidR="004118DD" w:rsidRPr="00787196" w:rsidRDefault="004118DD" w:rsidP="00323BBC">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n</w:t>
            </w:r>
          </w:p>
        </w:tc>
        <w:tc>
          <w:tcPr>
            <w:tcW w:w="1417" w:type="dxa"/>
            <w:gridSpan w:val="2"/>
            <w:tcBorders>
              <w:top w:val="single" w:sz="8" w:space="0" w:color="000000"/>
              <w:bottom w:val="single" w:sz="8" w:space="0" w:color="000000"/>
            </w:tcBorders>
            <w:shd w:val="clear" w:color="auto" w:fill="FFFFFF"/>
          </w:tcPr>
          <w:p w14:paraId="3DCC2277" w14:textId="77777777" w:rsidR="004118DD" w:rsidRPr="00787196" w:rsidRDefault="004118DD" w:rsidP="00323BBC">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w:t>
            </w:r>
          </w:p>
        </w:tc>
      </w:tr>
      <w:tr w:rsidR="004118DD" w:rsidRPr="00787196" w14:paraId="1D26DAFB" w14:textId="77777777" w:rsidTr="006A2AD4">
        <w:trPr>
          <w:trHeight w:val="275"/>
          <w:jc w:val="center"/>
        </w:trPr>
        <w:tc>
          <w:tcPr>
            <w:tcW w:w="4713" w:type="dxa"/>
            <w:shd w:val="clear" w:color="auto" w:fill="FFFFFF"/>
            <w:vAlign w:val="center"/>
          </w:tcPr>
          <w:p w14:paraId="1898EB5B" w14:textId="77777777" w:rsidR="004118DD" w:rsidRPr="00787196" w:rsidRDefault="004118DD" w:rsidP="00755F46">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Gender</w:t>
            </w:r>
          </w:p>
        </w:tc>
        <w:tc>
          <w:tcPr>
            <w:tcW w:w="2026" w:type="dxa"/>
            <w:gridSpan w:val="2"/>
            <w:shd w:val="clear" w:color="auto" w:fill="FFFFFF"/>
          </w:tcPr>
          <w:p w14:paraId="3D89C2DF" w14:textId="661C9105"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6905C36B"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22628DFE" w14:textId="77777777" w:rsidTr="006A2AD4">
        <w:trPr>
          <w:trHeight w:val="236"/>
          <w:jc w:val="center"/>
        </w:trPr>
        <w:tc>
          <w:tcPr>
            <w:tcW w:w="4713" w:type="dxa"/>
            <w:shd w:val="clear" w:color="auto" w:fill="FFFFFF"/>
          </w:tcPr>
          <w:p w14:paraId="76AB935E" w14:textId="77777777" w:rsidR="004118DD" w:rsidRPr="00787196" w:rsidRDefault="004118DD" w:rsidP="00755F46">
            <w:pPr>
              <w:autoSpaceDE w:val="0"/>
              <w:autoSpaceDN w:val="0"/>
              <w:adjustRightInd w:val="0"/>
              <w:spacing w:before="0" w:after="0" w:line="240" w:lineRule="auto"/>
              <w:ind w:firstLine="142"/>
              <w:rPr>
                <w:rFonts w:cs="Arial"/>
                <w:color w:val="000000"/>
                <w:sz w:val="20"/>
                <w:szCs w:val="20"/>
              </w:rPr>
            </w:pPr>
            <w:r w:rsidRPr="00787196">
              <w:rPr>
                <w:rFonts w:cs="Arial"/>
                <w:color w:val="000000"/>
                <w:sz w:val="20"/>
                <w:szCs w:val="20"/>
              </w:rPr>
              <w:t>Female</w:t>
            </w:r>
          </w:p>
        </w:tc>
        <w:tc>
          <w:tcPr>
            <w:tcW w:w="2026" w:type="dxa"/>
            <w:gridSpan w:val="2"/>
            <w:shd w:val="clear" w:color="auto" w:fill="FFFFFF"/>
          </w:tcPr>
          <w:p w14:paraId="2F41623A" w14:textId="39BB6B9F" w:rsidR="004118DD" w:rsidRPr="00787196" w:rsidRDefault="00B61FA3"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115</w:t>
            </w:r>
          </w:p>
        </w:tc>
        <w:tc>
          <w:tcPr>
            <w:tcW w:w="1199" w:type="dxa"/>
            <w:tcBorders>
              <w:left w:val="nil"/>
              <w:right w:val="nil"/>
            </w:tcBorders>
            <w:shd w:val="clear" w:color="auto" w:fill="FFFFFF"/>
          </w:tcPr>
          <w:p w14:paraId="7A622641"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57.2</w:t>
            </w:r>
          </w:p>
        </w:tc>
      </w:tr>
      <w:tr w:rsidR="00776075" w:rsidRPr="00787196" w14:paraId="4AC20304" w14:textId="77777777" w:rsidTr="006A2AD4">
        <w:trPr>
          <w:trHeight w:val="236"/>
          <w:jc w:val="center"/>
        </w:trPr>
        <w:tc>
          <w:tcPr>
            <w:tcW w:w="4713" w:type="dxa"/>
            <w:shd w:val="clear" w:color="auto" w:fill="FFFFFF"/>
          </w:tcPr>
          <w:p w14:paraId="2CADD135" w14:textId="04AB8447" w:rsidR="00776075" w:rsidRPr="00787196" w:rsidRDefault="00776075" w:rsidP="00755F46">
            <w:pPr>
              <w:autoSpaceDE w:val="0"/>
              <w:autoSpaceDN w:val="0"/>
              <w:adjustRightInd w:val="0"/>
              <w:spacing w:before="0" w:after="0" w:line="240" w:lineRule="auto"/>
              <w:ind w:firstLine="142"/>
              <w:rPr>
                <w:rFonts w:cs="Arial"/>
                <w:color w:val="000000"/>
                <w:sz w:val="20"/>
                <w:szCs w:val="20"/>
              </w:rPr>
            </w:pPr>
            <w:r w:rsidRPr="00787196">
              <w:rPr>
                <w:rFonts w:cs="Arial"/>
                <w:color w:val="000000"/>
                <w:sz w:val="20"/>
                <w:szCs w:val="20"/>
              </w:rPr>
              <w:t>Male</w:t>
            </w:r>
          </w:p>
        </w:tc>
        <w:tc>
          <w:tcPr>
            <w:tcW w:w="2026" w:type="dxa"/>
            <w:gridSpan w:val="2"/>
            <w:shd w:val="clear" w:color="auto" w:fill="FFFFFF"/>
          </w:tcPr>
          <w:p w14:paraId="233F9A6C" w14:textId="1D39493D" w:rsidR="00776075" w:rsidRPr="00787196" w:rsidRDefault="00B61FA3"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86</w:t>
            </w:r>
          </w:p>
        </w:tc>
        <w:tc>
          <w:tcPr>
            <w:tcW w:w="1199" w:type="dxa"/>
            <w:tcBorders>
              <w:left w:val="nil"/>
              <w:right w:val="nil"/>
            </w:tcBorders>
            <w:shd w:val="clear" w:color="auto" w:fill="FFFFFF"/>
          </w:tcPr>
          <w:p w14:paraId="5A13F59A" w14:textId="138A427D" w:rsidR="00776075" w:rsidRPr="00787196" w:rsidRDefault="00B61FA3" w:rsidP="00B61FA3">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32.8</w:t>
            </w:r>
          </w:p>
        </w:tc>
      </w:tr>
      <w:tr w:rsidR="004118DD" w:rsidRPr="00787196" w14:paraId="13E1F11B" w14:textId="77777777" w:rsidTr="006A2AD4">
        <w:trPr>
          <w:trHeight w:val="143"/>
          <w:jc w:val="center"/>
        </w:trPr>
        <w:tc>
          <w:tcPr>
            <w:tcW w:w="4713" w:type="dxa"/>
            <w:shd w:val="clear" w:color="auto" w:fill="FFFFFF"/>
          </w:tcPr>
          <w:p w14:paraId="39EDFED9"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7A569FCC"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683D548F"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67CCEA5F" w14:textId="77777777" w:rsidTr="006A2AD4">
        <w:trPr>
          <w:trHeight w:val="103"/>
          <w:jc w:val="center"/>
        </w:trPr>
        <w:tc>
          <w:tcPr>
            <w:tcW w:w="4713" w:type="dxa"/>
            <w:shd w:val="clear" w:color="auto" w:fill="FFFFFF"/>
          </w:tcPr>
          <w:p w14:paraId="5DEB55A6" w14:textId="77777777" w:rsidR="004118DD" w:rsidRPr="00787196" w:rsidRDefault="004118DD" w:rsidP="00755F46">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Age</w:t>
            </w:r>
          </w:p>
        </w:tc>
        <w:tc>
          <w:tcPr>
            <w:tcW w:w="2026" w:type="dxa"/>
            <w:gridSpan w:val="2"/>
            <w:shd w:val="clear" w:color="auto" w:fill="FFFFFF"/>
          </w:tcPr>
          <w:p w14:paraId="2841AE0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shd w:val="clear" w:color="auto" w:fill="FFFFFF"/>
          </w:tcPr>
          <w:p w14:paraId="7ABE0B85"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2A3BB5FD" w14:textId="77777777" w:rsidTr="006A2AD4">
        <w:trPr>
          <w:trHeight w:val="124"/>
          <w:jc w:val="center"/>
        </w:trPr>
        <w:tc>
          <w:tcPr>
            <w:tcW w:w="4713" w:type="dxa"/>
            <w:shd w:val="clear" w:color="auto" w:fill="FFFFFF"/>
          </w:tcPr>
          <w:p w14:paraId="3B481E7F"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18-29</w:t>
            </w:r>
          </w:p>
        </w:tc>
        <w:tc>
          <w:tcPr>
            <w:tcW w:w="2026" w:type="dxa"/>
            <w:gridSpan w:val="2"/>
            <w:shd w:val="clear" w:color="auto" w:fill="FFFFFF"/>
          </w:tcPr>
          <w:p w14:paraId="58C6BBC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p>
        </w:tc>
        <w:tc>
          <w:tcPr>
            <w:tcW w:w="1199" w:type="dxa"/>
            <w:tcBorders>
              <w:left w:val="nil"/>
              <w:right w:val="nil"/>
            </w:tcBorders>
            <w:shd w:val="clear" w:color="auto" w:fill="FFFFFF"/>
          </w:tcPr>
          <w:p w14:paraId="5B1E0892"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r>
      <w:tr w:rsidR="004118DD" w:rsidRPr="00787196" w14:paraId="1863567C" w14:textId="77777777" w:rsidTr="006A2AD4">
        <w:trPr>
          <w:trHeight w:val="142"/>
          <w:jc w:val="center"/>
        </w:trPr>
        <w:tc>
          <w:tcPr>
            <w:tcW w:w="4713" w:type="dxa"/>
            <w:shd w:val="clear" w:color="auto" w:fill="FFFFFF"/>
          </w:tcPr>
          <w:p w14:paraId="4FC1626E"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30-39</w:t>
            </w:r>
          </w:p>
        </w:tc>
        <w:tc>
          <w:tcPr>
            <w:tcW w:w="2026" w:type="dxa"/>
            <w:gridSpan w:val="2"/>
            <w:shd w:val="clear" w:color="auto" w:fill="FFFFFF"/>
          </w:tcPr>
          <w:p w14:paraId="48EA06A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w:t>
            </w:r>
          </w:p>
        </w:tc>
        <w:tc>
          <w:tcPr>
            <w:tcW w:w="1199" w:type="dxa"/>
            <w:shd w:val="clear" w:color="auto" w:fill="FFFFFF"/>
          </w:tcPr>
          <w:p w14:paraId="550E15B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3.5</w:t>
            </w:r>
          </w:p>
        </w:tc>
      </w:tr>
      <w:tr w:rsidR="004118DD" w:rsidRPr="00787196" w14:paraId="72BBF25F" w14:textId="77777777" w:rsidTr="006A2AD4">
        <w:trPr>
          <w:trHeight w:val="142"/>
          <w:jc w:val="center"/>
        </w:trPr>
        <w:tc>
          <w:tcPr>
            <w:tcW w:w="4713" w:type="dxa"/>
            <w:shd w:val="clear" w:color="auto" w:fill="FFFFFF"/>
          </w:tcPr>
          <w:p w14:paraId="35F9A073"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40-49</w:t>
            </w:r>
          </w:p>
        </w:tc>
        <w:tc>
          <w:tcPr>
            <w:tcW w:w="2026" w:type="dxa"/>
            <w:gridSpan w:val="2"/>
            <w:shd w:val="clear" w:color="auto" w:fill="FFFFFF"/>
          </w:tcPr>
          <w:p w14:paraId="448D279B"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37</w:t>
            </w:r>
          </w:p>
        </w:tc>
        <w:tc>
          <w:tcPr>
            <w:tcW w:w="1199" w:type="dxa"/>
            <w:tcBorders>
              <w:left w:val="nil"/>
              <w:right w:val="nil"/>
            </w:tcBorders>
            <w:shd w:val="clear" w:color="auto" w:fill="FFFFFF"/>
          </w:tcPr>
          <w:p w14:paraId="76353840"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18.4</w:t>
            </w:r>
          </w:p>
        </w:tc>
      </w:tr>
      <w:tr w:rsidR="004118DD" w:rsidRPr="00787196" w14:paraId="68FA5216" w14:textId="77777777" w:rsidTr="006A2AD4">
        <w:trPr>
          <w:trHeight w:val="142"/>
          <w:jc w:val="center"/>
        </w:trPr>
        <w:tc>
          <w:tcPr>
            <w:tcW w:w="4713" w:type="dxa"/>
            <w:shd w:val="clear" w:color="auto" w:fill="FFFFFF"/>
          </w:tcPr>
          <w:p w14:paraId="2F4E21EC"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50 and above</w:t>
            </w:r>
          </w:p>
        </w:tc>
        <w:tc>
          <w:tcPr>
            <w:tcW w:w="2026" w:type="dxa"/>
            <w:gridSpan w:val="2"/>
            <w:shd w:val="clear" w:color="auto" w:fill="FFFFFF"/>
          </w:tcPr>
          <w:p w14:paraId="63781481"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156</w:t>
            </w:r>
          </w:p>
        </w:tc>
        <w:tc>
          <w:tcPr>
            <w:tcW w:w="1199" w:type="dxa"/>
            <w:shd w:val="clear" w:color="auto" w:fill="FFFFFF"/>
          </w:tcPr>
          <w:p w14:paraId="10B7746E"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77.6</w:t>
            </w:r>
          </w:p>
        </w:tc>
      </w:tr>
      <w:tr w:rsidR="004118DD" w:rsidRPr="00787196" w14:paraId="3AF5587E" w14:textId="77777777" w:rsidTr="006A2AD4">
        <w:trPr>
          <w:trHeight w:val="143"/>
          <w:jc w:val="center"/>
        </w:trPr>
        <w:tc>
          <w:tcPr>
            <w:tcW w:w="4713" w:type="dxa"/>
            <w:shd w:val="clear" w:color="auto" w:fill="FFFFFF"/>
          </w:tcPr>
          <w:p w14:paraId="662C03AF"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41964DC8"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3E32B92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054A7560" w14:textId="77777777" w:rsidTr="006A2AD4">
        <w:trPr>
          <w:trHeight w:val="245"/>
          <w:jc w:val="center"/>
        </w:trPr>
        <w:tc>
          <w:tcPr>
            <w:tcW w:w="4713" w:type="dxa"/>
            <w:shd w:val="clear" w:color="auto" w:fill="FFFFFF"/>
          </w:tcPr>
          <w:p w14:paraId="7150BF60" w14:textId="77777777" w:rsidR="004118DD" w:rsidRPr="00787196" w:rsidRDefault="004118DD" w:rsidP="00755F46">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Monthly income in (₹) rupees</w:t>
            </w:r>
            <w:r w:rsidR="00EE0F13" w:rsidRPr="00787196">
              <w:rPr>
                <w:rFonts w:cs="Arial"/>
                <w:b/>
                <w:bCs/>
                <w:color w:val="000000"/>
                <w:sz w:val="20"/>
                <w:szCs w:val="20"/>
              </w:rPr>
              <w:t xml:space="preserve"> (1 rupee = </w:t>
            </w:r>
            <w:r w:rsidR="00510156" w:rsidRPr="00787196">
              <w:rPr>
                <w:rFonts w:cs="Arial"/>
                <w:b/>
                <w:bCs/>
                <w:color w:val="000000"/>
                <w:sz w:val="20"/>
                <w:szCs w:val="20"/>
              </w:rPr>
              <w:t>£</w:t>
            </w:r>
            <w:r w:rsidR="00EE0F13" w:rsidRPr="00787196">
              <w:rPr>
                <w:rFonts w:cs="Arial"/>
                <w:b/>
                <w:bCs/>
                <w:color w:val="000000"/>
                <w:sz w:val="20"/>
                <w:szCs w:val="20"/>
              </w:rPr>
              <w:t>0.0</w:t>
            </w:r>
            <w:r w:rsidR="00510156" w:rsidRPr="00787196">
              <w:rPr>
                <w:rFonts w:cs="Arial"/>
                <w:b/>
                <w:bCs/>
                <w:color w:val="000000"/>
                <w:sz w:val="20"/>
                <w:szCs w:val="20"/>
              </w:rPr>
              <w:t>1)</w:t>
            </w:r>
          </w:p>
        </w:tc>
        <w:tc>
          <w:tcPr>
            <w:tcW w:w="2026" w:type="dxa"/>
            <w:gridSpan w:val="2"/>
            <w:shd w:val="clear" w:color="auto" w:fill="FFFFFF"/>
          </w:tcPr>
          <w:p w14:paraId="41CAAB6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171E6D0E"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517FAC1E" w14:textId="77777777" w:rsidTr="006A2AD4">
        <w:trPr>
          <w:trHeight w:val="251"/>
          <w:jc w:val="center"/>
        </w:trPr>
        <w:tc>
          <w:tcPr>
            <w:tcW w:w="4713" w:type="dxa"/>
            <w:shd w:val="clear" w:color="auto" w:fill="FFFFFF"/>
          </w:tcPr>
          <w:p w14:paraId="14859BB3"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1520 or less</w:t>
            </w:r>
          </w:p>
        </w:tc>
        <w:tc>
          <w:tcPr>
            <w:tcW w:w="2026" w:type="dxa"/>
            <w:gridSpan w:val="2"/>
            <w:shd w:val="clear" w:color="auto" w:fill="FFFFFF"/>
          </w:tcPr>
          <w:p w14:paraId="64B2E1DD"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50</w:t>
            </w:r>
          </w:p>
        </w:tc>
        <w:tc>
          <w:tcPr>
            <w:tcW w:w="1199" w:type="dxa"/>
            <w:shd w:val="clear" w:color="auto" w:fill="FFFFFF"/>
          </w:tcPr>
          <w:p w14:paraId="3D8FD232"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24.9</w:t>
            </w:r>
          </w:p>
        </w:tc>
      </w:tr>
      <w:tr w:rsidR="004118DD" w:rsidRPr="00787196" w14:paraId="5B278B54" w14:textId="77777777" w:rsidTr="006A2AD4">
        <w:trPr>
          <w:trHeight w:val="251"/>
          <w:jc w:val="center"/>
        </w:trPr>
        <w:tc>
          <w:tcPr>
            <w:tcW w:w="4713" w:type="dxa"/>
            <w:shd w:val="clear" w:color="auto" w:fill="FFFFFF"/>
          </w:tcPr>
          <w:p w14:paraId="29FAE094"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1521-4555</w:t>
            </w:r>
          </w:p>
        </w:tc>
        <w:tc>
          <w:tcPr>
            <w:tcW w:w="2026" w:type="dxa"/>
            <w:gridSpan w:val="2"/>
            <w:shd w:val="clear" w:color="auto" w:fill="FFFFFF"/>
          </w:tcPr>
          <w:p w14:paraId="188653E7"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59</w:t>
            </w:r>
          </w:p>
        </w:tc>
        <w:tc>
          <w:tcPr>
            <w:tcW w:w="1199" w:type="dxa"/>
            <w:tcBorders>
              <w:left w:val="nil"/>
              <w:right w:val="nil"/>
            </w:tcBorders>
            <w:shd w:val="clear" w:color="auto" w:fill="FFFFFF"/>
          </w:tcPr>
          <w:p w14:paraId="744D78FE"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29.4</w:t>
            </w:r>
          </w:p>
        </w:tc>
      </w:tr>
      <w:tr w:rsidR="004118DD" w:rsidRPr="00787196" w14:paraId="30EF4E2B" w14:textId="77777777" w:rsidTr="006A2AD4">
        <w:trPr>
          <w:trHeight w:val="251"/>
          <w:jc w:val="center"/>
        </w:trPr>
        <w:tc>
          <w:tcPr>
            <w:tcW w:w="4713" w:type="dxa"/>
            <w:shd w:val="clear" w:color="auto" w:fill="FFFFFF"/>
          </w:tcPr>
          <w:p w14:paraId="1718F474"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4556-7593</w:t>
            </w:r>
          </w:p>
        </w:tc>
        <w:tc>
          <w:tcPr>
            <w:tcW w:w="2026" w:type="dxa"/>
            <w:gridSpan w:val="2"/>
            <w:shd w:val="clear" w:color="auto" w:fill="FFFFFF"/>
          </w:tcPr>
          <w:p w14:paraId="3366BEF0"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50</w:t>
            </w:r>
          </w:p>
        </w:tc>
        <w:tc>
          <w:tcPr>
            <w:tcW w:w="1199" w:type="dxa"/>
            <w:tcBorders>
              <w:left w:val="nil"/>
              <w:right w:val="nil"/>
            </w:tcBorders>
            <w:shd w:val="clear" w:color="auto" w:fill="FFFFFF"/>
          </w:tcPr>
          <w:p w14:paraId="07B7CAE4"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24.9</w:t>
            </w:r>
          </w:p>
        </w:tc>
      </w:tr>
      <w:tr w:rsidR="004118DD" w:rsidRPr="00787196" w14:paraId="2182D3A5" w14:textId="77777777" w:rsidTr="006A2AD4">
        <w:trPr>
          <w:trHeight w:val="251"/>
          <w:jc w:val="center"/>
        </w:trPr>
        <w:tc>
          <w:tcPr>
            <w:tcW w:w="4713" w:type="dxa"/>
            <w:shd w:val="clear" w:color="auto" w:fill="FFFFFF"/>
          </w:tcPr>
          <w:p w14:paraId="67968A15"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7594-11631</w:t>
            </w:r>
          </w:p>
        </w:tc>
        <w:tc>
          <w:tcPr>
            <w:tcW w:w="2026" w:type="dxa"/>
            <w:gridSpan w:val="2"/>
            <w:shd w:val="clear" w:color="auto" w:fill="FFFFFF"/>
          </w:tcPr>
          <w:p w14:paraId="153C25E4"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20</w:t>
            </w:r>
          </w:p>
        </w:tc>
        <w:tc>
          <w:tcPr>
            <w:tcW w:w="1199" w:type="dxa"/>
            <w:tcBorders>
              <w:left w:val="nil"/>
              <w:right w:val="nil"/>
            </w:tcBorders>
            <w:shd w:val="clear" w:color="auto" w:fill="FFFFFF"/>
          </w:tcPr>
          <w:p w14:paraId="3F8662A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w:t>
            </w:r>
            <w:r w:rsidR="009B0EF2" w:rsidRPr="00787196">
              <w:rPr>
                <w:rFonts w:cs="Arial"/>
                <w:color w:val="000000"/>
                <w:sz w:val="20"/>
                <w:szCs w:val="20"/>
              </w:rPr>
              <w:t>.0</w:t>
            </w:r>
          </w:p>
        </w:tc>
      </w:tr>
      <w:tr w:rsidR="004118DD" w:rsidRPr="00787196" w14:paraId="7B041613" w14:textId="77777777" w:rsidTr="006A2AD4">
        <w:trPr>
          <w:trHeight w:val="256"/>
          <w:jc w:val="center"/>
        </w:trPr>
        <w:tc>
          <w:tcPr>
            <w:tcW w:w="4713" w:type="dxa"/>
            <w:shd w:val="clear" w:color="auto" w:fill="FFFFFF"/>
          </w:tcPr>
          <w:p w14:paraId="32FE1EE9"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11362-15187</w:t>
            </w:r>
          </w:p>
        </w:tc>
        <w:tc>
          <w:tcPr>
            <w:tcW w:w="2026" w:type="dxa"/>
            <w:gridSpan w:val="2"/>
            <w:shd w:val="clear" w:color="auto" w:fill="FFFFFF"/>
          </w:tcPr>
          <w:p w14:paraId="59F48C70"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w:t>
            </w:r>
          </w:p>
        </w:tc>
        <w:tc>
          <w:tcPr>
            <w:tcW w:w="1199" w:type="dxa"/>
            <w:shd w:val="clear" w:color="auto" w:fill="FFFFFF"/>
          </w:tcPr>
          <w:p w14:paraId="15BC7C95"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6.5</w:t>
            </w:r>
          </w:p>
        </w:tc>
      </w:tr>
      <w:tr w:rsidR="004118DD" w:rsidRPr="00787196" w14:paraId="446DDA4F" w14:textId="77777777" w:rsidTr="006A2AD4">
        <w:trPr>
          <w:trHeight w:val="143"/>
          <w:jc w:val="center"/>
        </w:trPr>
        <w:tc>
          <w:tcPr>
            <w:tcW w:w="4713" w:type="dxa"/>
            <w:shd w:val="clear" w:color="auto" w:fill="FFFFFF"/>
          </w:tcPr>
          <w:p w14:paraId="66CFCEB6"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15188-30374</w:t>
            </w:r>
          </w:p>
        </w:tc>
        <w:tc>
          <w:tcPr>
            <w:tcW w:w="2026" w:type="dxa"/>
            <w:gridSpan w:val="2"/>
            <w:shd w:val="clear" w:color="auto" w:fill="FFFFFF"/>
          </w:tcPr>
          <w:p w14:paraId="4D3A070A"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w:t>
            </w:r>
          </w:p>
        </w:tc>
        <w:tc>
          <w:tcPr>
            <w:tcW w:w="1199" w:type="dxa"/>
            <w:tcBorders>
              <w:left w:val="nil"/>
              <w:right w:val="nil"/>
            </w:tcBorders>
            <w:shd w:val="clear" w:color="auto" w:fill="FFFFFF"/>
          </w:tcPr>
          <w:p w14:paraId="462CEC30"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w:t>
            </w:r>
            <w:r w:rsidR="009B0EF2" w:rsidRPr="00787196">
              <w:rPr>
                <w:rFonts w:cs="Arial"/>
                <w:color w:val="000000"/>
                <w:sz w:val="20"/>
                <w:szCs w:val="20"/>
              </w:rPr>
              <w:t>.0</w:t>
            </w:r>
          </w:p>
        </w:tc>
      </w:tr>
      <w:tr w:rsidR="004118DD" w:rsidRPr="00787196" w14:paraId="71174063" w14:textId="77777777" w:rsidTr="006A2AD4">
        <w:trPr>
          <w:trHeight w:val="143"/>
          <w:jc w:val="center"/>
        </w:trPr>
        <w:tc>
          <w:tcPr>
            <w:tcW w:w="4713" w:type="dxa"/>
            <w:shd w:val="clear" w:color="auto" w:fill="FFFFFF"/>
          </w:tcPr>
          <w:p w14:paraId="455CDF9E"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30375 or more</w:t>
            </w:r>
          </w:p>
        </w:tc>
        <w:tc>
          <w:tcPr>
            <w:tcW w:w="2026" w:type="dxa"/>
            <w:gridSpan w:val="2"/>
            <w:shd w:val="clear" w:color="auto" w:fill="FFFFFF"/>
          </w:tcPr>
          <w:p w14:paraId="16FB7EDA"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p>
        </w:tc>
        <w:tc>
          <w:tcPr>
            <w:tcW w:w="1199" w:type="dxa"/>
            <w:tcBorders>
              <w:left w:val="nil"/>
              <w:right w:val="nil"/>
            </w:tcBorders>
            <w:shd w:val="clear" w:color="auto" w:fill="FFFFFF"/>
          </w:tcPr>
          <w:p w14:paraId="493E2B7D"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r>
      <w:tr w:rsidR="004118DD" w:rsidRPr="00787196" w14:paraId="241400BA" w14:textId="77777777" w:rsidTr="006A2AD4">
        <w:trPr>
          <w:trHeight w:val="143"/>
          <w:jc w:val="center"/>
        </w:trPr>
        <w:tc>
          <w:tcPr>
            <w:tcW w:w="4713" w:type="dxa"/>
            <w:shd w:val="clear" w:color="auto" w:fill="FFFFFF"/>
          </w:tcPr>
          <w:p w14:paraId="240DF7F9"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46EED569"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537E01B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76C20BEB" w14:textId="77777777" w:rsidTr="006A2AD4">
        <w:trPr>
          <w:trHeight w:val="251"/>
          <w:jc w:val="center"/>
        </w:trPr>
        <w:tc>
          <w:tcPr>
            <w:tcW w:w="4713" w:type="dxa"/>
            <w:shd w:val="clear" w:color="auto" w:fill="FFFFFF"/>
          </w:tcPr>
          <w:p w14:paraId="2E6CAB19" w14:textId="77777777" w:rsidR="004118DD" w:rsidRPr="00787196" w:rsidRDefault="004118DD" w:rsidP="00755F46">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Education</w:t>
            </w:r>
          </w:p>
        </w:tc>
        <w:tc>
          <w:tcPr>
            <w:tcW w:w="2026" w:type="dxa"/>
            <w:gridSpan w:val="2"/>
            <w:shd w:val="clear" w:color="auto" w:fill="FFFFFF"/>
          </w:tcPr>
          <w:p w14:paraId="19ECBB85"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29E2A43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3AE0C5B5" w14:textId="77777777" w:rsidTr="006A2AD4">
        <w:trPr>
          <w:trHeight w:val="251"/>
          <w:jc w:val="center"/>
        </w:trPr>
        <w:tc>
          <w:tcPr>
            <w:tcW w:w="4713" w:type="dxa"/>
            <w:shd w:val="clear" w:color="auto" w:fill="FFFFFF"/>
          </w:tcPr>
          <w:p w14:paraId="0D503CF2"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Profession or Honours degree</w:t>
            </w:r>
          </w:p>
        </w:tc>
        <w:tc>
          <w:tcPr>
            <w:tcW w:w="2026" w:type="dxa"/>
            <w:gridSpan w:val="2"/>
            <w:shd w:val="clear" w:color="auto" w:fill="FFFFFF"/>
          </w:tcPr>
          <w:p w14:paraId="5A3ECC15"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Nil</w:t>
            </w:r>
          </w:p>
        </w:tc>
        <w:tc>
          <w:tcPr>
            <w:tcW w:w="1199" w:type="dxa"/>
            <w:tcBorders>
              <w:left w:val="nil"/>
              <w:right w:val="nil"/>
            </w:tcBorders>
            <w:shd w:val="clear" w:color="auto" w:fill="FFFFFF"/>
          </w:tcPr>
          <w:p w14:paraId="36281600"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Nil</w:t>
            </w:r>
          </w:p>
        </w:tc>
      </w:tr>
      <w:tr w:rsidR="004118DD" w:rsidRPr="00787196" w14:paraId="73106EED" w14:textId="77777777" w:rsidTr="006A2AD4">
        <w:trPr>
          <w:trHeight w:val="251"/>
          <w:jc w:val="center"/>
        </w:trPr>
        <w:tc>
          <w:tcPr>
            <w:tcW w:w="4713" w:type="dxa"/>
            <w:shd w:val="clear" w:color="auto" w:fill="FFFFFF"/>
          </w:tcPr>
          <w:p w14:paraId="5C0D8413"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Graduate or Postgraduate degree</w:t>
            </w:r>
          </w:p>
        </w:tc>
        <w:tc>
          <w:tcPr>
            <w:tcW w:w="2026" w:type="dxa"/>
            <w:gridSpan w:val="2"/>
            <w:shd w:val="clear" w:color="auto" w:fill="FFFFFF"/>
          </w:tcPr>
          <w:p w14:paraId="0D90A625"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w:t>
            </w:r>
          </w:p>
        </w:tc>
        <w:tc>
          <w:tcPr>
            <w:tcW w:w="1199" w:type="dxa"/>
            <w:tcBorders>
              <w:left w:val="nil"/>
              <w:right w:val="nil"/>
            </w:tcBorders>
            <w:shd w:val="clear" w:color="auto" w:fill="FFFFFF"/>
          </w:tcPr>
          <w:p w14:paraId="014299BC"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6.5</w:t>
            </w:r>
          </w:p>
        </w:tc>
      </w:tr>
      <w:tr w:rsidR="004118DD" w:rsidRPr="00787196" w14:paraId="0CD962BB" w14:textId="77777777" w:rsidTr="006A2AD4">
        <w:trPr>
          <w:trHeight w:val="256"/>
          <w:jc w:val="center"/>
        </w:trPr>
        <w:tc>
          <w:tcPr>
            <w:tcW w:w="4713" w:type="dxa"/>
            <w:shd w:val="clear" w:color="auto" w:fill="FFFFFF"/>
          </w:tcPr>
          <w:p w14:paraId="587C6BB0"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Intermediate or post high school diploma</w:t>
            </w:r>
          </w:p>
        </w:tc>
        <w:tc>
          <w:tcPr>
            <w:tcW w:w="2026" w:type="dxa"/>
            <w:gridSpan w:val="2"/>
            <w:shd w:val="clear" w:color="auto" w:fill="FFFFFF"/>
          </w:tcPr>
          <w:p w14:paraId="383C3267"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w:t>
            </w:r>
          </w:p>
        </w:tc>
        <w:tc>
          <w:tcPr>
            <w:tcW w:w="1199" w:type="dxa"/>
            <w:shd w:val="clear" w:color="auto" w:fill="FFFFFF"/>
          </w:tcPr>
          <w:p w14:paraId="78666FBB"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w:t>
            </w:r>
            <w:r w:rsidR="009B0EF2" w:rsidRPr="00787196">
              <w:rPr>
                <w:rFonts w:cs="Arial"/>
                <w:color w:val="000000"/>
                <w:sz w:val="20"/>
                <w:szCs w:val="20"/>
              </w:rPr>
              <w:t>.0</w:t>
            </w:r>
          </w:p>
        </w:tc>
      </w:tr>
      <w:tr w:rsidR="004118DD" w:rsidRPr="00787196" w14:paraId="623B28B4" w14:textId="77777777" w:rsidTr="006A2AD4">
        <w:trPr>
          <w:trHeight w:val="143"/>
          <w:jc w:val="center"/>
        </w:trPr>
        <w:tc>
          <w:tcPr>
            <w:tcW w:w="4713" w:type="dxa"/>
            <w:shd w:val="clear" w:color="auto" w:fill="FFFFFF"/>
          </w:tcPr>
          <w:p w14:paraId="0AAD54E9"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High school certificate</w:t>
            </w:r>
          </w:p>
        </w:tc>
        <w:tc>
          <w:tcPr>
            <w:tcW w:w="2026" w:type="dxa"/>
            <w:gridSpan w:val="2"/>
            <w:shd w:val="clear" w:color="auto" w:fill="FFFFFF"/>
          </w:tcPr>
          <w:p w14:paraId="369F323B"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52</w:t>
            </w:r>
          </w:p>
        </w:tc>
        <w:tc>
          <w:tcPr>
            <w:tcW w:w="1199" w:type="dxa"/>
            <w:tcBorders>
              <w:left w:val="nil"/>
              <w:right w:val="nil"/>
            </w:tcBorders>
            <w:shd w:val="clear" w:color="auto" w:fill="FFFFFF"/>
          </w:tcPr>
          <w:p w14:paraId="1456D522"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25.9</w:t>
            </w:r>
          </w:p>
        </w:tc>
      </w:tr>
      <w:tr w:rsidR="004118DD" w:rsidRPr="00787196" w14:paraId="199EEE7C" w14:textId="77777777" w:rsidTr="006A2AD4">
        <w:trPr>
          <w:trHeight w:val="264"/>
          <w:jc w:val="center"/>
        </w:trPr>
        <w:tc>
          <w:tcPr>
            <w:tcW w:w="4713" w:type="dxa"/>
            <w:shd w:val="clear" w:color="auto" w:fill="FFFFFF"/>
          </w:tcPr>
          <w:p w14:paraId="129579CE"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Middle School certificate</w:t>
            </w:r>
          </w:p>
        </w:tc>
        <w:tc>
          <w:tcPr>
            <w:tcW w:w="2026" w:type="dxa"/>
            <w:gridSpan w:val="2"/>
            <w:shd w:val="clear" w:color="auto" w:fill="FFFFFF"/>
          </w:tcPr>
          <w:p w14:paraId="0B6E8358"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75</w:t>
            </w:r>
          </w:p>
        </w:tc>
        <w:tc>
          <w:tcPr>
            <w:tcW w:w="1199" w:type="dxa"/>
            <w:shd w:val="clear" w:color="auto" w:fill="FFFFFF"/>
          </w:tcPr>
          <w:p w14:paraId="29B1809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37.3</w:t>
            </w:r>
          </w:p>
        </w:tc>
      </w:tr>
      <w:tr w:rsidR="004118DD" w:rsidRPr="00787196" w14:paraId="28D38260" w14:textId="77777777" w:rsidTr="006A2AD4">
        <w:trPr>
          <w:trHeight w:val="143"/>
          <w:jc w:val="center"/>
        </w:trPr>
        <w:tc>
          <w:tcPr>
            <w:tcW w:w="4713" w:type="dxa"/>
            <w:shd w:val="clear" w:color="auto" w:fill="FFFFFF"/>
          </w:tcPr>
          <w:p w14:paraId="012FC56C"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Primary School certificate</w:t>
            </w:r>
          </w:p>
        </w:tc>
        <w:tc>
          <w:tcPr>
            <w:tcW w:w="2026" w:type="dxa"/>
            <w:gridSpan w:val="2"/>
            <w:shd w:val="clear" w:color="auto" w:fill="FFFFFF"/>
          </w:tcPr>
          <w:p w14:paraId="20B56075"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40</w:t>
            </w:r>
          </w:p>
        </w:tc>
        <w:tc>
          <w:tcPr>
            <w:tcW w:w="1199" w:type="dxa"/>
            <w:tcBorders>
              <w:left w:val="nil"/>
              <w:right w:val="nil"/>
            </w:tcBorders>
            <w:shd w:val="clear" w:color="auto" w:fill="FFFFFF"/>
          </w:tcPr>
          <w:p w14:paraId="69422006"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19.9</w:t>
            </w:r>
          </w:p>
        </w:tc>
      </w:tr>
      <w:tr w:rsidR="004118DD" w:rsidRPr="00787196" w14:paraId="1913485E" w14:textId="77777777" w:rsidTr="006A2AD4">
        <w:trPr>
          <w:trHeight w:val="264"/>
          <w:jc w:val="center"/>
        </w:trPr>
        <w:tc>
          <w:tcPr>
            <w:tcW w:w="4713" w:type="dxa"/>
            <w:shd w:val="clear" w:color="auto" w:fill="FFFFFF"/>
          </w:tcPr>
          <w:p w14:paraId="553D6627"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Illiterate</w:t>
            </w:r>
          </w:p>
        </w:tc>
        <w:tc>
          <w:tcPr>
            <w:tcW w:w="2026" w:type="dxa"/>
            <w:gridSpan w:val="2"/>
            <w:shd w:val="clear" w:color="auto" w:fill="FFFFFF"/>
          </w:tcPr>
          <w:p w14:paraId="2F84D8BC"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15</w:t>
            </w:r>
          </w:p>
        </w:tc>
        <w:tc>
          <w:tcPr>
            <w:tcW w:w="1199" w:type="dxa"/>
            <w:shd w:val="clear" w:color="auto" w:fill="FFFFFF"/>
          </w:tcPr>
          <w:p w14:paraId="167B73B9"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7.5</w:t>
            </w:r>
          </w:p>
        </w:tc>
      </w:tr>
      <w:tr w:rsidR="004118DD" w:rsidRPr="00787196" w14:paraId="2D951B6A" w14:textId="77777777" w:rsidTr="006A2AD4">
        <w:trPr>
          <w:trHeight w:val="143"/>
          <w:jc w:val="center"/>
        </w:trPr>
        <w:tc>
          <w:tcPr>
            <w:tcW w:w="4713" w:type="dxa"/>
            <w:shd w:val="clear" w:color="auto" w:fill="FFFFFF"/>
          </w:tcPr>
          <w:p w14:paraId="13CBEE8E"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118B7E1A"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2F716DFC"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53B8ADAF" w14:textId="77777777" w:rsidTr="006A2AD4">
        <w:trPr>
          <w:trHeight w:val="143"/>
          <w:jc w:val="center"/>
        </w:trPr>
        <w:tc>
          <w:tcPr>
            <w:tcW w:w="4713" w:type="dxa"/>
            <w:shd w:val="clear" w:color="auto" w:fill="FFFFFF"/>
          </w:tcPr>
          <w:p w14:paraId="4C497432" w14:textId="77777777" w:rsidR="004118DD" w:rsidRPr="00787196" w:rsidRDefault="004118DD" w:rsidP="00755F46">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Occupation</w:t>
            </w:r>
          </w:p>
        </w:tc>
        <w:tc>
          <w:tcPr>
            <w:tcW w:w="2026" w:type="dxa"/>
            <w:gridSpan w:val="2"/>
            <w:shd w:val="clear" w:color="auto" w:fill="FFFFFF"/>
          </w:tcPr>
          <w:p w14:paraId="38FB6EF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20DCDA8A"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7D4CAD" w:rsidRPr="00787196" w14:paraId="2190396A" w14:textId="77777777" w:rsidTr="006A2AD4">
        <w:trPr>
          <w:trHeight w:val="264"/>
          <w:jc w:val="center"/>
        </w:trPr>
        <w:tc>
          <w:tcPr>
            <w:tcW w:w="4713" w:type="dxa"/>
            <w:shd w:val="clear" w:color="auto" w:fill="FFFFFF"/>
          </w:tcPr>
          <w:p w14:paraId="6EEBEC56" w14:textId="77777777" w:rsidR="007D4CAD" w:rsidRPr="00787196" w:rsidRDefault="007D4CA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Professional</w:t>
            </w:r>
          </w:p>
        </w:tc>
        <w:tc>
          <w:tcPr>
            <w:tcW w:w="2026" w:type="dxa"/>
            <w:gridSpan w:val="2"/>
            <w:shd w:val="clear" w:color="auto" w:fill="FFFFFF"/>
          </w:tcPr>
          <w:p w14:paraId="6BD6904E"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w:t>
            </w:r>
          </w:p>
        </w:tc>
        <w:tc>
          <w:tcPr>
            <w:tcW w:w="1199" w:type="dxa"/>
            <w:shd w:val="clear" w:color="auto" w:fill="FFFFFF"/>
          </w:tcPr>
          <w:p w14:paraId="216B0449"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w:t>
            </w:r>
            <w:r w:rsidR="009B0EF2" w:rsidRPr="00787196">
              <w:rPr>
                <w:rFonts w:cs="Arial"/>
                <w:color w:val="000000"/>
                <w:sz w:val="20"/>
                <w:szCs w:val="20"/>
              </w:rPr>
              <w:t>.0</w:t>
            </w:r>
          </w:p>
        </w:tc>
      </w:tr>
      <w:tr w:rsidR="007D4CAD" w:rsidRPr="00787196" w14:paraId="7436B573" w14:textId="77777777" w:rsidTr="006A2AD4">
        <w:trPr>
          <w:trHeight w:val="143"/>
          <w:jc w:val="center"/>
        </w:trPr>
        <w:tc>
          <w:tcPr>
            <w:tcW w:w="4713" w:type="dxa"/>
            <w:shd w:val="clear" w:color="auto" w:fill="FFFFFF"/>
          </w:tcPr>
          <w:p w14:paraId="34F769A1" w14:textId="77777777" w:rsidR="007D4CAD" w:rsidRPr="00787196" w:rsidRDefault="007D4CA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Semi professional </w:t>
            </w:r>
          </w:p>
        </w:tc>
        <w:tc>
          <w:tcPr>
            <w:tcW w:w="2026" w:type="dxa"/>
            <w:gridSpan w:val="2"/>
            <w:shd w:val="clear" w:color="auto" w:fill="FFFFFF"/>
          </w:tcPr>
          <w:p w14:paraId="129C2254"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w:t>
            </w:r>
          </w:p>
        </w:tc>
        <w:tc>
          <w:tcPr>
            <w:tcW w:w="1199" w:type="dxa"/>
            <w:tcBorders>
              <w:left w:val="nil"/>
              <w:right w:val="nil"/>
            </w:tcBorders>
            <w:shd w:val="clear" w:color="auto" w:fill="FFFFFF"/>
          </w:tcPr>
          <w:p w14:paraId="0ADDA605"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1.5</w:t>
            </w:r>
          </w:p>
        </w:tc>
      </w:tr>
      <w:tr w:rsidR="007D4CAD" w:rsidRPr="00787196" w14:paraId="486B3D7F" w14:textId="77777777" w:rsidTr="006A2AD4">
        <w:trPr>
          <w:trHeight w:val="264"/>
          <w:jc w:val="center"/>
        </w:trPr>
        <w:tc>
          <w:tcPr>
            <w:tcW w:w="4713" w:type="dxa"/>
            <w:shd w:val="clear" w:color="auto" w:fill="FFFFFF"/>
          </w:tcPr>
          <w:p w14:paraId="71DC0059" w14:textId="77777777" w:rsidR="007D4CAD" w:rsidRPr="00787196" w:rsidRDefault="007D4CA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Clerical , shop owner, farmer</w:t>
            </w:r>
          </w:p>
        </w:tc>
        <w:tc>
          <w:tcPr>
            <w:tcW w:w="2026" w:type="dxa"/>
            <w:gridSpan w:val="2"/>
            <w:shd w:val="clear" w:color="auto" w:fill="FFFFFF"/>
          </w:tcPr>
          <w:p w14:paraId="2006550A"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34</w:t>
            </w:r>
          </w:p>
        </w:tc>
        <w:tc>
          <w:tcPr>
            <w:tcW w:w="1199" w:type="dxa"/>
            <w:shd w:val="clear" w:color="auto" w:fill="FFFFFF"/>
          </w:tcPr>
          <w:p w14:paraId="2DF91A1B"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16.9</w:t>
            </w:r>
          </w:p>
        </w:tc>
      </w:tr>
      <w:tr w:rsidR="007D4CAD" w:rsidRPr="00787196" w14:paraId="3EB50B71" w14:textId="77777777" w:rsidTr="006A2AD4">
        <w:trPr>
          <w:trHeight w:val="143"/>
          <w:jc w:val="center"/>
        </w:trPr>
        <w:tc>
          <w:tcPr>
            <w:tcW w:w="4713" w:type="dxa"/>
            <w:shd w:val="clear" w:color="auto" w:fill="FFFFFF"/>
          </w:tcPr>
          <w:p w14:paraId="55231A1C" w14:textId="77777777" w:rsidR="007D4CAD" w:rsidRPr="00787196" w:rsidRDefault="007D4CA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Skilled worker</w:t>
            </w:r>
          </w:p>
        </w:tc>
        <w:tc>
          <w:tcPr>
            <w:tcW w:w="2026" w:type="dxa"/>
            <w:gridSpan w:val="2"/>
            <w:shd w:val="clear" w:color="auto" w:fill="FFFFFF"/>
          </w:tcPr>
          <w:p w14:paraId="3EAD905E"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11</w:t>
            </w:r>
          </w:p>
        </w:tc>
        <w:tc>
          <w:tcPr>
            <w:tcW w:w="1199" w:type="dxa"/>
            <w:tcBorders>
              <w:left w:val="nil"/>
              <w:right w:val="nil"/>
            </w:tcBorders>
            <w:shd w:val="clear" w:color="auto" w:fill="FFFFFF"/>
          </w:tcPr>
          <w:p w14:paraId="23884B14" w14:textId="77777777" w:rsidR="007D4CA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5.5</w:t>
            </w:r>
          </w:p>
        </w:tc>
      </w:tr>
      <w:tr w:rsidR="004118DD" w:rsidRPr="00787196" w14:paraId="6791AC74" w14:textId="77777777" w:rsidTr="006A2AD4">
        <w:trPr>
          <w:trHeight w:val="143"/>
          <w:jc w:val="center"/>
        </w:trPr>
        <w:tc>
          <w:tcPr>
            <w:tcW w:w="4713" w:type="dxa"/>
            <w:shd w:val="clear" w:color="auto" w:fill="FFFFFF"/>
          </w:tcPr>
          <w:p w14:paraId="4284CB56"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Semi-skilled worker</w:t>
            </w:r>
          </w:p>
        </w:tc>
        <w:tc>
          <w:tcPr>
            <w:tcW w:w="2026" w:type="dxa"/>
            <w:gridSpan w:val="2"/>
            <w:shd w:val="clear" w:color="auto" w:fill="FFFFFF"/>
          </w:tcPr>
          <w:p w14:paraId="7B79818C"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11</w:t>
            </w:r>
          </w:p>
        </w:tc>
        <w:tc>
          <w:tcPr>
            <w:tcW w:w="1199" w:type="dxa"/>
            <w:tcBorders>
              <w:left w:val="nil"/>
              <w:right w:val="nil"/>
            </w:tcBorders>
            <w:shd w:val="clear" w:color="auto" w:fill="FFFFFF"/>
          </w:tcPr>
          <w:p w14:paraId="7F6BD9DB"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5.5</w:t>
            </w:r>
          </w:p>
        </w:tc>
      </w:tr>
      <w:tr w:rsidR="004118DD" w:rsidRPr="00787196" w14:paraId="45422925" w14:textId="77777777" w:rsidTr="006A2AD4">
        <w:trPr>
          <w:trHeight w:val="264"/>
          <w:jc w:val="center"/>
        </w:trPr>
        <w:tc>
          <w:tcPr>
            <w:tcW w:w="4713" w:type="dxa"/>
            <w:shd w:val="clear" w:color="auto" w:fill="FFFFFF"/>
          </w:tcPr>
          <w:p w14:paraId="5A91CEC2"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Unskilled worker</w:t>
            </w:r>
          </w:p>
        </w:tc>
        <w:tc>
          <w:tcPr>
            <w:tcW w:w="2026" w:type="dxa"/>
            <w:gridSpan w:val="2"/>
            <w:shd w:val="clear" w:color="auto" w:fill="FFFFFF"/>
          </w:tcPr>
          <w:p w14:paraId="26B5C28B"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16</w:t>
            </w:r>
          </w:p>
        </w:tc>
        <w:tc>
          <w:tcPr>
            <w:tcW w:w="1199" w:type="dxa"/>
            <w:shd w:val="clear" w:color="auto" w:fill="FFFFFF"/>
          </w:tcPr>
          <w:p w14:paraId="25F50EB6"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w:t>
            </w:r>
            <w:r w:rsidR="009B0EF2" w:rsidRPr="00787196">
              <w:rPr>
                <w:rFonts w:cs="Arial"/>
                <w:color w:val="000000"/>
                <w:sz w:val="20"/>
                <w:szCs w:val="20"/>
              </w:rPr>
              <w:t>.0</w:t>
            </w:r>
          </w:p>
        </w:tc>
      </w:tr>
      <w:tr w:rsidR="004118DD" w:rsidRPr="00787196" w14:paraId="12C812B2" w14:textId="77777777" w:rsidTr="006A2AD4">
        <w:trPr>
          <w:trHeight w:val="143"/>
          <w:jc w:val="center"/>
        </w:trPr>
        <w:tc>
          <w:tcPr>
            <w:tcW w:w="4713" w:type="dxa"/>
            <w:shd w:val="clear" w:color="auto" w:fill="FFFFFF"/>
          </w:tcPr>
          <w:p w14:paraId="16313FCB" w14:textId="09F7D51A" w:rsidR="004118DD" w:rsidRPr="00787196" w:rsidRDefault="00776075" w:rsidP="0077607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Not </w:t>
            </w:r>
            <w:r w:rsidR="004118DD" w:rsidRPr="00787196">
              <w:rPr>
                <w:rFonts w:cs="Arial"/>
                <w:color w:val="000000"/>
                <w:sz w:val="20"/>
                <w:szCs w:val="20"/>
              </w:rPr>
              <w:t>employed</w:t>
            </w:r>
            <w:r w:rsidRPr="00787196">
              <w:rPr>
                <w:rFonts w:cs="Arial"/>
                <w:color w:val="000000"/>
                <w:sz w:val="20"/>
                <w:szCs w:val="20"/>
              </w:rPr>
              <w:t xml:space="preserve"> / retired</w:t>
            </w:r>
          </w:p>
        </w:tc>
        <w:tc>
          <w:tcPr>
            <w:tcW w:w="2026" w:type="dxa"/>
            <w:gridSpan w:val="2"/>
            <w:shd w:val="clear" w:color="auto" w:fill="FFFFFF"/>
          </w:tcPr>
          <w:p w14:paraId="7A690FEE"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122</w:t>
            </w:r>
          </w:p>
        </w:tc>
        <w:tc>
          <w:tcPr>
            <w:tcW w:w="1199" w:type="dxa"/>
            <w:tcBorders>
              <w:left w:val="nil"/>
              <w:right w:val="nil"/>
            </w:tcBorders>
            <w:shd w:val="clear" w:color="auto" w:fill="FFFFFF"/>
          </w:tcPr>
          <w:p w14:paraId="2B951EB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60.7</w:t>
            </w:r>
          </w:p>
        </w:tc>
      </w:tr>
      <w:tr w:rsidR="004118DD" w:rsidRPr="00787196" w14:paraId="07F5C373" w14:textId="77777777" w:rsidTr="006A2AD4">
        <w:trPr>
          <w:trHeight w:val="143"/>
          <w:jc w:val="center"/>
        </w:trPr>
        <w:tc>
          <w:tcPr>
            <w:tcW w:w="4713" w:type="dxa"/>
            <w:shd w:val="clear" w:color="auto" w:fill="FFFFFF"/>
          </w:tcPr>
          <w:p w14:paraId="208203B1"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36D46CA7"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0E5903DC"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6DBDB501" w14:textId="77777777" w:rsidTr="006A2AD4">
        <w:trPr>
          <w:trHeight w:val="264"/>
          <w:jc w:val="center"/>
        </w:trPr>
        <w:tc>
          <w:tcPr>
            <w:tcW w:w="4713" w:type="dxa"/>
            <w:shd w:val="clear" w:color="auto" w:fill="FFFFFF"/>
          </w:tcPr>
          <w:p w14:paraId="7A57D2EA" w14:textId="77777777" w:rsidR="004118DD" w:rsidRPr="00787196" w:rsidRDefault="004118DD" w:rsidP="00755F46">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Religion</w:t>
            </w:r>
          </w:p>
        </w:tc>
        <w:tc>
          <w:tcPr>
            <w:tcW w:w="2026" w:type="dxa"/>
            <w:gridSpan w:val="2"/>
            <w:shd w:val="clear" w:color="auto" w:fill="FFFFFF"/>
          </w:tcPr>
          <w:p w14:paraId="1643476F"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shd w:val="clear" w:color="auto" w:fill="FFFFFF"/>
          </w:tcPr>
          <w:p w14:paraId="2E181A82"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46D7548A" w14:textId="77777777" w:rsidTr="006A2AD4">
        <w:trPr>
          <w:trHeight w:val="264"/>
          <w:jc w:val="center"/>
        </w:trPr>
        <w:tc>
          <w:tcPr>
            <w:tcW w:w="4713" w:type="dxa"/>
            <w:shd w:val="clear" w:color="auto" w:fill="FFFFFF"/>
          </w:tcPr>
          <w:p w14:paraId="21D5E804"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Hindu</w:t>
            </w:r>
          </w:p>
        </w:tc>
        <w:tc>
          <w:tcPr>
            <w:tcW w:w="2026" w:type="dxa"/>
            <w:gridSpan w:val="2"/>
            <w:shd w:val="clear" w:color="auto" w:fill="FFFFFF"/>
          </w:tcPr>
          <w:p w14:paraId="2632B6A6"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169</w:t>
            </w:r>
          </w:p>
        </w:tc>
        <w:tc>
          <w:tcPr>
            <w:tcW w:w="1199" w:type="dxa"/>
            <w:shd w:val="clear" w:color="auto" w:fill="FFFFFF"/>
          </w:tcPr>
          <w:p w14:paraId="0295C5F1"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84.1</w:t>
            </w:r>
          </w:p>
        </w:tc>
      </w:tr>
      <w:tr w:rsidR="004118DD" w:rsidRPr="00787196" w14:paraId="2055B56E" w14:textId="77777777" w:rsidTr="006A2AD4">
        <w:trPr>
          <w:trHeight w:val="143"/>
          <w:jc w:val="center"/>
        </w:trPr>
        <w:tc>
          <w:tcPr>
            <w:tcW w:w="4713" w:type="dxa"/>
            <w:shd w:val="clear" w:color="auto" w:fill="FFFFFF"/>
          </w:tcPr>
          <w:p w14:paraId="4DD30F7F"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Muslim</w:t>
            </w:r>
          </w:p>
        </w:tc>
        <w:tc>
          <w:tcPr>
            <w:tcW w:w="2026" w:type="dxa"/>
            <w:gridSpan w:val="2"/>
            <w:shd w:val="clear" w:color="auto" w:fill="FFFFFF"/>
          </w:tcPr>
          <w:p w14:paraId="3506520E"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w:t>
            </w:r>
          </w:p>
        </w:tc>
        <w:tc>
          <w:tcPr>
            <w:tcW w:w="1199" w:type="dxa"/>
            <w:tcBorders>
              <w:left w:val="nil"/>
              <w:right w:val="nil"/>
            </w:tcBorders>
            <w:shd w:val="clear" w:color="auto" w:fill="FFFFFF"/>
          </w:tcPr>
          <w:p w14:paraId="4E86B189"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6.5</w:t>
            </w:r>
          </w:p>
        </w:tc>
      </w:tr>
      <w:tr w:rsidR="004118DD" w:rsidRPr="00787196" w14:paraId="1C352EA4" w14:textId="77777777" w:rsidTr="006A2AD4">
        <w:trPr>
          <w:trHeight w:val="264"/>
          <w:jc w:val="center"/>
        </w:trPr>
        <w:tc>
          <w:tcPr>
            <w:tcW w:w="4713" w:type="dxa"/>
            <w:shd w:val="clear" w:color="auto" w:fill="FFFFFF"/>
          </w:tcPr>
          <w:p w14:paraId="131DFC94"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Sikh</w:t>
            </w:r>
          </w:p>
        </w:tc>
        <w:tc>
          <w:tcPr>
            <w:tcW w:w="2026" w:type="dxa"/>
            <w:gridSpan w:val="2"/>
            <w:shd w:val="clear" w:color="auto" w:fill="FFFFFF"/>
          </w:tcPr>
          <w:p w14:paraId="006F756A"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Nil</w:t>
            </w:r>
          </w:p>
        </w:tc>
        <w:tc>
          <w:tcPr>
            <w:tcW w:w="1199" w:type="dxa"/>
            <w:shd w:val="clear" w:color="auto" w:fill="FFFFFF"/>
          </w:tcPr>
          <w:p w14:paraId="4EF80719"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Nil</w:t>
            </w:r>
          </w:p>
        </w:tc>
      </w:tr>
      <w:tr w:rsidR="004118DD" w:rsidRPr="00787196" w14:paraId="491ED329" w14:textId="77777777" w:rsidTr="006A2AD4">
        <w:trPr>
          <w:trHeight w:val="143"/>
          <w:jc w:val="center"/>
        </w:trPr>
        <w:tc>
          <w:tcPr>
            <w:tcW w:w="4713" w:type="dxa"/>
            <w:shd w:val="clear" w:color="auto" w:fill="FFFFFF"/>
          </w:tcPr>
          <w:p w14:paraId="3F4AFF61"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Christian</w:t>
            </w:r>
          </w:p>
        </w:tc>
        <w:tc>
          <w:tcPr>
            <w:tcW w:w="2026" w:type="dxa"/>
            <w:gridSpan w:val="2"/>
            <w:shd w:val="clear" w:color="auto" w:fill="FFFFFF"/>
          </w:tcPr>
          <w:p w14:paraId="3B33EFC0"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w:t>
            </w:r>
          </w:p>
        </w:tc>
        <w:tc>
          <w:tcPr>
            <w:tcW w:w="1199" w:type="dxa"/>
            <w:tcBorders>
              <w:left w:val="nil"/>
              <w:right w:val="nil"/>
            </w:tcBorders>
            <w:shd w:val="clear" w:color="auto" w:fill="FFFFFF"/>
          </w:tcPr>
          <w:p w14:paraId="5281657A"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w:t>
            </w:r>
            <w:r w:rsidR="009B0EF2" w:rsidRPr="00787196">
              <w:rPr>
                <w:rFonts w:cs="Arial"/>
                <w:color w:val="000000"/>
                <w:sz w:val="20"/>
                <w:szCs w:val="20"/>
              </w:rPr>
              <w:t>.0</w:t>
            </w:r>
          </w:p>
        </w:tc>
      </w:tr>
      <w:tr w:rsidR="004118DD" w:rsidRPr="00787196" w14:paraId="0B14322D" w14:textId="77777777" w:rsidTr="006A2AD4">
        <w:trPr>
          <w:trHeight w:val="264"/>
          <w:jc w:val="center"/>
        </w:trPr>
        <w:tc>
          <w:tcPr>
            <w:tcW w:w="4713" w:type="dxa"/>
            <w:shd w:val="clear" w:color="auto" w:fill="FFFFFF"/>
          </w:tcPr>
          <w:p w14:paraId="3E979D91"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Others</w:t>
            </w:r>
          </w:p>
        </w:tc>
        <w:tc>
          <w:tcPr>
            <w:tcW w:w="2026" w:type="dxa"/>
            <w:gridSpan w:val="2"/>
            <w:shd w:val="clear" w:color="auto" w:fill="FFFFFF"/>
          </w:tcPr>
          <w:p w14:paraId="59849D10"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p>
        </w:tc>
        <w:tc>
          <w:tcPr>
            <w:tcW w:w="1199" w:type="dxa"/>
            <w:shd w:val="clear" w:color="auto" w:fill="FFFFFF"/>
          </w:tcPr>
          <w:p w14:paraId="4F8A6366"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r>
      <w:tr w:rsidR="004118DD" w:rsidRPr="00787196" w14:paraId="4CD92936" w14:textId="77777777" w:rsidTr="006A2AD4">
        <w:trPr>
          <w:trHeight w:val="143"/>
          <w:jc w:val="center"/>
        </w:trPr>
        <w:tc>
          <w:tcPr>
            <w:tcW w:w="4713" w:type="dxa"/>
            <w:shd w:val="clear" w:color="auto" w:fill="FFFFFF"/>
          </w:tcPr>
          <w:p w14:paraId="20D58DF7" w14:textId="77777777" w:rsidR="004118DD" w:rsidRPr="00787196" w:rsidRDefault="004118DD" w:rsidP="00755F46">
            <w:pPr>
              <w:autoSpaceDE w:val="0"/>
              <w:autoSpaceDN w:val="0"/>
              <w:adjustRightInd w:val="0"/>
              <w:spacing w:before="0" w:after="0" w:line="240" w:lineRule="auto"/>
              <w:ind w:left="142"/>
              <w:rPr>
                <w:rFonts w:cs="Arial"/>
                <w:b/>
                <w:bCs/>
                <w:color w:val="000000"/>
                <w:sz w:val="20"/>
                <w:szCs w:val="20"/>
              </w:rPr>
            </w:pPr>
          </w:p>
        </w:tc>
        <w:tc>
          <w:tcPr>
            <w:tcW w:w="2026" w:type="dxa"/>
            <w:gridSpan w:val="2"/>
            <w:shd w:val="clear" w:color="auto" w:fill="FFFFFF"/>
          </w:tcPr>
          <w:p w14:paraId="3BB3F740"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022126C6"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2B291860" w14:textId="77777777" w:rsidTr="006A2AD4">
        <w:trPr>
          <w:trHeight w:val="143"/>
          <w:jc w:val="center"/>
        </w:trPr>
        <w:tc>
          <w:tcPr>
            <w:tcW w:w="4713" w:type="dxa"/>
            <w:shd w:val="clear" w:color="auto" w:fill="FFFFFF"/>
          </w:tcPr>
          <w:p w14:paraId="420EC7B3" w14:textId="77777777" w:rsidR="004118DD" w:rsidRPr="00787196" w:rsidRDefault="004118DD" w:rsidP="00755F46">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Caste</w:t>
            </w:r>
          </w:p>
        </w:tc>
        <w:tc>
          <w:tcPr>
            <w:tcW w:w="2026" w:type="dxa"/>
            <w:gridSpan w:val="2"/>
            <w:shd w:val="clear" w:color="auto" w:fill="FFFFFF"/>
          </w:tcPr>
          <w:p w14:paraId="4C0FE8A8"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c>
          <w:tcPr>
            <w:tcW w:w="1199" w:type="dxa"/>
            <w:tcBorders>
              <w:left w:val="nil"/>
              <w:right w:val="nil"/>
            </w:tcBorders>
            <w:shd w:val="clear" w:color="auto" w:fill="FFFFFF"/>
          </w:tcPr>
          <w:p w14:paraId="195D4B9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p>
        </w:tc>
      </w:tr>
      <w:tr w:rsidR="004118DD" w:rsidRPr="00787196" w14:paraId="27A83D93" w14:textId="77777777" w:rsidTr="006A2AD4">
        <w:trPr>
          <w:trHeight w:val="264"/>
          <w:jc w:val="center"/>
        </w:trPr>
        <w:tc>
          <w:tcPr>
            <w:tcW w:w="4713" w:type="dxa"/>
            <w:shd w:val="clear" w:color="auto" w:fill="FFFFFF"/>
          </w:tcPr>
          <w:p w14:paraId="6298E9C6"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Forward</w:t>
            </w:r>
          </w:p>
        </w:tc>
        <w:tc>
          <w:tcPr>
            <w:tcW w:w="2026" w:type="dxa"/>
            <w:gridSpan w:val="2"/>
            <w:shd w:val="clear" w:color="auto" w:fill="FFFFFF"/>
          </w:tcPr>
          <w:p w14:paraId="1F4D3509"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39</w:t>
            </w:r>
          </w:p>
        </w:tc>
        <w:tc>
          <w:tcPr>
            <w:tcW w:w="1199" w:type="dxa"/>
            <w:shd w:val="clear" w:color="auto" w:fill="FFFFFF"/>
          </w:tcPr>
          <w:p w14:paraId="6FF86785"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19.4</w:t>
            </w:r>
          </w:p>
        </w:tc>
      </w:tr>
      <w:tr w:rsidR="004118DD" w:rsidRPr="00787196" w14:paraId="062E7ADF" w14:textId="77777777" w:rsidTr="006A2AD4">
        <w:trPr>
          <w:trHeight w:val="143"/>
          <w:jc w:val="center"/>
        </w:trPr>
        <w:tc>
          <w:tcPr>
            <w:tcW w:w="4713" w:type="dxa"/>
            <w:shd w:val="clear" w:color="auto" w:fill="FFFFFF"/>
          </w:tcPr>
          <w:p w14:paraId="7C4EE560"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Backward</w:t>
            </w:r>
          </w:p>
        </w:tc>
        <w:tc>
          <w:tcPr>
            <w:tcW w:w="2026" w:type="dxa"/>
            <w:gridSpan w:val="2"/>
            <w:shd w:val="clear" w:color="auto" w:fill="FFFFFF"/>
          </w:tcPr>
          <w:p w14:paraId="79C27DD2"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105</w:t>
            </w:r>
          </w:p>
        </w:tc>
        <w:tc>
          <w:tcPr>
            <w:tcW w:w="1199" w:type="dxa"/>
            <w:tcBorders>
              <w:left w:val="nil"/>
              <w:right w:val="nil"/>
            </w:tcBorders>
            <w:shd w:val="clear" w:color="auto" w:fill="FFFFFF"/>
          </w:tcPr>
          <w:p w14:paraId="3561DB80"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52.2</w:t>
            </w:r>
          </w:p>
        </w:tc>
      </w:tr>
      <w:tr w:rsidR="004118DD" w:rsidRPr="00787196" w14:paraId="52E22D82" w14:textId="77777777" w:rsidTr="006A2AD4">
        <w:trPr>
          <w:trHeight w:val="264"/>
          <w:jc w:val="center"/>
        </w:trPr>
        <w:tc>
          <w:tcPr>
            <w:tcW w:w="4713" w:type="dxa"/>
            <w:shd w:val="clear" w:color="auto" w:fill="FFFFFF"/>
          </w:tcPr>
          <w:p w14:paraId="402C676C"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Most backward</w:t>
            </w:r>
          </w:p>
        </w:tc>
        <w:tc>
          <w:tcPr>
            <w:tcW w:w="2026" w:type="dxa"/>
            <w:gridSpan w:val="2"/>
            <w:shd w:val="clear" w:color="auto" w:fill="FFFFFF"/>
          </w:tcPr>
          <w:p w14:paraId="02886CBC"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35</w:t>
            </w:r>
          </w:p>
        </w:tc>
        <w:tc>
          <w:tcPr>
            <w:tcW w:w="1199" w:type="dxa"/>
            <w:shd w:val="clear" w:color="auto" w:fill="FFFFFF"/>
          </w:tcPr>
          <w:p w14:paraId="46C01B3F"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17.4</w:t>
            </w:r>
          </w:p>
        </w:tc>
      </w:tr>
      <w:tr w:rsidR="004118DD" w:rsidRPr="00787196" w14:paraId="11E76D37" w14:textId="77777777" w:rsidTr="006A2AD4">
        <w:trPr>
          <w:trHeight w:val="106"/>
          <w:jc w:val="center"/>
        </w:trPr>
        <w:tc>
          <w:tcPr>
            <w:tcW w:w="4713" w:type="dxa"/>
            <w:shd w:val="clear" w:color="auto" w:fill="FFFFFF"/>
          </w:tcPr>
          <w:p w14:paraId="49F8BB1A"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Scheduled caste/ Tribe</w:t>
            </w:r>
          </w:p>
        </w:tc>
        <w:tc>
          <w:tcPr>
            <w:tcW w:w="2026" w:type="dxa"/>
            <w:gridSpan w:val="2"/>
            <w:shd w:val="clear" w:color="auto" w:fill="FFFFFF"/>
          </w:tcPr>
          <w:p w14:paraId="662EBD58"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w:t>
            </w:r>
          </w:p>
        </w:tc>
        <w:tc>
          <w:tcPr>
            <w:tcW w:w="1199" w:type="dxa"/>
            <w:tcBorders>
              <w:left w:val="nil"/>
              <w:right w:val="nil"/>
            </w:tcBorders>
            <w:shd w:val="clear" w:color="auto" w:fill="FFFFFF"/>
          </w:tcPr>
          <w:p w14:paraId="2A22BE33"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4.5</w:t>
            </w:r>
          </w:p>
        </w:tc>
      </w:tr>
      <w:tr w:rsidR="004118DD" w:rsidRPr="00787196" w14:paraId="6F353C6B" w14:textId="77777777" w:rsidTr="006A2AD4">
        <w:trPr>
          <w:trHeight w:val="264"/>
          <w:jc w:val="center"/>
        </w:trPr>
        <w:tc>
          <w:tcPr>
            <w:tcW w:w="4713" w:type="dxa"/>
            <w:shd w:val="clear" w:color="auto" w:fill="FFFFFF"/>
          </w:tcPr>
          <w:p w14:paraId="7655A3C7" w14:textId="77777777" w:rsidR="004118DD" w:rsidRPr="00787196" w:rsidRDefault="004118DD" w:rsidP="00755F4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Other</w:t>
            </w:r>
          </w:p>
        </w:tc>
        <w:tc>
          <w:tcPr>
            <w:tcW w:w="2026" w:type="dxa"/>
            <w:gridSpan w:val="2"/>
            <w:shd w:val="clear" w:color="auto" w:fill="FFFFFF"/>
          </w:tcPr>
          <w:p w14:paraId="4E791077" w14:textId="77777777" w:rsidR="004118DD" w:rsidRPr="00787196" w:rsidRDefault="007D4CA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w:t>
            </w:r>
          </w:p>
        </w:tc>
        <w:tc>
          <w:tcPr>
            <w:tcW w:w="1199" w:type="dxa"/>
            <w:shd w:val="clear" w:color="auto" w:fill="FFFFFF"/>
          </w:tcPr>
          <w:p w14:paraId="157972C9" w14:textId="77777777" w:rsidR="004118DD" w:rsidRPr="00787196" w:rsidRDefault="004118DD" w:rsidP="00323BB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6.5</w:t>
            </w:r>
          </w:p>
        </w:tc>
      </w:tr>
    </w:tbl>
    <w:p w14:paraId="685BC5F0" w14:textId="77777777" w:rsidR="008E7C42" w:rsidRPr="00787196" w:rsidRDefault="008E7C42" w:rsidP="00755F46"/>
    <w:p w14:paraId="23C565C6" w14:textId="370BE3D1" w:rsidR="00C7580A" w:rsidRPr="00787196" w:rsidRDefault="00C7580A" w:rsidP="00FC7334">
      <w:pPr>
        <w:spacing w:before="0" w:after="0"/>
        <w:ind w:left="709" w:firstLine="142"/>
        <w:rPr>
          <w:b/>
          <w:bCs/>
        </w:rPr>
      </w:pPr>
      <w:bookmarkStart w:id="216" w:name="_Ref424770659"/>
      <w:bookmarkStart w:id="217" w:name="_Toc461641227"/>
      <w:bookmarkStart w:id="218" w:name="_Toc488655531"/>
      <w:r w:rsidRPr="00787196">
        <w:rPr>
          <w:b/>
          <w:bCs/>
        </w:rPr>
        <w:t xml:space="preserve">Table </w:t>
      </w:r>
      <w:r w:rsidR="000332A1" w:rsidRPr="00787196">
        <w:rPr>
          <w:b/>
          <w:bCs/>
        </w:rPr>
        <w:fldChar w:fldCharType="begin"/>
      </w:r>
      <w:r w:rsidR="000332A1" w:rsidRPr="00787196">
        <w:rPr>
          <w:b/>
          <w:bCs/>
        </w:rPr>
        <w:instrText xml:space="preserve"> STYLEREF 1 \s </w:instrText>
      </w:r>
      <w:r w:rsidR="000332A1" w:rsidRPr="00787196">
        <w:rPr>
          <w:b/>
          <w:bCs/>
        </w:rPr>
        <w:fldChar w:fldCharType="separate"/>
      </w:r>
      <w:r w:rsidR="00C069BC" w:rsidRPr="00787196">
        <w:rPr>
          <w:b/>
          <w:bCs/>
          <w:noProof/>
        </w:rPr>
        <w:t>5</w:t>
      </w:r>
      <w:r w:rsidR="000332A1" w:rsidRPr="00787196">
        <w:rPr>
          <w:b/>
          <w:bCs/>
        </w:rPr>
        <w:fldChar w:fldCharType="end"/>
      </w:r>
      <w:r w:rsidR="000332A1" w:rsidRPr="00787196">
        <w:rPr>
          <w:b/>
          <w:bCs/>
        </w:rPr>
        <w:noBreakHyphen/>
      </w:r>
      <w:r w:rsidR="000332A1" w:rsidRPr="00787196">
        <w:rPr>
          <w:b/>
          <w:bCs/>
        </w:rPr>
        <w:fldChar w:fldCharType="begin"/>
      </w:r>
      <w:r w:rsidR="000332A1" w:rsidRPr="00787196">
        <w:rPr>
          <w:b/>
          <w:bCs/>
        </w:rPr>
        <w:instrText xml:space="preserve"> SEQ Table \* ARABIC \s 1 </w:instrText>
      </w:r>
      <w:r w:rsidR="000332A1" w:rsidRPr="00787196">
        <w:rPr>
          <w:b/>
          <w:bCs/>
        </w:rPr>
        <w:fldChar w:fldCharType="separate"/>
      </w:r>
      <w:r w:rsidR="00C069BC" w:rsidRPr="00787196">
        <w:rPr>
          <w:b/>
          <w:bCs/>
          <w:noProof/>
        </w:rPr>
        <w:t>2</w:t>
      </w:r>
      <w:r w:rsidR="000332A1" w:rsidRPr="00787196">
        <w:rPr>
          <w:b/>
          <w:bCs/>
        </w:rPr>
        <w:fldChar w:fldCharType="end"/>
      </w:r>
      <w:bookmarkEnd w:id="216"/>
      <w:r w:rsidR="00FC7334" w:rsidRPr="00787196">
        <w:rPr>
          <w:b/>
          <w:bCs/>
        </w:rPr>
        <w:t>.</w:t>
      </w:r>
      <w:r w:rsidR="00E95AD3" w:rsidRPr="00787196">
        <w:rPr>
          <w:b/>
          <w:bCs/>
        </w:rPr>
        <w:t xml:space="preserve"> </w:t>
      </w:r>
      <w:r w:rsidRPr="00787196">
        <w:rPr>
          <w:b/>
          <w:bCs/>
        </w:rPr>
        <w:t xml:space="preserve">Clinical </w:t>
      </w:r>
      <w:r w:rsidR="00F536C7" w:rsidRPr="00787196">
        <w:rPr>
          <w:b/>
          <w:bCs/>
        </w:rPr>
        <w:t xml:space="preserve">data </w:t>
      </w:r>
      <w:r w:rsidR="001825C8" w:rsidRPr="00787196">
        <w:rPr>
          <w:b/>
          <w:bCs/>
        </w:rPr>
        <w:t>among 201</w:t>
      </w:r>
      <w:r w:rsidR="00FB0C07" w:rsidRPr="00787196">
        <w:rPr>
          <w:b/>
          <w:bCs/>
        </w:rPr>
        <w:t xml:space="preserve"> participants at baseline (T1)</w:t>
      </w:r>
      <w:bookmarkEnd w:id="217"/>
      <w:bookmarkEnd w:id="218"/>
    </w:p>
    <w:tbl>
      <w:tblPr>
        <w:tblpPr w:leftFromText="180" w:rightFromText="180" w:vertAnchor="text" w:horzAnchor="margin" w:tblpXSpec="center" w:tblpY="756"/>
        <w:tblW w:w="7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03"/>
        <w:gridCol w:w="2785"/>
      </w:tblGrid>
      <w:tr w:rsidR="00C7580A" w:rsidRPr="00787196" w14:paraId="024A47E1" w14:textId="77777777" w:rsidTr="005422E7">
        <w:trPr>
          <w:trHeight w:val="292"/>
        </w:trPr>
        <w:tc>
          <w:tcPr>
            <w:tcW w:w="4503" w:type="dxa"/>
            <w:tcBorders>
              <w:left w:val="nil"/>
              <w:bottom w:val="single" w:sz="8" w:space="0" w:color="000000"/>
              <w:right w:val="nil"/>
            </w:tcBorders>
            <w:shd w:val="clear" w:color="auto" w:fill="FFFFFF"/>
            <w:vAlign w:val="center"/>
          </w:tcPr>
          <w:p w14:paraId="66DE31BF" w14:textId="77777777" w:rsidR="00C7580A" w:rsidRPr="00787196" w:rsidRDefault="00C7580A" w:rsidP="00755F46">
            <w:pPr>
              <w:autoSpaceDE w:val="0"/>
              <w:autoSpaceDN w:val="0"/>
              <w:adjustRightInd w:val="0"/>
              <w:spacing w:before="0" w:after="0" w:line="240" w:lineRule="auto"/>
              <w:rPr>
                <w:rFonts w:cs="Arial"/>
                <w:b/>
                <w:bCs/>
                <w:color w:val="000000"/>
                <w:szCs w:val="24"/>
              </w:rPr>
            </w:pPr>
            <w:r w:rsidRPr="00787196">
              <w:rPr>
                <w:rFonts w:cs="Arial"/>
                <w:b/>
                <w:bCs/>
                <w:color w:val="000000"/>
                <w:szCs w:val="24"/>
              </w:rPr>
              <w:t>Clinical data</w:t>
            </w:r>
          </w:p>
        </w:tc>
        <w:tc>
          <w:tcPr>
            <w:tcW w:w="2785" w:type="dxa"/>
            <w:tcBorders>
              <w:left w:val="nil"/>
              <w:bottom w:val="single" w:sz="8" w:space="0" w:color="000000"/>
              <w:right w:val="nil"/>
            </w:tcBorders>
            <w:shd w:val="clear" w:color="auto" w:fill="FFFFFF"/>
          </w:tcPr>
          <w:p w14:paraId="75275DE6" w14:textId="77777777" w:rsidR="00C7580A" w:rsidRPr="00787196" w:rsidRDefault="00C7580A" w:rsidP="00323BBC">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w:t>
            </w:r>
          </w:p>
        </w:tc>
      </w:tr>
      <w:tr w:rsidR="00C7580A" w:rsidRPr="00787196" w14:paraId="71FCBD82" w14:textId="77777777" w:rsidTr="005422E7">
        <w:trPr>
          <w:trHeight w:val="281"/>
        </w:trPr>
        <w:tc>
          <w:tcPr>
            <w:tcW w:w="4503" w:type="dxa"/>
            <w:tcBorders>
              <w:left w:val="nil"/>
              <w:bottom w:val="nil"/>
              <w:right w:val="nil"/>
            </w:tcBorders>
            <w:shd w:val="clear" w:color="auto" w:fill="FFFFFF"/>
            <w:vAlign w:val="center"/>
          </w:tcPr>
          <w:p w14:paraId="76B43802"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p>
        </w:tc>
        <w:tc>
          <w:tcPr>
            <w:tcW w:w="2785" w:type="dxa"/>
            <w:tcBorders>
              <w:left w:val="nil"/>
              <w:bottom w:val="nil"/>
              <w:right w:val="nil"/>
            </w:tcBorders>
            <w:shd w:val="clear" w:color="auto" w:fill="FFFFFF"/>
          </w:tcPr>
          <w:p w14:paraId="7AD5AA8C" w14:textId="77777777" w:rsidR="00C7580A" w:rsidRPr="00787196" w:rsidRDefault="00C7580A" w:rsidP="00323BBC">
            <w:pPr>
              <w:autoSpaceDE w:val="0"/>
              <w:autoSpaceDN w:val="0"/>
              <w:adjustRightInd w:val="0"/>
              <w:spacing w:before="0" w:after="0" w:line="240" w:lineRule="auto"/>
              <w:jc w:val="center"/>
              <w:rPr>
                <w:rFonts w:cs="Arial"/>
                <w:color w:val="000000"/>
                <w:sz w:val="20"/>
                <w:szCs w:val="20"/>
              </w:rPr>
            </w:pPr>
          </w:p>
        </w:tc>
      </w:tr>
      <w:tr w:rsidR="00C7580A" w:rsidRPr="00787196" w14:paraId="1A1497E5" w14:textId="77777777" w:rsidTr="005422E7">
        <w:trPr>
          <w:trHeight w:val="281"/>
        </w:trPr>
        <w:tc>
          <w:tcPr>
            <w:tcW w:w="4503" w:type="dxa"/>
            <w:tcBorders>
              <w:top w:val="nil"/>
              <w:left w:val="nil"/>
              <w:bottom w:val="nil"/>
              <w:right w:val="nil"/>
            </w:tcBorders>
            <w:shd w:val="clear" w:color="auto" w:fill="FFFFFF"/>
            <w:vAlign w:val="center"/>
          </w:tcPr>
          <w:p w14:paraId="07FF1FC9" w14:textId="32DCE09F" w:rsidR="00C7580A" w:rsidRPr="00787196" w:rsidRDefault="001825C8" w:rsidP="001825C8">
            <w:pPr>
              <w:autoSpaceDE w:val="0"/>
              <w:autoSpaceDN w:val="0"/>
              <w:adjustRightInd w:val="0"/>
              <w:spacing w:before="0" w:after="0" w:line="240" w:lineRule="auto"/>
              <w:ind w:left="142"/>
              <w:rPr>
                <w:rFonts w:cs="Arial"/>
                <w:color w:val="000000"/>
                <w:szCs w:val="24"/>
              </w:rPr>
            </w:pPr>
            <w:r w:rsidRPr="00787196">
              <w:rPr>
                <w:rFonts w:cs="Arial"/>
                <w:b/>
                <w:bCs/>
                <w:color w:val="000000"/>
                <w:szCs w:val="24"/>
              </w:rPr>
              <w:t>No. of m</w:t>
            </w:r>
            <w:r w:rsidR="00C7580A" w:rsidRPr="00787196">
              <w:rPr>
                <w:rFonts w:cs="Arial"/>
                <w:b/>
                <w:bCs/>
                <w:color w:val="000000"/>
                <w:szCs w:val="24"/>
              </w:rPr>
              <w:t>issing teeth</w:t>
            </w:r>
          </w:p>
        </w:tc>
        <w:tc>
          <w:tcPr>
            <w:tcW w:w="2785" w:type="dxa"/>
            <w:tcBorders>
              <w:top w:val="nil"/>
              <w:left w:val="nil"/>
              <w:bottom w:val="nil"/>
              <w:right w:val="nil"/>
            </w:tcBorders>
            <w:shd w:val="clear" w:color="auto" w:fill="FFFFFF"/>
          </w:tcPr>
          <w:p w14:paraId="617329B9"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p>
        </w:tc>
      </w:tr>
      <w:tr w:rsidR="00C7580A" w:rsidRPr="00787196" w14:paraId="51F21A02" w14:textId="77777777" w:rsidTr="005422E7">
        <w:trPr>
          <w:trHeight w:val="281"/>
        </w:trPr>
        <w:tc>
          <w:tcPr>
            <w:tcW w:w="4503" w:type="dxa"/>
            <w:tcBorders>
              <w:top w:val="nil"/>
              <w:left w:val="nil"/>
              <w:bottom w:val="nil"/>
              <w:right w:val="nil"/>
            </w:tcBorders>
            <w:shd w:val="clear" w:color="auto" w:fill="FFFFFF"/>
            <w:vAlign w:val="center"/>
          </w:tcPr>
          <w:p w14:paraId="2313DF12" w14:textId="77777777" w:rsidR="00C7580A" w:rsidRPr="00787196" w:rsidRDefault="004E50C6"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29-32</w:t>
            </w:r>
          </w:p>
        </w:tc>
        <w:tc>
          <w:tcPr>
            <w:tcW w:w="2785" w:type="dxa"/>
            <w:tcBorders>
              <w:top w:val="nil"/>
              <w:left w:val="nil"/>
              <w:bottom w:val="nil"/>
              <w:right w:val="nil"/>
            </w:tcBorders>
            <w:shd w:val="clear" w:color="auto" w:fill="FFFFFF"/>
          </w:tcPr>
          <w:p w14:paraId="4C6175D4"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2.5</w:t>
            </w:r>
          </w:p>
        </w:tc>
      </w:tr>
      <w:tr w:rsidR="00C7580A" w:rsidRPr="00787196" w14:paraId="1D0B8310" w14:textId="77777777" w:rsidTr="005422E7">
        <w:trPr>
          <w:trHeight w:val="281"/>
        </w:trPr>
        <w:tc>
          <w:tcPr>
            <w:tcW w:w="4503" w:type="dxa"/>
            <w:tcBorders>
              <w:top w:val="nil"/>
              <w:left w:val="nil"/>
              <w:bottom w:val="nil"/>
              <w:right w:val="nil"/>
            </w:tcBorders>
            <w:shd w:val="clear" w:color="auto" w:fill="FFFFFF"/>
            <w:vAlign w:val="center"/>
          </w:tcPr>
          <w:p w14:paraId="4FDCB051"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25-28</w:t>
            </w:r>
          </w:p>
        </w:tc>
        <w:tc>
          <w:tcPr>
            <w:tcW w:w="2785" w:type="dxa"/>
            <w:tcBorders>
              <w:top w:val="nil"/>
              <w:left w:val="nil"/>
              <w:bottom w:val="nil"/>
              <w:right w:val="nil"/>
            </w:tcBorders>
            <w:shd w:val="clear" w:color="auto" w:fill="FFFFFF"/>
          </w:tcPr>
          <w:p w14:paraId="6064FB5A"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8</w:t>
            </w:r>
            <w:r w:rsidR="00EE0F13" w:rsidRPr="00787196">
              <w:rPr>
                <w:rFonts w:cs="Arial"/>
                <w:color w:val="000000"/>
                <w:szCs w:val="24"/>
              </w:rPr>
              <w:t>.0</w:t>
            </w:r>
          </w:p>
        </w:tc>
      </w:tr>
      <w:tr w:rsidR="00C7580A" w:rsidRPr="00787196" w14:paraId="76CE8895" w14:textId="77777777" w:rsidTr="005422E7">
        <w:trPr>
          <w:trHeight w:val="281"/>
        </w:trPr>
        <w:tc>
          <w:tcPr>
            <w:tcW w:w="4503" w:type="dxa"/>
            <w:tcBorders>
              <w:top w:val="nil"/>
              <w:left w:val="nil"/>
              <w:bottom w:val="nil"/>
              <w:right w:val="nil"/>
            </w:tcBorders>
            <w:shd w:val="clear" w:color="auto" w:fill="FFFFFF"/>
            <w:vAlign w:val="center"/>
          </w:tcPr>
          <w:p w14:paraId="5DAFCEB5"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21-24</w:t>
            </w:r>
          </w:p>
        </w:tc>
        <w:tc>
          <w:tcPr>
            <w:tcW w:w="2785" w:type="dxa"/>
            <w:tcBorders>
              <w:top w:val="nil"/>
              <w:left w:val="nil"/>
              <w:bottom w:val="nil"/>
              <w:right w:val="nil"/>
            </w:tcBorders>
            <w:shd w:val="clear" w:color="auto" w:fill="FFFFFF"/>
          </w:tcPr>
          <w:p w14:paraId="3C99E40D"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8.5</w:t>
            </w:r>
          </w:p>
        </w:tc>
      </w:tr>
      <w:tr w:rsidR="00C7580A" w:rsidRPr="00787196" w14:paraId="0CF85D59" w14:textId="77777777" w:rsidTr="005422E7">
        <w:trPr>
          <w:trHeight w:val="170"/>
        </w:trPr>
        <w:tc>
          <w:tcPr>
            <w:tcW w:w="4503" w:type="dxa"/>
            <w:tcBorders>
              <w:top w:val="nil"/>
              <w:left w:val="nil"/>
              <w:bottom w:val="nil"/>
              <w:right w:val="nil"/>
            </w:tcBorders>
            <w:shd w:val="clear" w:color="auto" w:fill="FFFFFF"/>
            <w:vAlign w:val="center"/>
          </w:tcPr>
          <w:p w14:paraId="6C5AAF5E"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17-20</w:t>
            </w:r>
          </w:p>
        </w:tc>
        <w:tc>
          <w:tcPr>
            <w:tcW w:w="2785" w:type="dxa"/>
            <w:tcBorders>
              <w:top w:val="nil"/>
              <w:left w:val="nil"/>
              <w:bottom w:val="nil"/>
              <w:right w:val="nil"/>
            </w:tcBorders>
            <w:shd w:val="clear" w:color="auto" w:fill="FFFFFF"/>
          </w:tcPr>
          <w:p w14:paraId="6E069112"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6</w:t>
            </w:r>
            <w:r w:rsidR="00EE0F13" w:rsidRPr="00787196">
              <w:rPr>
                <w:rFonts w:cs="Arial"/>
                <w:color w:val="000000"/>
                <w:szCs w:val="24"/>
              </w:rPr>
              <w:t>.0</w:t>
            </w:r>
          </w:p>
        </w:tc>
      </w:tr>
      <w:tr w:rsidR="00C7580A" w:rsidRPr="00787196" w14:paraId="7829EDB6" w14:textId="77777777" w:rsidTr="005422E7">
        <w:trPr>
          <w:trHeight w:val="123"/>
        </w:trPr>
        <w:tc>
          <w:tcPr>
            <w:tcW w:w="4503" w:type="dxa"/>
            <w:tcBorders>
              <w:top w:val="nil"/>
              <w:left w:val="nil"/>
              <w:bottom w:val="nil"/>
              <w:right w:val="nil"/>
            </w:tcBorders>
            <w:shd w:val="clear" w:color="auto" w:fill="FFFFFF"/>
            <w:vAlign w:val="center"/>
          </w:tcPr>
          <w:p w14:paraId="2F21D1E9"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13-16</w:t>
            </w:r>
          </w:p>
        </w:tc>
        <w:tc>
          <w:tcPr>
            <w:tcW w:w="2785" w:type="dxa"/>
            <w:tcBorders>
              <w:top w:val="nil"/>
              <w:left w:val="nil"/>
              <w:bottom w:val="nil"/>
              <w:right w:val="nil"/>
            </w:tcBorders>
            <w:shd w:val="clear" w:color="auto" w:fill="FFFFFF"/>
          </w:tcPr>
          <w:p w14:paraId="3F7EA26C"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5</w:t>
            </w:r>
            <w:r w:rsidR="00EE0F13" w:rsidRPr="00787196">
              <w:rPr>
                <w:rFonts w:cs="Arial"/>
                <w:color w:val="000000"/>
                <w:szCs w:val="24"/>
              </w:rPr>
              <w:t>.0</w:t>
            </w:r>
          </w:p>
        </w:tc>
      </w:tr>
      <w:tr w:rsidR="00C7580A" w:rsidRPr="00787196" w14:paraId="4962FFD7" w14:textId="77777777" w:rsidTr="005422E7">
        <w:trPr>
          <w:trHeight w:val="147"/>
        </w:trPr>
        <w:tc>
          <w:tcPr>
            <w:tcW w:w="4503" w:type="dxa"/>
            <w:tcBorders>
              <w:top w:val="nil"/>
              <w:left w:val="nil"/>
              <w:bottom w:val="nil"/>
              <w:right w:val="nil"/>
            </w:tcBorders>
            <w:shd w:val="clear" w:color="auto" w:fill="FFFFFF"/>
            <w:vAlign w:val="center"/>
          </w:tcPr>
          <w:p w14:paraId="7B914F35"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9-12</w:t>
            </w:r>
          </w:p>
        </w:tc>
        <w:tc>
          <w:tcPr>
            <w:tcW w:w="2785" w:type="dxa"/>
            <w:tcBorders>
              <w:top w:val="nil"/>
              <w:left w:val="nil"/>
              <w:bottom w:val="nil"/>
              <w:right w:val="nil"/>
            </w:tcBorders>
            <w:shd w:val="clear" w:color="auto" w:fill="FFFFFF"/>
          </w:tcPr>
          <w:p w14:paraId="10989A45"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4</w:t>
            </w:r>
            <w:r w:rsidR="00EE0F13" w:rsidRPr="00787196">
              <w:rPr>
                <w:rFonts w:cs="Arial"/>
                <w:color w:val="000000"/>
                <w:szCs w:val="24"/>
              </w:rPr>
              <w:t>.0</w:t>
            </w:r>
          </w:p>
        </w:tc>
      </w:tr>
      <w:tr w:rsidR="00C7580A" w:rsidRPr="00787196" w14:paraId="56178B50" w14:textId="77777777" w:rsidTr="005422E7">
        <w:trPr>
          <w:trHeight w:val="169"/>
        </w:trPr>
        <w:tc>
          <w:tcPr>
            <w:tcW w:w="4503" w:type="dxa"/>
            <w:tcBorders>
              <w:top w:val="nil"/>
              <w:left w:val="nil"/>
              <w:bottom w:val="nil"/>
              <w:right w:val="nil"/>
            </w:tcBorders>
            <w:shd w:val="clear" w:color="auto" w:fill="FFFFFF"/>
            <w:vAlign w:val="center"/>
          </w:tcPr>
          <w:p w14:paraId="75FDAC7A"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5-8</w:t>
            </w:r>
          </w:p>
        </w:tc>
        <w:tc>
          <w:tcPr>
            <w:tcW w:w="2785" w:type="dxa"/>
            <w:tcBorders>
              <w:top w:val="nil"/>
              <w:left w:val="nil"/>
              <w:bottom w:val="nil"/>
              <w:right w:val="nil"/>
            </w:tcBorders>
            <w:shd w:val="clear" w:color="auto" w:fill="FFFFFF"/>
          </w:tcPr>
          <w:p w14:paraId="1FCEA834"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8.5</w:t>
            </w:r>
          </w:p>
        </w:tc>
      </w:tr>
      <w:tr w:rsidR="00C7580A" w:rsidRPr="00787196" w14:paraId="66C2F8D1" w14:textId="77777777" w:rsidTr="005422E7">
        <w:trPr>
          <w:trHeight w:val="169"/>
        </w:trPr>
        <w:tc>
          <w:tcPr>
            <w:tcW w:w="4503" w:type="dxa"/>
            <w:tcBorders>
              <w:top w:val="nil"/>
              <w:left w:val="nil"/>
              <w:bottom w:val="nil"/>
              <w:right w:val="nil"/>
            </w:tcBorders>
            <w:shd w:val="clear" w:color="auto" w:fill="FFFFFF"/>
            <w:vAlign w:val="center"/>
          </w:tcPr>
          <w:p w14:paraId="60484D48"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1-4</w:t>
            </w:r>
          </w:p>
        </w:tc>
        <w:tc>
          <w:tcPr>
            <w:tcW w:w="2785" w:type="dxa"/>
            <w:tcBorders>
              <w:top w:val="nil"/>
              <w:left w:val="nil"/>
              <w:bottom w:val="nil"/>
              <w:right w:val="nil"/>
            </w:tcBorders>
            <w:shd w:val="clear" w:color="auto" w:fill="FFFFFF"/>
          </w:tcPr>
          <w:p w14:paraId="50C9BF76"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3.5</w:t>
            </w:r>
          </w:p>
        </w:tc>
      </w:tr>
      <w:tr w:rsidR="00C7580A" w:rsidRPr="00787196" w14:paraId="237B119F" w14:textId="77777777" w:rsidTr="005422E7">
        <w:trPr>
          <w:trHeight w:val="169"/>
        </w:trPr>
        <w:tc>
          <w:tcPr>
            <w:tcW w:w="4503" w:type="dxa"/>
            <w:tcBorders>
              <w:top w:val="nil"/>
              <w:left w:val="nil"/>
              <w:bottom w:val="nil"/>
              <w:right w:val="nil"/>
            </w:tcBorders>
            <w:shd w:val="clear" w:color="auto" w:fill="FFFFFF"/>
            <w:vAlign w:val="center"/>
          </w:tcPr>
          <w:p w14:paraId="60D059CB"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No</w:t>
            </w:r>
            <w:r w:rsidR="004E50C6" w:rsidRPr="00787196">
              <w:rPr>
                <w:rFonts w:cs="Arial"/>
                <w:color w:val="000000"/>
                <w:szCs w:val="24"/>
              </w:rPr>
              <w:t xml:space="preserve"> natural teeth</w:t>
            </w:r>
          </w:p>
        </w:tc>
        <w:tc>
          <w:tcPr>
            <w:tcW w:w="2785" w:type="dxa"/>
            <w:tcBorders>
              <w:top w:val="nil"/>
              <w:left w:val="nil"/>
              <w:bottom w:val="nil"/>
              <w:right w:val="nil"/>
            </w:tcBorders>
            <w:shd w:val="clear" w:color="auto" w:fill="FFFFFF"/>
          </w:tcPr>
          <w:p w14:paraId="3411A1DB"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54.2</w:t>
            </w:r>
          </w:p>
        </w:tc>
      </w:tr>
      <w:tr w:rsidR="00C7580A" w:rsidRPr="00787196" w14:paraId="689777F3" w14:textId="77777777" w:rsidTr="005422E7">
        <w:trPr>
          <w:trHeight w:val="169"/>
        </w:trPr>
        <w:tc>
          <w:tcPr>
            <w:tcW w:w="4503" w:type="dxa"/>
            <w:tcBorders>
              <w:top w:val="nil"/>
              <w:left w:val="nil"/>
              <w:bottom w:val="nil"/>
              <w:right w:val="nil"/>
            </w:tcBorders>
            <w:shd w:val="clear" w:color="auto" w:fill="FFFFFF"/>
            <w:vAlign w:val="center"/>
          </w:tcPr>
          <w:p w14:paraId="435FCA0B"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p>
        </w:tc>
        <w:tc>
          <w:tcPr>
            <w:tcW w:w="2785" w:type="dxa"/>
            <w:tcBorders>
              <w:top w:val="nil"/>
              <w:left w:val="nil"/>
              <w:bottom w:val="nil"/>
              <w:right w:val="nil"/>
            </w:tcBorders>
            <w:shd w:val="clear" w:color="auto" w:fill="FFFFFF"/>
          </w:tcPr>
          <w:p w14:paraId="4CD6D433"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p>
        </w:tc>
      </w:tr>
      <w:tr w:rsidR="00C7580A" w:rsidRPr="00787196" w14:paraId="5006AB40" w14:textId="77777777" w:rsidTr="005422E7">
        <w:trPr>
          <w:trHeight w:val="169"/>
        </w:trPr>
        <w:tc>
          <w:tcPr>
            <w:tcW w:w="4503" w:type="dxa"/>
            <w:tcBorders>
              <w:top w:val="nil"/>
              <w:left w:val="nil"/>
              <w:bottom w:val="nil"/>
              <w:right w:val="nil"/>
            </w:tcBorders>
            <w:shd w:val="clear" w:color="auto" w:fill="FFFFFF"/>
            <w:vAlign w:val="center"/>
          </w:tcPr>
          <w:p w14:paraId="15E193CD" w14:textId="3A70BBFF" w:rsidR="00C7580A" w:rsidRPr="00787196" w:rsidRDefault="001825C8" w:rsidP="001825C8">
            <w:pPr>
              <w:autoSpaceDE w:val="0"/>
              <w:autoSpaceDN w:val="0"/>
              <w:adjustRightInd w:val="0"/>
              <w:spacing w:before="0" w:after="0" w:line="240" w:lineRule="auto"/>
              <w:ind w:left="142"/>
              <w:rPr>
                <w:rFonts w:cs="Arial"/>
                <w:b/>
                <w:bCs/>
                <w:color w:val="000000"/>
                <w:szCs w:val="24"/>
              </w:rPr>
            </w:pPr>
            <w:r w:rsidRPr="00787196">
              <w:rPr>
                <w:rFonts w:cs="Arial"/>
                <w:b/>
                <w:bCs/>
                <w:color w:val="000000"/>
                <w:szCs w:val="24"/>
              </w:rPr>
              <w:t>No. of o</w:t>
            </w:r>
            <w:r w:rsidR="00C7580A" w:rsidRPr="00787196">
              <w:rPr>
                <w:rFonts w:cs="Arial"/>
                <w:b/>
                <w:bCs/>
                <w:color w:val="000000"/>
                <w:szCs w:val="24"/>
              </w:rPr>
              <w:t>ccluding pairs</w:t>
            </w:r>
            <w:r w:rsidR="004E50C6" w:rsidRPr="00787196">
              <w:rPr>
                <w:rFonts w:cs="Arial"/>
                <w:b/>
                <w:bCs/>
                <w:color w:val="000000"/>
                <w:szCs w:val="24"/>
              </w:rPr>
              <w:t xml:space="preserve"> of teeth</w:t>
            </w:r>
          </w:p>
        </w:tc>
        <w:tc>
          <w:tcPr>
            <w:tcW w:w="2785" w:type="dxa"/>
            <w:tcBorders>
              <w:top w:val="nil"/>
              <w:left w:val="nil"/>
              <w:bottom w:val="nil"/>
              <w:right w:val="nil"/>
            </w:tcBorders>
            <w:shd w:val="clear" w:color="auto" w:fill="FFFFFF"/>
          </w:tcPr>
          <w:p w14:paraId="09EFCFE1"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p>
        </w:tc>
      </w:tr>
      <w:tr w:rsidR="00C7580A" w:rsidRPr="00787196" w14:paraId="4B1CCDF5" w14:textId="77777777" w:rsidTr="005422E7">
        <w:trPr>
          <w:trHeight w:val="169"/>
        </w:trPr>
        <w:tc>
          <w:tcPr>
            <w:tcW w:w="4503" w:type="dxa"/>
            <w:tcBorders>
              <w:top w:val="nil"/>
              <w:left w:val="nil"/>
              <w:bottom w:val="nil"/>
              <w:right w:val="nil"/>
            </w:tcBorders>
            <w:shd w:val="clear" w:color="auto" w:fill="FFFFFF"/>
            <w:vAlign w:val="center"/>
          </w:tcPr>
          <w:p w14:paraId="2AE49F27"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13-16</w:t>
            </w:r>
          </w:p>
        </w:tc>
        <w:tc>
          <w:tcPr>
            <w:tcW w:w="2785" w:type="dxa"/>
            <w:tcBorders>
              <w:top w:val="nil"/>
              <w:left w:val="nil"/>
              <w:bottom w:val="nil"/>
              <w:right w:val="nil"/>
            </w:tcBorders>
            <w:shd w:val="clear" w:color="auto" w:fill="FFFFFF"/>
          </w:tcPr>
          <w:p w14:paraId="1FBA5A09"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3</w:t>
            </w:r>
            <w:r w:rsidR="00EE0F13" w:rsidRPr="00787196">
              <w:rPr>
                <w:rFonts w:cs="Arial"/>
                <w:color w:val="000000"/>
                <w:szCs w:val="24"/>
              </w:rPr>
              <w:t>.0</w:t>
            </w:r>
          </w:p>
        </w:tc>
      </w:tr>
      <w:tr w:rsidR="00C7580A" w:rsidRPr="00787196" w14:paraId="0BB2C67F" w14:textId="77777777" w:rsidTr="005422E7">
        <w:trPr>
          <w:trHeight w:val="169"/>
        </w:trPr>
        <w:tc>
          <w:tcPr>
            <w:tcW w:w="4503" w:type="dxa"/>
            <w:tcBorders>
              <w:top w:val="nil"/>
              <w:left w:val="nil"/>
              <w:bottom w:val="nil"/>
              <w:right w:val="nil"/>
            </w:tcBorders>
            <w:shd w:val="clear" w:color="auto" w:fill="FFFFFF"/>
            <w:vAlign w:val="center"/>
          </w:tcPr>
          <w:p w14:paraId="2B15FCCF"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9-12</w:t>
            </w:r>
          </w:p>
        </w:tc>
        <w:tc>
          <w:tcPr>
            <w:tcW w:w="2785" w:type="dxa"/>
            <w:tcBorders>
              <w:top w:val="nil"/>
              <w:left w:val="nil"/>
              <w:bottom w:val="nil"/>
              <w:right w:val="nil"/>
            </w:tcBorders>
            <w:shd w:val="clear" w:color="auto" w:fill="FFFFFF"/>
          </w:tcPr>
          <w:p w14:paraId="05904BA6"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12.9</w:t>
            </w:r>
          </w:p>
        </w:tc>
      </w:tr>
      <w:tr w:rsidR="00C7580A" w:rsidRPr="00787196" w14:paraId="434C3841" w14:textId="77777777" w:rsidTr="005422E7">
        <w:trPr>
          <w:trHeight w:val="169"/>
        </w:trPr>
        <w:tc>
          <w:tcPr>
            <w:tcW w:w="4503" w:type="dxa"/>
            <w:tcBorders>
              <w:top w:val="nil"/>
              <w:left w:val="nil"/>
              <w:bottom w:val="nil"/>
              <w:right w:val="nil"/>
            </w:tcBorders>
            <w:shd w:val="clear" w:color="auto" w:fill="FFFFFF"/>
            <w:vAlign w:val="center"/>
          </w:tcPr>
          <w:p w14:paraId="6475A989"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5-8</w:t>
            </w:r>
          </w:p>
        </w:tc>
        <w:tc>
          <w:tcPr>
            <w:tcW w:w="2785" w:type="dxa"/>
            <w:tcBorders>
              <w:top w:val="nil"/>
              <w:left w:val="nil"/>
              <w:bottom w:val="nil"/>
              <w:right w:val="nil"/>
            </w:tcBorders>
            <w:shd w:val="clear" w:color="auto" w:fill="FFFFFF"/>
          </w:tcPr>
          <w:p w14:paraId="10F5DDD7"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10.9</w:t>
            </w:r>
          </w:p>
        </w:tc>
      </w:tr>
      <w:tr w:rsidR="00C7580A" w:rsidRPr="00787196" w14:paraId="24290473" w14:textId="77777777" w:rsidTr="005422E7">
        <w:trPr>
          <w:trHeight w:val="169"/>
        </w:trPr>
        <w:tc>
          <w:tcPr>
            <w:tcW w:w="4503" w:type="dxa"/>
            <w:tcBorders>
              <w:top w:val="nil"/>
              <w:left w:val="nil"/>
              <w:bottom w:val="nil"/>
              <w:right w:val="nil"/>
            </w:tcBorders>
            <w:shd w:val="clear" w:color="auto" w:fill="FFFFFF"/>
            <w:vAlign w:val="center"/>
          </w:tcPr>
          <w:p w14:paraId="5E16E376"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1-4</w:t>
            </w:r>
          </w:p>
        </w:tc>
        <w:tc>
          <w:tcPr>
            <w:tcW w:w="2785" w:type="dxa"/>
            <w:tcBorders>
              <w:top w:val="nil"/>
              <w:left w:val="nil"/>
              <w:bottom w:val="nil"/>
              <w:right w:val="nil"/>
            </w:tcBorders>
            <w:shd w:val="clear" w:color="auto" w:fill="FFFFFF"/>
          </w:tcPr>
          <w:p w14:paraId="2F211B82"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4.5</w:t>
            </w:r>
          </w:p>
        </w:tc>
      </w:tr>
      <w:tr w:rsidR="00C7580A" w:rsidRPr="00787196" w14:paraId="455F025D" w14:textId="77777777" w:rsidTr="005422E7">
        <w:trPr>
          <w:trHeight w:val="169"/>
        </w:trPr>
        <w:tc>
          <w:tcPr>
            <w:tcW w:w="4503" w:type="dxa"/>
            <w:tcBorders>
              <w:top w:val="nil"/>
              <w:left w:val="nil"/>
              <w:bottom w:val="nil"/>
              <w:right w:val="nil"/>
            </w:tcBorders>
            <w:shd w:val="clear" w:color="auto" w:fill="FFFFFF"/>
            <w:vAlign w:val="center"/>
          </w:tcPr>
          <w:p w14:paraId="549C686C"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None</w:t>
            </w:r>
          </w:p>
        </w:tc>
        <w:tc>
          <w:tcPr>
            <w:tcW w:w="2785" w:type="dxa"/>
            <w:tcBorders>
              <w:top w:val="nil"/>
              <w:left w:val="nil"/>
              <w:bottom w:val="nil"/>
              <w:right w:val="nil"/>
            </w:tcBorders>
            <w:shd w:val="clear" w:color="auto" w:fill="FFFFFF"/>
          </w:tcPr>
          <w:p w14:paraId="0F5EDD5D" w14:textId="77777777" w:rsidR="00C7580A" w:rsidRPr="00787196" w:rsidRDefault="00C7580A" w:rsidP="00323BBC">
            <w:pPr>
              <w:autoSpaceDE w:val="0"/>
              <w:autoSpaceDN w:val="0"/>
              <w:adjustRightInd w:val="0"/>
              <w:spacing w:before="0" w:after="0" w:line="240" w:lineRule="auto"/>
              <w:jc w:val="center"/>
              <w:rPr>
                <w:rFonts w:cs="Arial"/>
                <w:color w:val="000000"/>
                <w:szCs w:val="24"/>
              </w:rPr>
            </w:pPr>
            <w:r w:rsidRPr="00787196">
              <w:rPr>
                <w:rFonts w:cs="Arial"/>
                <w:color w:val="000000"/>
                <w:szCs w:val="24"/>
              </w:rPr>
              <w:t>68.7</w:t>
            </w:r>
          </w:p>
        </w:tc>
      </w:tr>
      <w:tr w:rsidR="00C7580A" w:rsidRPr="00787196" w14:paraId="05C59CBB" w14:textId="77777777" w:rsidTr="005422E7">
        <w:trPr>
          <w:trHeight w:val="169"/>
        </w:trPr>
        <w:tc>
          <w:tcPr>
            <w:tcW w:w="4503" w:type="dxa"/>
            <w:tcBorders>
              <w:top w:val="nil"/>
              <w:left w:val="nil"/>
              <w:bottom w:val="nil"/>
              <w:right w:val="nil"/>
            </w:tcBorders>
            <w:shd w:val="clear" w:color="auto" w:fill="FFFFFF"/>
            <w:vAlign w:val="center"/>
          </w:tcPr>
          <w:p w14:paraId="68EA91DC"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p>
        </w:tc>
        <w:tc>
          <w:tcPr>
            <w:tcW w:w="2785" w:type="dxa"/>
            <w:tcBorders>
              <w:top w:val="nil"/>
              <w:left w:val="nil"/>
              <w:bottom w:val="nil"/>
              <w:right w:val="nil"/>
            </w:tcBorders>
            <w:shd w:val="clear" w:color="auto" w:fill="FFFFFF"/>
            <w:vAlign w:val="center"/>
          </w:tcPr>
          <w:p w14:paraId="09EA8A3B" w14:textId="77777777" w:rsidR="00C7580A" w:rsidRPr="00787196" w:rsidRDefault="00C7580A" w:rsidP="00323BBC">
            <w:pPr>
              <w:autoSpaceDE w:val="0"/>
              <w:autoSpaceDN w:val="0"/>
              <w:adjustRightInd w:val="0"/>
              <w:spacing w:before="0" w:after="0" w:line="240" w:lineRule="auto"/>
              <w:ind w:left="142"/>
              <w:jc w:val="center"/>
              <w:rPr>
                <w:rFonts w:cs="Arial"/>
                <w:b/>
                <w:bCs/>
                <w:color w:val="000000"/>
                <w:szCs w:val="24"/>
              </w:rPr>
            </w:pPr>
          </w:p>
        </w:tc>
      </w:tr>
      <w:tr w:rsidR="00C7580A" w:rsidRPr="00787196" w14:paraId="09C6F85B" w14:textId="77777777" w:rsidTr="005422E7">
        <w:trPr>
          <w:trHeight w:val="169"/>
        </w:trPr>
        <w:tc>
          <w:tcPr>
            <w:tcW w:w="4503" w:type="dxa"/>
            <w:tcBorders>
              <w:top w:val="nil"/>
              <w:left w:val="nil"/>
              <w:bottom w:val="nil"/>
              <w:right w:val="nil"/>
            </w:tcBorders>
            <w:shd w:val="clear" w:color="auto" w:fill="FFFFFF"/>
            <w:vAlign w:val="center"/>
          </w:tcPr>
          <w:p w14:paraId="091A5441"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r w:rsidRPr="00787196">
              <w:rPr>
                <w:rFonts w:cs="Arial"/>
                <w:b/>
                <w:bCs/>
                <w:color w:val="000000"/>
                <w:szCs w:val="24"/>
              </w:rPr>
              <w:t>Mucosal disease</w:t>
            </w:r>
          </w:p>
        </w:tc>
        <w:tc>
          <w:tcPr>
            <w:tcW w:w="2785" w:type="dxa"/>
            <w:tcBorders>
              <w:top w:val="nil"/>
              <w:left w:val="nil"/>
              <w:bottom w:val="nil"/>
              <w:right w:val="nil"/>
            </w:tcBorders>
            <w:shd w:val="clear" w:color="auto" w:fill="FFFFFF"/>
            <w:vAlign w:val="center"/>
          </w:tcPr>
          <w:p w14:paraId="521EFC6E" w14:textId="77777777" w:rsidR="00C7580A" w:rsidRPr="00787196" w:rsidRDefault="00C7580A" w:rsidP="00323BBC">
            <w:pPr>
              <w:autoSpaceDE w:val="0"/>
              <w:autoSpaceDN w:val="0"/>
              <w:adjustRightInd w:val="0"/>
              <w:spacing w:before="0" w:after="0" w:line="240" w:lineRule="auto"/>
              <w:ind w:left="142"/>
              <w:jc w:val="center"/>
              <w:rPr>
                <w:rFonts w:cs="Arial"/>
                <w:b/>
                <w:bCs/>
                <w:color w:val="000000"/>
                <w:szCs w:val="24"/>
              </w:rPr>
            </w:pPr>
          </w:p>
        </w:tc>
      </w:tr>
      <w:tr w:rsidR="00C7580A" w:rsidRPr="00787196" w14:paraId="002919A4" w14:textId="77777777" w:rsidTr="005422E7">
        <w:trPr>
          <w:trHeight w:val="169"/>
        </w:trPr>
        <w:tc>
          <w:tcPr>
            <w:tcW w:w="4503" w:type="dxa"/>
            <w:tcBorders>
              <w:top w:val="nil"/>
              <w:left w:val="nil"/>
              <w:bottom w:val="nil"/>
              <w:right w:val="nil"/>
            </w:tcBorders>
            <w:shd w:val="clear" w:color="auto" w:fill="FFFFFF"/>
            <w:vAlign w:val="center"/>
          </w:tcPr>
          <w:p w14:paraId="31328038"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 xml:space="preserve">Present </w:t>
            </w:r>
          </w:p>
        </w:tc>
        <w:tc>
          <w:tcPr>
            <w:tcW w:w="2785" w:type="dxa"/>
            <w:tcBorders>
              <w:top w:val="nil"/>
              <w:left w:val="nil"/>
              <w:bottom w:val="nil"/>
              <w:right w:val="nil"/>
            </w:tcBorders>
            <w:shd w:val="clear" w:color="auto" w:fill="FFFFFF"/>
            <w:vAlign w:val="center"/>
          </w:tcPr>
          <w:p w14:paraId="796DB0EB"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2</w:t>
            </w:r>
            <w:r w:rsidR="00EE0F13" w:rsidRPr="00787196">
              <w:rPr>
                <w:rFonts w:cs="Arial"/>
                <w:color w:val="000000"/>
                <w:szCs w:val="24"/>
              </w:rPr>
              <w:t>.0</w:t>
            </w:r>
          </w:p>
        </w:tc>
      </w:tr>
      <w:tr w:rsidR="00C7580A" w:rsidRPr="00787196" w14:paraId="08E30C0A" w14:textId="77777777" w:rsidTr="005422E7">
        <w:trPr>
          <w:trHeight w:val="169"/>
        </w:trPr>
        <w:tc>
          <w:tcPr>
            <w:tcW w:w="4503" w:type="dxa"/>
            <w:tcBorders>
              <w:top w:val="nil"/>
              <w:left w:val="nil"/>
              <w:bottom w:val="nil"/>
              <w:right w:val="nil"/>
            </w:tcBorders>
            <w:shd w:val="clear" w:color="auto" w:fill="FFFFFF"/>
            <w:vAlign w:val="center"/>
          </w:tcPr>
          <w:p w14:paraId="43C95C34"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p>
        </w:tc>
        <w:tc>
          <w:tcPr>
            <w:tcW w:w="2785" w:type="dxa"/>
            <w:tcBorders>
              <w:top w:val="nil"/>
              <w:left w:val="nil"/>
              <w:bottom w:val="nil"/>
              <w:right w:val="nil"/>
            </w:tcBorders>
            <w:shd w:val="clear" w:color="auto" w:fill="FFFFFF"/>
            <w:vAlign w:val="center"/>
          </w:tcPr>
          <w:p w14:paraId="1EE31681" w14:textId="77777777" w:rsidR="00C7580A" w:rsidRPr="00787196" w:rsidRDefault="00C7580A" w:rsidP="00323BBC">
            <w:pPr>
              <w:autoSpaceDE w:val="0"/>
              <w:autoSpaceDN w:val="0"/>
              <w:adjustRightInd w:val="0"/>
              <w:spacing w:before="0" w:after="0" w:line="240" w:lineRule="auto"/>
              <w:ind w:left="142"/>
              <w:jc w:val="center"/>
              <w:rPr>
                <w:rFonts w:cs="Arial"/>
                <w:b/>
                <w:bCs/>
                <w:color w:val="000000"/>
                <w:szCs w:val="24"/>
              </w:rPr>
            </w:pPr>
          </w:p>
        </w:tc>
      </w:tr>
      <w:tr w:rsidR="00C7580A" w:rsidRPr="00787196" w14:paraId="27ED22B6" w14:textId="77777777" w:rsidTr="005422E7">
        <w:trPr>
          <w:trHeight w:val="169"/>
        </w:trPr>
        <w:tc>
          <w:tcPr>
            <w:tcW w:w="4503" w:type="dxa"/>
            <w:tcBorders>
              <w:top w:val="nil"/>
              <w:left w:val="nil"/>
              <w:bottom w:val="nil"/>
              <w:right w:val="nil"/>
            </w:tcBorders>
            <w:shd w:val="clear" w:color="auto" w:fill="FFFFFF"/>
            <w:vAlign w:val="center"/>
          </w:tcPr>
          <w:p w14:paraId="09517F74"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r w:rsidRPr="00787196">
              <w:rPr>
                <w:rFonts w:cs="Arial"/>
                <w:b/>
                <w:bCs/>
                <w:color w:val="000000"/>
                <w:szCs w:val="24"/>
              </w:rPr>
              <w:t>Time since last tooth loss episode</w:t>
            </w:r>
          </w:p>
        </w:tc>
        <w:tc>
          <w:tcPr>
            <w:tcW w:w="2785" w:type="dxa"/>
            <w:tcBorders>
              <w:top w:val="nil"/>
              <w:left w:val="nil"/>
              <w:bottom w:val="nil"/>
              <w:right w:val="nil"/>
            </w:tcBorders>
            <w:shd w:val="clear" w:color="auto" w:fill="FFFFFF"/>
            <w:vAlign w:val="center"/>
          </w:tcPr>
          <w:p w14:paraId="169331E0" w14:textId="77777777" w:rsidR="00C7580A" w:rsidRPr="00787196" w:rsidRDefault="00C7580A" w:rsidP="00323BBC">
            <w:pPr>
              <w:autoSpaceDE w:val="0"/>
              <w:autoSpaceDN w:val="0"/>
              <w:adjustRightInd w:val="0"/>
              <w:spacing w:before="0" w:after="0" w:line="240" w:lineRule="auto"/>
              <w:ind w:left="142"/>
              <w:jc w:val="center"/>
              <w:rPr>
                <w:rFonts w:cs="Arial"/>
                <w:b/>
                <w:bCs/>
                <w:color w:val="000000"/>
                <w:szCs w:val="24"/>
              </w:rPr>
            </w:pPr>
          </w:p>
        </w:tc>
      </w:tr>
      <w:tr w:rsidR="00C7580A" w:rsidRPr="00787196" w14:paraId="2881627B" w14:textId="77777777" w:rsidTr="005422E7">
        <w:trPr>
          <w:trHeight w:val="169"/>
        </w:trPr>
        <w:tc>
          <w:tcPr>
            <w:tcW w:w="4503" w:type="dxa"/>
            <w:tcBorders>
              <w:top w:val="nil"/>
              <w:left w:val="nil"/>
              <w:bottom w:val="nil"/>
              <w:right w:val="nil"/>
            </w:tcBorders>
            <w:shd w:val="clear" w:color="auto" w:fill="FFFFFF"/>
            <w:vAlign w:val="center"/>
          </w:tcPr>
          <w:p w14:paraId="4F596CC5"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&lt;1year</w:t>
            </w:r>
          </w:p>
        </w:tc>
        <w:tc>
          <w:tcPr>
            <w:tcW w:w="2785" w:type="dxa"/>
            <w:tcBorders>
              <w:top w:val="nil"/>
              <w:left w:val="nil"/>
              <w:bottom w:val="nil"/>
              <w:right w:val="nil"/>
            </w:tcBorders>
            <w:shd w:val="clear" w:color="auto" w:fill="FFFFFF"/>
            <w:vAlign w:val="center"/>
          </w:tcPr>
          <w:p w14:paraId="34AE9470"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56.7</w:t>
            </w:r>
          </w:p>
        </w:tc>
      </w:tr>
      <w:tr w:rsidR="00C7580A" w:rsidRPr="00787196" w14:paraId="5BF9C949" w14:textId="77777777" w:rsidTr="005422E7">
        <w:trPr>
          <w:trHeight w:val="169"/>
        </w:trPr>
        <w:tc>
          <w:tcPr>
            <w:tcW w:w="4503" w:type="dxa"/>
            <w:tcBorders>
              <w:top w:val="nil"/>
              <w:left w:val="nil"/>
              <w:bottom w:val="nil"/>
              <w:right w:val="nil"/>
            </w:tcBorders>
            <w:shd w:val="clear" w:color="auto" w:fill="FFFFFF"/>
            <w:vAlign w:val="center"/>
          </w:tcPr>
          <w:p w14:paraId="06ABE1B4"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&lt;5 years</w:t>
            </w:r>
          </w:p>
        </w:tc>
        <w:tc>
          <w:tcPr>
            <w:tcW w:w="2785" w:type="dxa"/>
            <w:tcBorders>
              <w:top w:val="nil"/>
              <w:left w:val="nil"/>
              <w:bottom w:val="nil"/>
              <w:right w:val="nil"/>
            </w:tcBorders>
            <w:shd w:val="clear" w:color="auto" w:fill="FFFFFF"/>
            <w:vAlign w:val="center"/>
          </w:tcPr>
          <w:p w14:paraId="0AFE61C7"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23.4</w:t>
            </w:r>
          </w:p>
        </w:tc>
      </w:tr>
      <w:tr w:rsidR="00C7580A" w:rsidRPr="00787196" w14:paraId="25863317" w14:textId="77777777" w:rsidTr="005422E7">
        <w:trPr>
          <w:trHeight w:val="169"/>
        </w:trPr>
        <w:tc>
          <w:tcPr>
            <w:tcW w:w="4503" w:type="dxa"/>
            <w:tcBorders>
              <w:top w:val="nil"/>
              <w:left w:val="nil"/>
              <w:bottom w:val="nil"/>
              <w:right w:val="nil"/>
            </w:tcBorders>
            <w:shd w:val="clear" w:color="auto" w:fill="FFFFFF"/>
            <w:vAlign w:val="center"/>
          </w:tcPr>
          <w:p w14:paraId="18ABE5FD"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&lt;10 years</w:t>
            </w:r>
          </w:p>
        </w:tc>
        <w:tc>
          <w:tcPr>
            <w:tcW w:w="2785" w:type="dxa"/>
            <w:tcBorders>
              <w:top w:val="nil"/>
              <w:left w:val="nil"/>
              <w:bottom w:val="nil"/>
              <w:right w:val="nil"/>
            </w:tcBorders>
            <w:shd w:val="clear" w:color="auto" w:fill="FFFFFF"/>
            <w:vAlign w:val="center"/>
          </w:tcPr>
          <w:p w14:paraId="15A2E70A"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9.5</w:t>
            </w:r>
          </w:p>
        </w:tc>
      </w:tr>
      <w:tr w:rsidR="00C7580A" w:rsidRPr="00787196" w14:paraId="15DD6AED" w14:textId="77777777" w:rsidTr="005422E7">
        <w:trPr>
          <w:trHeight w:val="169"/>
        </w:trPr>
        <w:tc>
          <w:tcPr>
            <w:tcW w:w="4503" w:type="dxa"/>
            <w:tcBorders>
              <w:top w:val="nil"/>
              <w:left w:val="nil"/>
              <w:bottom w:val="nil"/>
              <w:right w:val="nil"/>
            </w:tcBorders>
            <w:shd w:val="clear" w:color="auto" w:fill="FFFFFF"/>
            <w:vAlign w:val="center"/>
          </w:tcPr>
          <w:p w14:paraId="2862C5A2"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&gt;10 years</w:t>
            </w:r>
          </w:p>
        </w:tc>
        <w:tc>
          <w:tcPr>
            <w:tcW w:w="2785" w:type="dxa"/>
            <w:tcBorders>
              <w:top w:val="nil"/>
              <w:left w:val="nil"/>
              <w:bottom w:val="nil"/>
              <w:right w:val="nil"/>
            </w:tcBorders>
            <w:shd w:val="clear" w:color="auto" w:fill="FFFFFF"/>
            <w:vAlign w:val="center"/>
          </w:tcPr>
          <w:p w14:paraId="7044AE3E"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9.5</w:t>
            </w:r>
          </w:p>
        </w:tc>
      </w:tr>
      <w:tr w:rsidR="00C7580A" w:rsidRPr="00787196" w14:paraId="61A0E43A" w14:textId="77777777" w:rsidTr="005422E7">
        <w:trPr>
          <w:trHeight w:val="169"/>
        </w:trPr>
        <w:tc>
          <w:tcPr>
            <w:tcW w:w="4503" w:type="dxa"/>
            <w:tcBorders>
              <w:top w:val="nil"/>
              <w:left w:val="nil"/>
              <w:bottom w:val="nil"/>
              <w:right w:val="nil"/>
            </w:tcBorders>
            <w:shd w:val="clear" w:color="auto" w:fill="FFFFFF"/>
            <w:vAlign w:val="center"/>
          </w:tcPr>
          <w:p w14:paraId="6A5BB6E0"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 xml:space="preserve">Loss due to other reasons </w:t>
            </w:r>
          </w:p>
        </w:tc>
        <w:tc>
          <w:tcPr>
            <w:tcW w:w="2785" w:type="dxa"/>
            <w:tcBorders>
              <w:top w:val="nil"/>
              <w:left w:val="nil"/>
              <w:bottom w:val="nil"/>
              <w:right w:val="nil"/>
            </w:tcBorders>
            <w:shd w:val="clear" w:color="auto" w:fill="FFFFFF"/>
            <w:vAlign w:val="center"/>
          </w:tcPr>
          <w:p w14:paraId="5B8392BB"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1</w:t>
            </w:r>
            <w:r w:rsidR="00EE0F13" w:rsidRPr="00787196">
              <w:rPr>
                <w:rFonts w:cs="Arial"/>
                <w:color w:val="000000"/>
                <w:szCs w:val="24"/>
              </w:rPr>
              <w:t>.0</w:t>
            </w:r>
          </w:p>
        </w:tc>
      </w:tr>
      <w:tr w:rsidR="00C7580A" w:rsidRPr="00787196" w14:paraId="77174D89" w14:textId="77777777" w:rsidTr="005422E7">
        <w:trPr>
          <w:trHeight w:val="169"/>
        </w:trPr>
        <w:tc>
          <w:tcPr>
            <w:tcW w:w="4503" w:type="dxa"/>
            <w:tcBorders>
              <w:top w:val="nil"/>
              <w:left w:val="nil"/>
              <w:bottom w:val="nil"/>
              <w:right w:val="nil"/>
            </w:tcBorders>
            <w:shd w:val="clear" w:color="auto" w:fill="FFFFFF"/>
            <w:vAlign w:val="center"/>
          </w:tcPr>
          <w:p w14:paraId="74606C2B" w14:textId="77777777" w:rsidR="00C7580A" w:rsidRPr="00787196" w:rsidRDefault="00C7580A" w:rsidP="00755F46">
            <w:pPr>
              <w:autoSpaceDE w:val="0"/>
              <w:autoSpaceDN w:val="0"/>
              <w:adjustRightInd w:val="0"/>
              <w:spacing w:before="0" w:after="0" w:line="240" w:lineRule="auto"/>
              <w:ind w:left="142"/>
              <w:rPr>
                <w:rFonts w:cs="Arial"/>
                <w:b/>
                <w:bCs/>
                <w:color w:val="000000"/>
                <w:szCs w:val="24"/>
              </w:rPr>
            </w:pPr>
          </w:p>
        </w:tc>
        <w:tc>
          <w:tcPr>
            <w:tcW w:w="2785" w:type="dxa"/>
            <w:tcBorders>
              <w:top w:val="nil"/>
              <w:left w:val="nil"/>
              <w:bottom w:val="nil"/>
              <w:right w:val="nil"/>
            </w:tcBorders>
            <w:shd w:val="clear" w:color="auto" w:fill="FFFFFF"/>
            <w:vAlign w:val="center"/>
          </w:tcPr>
          <w:p w14:paraId="3222AB6D" w14:textId="77777777" w:rsidR="00C7580A" w:rsidRPr="00787196" w:rsidRDefault="00C7580A" w:rsidP="00323BBC">
            <w:pPr>
              <w:autoSpaceDE w:val="0"/>
              <w:autoSpaceDN w:val="0"/>
              <w:adjustRightInd w:val="0"/>
              <w:spacing w:before="0" w:after="0" w:line="240" w:lineRule="auto"/>
              <w:ind w:left="142"/>
              <w:jc w:val="center"/>
              <w:rPr>
                <w:rFonts w:cs="Arial"/>
                <w:b/>
                <w:bCs/>
                <w:color w:val="000000"/>
                <w:szCs w:val="24"/>
              </w:rPr>
            </w:pPr>
          </w:p>
        </w:tc>
      </w:tr>
      <w:tr w:rsidR="00C7580A" w:rsidRPr="00787196" w14:paraId="1DAB4119" w14:textId="77777777" w:rsidTr="005422E7">
        <w:trPr>
          <w:trHeight w:val="169"/>
        </w:trPr>
        <w:tc>
          <w:tcPr>
            <w:tcW w:w="4503" w:type="dxa"/>
            <w:tcBorders>
              <w:top w:val="nil"/>
              <w:left w:val="nil"/>
              <w:bottom w:val="nil"/>
              <w:right w:val="nil"/>
            </w:tcBorders>
            <w:shd w:val="clear" w:color="auto" w:fill="FFFFFF"/>
            <w:vAlign w:val="center"/>
          </w:tcPr>
          <w:p w14:paraId="540671E9" w14:textId="11E8EE52" w:rsidR="00C7580A" w:rsidRPr="00787196" w:rsidRDefault="00C7580A" w:rsidP="001825C8">
            <w:pPr>
              <w:autoSpaceDE w:val="0"/>
              <w:autoSpaceDN w:val="0"/>
              <w:adjustRightInd w:val="0"/>
              <w:spacing w:before="0" w:after="0" w:line="240" w:lineRule="auto"/>
              <w:ind w:left="142"/>
              <w:rPr>
                <w:rFonts w:cs="Arial"/>
                <w:b/>
                <w:bCs/>
                <w:color w:val="000000"/>
                <w:szCs w:val="24"/>
              </w:rPr>
            </w:pPr>
            <w:r w:rsidRPr="00787196">
              <w:rPr>
                <w:rFonts w:cs="Arial"/>
                <w:b/>
                <w:bCs/>
                <w:color w:val="000000"/>
                <w:szCs w:val="24"/>
              </w:rPr>
              <w:t xml:space="preserve">Operator </w:t>
            </w:r>
          </w:p>
        </w:tc>
        <w:tc>
          <w:tcPr>
            <w:tcW w:w="2785" w:type="dxa"/>
            <w:tcBorders>
              <w:top w:val="nil"/>
              <w:left w:val="nil"/>
              <w:bottom w:val="nil"/>
              <w:right w:val="nil"/>
            </w:tcBorders>
            <w:shd w:val="clear" w:color="auto" w:fill="FFFFFF"/>
            <w:vAlign w:val="center"/>
          </w:tcPr>
          <w:p w14:paraId="164CDC47"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p>
        </w:tc>
      </w:tr>
      <w:tr w:rsidR="00C7580A" w:rsidRPr="00787196" w14:paraId="054D5E12" w14:textId="77777777" w:rsidTr="005422E7">
        <w:trPr>
          <w:trHeight w:val="169"/>
        </w:trPr>
        <w:tc>
          <w:tcPr>
            <w:tcW w:w="4503" w:type="dxa"/>
            <w:tcBorders>
              <w:top w:val="nil"/>
              <w:left w:val="nil"/>
              <w:bottom w:val="nil"/>
              <w:right w:val="nil"/>
            </w:tcBorders>
            <w:shd w:val="clear" w:color="auto" w:fill="FFFFFF"/>
            <w:vAlign w:val="center"/>
          </w:tcPr>
          <w:p w14:paraId="4DED237D"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Postgraduate trainee</w:t>
            </w:r>
          </w:p>
        </w:tc>
        <w:tc>
          <w:tcPr>
            <w:tcW w:w="2785" w:type="dxa"/>
            <w:tcBorders>
              <w:top w:val="nil"/>
              <w:left w:val="nil"/>
              <w:bottom w:val="nil"/>
              <w:right w:val="nil"/>
            </w:tcBorders>
            <w:shd w:val="clear" w:color="auto" w:fill="FFFFFF"/>
            <w:vAlign w:val="center"/>
          </w:tcPr>
          <w:p w14:paraId="1D775039"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17.4</w:t>
            </w:r>
          </w:p>
        </w:tc>
      </w:tr>
      <w:tr w:rsidR="00C7580A" w:rsidRPr="00787196" w14:paraId="35B3E581" w14:textId="77777777" w:rsidTr="005422E7">
        <w:trPr>
          <w:trHeight w:val="169"/>
        </w:trPr>
        <w:tc>
          <w:tcPr>
            <w:tcW w:w="4503" w:type="dxa"/>
            <w:tcBorders>
              <w:top w:val="nil"/>
              <w:left w:val="nil"/>
              <w:bottom w:val="nil"/>
              <w:right w:val="nil"/>
            </w:tcBorders>
            <w:shd w:val="clear" w:color="auto" w:fill="FFFFFF"/>
            <w:vAlign w:val="center"/>
          </w:tcPr>
          <w:p w14:paraId="041E9755"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Interns</w:t>
            </w:r>
          </w:p>
        </w:tc>
        <w:tc>
          <w:tcPr>
            <w:tcW w:w="2785" w:type="dxa"/>
            <w:tcBorders>
              <w:top w:val="nil"/>
              <w:left w:val="nil"/>
              <w:bottom w:val="nil"/>
              <w:right w:val="nil"/>
            </w:tcBorders>
            <w:shd w:val="clear" w:color="auto" w:fill="FFFFFF"/>
            <w:vAlign w:val="center"/>
          </w:tcPr>
          <w:p w14:paraId="24A05399"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5</w:t>
            </w:r>
            <w:r w:rsidR="00EE0F13" w:rsidRPr="00787196">
              <w:rPr>
                <w:rFonts w:cs="Arial"/>
                <w:color w:val="000000"/>
                <w:szCs w:val="24"/>
              </w:rPr>
              <w:t>.0</w:t>
            </w:r>
          </w:p>
        </w:tc>
      </w:tr>
      <w:tr w:rsidR="00C7580A" w:rsidRPr="00787196" w14:paraId="7F7FFB94" w14:textId="77777777" w:rsidTr="005422E7">
        <w:trPr>
          <w:trHeight w:val="169"/>
        </w:trPr>
        <w:tc>
          <w:tcPr>
            <w:tcW w:w="4503" w:type="dxa"/>
            <w:tcBorders>
              <w:top w:val="nil"/>
              <w:left w:val="nil"/>
              <w:bottom w:val="nil"/>
              <w:right w:val="nil"/>
            </w:tcBorders>
            <w:shd w:val="clear" w:color="auto" w:fill="FFFFFF"/>
            <w:vAlign w:val="center"/>
          </w:tcPr>
          <w:p w14:paraId="5178664C"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r w:rsidRPr="00787196">
              <w:rPr>
                <w:rFonts w:cs="Arial"/>
                <w:color w:val="000000"/>
                <w:szCs w:val="24"/>
              </w:rPr>
              <w:t>Undergraduates</w:t>
            </w:r>
          </w:p>
        </w:tc>
        <w:tc>
          <w:tcPr>
            <w:tcW w:w="2785" w:type="dxa"/>
            <w:tcBorders>
              <w:top w:val="nil"/>
              <w:left w:val="nil"/>
              <w:bottom w:val="nil"/>
              <w:right w:val="nil"/>
            </w:tcBorders>
            <w:shd w:val="clear" w:color="auto" w:fill="FFFFFF"/>
            <w:vAlign w:val="center"/>
          </w:tcPr>
          <w:p w14:paraId="12F942AF"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r w:rsidRPr="00787196">
              <w:rPr>
                <w:rFonts w:cs="Arial"/>
                <w:color w:val="000000"/>
                <w:szCs w:val="24"/>
              </w:rPr>
              <w:t>77.6</w:t>
            </w:r>
          </w:p>
        </w:tc>
      </w:tr>
      <w:tr w:rsidR="00C7580A" w:rsidRPr="00787196" w14:paraId="5393BE7C" w14:textId="77777777" w:rsidTr="005422E7">
        <w:trPr>
          <w:trHeight w:val="169"/>
        </w:trPr>
        <w:tc>
          <w:tcPr>
            <w:tcW w:w="4503" w:type="dxa"/>
            <w:tcBorders>
              <w:top w:val="nil"/>
              <w:left w:val="nil"/>
              <w:right w:val="nil"/>
            </w:tcBorders>
            <w:shd w:val="clear" w:color="auto" w:fill="FFFFFF"/>
            <w:vAlign w:val="center"/>
          </w:tcPr>
          <w:p w14:paraId="6BE34BF5" w14:textId="77777777" w:rsidR="00C7580A" w:rsidRPr="00787196" w:rsidRDefault="00C7580A" w:rsidP="00755F46">
            <w:pPr>
              <w:autoSpaceDE w:val="0"/>
              <w:autoSpaceDN w:val="0"/>
              <w:adjustRightInd w:val="0"/>
              <w:spacing w:before="0" w:after="0" w:line="240" w:lineRule="auto"/>
              <w:ind w:left="142"/>
              <w:rPr>
                <w:rFonts w:cs="Arial"/>
                <w:color w:val="000000"/>
                <w:szCs w:val="24"/>
              </w:rPr>
            </w:pPr>
          </w:p>
        </w:tc>
        <w:tc>
          <w:tcPr>
            <w:tcW w:w="2785" w:type="dxa"/>
            <w:tcBorders>
              <w:top w:val="nil"/>
              <w:left w:val="nil"/>
              <w:right w:val="nil"/>
            </w:tcBorders>
            <w:shd w:val="clear" w:color="auto" w:fill="FFFFFF"/>
            <w:vAlign w:val="center"/>
          </w:tcPr>
          <w:p w14:paraId="09E5E520" w14:textId="77777777" w:rsidR="00C7580A" w:rsidRPr="00787196" w:rsidRDefault="00C7580A" w:rsidP="00323BBC">
            <w:pPr>
              <w:autoSpaceDE w:val="0"/>
              <w:autoSpaceDN w:val="0"/>
              <w:adjustRightInd w:val="0"/>
              <w:spacing w:before="0" w:after="0" w:line="240" w:lineRule="auto"/>
              <w:ind w:left="142"/>
              <w:jc w:val="center"/>
              <w:rPr>
                <w:rFonts w:cs="Arial"/>
                <w:color w:val="000000"/>
                <w:szCs w:val="24"/>
              </w:rPr>
            </w:pPr>
          </w:p>
        </w:tc>
      </w:tr>
    </w:tbl>
    <w:p w14:paraId="01421CA7" w14:textId="77777777" w:rsidR="00061946" w:rsidRPr="00787196" w:rsidRDefault="00061946" w:rsidP="00755F46"/>
    <w:p w14:paraId="6051F4AE" w14:textId="77777777" w:rsidR="00061946" w:rsidRPr="00787196" w:rsidRDefault="00061946" w:rsidP="00755F46"/>
    <w:p w14:paraId="43249206" w14:textId="77777777" w:rsidR="00A022F4" w:rsidRPr="00787196" w:rsidRDefault="00061946" w:rsidP="00D9694A">
      <w:pPr>
        <w:pStyle w:val="Heading3"/>
        <w:rPr>
          <w:sz w:val="20"/>
          <w:szCs w:val="20"/>
        </w:rPr>
      </w:pPr>
      <w:r w:rsidRPr="00787196">
        <w:br w:type="page"/>
      </w:r>
    </w:p>
    <w:p w14:paraId="6D02DB2D" w14:textId="3367E3F0" w:rsidR="004F1CC4" w:rsidRPr="00787196" w:rsidRDefault="004F1CC4" w:rsidP="006A2AD4">
      <w:pPr>
        <w:pStyle w:val="Caption"/>
        <w:keepNext/>
        <w:spacing w:before="0" w:after="0"/>
        <w:ind w:right="140"/>
        <w:rPr>
          <w:b/>
          <w:bCs/>
          <w:i w:val="0"/>
          <w:iCs w:val="0"/>
          <w:color w:val="auto"/>
          <w:sz w:val="24"/>
          <w:szCs w:val="24"/>
        </w:rPr>
      </w:pPr>
      <w:bookmarkStart w:id="219" w:name="_Ref424770932"/>
      <w:bookmarkStart w:id="220" w:name="_Toc461641228"/>
      <w:bookmarkStart w:id="221" w:name="_Toc488655532"/>
      <w:r w:rsidRPr="00787196">
        <w:rPr>
          <w:b/>
          <w:bCs/>
          <w:i w:val="0"/>
          <w:iCs w:val="0"/>
          <w:color w:val="auto"/>
          <w:sz w:val="22"/>
          <w:szCs w:val="22"/>
        </w:rPr>
        <w:lastRenderedPageBreak/>
        <w:t xml:space="preserve">Table </w:t>
      </w:r>
      <w:r w:rsidR="000332A1" w:rsidRPr="00787196">
        <w:rPr>
          <w:b/>
          <w:bCs/>
          <w:i w:val="0"/>
          <w:iCs w:val="0"/>
          <w:color w:val="auto"/>
          <w:sz w:val="22"/>
          <w:szCs w:val="22"/>
        </w:rPr>
        <w:fldChar w:fldCharType="begin"/>
      </w:r>
      <w:r w:rsidR="000332A1" w:rsidRPr="00787196">
        <w:rPr>
          <w:b/>
          <w:bCs/>
          <w:i w:val="0"/>
          <w:iCs w:val="0"/>
          <w:color w:val="auto"/>
          <w:sz w:val="22"/>
          <w:szCs w:val="22"/>
        </w:rPr>
        <w:instrText xml:space="preserve"> STYLEREF 1 \s </w:instrText>
      </w:r>
      <w:r w:rsidR="000332A1" w:rsidRPr="00787196">
        <w:rPr>
          <w:b/>
          <w:bCs/>
          <w:i w:val="0"/>
          <w:iCs w:val="0"/>
          <w:color w:val="auto"/>
          <w:sz w:val="22"/>
          <w:szCs w:val="22"/>
        </w:rPr>
        <w:fldChar w:fldCharType="separate"/>
      </w:r>
      <w:r w:rsidR="00C069BC" w:rsidRPr="00787196">
        <w:rPr>
          <w:b/>
          <w:bCs/>
          <w:i w:val="0"/>
          <w:iCs w:val="0"/>
          <w:noProof/>
          <w:color w:val="auto"/>
          <w:sz w:val="22"/>
          <w:szCs w:val="22"/>
        </w:rPr>
        <w:t>5</w:t>
      </w:r>
      <w:r w:rsidR="000332A1" w:rsidRPr="00787196">
        <w:rPr>
          <w:b/>
          <w:bCs/>
          <w:i w:val="0"/>
          <w:iCs w:val="0"/>
          <w:color w:val="auto"/>
          <w:sz w:val="22"/>
          <w:szCs w:val="22"/>
        </w:rPr>
        <w:fldChar w:fldCharType="end"/>
      </w:r>
      <w:r w:rsidR="000332A1" w:rsidRPr="00787196">
        <w:rPr>
          <w:b/>
          <w:bCs/>
          <w:i w:val="0"/>
          <w:iCs w:val="0"/>
          <w:color w:val="auto"/>
          <w:sz w:val="22"/>
          <w:szCs w:val="22"/>
        </w:rPr>
        <w:noBreakHyphen/>
      </w:r>
      <w:r w:rsidR="000332A1" w:rsidRPr="00787196">
        <w:rPr>
          <w:b/>
          <w:bCs/>
          <w:i w:val="0"/>
          <w:iCs w:val="0"/>
          <w:color w:val="auto"/>
          <w:sz w:val="22"/>
          <w:szCs w:val="22"/>
        </w:rPr>
        <w:fldChar w:fldCharType="begin"/>
      </w:r>
      <w:r w:rsidR="000332A1" w:rsidRPr="00787196">
        <w:rPr>
          <w:b/>
          <w:bCs/>
          <w:i w:val="0"/>
          <w:iCs w:val="0"/>
          <w:color w:val="auto"/>
          <w:sz w:val="22"/>
          <w:szCs w:val="22"/>
        </w:rPr>
        <w:instrText xml:space="preserve"> SEQ Table \* ARABIC \s 1 </w:instrText>
      </w:r>
      <w:r w:rsidR="000332A1" w:rsidRPr="00787196">
        <w:rPr>
          <w:b/>
          <w:bCs/>
          <w:i w:val="0"/>
          <w:iCs w:val="0"/>
          <w:color w:val="auto"/>
          <w:sz w:val="22"/>
          <w:szCs w:val="22"/>
        </w:rPr>
        <w:fldChar w:fldCharType="separate"/>
      </w:r>
      <w:r w:rsidR="00C069BC" w:rsidRPr="00787196">
        <w:rPr>
          <w:b/>
          <w:bCs/>
          <w:i w:val="0"/>
          <w:iCs w:val="0"/>
          <w:noProof/>
          <w:color w:val="auto"/>
          <w:sz w:val="22"/>
          <w:szCs w:val="22"/>
        </w:rPr>
        <w:t>3</w:t>
      </w:r>
      <w:r w:rsidR="000332A1" w:rsidRPr="00787196">
        <w:rPr>
          <w:b/>
          <w:bCs/>
          <w:i w:val="0"/>
          <w:iCs w:val="0"/>
          <w:color w:val="auto"/>
          <w:sz w:val="22"/>
          <w:szCs w:val="22"/>
        </w:rPr>
        <w:fldChar w:fldCharType="end"/>
      </w:r>
      <w:bookmarkEnd w:id="219"/>
      <w:r w:rsidR="009E5273" w:rsidRPr="00787196">
        <w:rPr>
          <w:b/>
          <w:bCs/>
          <w:i w:val="0"/>
          <w:iCs w:val="0"/>
          <w:color w:val="auto"/>
          <w:sz w:val="22"/>
          <w:szCs w:val="22"/>
        </w:rPr>
        <w:t>.</w:t>
      </w:r>
      <w:r w:rsidRPr="00787196">
        <w:rPr>
          <w:b/>
          <w:bCs/>
          <w:i w:val="0"/>
          <w:iCs w:val="0"/>
          <w:color w:val="auto"/>
          <w:sz w:val="22"/>
          <w:szCs w:val="22"/>
        </w:rPr>
        <w:t xml:space="preserve"> Prosthodontic status and treatment need of </w:t>
      </w:r>
      <w:r w:rsidR="001825C8" w:rsidRPr="00787196">
        <w:rPr>
          <w:b/>
          <w:bCs/>
          <w:i w:val="0"/>
          <w:iCs w:val="0"/>
          <w:color w:val="auto"/>
          <w:sz w:val="22"/>
          <w:szCs w:val="22"/>
        </w:rPr>
        <w:t xml:space="preserve">201 </w:t>
      </w:r>
      <w:r w:rsidRPr="00787196">
        <w:rPr>
          <w:b/>
          <w:bCs/>
          <w:i w:val="0"/>
          <w:iCs w:val="0"/>
          <w:color w:val="auto"/>
          <w:sz w:val="22"/>
          <w:szCs w:val="22"/>
        </w:rPr>
        <w:t>participants</w:t>
      </w:r>
      <w:r w:rsidR="001825C8" w:rsidRPr="00787196">
        <w:rPr>
          <w:b/>
          <w:bCs/>
          <w:i w:val="0"/>
          <w:iCs w:val="0"/>
          <w:color w:val="auto"/>
          <w:sz w:val="22"/>
          <w:szCs w:val="22"/>
        </w:rPr>
        <w:t xml:space="preserve"> </w:t>
      </w:r>
      <w:r w:rsidRPr="00787196">
        <w:rPr>
          <w:b/>
          <w:bCs/>
          <w:i w:val="0"/>
          <w:iCs w:val="0"/>
          <w:color w:val="auto"/>
          <w:sz w:val="22"/>
          <w:szCs w:val="22"/>
        </w:rPr>
        <w:t>at baseline (T1</w:t>
      </w:r>
      <w:r w:rsidRPr="00787196">
        <w:rPr>
          <w:b/>
          <w:bCs/>
          <w:i w:val="0"/>
          <w:iCs w:val="0"/>
          <w:color w:val="auto"/>
          <w:sz w:val="24"/>
          <w:szCs w:val="24"/>
        </w:rPr>
        <w:t>)</w:t>
      </w:r>
      <w:bookmarkEnd w:id="220"/>
      <w:bookmarkEnd w:id="221"/>
    </w:p>
    <w:tbl>
      <w:tblPr>
        <w:tblpPr w:leftFromText="180" w:rightFromText="180" w:vertAnchor="text" w:horzAnchor="margin" w:tblpY="187"/>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92"/>
        <w:gridCol w:w="486"/>
        <w:gridCol w:w="1276"/>
        <w:gridCol w:w="694"/>
        <w:gridCol w:w="1432"/>
      </w:tblGrid>
      <w:tr w:rsidR="000E5DEF" w:rsidRPr="00787196" w14:paraId="5D54707D" w14:textId="77777777" w:rsidTr="006A2AD4">
        <w:trPr>
          <w:trHeight w:val="292"/>
        </w:trPr>
        <w:tc>
          <w:tcPr>
            <w:tcW w:w="4678" w:type="dxa"/>
            <w:gridSpan w:val="2"/>
            <w:tcBorders>
              <w:left w:val="nil"/>
              <w:bottom w:val="single" w:sz="8" w:space="0" w:color="000000"/>
              <w:right w:val="nil"/>
            </w:tcBorders>
            <w:shd w:val="clear" w:color="auto" w:fill="FFFFFF"/>
            <w:vAlign w:val="center"/>
          </w:tcPr>
          <w:p w14:paraId="28C57400" w14:textId="77777777" w:rsidR="000E5DEF" w:rsidRPr="00787196" w:rsidRDefault="000E5DEF" w:rsidP="000E5DEF">
            <w:pPr>
              <w:autoSpaceDE w:val="0"/>
              <w:autoSpaceDN w:val="0"/>
              <w:adjustRightInd w:val="0"/>
              <w:spacing w:before="0" w:after="0" w:line="240" w:lineRule="auto"/>
              <w:rPr>
                <w:rFonts w:cs="Arial"/>
                <w:b/>
                <w:bCs/>
                <w:color w:val="000000"/>
                <w:szCs w:val="24"/>
              </w:rPr>
            </w:pPr>
            <w:r w:rsidRPr="00787196">
              <w:rPr>
                <w:rFonts w:cs="Arial"/>
                <w:b/>
                <w:bCs/>
                <w:color w:val="000000"/>
                <w:szCs w:val="24"/>
              </w:rPr>
              <w:t>Clinical data</w:t>
            </w:r>
          </w:p>
        </w:tc>
        <w:tc>
          <w:tcPr>
            <w:tcW w:w="1276" w:type="dxa"/>
            <w:tcBorders>
              <w:left w:val="nil"/>
              <w:bottom w:val="single" w:sz="8" w:space="0" w:color="000000"/>
              <w:right w:val="nil"/>
            </w:tcBorders>
            <w:shd w:val="clear" w:color="auto" w:fill="FFFFFF"/>
          </w:tcPr>
          <w:p w14:paraId="39FFF0F4" w14:textId="77777777" w:rsidR="000E5DEF" w:rsidRPr="00787196" w:rsidRDefault="000E5DEF" w:rsidP="000E5DEF">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Upper %</w:t>
            </w:r>
          </w:p>
        </w:tc>
        <w:tc>
          <w:tcPr>
            <w:tcW w:w="2126" w:type="dxa"/>
            <w:gridSpan w:val="2"/>
            <w:tcBorders>
              <w:left w:val="nil"/>
              <w:bottom w:val="single" w:sz="8" w:space="0" w:color="000000"/>
              <w:right w:val="nil"/>
            </w:tcBorders>
            <w:shd w:val="clear" w:color="auto" w:fill="FFFFFF"/>
          </w:tcPr>
          <w:p w14:paraId="2ACB8906" w14:textId="77777777" w:rsidR="000E5DEF" w:rsidRPr="00787196" w:rsidRDefault="000E5DEF" w:rsidP="000E5DEF">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Lower %</w:t>
            </w:r>
          </w:p>
        </w:tc>
      </w:tr>
      <w:tr w:rsidR="000E5DEF" w:rsidRPr="00787196" w14:paraId="56D367AD" w14:textId="77777777" w:rsidTr="006A2AD4">
        <w:trPr>
          <w:trHeight w:val="281"/>
        </w:trPr>
        <w:tc>
          <w:tcPr>
            <w:tcW w:w="4678" w:type="dxa"/>
            <w:gridSpan w:val="2"/>
            <w:tcBorders>
              <w:left w:val="nil"/>
              <w:bottom w:val="nil"/>
              <w:right w:val="nil"/>
            </w:tcBorders>
            <w:shd w:val="clear" w:color="auto" w:fill="FFFFFF"/>
            <w:vAlign w:val="center"/>
          </w:tcPr>
          <w:p w14:paraId="0B6C45ED" w14:textId="77777777" w:rsidR="000E5DEF" w:rsidRPr="00787196" w:rsidRDefault="000E5DEF" w:rsidP="000E5DEF">
            <w:pPr>
              <w:autoSpaceDE w:val="0"/>
              <w:autoSpaceDN w:val="0"/>
              <w:adjustRightInd w:val="0"/>
              <w:spacing w:before="0" w:after="0" w:line="240" w:lineRule="auto"/>
              <w:ind w:left="142"/>
              <w:rPr>
                <w:rFonts w:cs="Arial"/>
                <w:b/>
                <w:bCs/>
                <w:color w:val="000000"/>
                <w:szCs w:val="24"/>
              </w:rPr>
            </w:pPr>
          </w:p>
        </w:tc>
        <w:tc>
          <w:tcPr>
            <w:tcW w:w="1276" w:type="dxa"/>
            <w:tcBorders>
              <w:left w:val="nil"/>
              <w:bottom w:val="nil"/>
              <w:right w:val="nil"/>
            </w:tcBorders>
            <w:shd w:val="clear" w:color="auto" w:fill="FFFFFF"/>
          </w:tcPr>
          <w:p w14:paraId="53C358C2"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c>
          <w:tcPr>
            <w:tcW w:w="2126" w:type="dxa"/>
            <w:gridSpan w:val="2"/>
            <w:tcBorders>
              <w:left w:val="nil"/>
              <w:bottom w:val="nil"/>
              <w:right w:val="nil"/>
            </w:tcBorders>
            <w:shd w:val="clear" w:color="auto" w:fill="FFFFFF"/>
          </w:tcPr>
          <w:p w14:paraId="0830E525"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r>
      <w:tr w:rsidR="000E5DEF" w:rsidRPr="00787196" w14:paraId="36BDAFF7" w14:textId="77777777" w:rsidTr="006A2AD4">
        <w:trPr>
          <w:trHeight w:val="281"/>
        </w:trPr>
        <w:tc>
          <w:tcPr>
            <w:tcW w:w="4678" w:type="dxa"/>
            <w:gridSpan w:val="2"/>
            <w:tcBorders>
              <w:top w:val="nil"/>
              <w:left w:val="nil"/>
              <w:bottom w:val="nil"/>
              <w:right w:val="nil"/>
            </w:tcBorders>
            <w:shd w:val="clear" w:color="auto" w:fill="FFFFFF"/>
            <w:vAlign w:val="center"/>
          </w:tcPr>
          <w:p w14:paraId="073D2A46"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b/>
                <w:bCs/>
                <w:color w:val="000000"/>
                <w:szCs w:val="24"/>
              </w:rPr>
              <w:t>Prosthetic status</w:t>
            </w:r>
          </w:p>
        </w:tc>
        <w:tc>
          <w:tcPr>
            <w:tcW w:w="1276" w:type="dxa"/>
            <w:tcBorders>
              <w:top w:val="nil"/>
              <w:left w:val="nil"/>
              <w:bottom w:val="nil"/>
              <w:right w:val="nil"/>
            </w:tcBorders>
            <w:shd w:val="clear" w:color="auto" w:fill="FFFFFF"/>
          </w:tcPr>
          <w:p w14:paraId="508B6B69"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c>
          <w:tcPr>
            <w:tcW w:w="2126" w:type="dxa"/>
            <w:gridSpan w:val="2"/>
            <w:tcBorders>
              <w:top w:val="nil"/>
              <w:left w:val="nil"/>
              <w:bottom w:val="nil"/>
              <w:right w:val="nil"/>
            </w:tcBorders>
            <w:shd w:val="clear" w:color="auto" w:fill="FFFFFF"/>
          </w:tcPr>
          <w:p w14:paraId="0FA48CE4"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r>
      <w:tr w:rsidR="000E5DEF" w:rsidRPr="00787196" w14:paraId="553AB19B" w14:textId="77777777" w:rsidTr="006A2AD4">
        <w:trPr>
          <w:trHeight w:val="281"/>
        </w:trPr>
        <w:tc>
          <w:tcPr>
            <w:tcW w:w="4678" w:type="dxa"/>
            <w:gridSpan w:val="2"/>
            <w:tcBorders>
              <w:top w:val="nil"/>
              <w:left w:val="nil"/>
              <w:bottom w:val="nil"/>
              <w:right w:val="nil"/>
            </w:tcBorders>
            <w:shd w:val="clear" w:color="auto" w:fill="FFFFFF"/>
            <w:vAlign w:val="center"/>
          </w:tcPr>
          <w:p w14:paraId="261465DB"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 xml:space="preserve">No prosthesis </w:t>
            </w:r>
          </w:p>
        </w:tc>
        <w:tc>
          <w:tcPr>
            <w:tcW w:w="1276" w:type="dxa"/>
            <w:tcBorders>
              <w:top w:val="nil"/>
              <w:left w:val="nil"/>
              <w:bottom w:val="nil"/>
              <w:right w:val="nil"/>
            </w:tcBorders>
            <w:shd w:val="clear" w:color="auto" w:fill="FFFFFF"/>
          </w:tcPr>
          <w:p w14:paraId="77945534"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48.3</w:t>
            </w:r>
          </w:p>
        </w:tc>
        <w:tc>
          <w:tcPr>
            <w:tcW w:w="2126" w:type="dxa"/>
            <w:gridSpan w:val="2"/>
            <w:tcBorders>
              <w:top w:val="nil"/>
              <w:left w:val="nil"/>
              <w:bottom w:val="nil"/>
              <w:right w:val="nil"/>
            </w:tcBorders>
            <w:shd w:val="clear" w:color="auto" w:fill="FFFFFF"/>
          </w:tcPr>
          <w:p w14:paraId="10959325"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53.2</w:t>
            </w:r>
          </w:p>
        </w:tc>
      </w:tr>
      <w:tr w:rsidR="000E5DEF" w:rsidRPr="00787196" w14:paraId="12DA8E1F" w14:textId="77777777" w:rsidTr="006A2AD4">
        <w:trPr>
          <w:trHeight w:val="281"/>
        </w:trPr>
        <w:tc>
          <w:tcPr>
            <w:tcW w:w="4678" w:type="dxa"/>
            <w:gridSpan w:val="2"/>
            <w:tcBorders>
              <w:top w:val="nil"/>
              <w:left w:val="nil"/>
              <w:bottom w:val="nil"/>
              <w:right w:val="nil"/>
            </w:tcBorders>
            <w:shd w:val="clear" w:color="auto" w:fill="FFFFFF"/>
            <w:vAlign w:val="center"/>
          </w:tcPr>
          <w:p w14:paraId="47BC65DE"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Bridge</w:t>
            </w:r>
          </w:p>
        </w:tc>
        <w:tc>
          <w:tcPr>
            <w:tcW w:w="1276" w:type="dxa"/>
            <w:tcBorders>
              <w:top w:val="nil"/>
              <w:left w:val="nil"/>
              <w:bottom w:val="nil"/>
              <w:right w:val="nil"/>
            </w:tcBorders>
            <w:shd w:val="clear" w:color="auto" w:fill="FFFFFF"/>
          </w:tcPr>
          <w:p w14:paraId="219CD855"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c>
          <w:tcPr>
            <w:tcW w:w="2126" w:type="dxa"/>
            <w:gridSpan w:val="2"/>
            <w:tcBorders>
              <w:top w:val="nil"/>
              <w:left w:val="nil"/>
              <w:bottom w:val="nil"/>
              <w:right w:val="nil"/>
            </w:tcBorders>
            <w:shd w:val="clear" w:color="auto" w:fill="FFFFFF"/>
          </w:tcPr>
          <w:p w14:paraId="1923F0D3"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r>
      <w:tr w:rsidR="000E5DEF" w:rsidRPr="00787196" w14:paraId="003A6DAF" w14:textId="77777777" w:rsidTr="006A2AD4">
        <w:trPr>
          <w:trHeight w:val="281"/>
        </w:trPr>
        <w:tc>
          <w:tcPr>
            <w:tcW w:w="4678" w:type="dxa"/>
            <w:gridSpan w:val="2"/>
            <w:tcBorders>
              <w:top w:val="nil"/>
              <w:left w:val="nil"/>
              <w:bottom w:val="nil"/>
              <w:right w:val="nil"/>
            </w:tcBorders>
            <w:shd w:val="clear" w:color="auto" w:fill="FFFFFF"/>
            <w:vAlign w:val="center"/>
          </w:tcPr>
          <w:p w14:paraId="658AE8F7"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Partial denture</w:t>
            </w:r>
          </w:p>
        </w:tc>
        <w:tc>
          <w:tcPr>
            <w:tcW w:w="1276" w:type="dxa"/>
            <w:tcBorders>
              <w:top w:val="nil"/>
              <w:left w:val="nil"/>
              <w:bottom w:val="nil"/>
              <w:right w:val="nil"/>
            </w:tcBorders>
            <w:shd w:val="clear" w:color="auto" w:fill="FFFFFF"/>
          </w:tcPr>
          <w:p w14:paraId="1D18444B"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19.9</w:t>
            </w:r>
          </w:p>
        </w:tc>
        <w:tc>
          <w:tcPr>
            <w:tcW w:w="2126" w:type="dxa"/>
            <w:gridSpan w:val="2"/>
            <w:tcBorders>
              <w:top w:val="nil"/>
              <w:left w:val="nil"/>
              <w:bottom w:val="nil"/>
              <w:right w:val="nil"/>
            </w:tcBorders>
            <w:shd w:val="clear" w:color="auto" w:fill="FFFFFF"/>
          </w:tcPr>
          <w:p w14:paraId="4700AEB0"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18.9</w:t>
            </w:r>
          </w:p>
        </w:tc>
      </w:tr>
      <w:tr w:rsidR="000E5DEF" w:rsidRPr="00787196" w14:paraId="1FF2FA01" w14:textId="77777777" w:rsidTr="006A2AD4">
        <w:trPr>
          <w:trHeight w:val="170"/>
        </w:trPr>
        <w:tc>
          <w:tcPr>
            <w:tcW w:w="4678" w:type="dxa"/>
            <w:gridSpan w:val="2"/>
            <w:tcBorders>
              <w:top w:val="nil"/>
              <w:left w:val="nil"/>
              <w:bottom w:val="nil"/>
              <w:right w:val="nil"/>
            </w:tcBorders>
            <w:shd w:val="clear" w:color="auto" w:fill="FFFFFF"/>
            <w:vAlign w:val="center"/>
          </w:tcPr>
          <w:p w14:paraId="5C8E7A96"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Both bridge and partial denture</w:t>
            </w:r>
          </w:p>
        </w:tc>
        <w:tc>
          <w:tcPr>
            <w:tcW w:w="1276" w:type="dxa"/>
            <w:tcBorders>
              <w:top w:val="nil"/>
              <w:left w:val="nil"/>
              <w:bottom w:val="nil"/>
              <w:right w:val="nil"/>
            </w:tcBorders>
            <w:shd w:val="clear" w:color="auto" w:fill="FFFFFF"/>
          </w:tcPr>
          <w:p w14:paraId="6101A62E"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c>
          <w:tcPr>
            <w:tcW w:w="2126" w:type="dxa"/>
            <w:gridSpan w:val="2"/>
            <w:tcBorders>
              <w:top w:val="nil"/>
              <w:left w:val="nil"/>
              <w:bottom w:val="nil"/>
              <w:right w:val="nil"/>
            </w:tcBorders>
            <w:shd w:val="clear" w:color="auto" w:fill="FFFFFF"/>
          </w:tcPr>
          <w:p w14:paraId="17512B33"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w:t>
            </w:r>
          </w:p>
        </w:tc>
      </w:tr>
      <w:tr w:rsidR="000E5DEF" w:rsidRPr="00787196" w14:paraId="78D30445" w14:textId="77777777" w:rsidTr="006A2AD4">
        <w:trPr>
          <w:trHeight w:val="123"/>
        </w:trPr>
        <w:tc>
          <w:tcPr>
            <w:tcW w:w="4678" w:type="dxa"/>
            <w:gridSpan w:val="2"/>
            <w:tcBorders>
              <w:top w:val="nil"/>
              <w:left w:val="nil"/>
              <w:bottom w:val="nil"/>
              <w:right w:val="nil"/>
            </w:tcBorders>
            <w:shd w:val="clear" w:color="auto" w:fill="FFFFFF"/>
            <w:vAlign w:val="center"/>
          </w:tcPr>
          <w:p w14:paraId="476DADDD"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Full removable denture</w:t>
            </w:r>
          </w:p>
        </w:tc>
        <w:tc>
          <w:tcPr>
            <w:tcW w:w="1276" w:type="dxa"/>
            <w:tcBorders>
              <w:top w:val="nil"/>
              <w:left w:val="nil"/>
              <w:bottom w:val="nil"/>
              <w:right w:val="nil"/>
            </w:tcBorders>
            <w:shd w:val="clear" w:color="auto" w:fill="FFFFFF"/>
          </w:tcPr>
          <w:p w14:paraId="55B3C549"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30.8</w:t>
            </w:r>
          </w:p>
        </w:tc>
        <w:tc>
          <w:tcPr>
            <w:tcW w:w="2126" w:type="dxa"/>
            <w:gridSpan w:val="2"/>
            <w:tcBorders>
              <w:top w:val="nil"/>
              <w:left w:val="nil"/>
              <w:bottom w:val="nil"/>
              <w:right w:val="nil"/>
            </w:tcBorders>
            <w:shd w:val="clear" w:color="auto" w:fill="FFFFFF"/>
          </w:tcPr>
          <w:p w14:paraId="6CA45EBA"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26.4</w:t>
            </w:r>
          </w:p>
        </w:tc>
      </w:tr>
      <w:tr w:rsidR="000E5DEF" w:rsidRPr="00787196" w14:paraId="44B0960F" w14:textId="77777777" w:rsidTr="006A2AD4">
        <w:trPr>
          <w:trHeight w:val="123"/>
        </w:trPr>
        <w:tc>
          <w:tcPr>
            <w:tcW w:w="4678" w:type="dxa"/>
            <w:gridSpan w:val="2"/>
            <w:tcBorders>
              <w:top w:val="nil"/>
              <w:left w:val="nil"/>
              <w:bottom w:val="nil"/>
              <w:right w:val="nil"/>
            </w:tcBorders>
            <w:shd w:val="clear" w:color="auto" w:fill="FFFFFF"/>
            <w:vAlign w:val="center"/>
          </w:tcPr>
          <w:p w14:paraId="5257D143" w14:textId="77777777" w:rsidR="000E5DEF" w:rsidRPr="00787196" w:rsidRDefault="000E5DEF" w:rsidP="000E5DEF">
            <w:pPr>
              <w:autoSpaceDE w:val="0"/>
              <w:autoSpaceDN w:val="0"/>
              <w:adjustRightInd w:val="0"/>
              <w:spacing w:before="0" w:after="0" w:line="240" w:lineRule="auto"/>
              <w:rPr>
                <w:rFonts w:cs="Arial"/>
                <w:color w:val="000000"/>
                <w:szCs w:val="24"/>
              </w:rPr>
            </w:pPr>
          </w:p>
        </w:tc>
        <w:tc>
          <w:tcPr>
            <w:tcW w:w="1276" w:type="dxa"/>
            <w:tcBorders>
              <w:top w:val="nil"/>
              <w:left w:val="nil"/>
              <w:bottom w:val="nil"/>
              <w:right w:val="nil"/>
            </w:tcBorders>
            <w:shd w:val="clear" w:color="auto" w:fill="FFFFFF"/>
          </w:tcPr>
          <w:p w14:paraId="0E03DD78"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c>
          <w:tcPr>
            <w:tcW w:w="2126" w:type="dxa"/>
            <w:gridSpan w:val="2"/>
            <w:tcBorders>
              <w:top w:val="nil"/>
              <w:left w:val="nil"/>
              <w:bottom w:val="nil"/>
              <w:right w:val="nil"/>
            </w:tcBorders>
            <w:shd w:val="clear" w:color="auto" w:fill="FFFFFF"/>
          </w:tcPr>
          <w:p w14:paraId="45540E2C"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r>
      <w:tr w:rsidR="000E5DEF" w:rsidRPr="00787196" w14:paraId="5258EF11" w14:textId="77777777" w:rsidTr="006A2AD4">
        <w:trPr>
          <w:trHeight w:val="169"/>
        </w:trPr>
        <w:tc>
          <w:tcPr>
            <w:tcW w:w="4678" w:type="dxa"/>
            <w:gridSpan w:val="2"/>
            <w:tcBorders>
              <w:top w:val="nil"/>
              <w:left w:val="nil"/>
              <w:bottom w:val="nil"/>
              <w:right w:val="nil"/>
            </w:tcBorders>
            <w:shd w:val="clear" w:color="auto" w:fill="FFFFFF"/>
            <w:vAlign w:val="center"/>
          </w:tcPr>
          <w:p w14:paraId="4579A2C1" w14:textId="77777777" w:rsidR="000E5DEF" w:rsidRPr="00787196" w:rsidRDefault="000E5DEF" w:rsidP="000E5DEF">
            <w:pPr>
              <w:autoSpaceDE w:val="0"/>
              <w:autoSpaceDN w:val="0"/>
              <w:adjustRightInd w:val="0"/>
              <w:spacing w:before="0" w:after="0" w:line="240" w:lineRule="auto"/>
              <w:rPr>
                <w:rFonts w:cs="Arial"/>
                <w:b/>
                <w:bCs/>
                <w:color w:val="000000"/>
                <w:szCs w:val="24"/>
              </w:rPr>
            </w:pPr>
            <w:r w:rsidRPr="00787196">
              <w:rPr>
                <w:rFonts w:cs="Arial"/>
                <w:b/>
                <w:bCs/>
                <w:color w:val="000000"/>
                <w:szCs w:val="24"/>
              </w:rPr>
              <w:t xml:space="preserve">Prosthetic need </w:t>
            </w:r>
          </w:p>
        </w:tc>
        <w:tc>
          <w:tcPr>
            <w:tcW w:w="1276" w:type="dxa"/>
            <w:tcBorders>
              <w:top w:val="nil"/>
              <w:left w:val="nil"/>
              <w:bottom w:val="nil"/>
              <w:right w:val="nil"/>
            </w:tcBorders>
            <w:shd w:val="clear" w:color="auto" w:fill="FFFFFF"/>
          </w:tcPr>
          <w:p w14:paraId="66658FC4"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c>
          <w:tcPr>
            <w:tcW w:w="2126" w:type="dxa"/>
            <w:gridSpan w:val="2"/>
            <w:tcBorders>
              <w:top w:val="nil"/>
              <w:left w:val="nil"/>
              <w:bottom w:val="nil"/>
              <w:right w:val="nil"/>
            </w:tcBorders>
            <w:shd w:val="clear" w:color="auto" w:fill="FFFFFF"/>
          </w:tcPr>
          <w:p w14:paraId="6149413F"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p>
        </w:tc>
      </w:tr>
      <w:tr w:rsidR="000E5DEF" w:rsidRPr="00787196" w14:paraId="6DF7C5B5" w14:textId="77777777" w:rsidTr="006A2AD4">
        <w:trPr>
          <w:trHeight w:val="169"/>
        </w:trPr>
        <w:tc>
          <w:tcPr>
            <w:tcW w:w="4678" w:type="dxa"/>
            <w:gridSpan w:val="2"/>
            <w:tcBorders>
              <w:top w:val="nil"/>
              <w:left w:val="nil"/>
              <w:bottom w:val="nil"/>
              <w:right w:val="nil"/>
            </w:tcBorders>
            <w:shd w:val="clear" w:color="auto" w:fill="FFFFFF"/>
            <w:vAlign w:val="center"/>
          </w:tcPr>
          <w:p w14:paraId="38D84F92" w14:textId="77777777" w:rsidR="000E5DEF" w:rsidRPr="00787196" w:rsidRDefault="000E5DEF" w:rsidP="000E5DEF">
            <w:pPr>
              <w:autoSpaceDE w:val="0"/>
              <w:autoSpaceDN w:val="0"/>
              <w:adjustRightInd w:val="0"/>
              <w:spacing w:before="0" w:after="0" w:line="240" w:lineRule="auto"/>
              <w:rPr>
                <w:rFonts w:cs="Arial"/>
                <w:b/>
                <w:bCs/>
                <w:color w:val="000000"/>
                <w:szCs w:val="24"/>
              </w:rPr>
            </w:pPr>
            <w:r w:rsidRPr="00787196">
              <w:rPr>
                <w:rFonts w:cs="Arial"/>
                <w:color w:val="000000"/>
                <w:szCs w:val="24"/>
              </w:rPr>
              <w:t>No prosthesis needed</w:t>
            </w:r>
          </w:p>
        </w:tc>
        <w:tc>
          <w:tcPr>
            <w:tcW w:w="1276" w:type="dxa"/>
            <w:tcBorders>
              <w:top w:val="nil"/>
              <w:left w:val="nil"/>
              <w:bottom w:val="nil"/>
              <w:right w:val="nil"/>
            </w:tcBorders>
            <w:shd w:val="clear" w:color="auto" w:fill="FFFFFF"/>
          </w:tcPr>
          <w:p w14:paraId="5D715932"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5.5</w:t>
            </w:r>
          </w:p>
        </w:tc>
        <w:tc>
          <w:tcPr>
            <w:tcW w:w="2126" w:type="dxa"/>
            <w:gridSpan w:val="2"/>
            <w:tcBorders>
              <w:top w:val="nil"/>
              <w:left w:val="nil"/>
              <w:bottom w:val="nil"/>
              <w:right w:val="nil"/>
            </w:tcBorders>
            <w:shd w:val="clear" w:color="auto" w:fill="FFFFFF"/>
          </w:tcPr>
          <w:p w14:paraId="6077C61A"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3.0</w:t>
            </w:r>
          </w:p>
        </w:tc>
      </w:tr>
      <w:tr w:rsidR="000E5DEF" w:rsidRPr="00787196" w14:paraId="24B36897" w14:textId="77777777" w:rsidTr="006A2AD4">
        <w:trPr>
          <w:trHeight w:val="169"/>
        </w:trPr>
        <w:tc>
          <w:tcPr>
            <w:tcW w:w="4678" w:type="dxa"/>
            <w:gridSpan w:val="2"/>
            <w:tcBorders>
              <w:top w:val="nil"/>
              <w:left w:val="nil"/>
              <w:bottom w:val="nil"/>
              <w:right w:val="nil"/>
            </w:tcBorders>
            <w:shd w:val="clear" w:color="auto" w:fill="FFFFFF"/>
            <w:vAlign w:val="center"/>
          </w:tcPr>
          <w:p w14:paraId="5568B108"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Need for one unit prosthesis</w:t>
            </w:r>
          </w:p>
        </w:tc>
        <w:tc>
          <w:tcPr>
            <w:tcW w:w="1276" w:type="dxa"/>
            <w:tcBorders>
              <w:top w:val="nil"/>
              <w:left w:val="nil"/>
              <w:bottom w:val="nil"/>
              <w:right w:val="nil"/>
            </w:tcBorders>
            <w:shd w:val="clear" w:color="auto" w:fill="FFFFFF"/>
          </w:tcPr>
          <w:p w14:paraId="2C5C588C"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3.5</w:t>
            </w:r>
          </w:p>
        </w:tc>
        <w:tc>
          <w:tcPr>
            <w:tcW w:w="2126" w:type="dxa"/>
            <w:gridSpan w:val="2"/>
            <w:tcBorders>
              <w:top w:val="nil"/>
              <w:left w:val="nil"/>
              <w:bottom w:val="nil"/>
              <w:right w:val="nil"/>
            </w:tcBorders>
            <w:shd w:val="clear" w:color="auto" w:fill="FFFFFF"/>
          </w:tcPr>
          <w:p w14:paraId="6DBDC820"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r>
      <w:tr w:rsidR="000E5DEF" w:rsidRPr="00787196" w14:paraId="2FFE49A1" w14:textId="77777777" w:rsidTr="006A2AD4">
        <w:trPr>
          <w:trHeight w:val="169"/>
        </w:trPr>
        <w:tc>
          <w:tcPr>
            <w:tcW w:w="4678" w:type="dxa"/>
            <w:gridSpan w:val="2"/>
            <w:tcBorders>
              <w:top w:val="nil"/>
              <w:left w:val="nil"/>
              <w:bottom w:val="nil"/>
              <w:right w:val="nil"/>
            </w:tcBorders>
            <w:shd w:val="clear" w:color="auto" w:fill="FFFFFF"/>
            <w:vAlign w:val="center"/>
          </w:tcPr>
          <w:p w14:paraId="11C0312A"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Need for multi-unit prosthesis</w:t>
            </w:r>
          </w:p>
        </w:tc>
        <w:tc>
          <w:tcPr>
            <w:tcW w:w="1276" w:type="dxa"/>
            <w:tcBorders>
              <w:top w:val="nil"/>
              <w:left w:val="nil"/>
              <w:bottom w:val="nil"/>
              <w:right w:val="nil"/>
            </w:tcBorders>
            <w:shd w:val="clear" w:color="auto" w:fill="FFFFFF"/>
          </w:tcPr>
          <w:p w14:paraId="152AD69A"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26.4</w:t>
            </w:r>
          </w:p>
        </w:tc>
        <w:tc>
          <w:tcPr>
            <w:tcW w:w="2126" w:type="dxa"/>
            <w:gridSpan w:val="2"/>
            <w:tcBorders>
              <w:top w:val="nil"/>
              <w:left w:val="nil"/>
              <w:bottom w:val="nil"/>
              <w:right w:val="nil"/>
            </w:tcBorders>
            <w:shd w:val="clear" w:color="auto" w:fill="FFFFFF"/>
          </w:tcPr>
          <w:p w14:paraId="27778A38"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37.3</w:t>
            </w:r>
          </w:p>
        </w:tc>
      </w:tr>
      <w:tr w:rsidR="000E5DEF" w:rsidRPr="00787196" w14:paraId="61F68400" w14:textId="77777777" w:rsidTr="006A2AD4">
        <w:trPr>
          <w:trHeight w:val="169"/>
        </w:trPr>
        <w:tc>
          <w:tcPr>
            <w:tcW w:w="4678" w:type="dxa"/>
            <w:gridSpan w:val="2"/>
            <w:tcBorders>
              <w:top w:val="nil"/>
              <w:left w:val="nil"/>
              <w:bottom w:val="nil"/>
              <w:right w:val="nil"/>
            </w:tcBorders>
            <w:shd w:val="clear" w:color="auto" w:fill="FFFFFF"/>
            <w:vAlign w:val="center"/>
          </w:tcPr>
          <w:p w14:paraId="495B83AC"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 xml:space="preserve">Need for a combination of one &amp; multi-unit </w:t>
            </w:r>
          </w:p>
        </w:tc>
        <w:tc>
          <w:tcPr>
            <w:tcW w:w="1276" w:type="dxa"/>
            <w:tcBorders>
              <w:top w:val="nil"/>
              <w:left w:val="nil"/>
              <w:bottom w:val="nil"/>
              <w:right w:val="nil"/>
            </w:tcBorders>
            <w:shd w:val="clear" w:color="auto" w:fill="FFFFFF"/>
          </w:tcPr>
          <w:p w14:paraId="56D743AF"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w:t>
            </w:r>
          </w:p>
        </w:tc>
        <w:tc>
          <w:tcPr>
            <w:tcW w:w="2126" w:type="dxa"/>
            <w:gridSpan w:val="2"/>
            <w:tcBorders>
              <w:top w:val="nil"/>
              <w:left w:val="nil"/>
              <w:bottom w:val="nil"/>
              <w:right w:val="nil"/>
            </w:tcBorders>
            <w:shd w:val="clear" w:color="auto" w:fill="FFFFFF"/>
          </w:tcPr>
          <w:p w14:paraId="1B4C877D"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w:t>
            </w:r>
          </w:p>
        </w:tc>
      </w:tr>
      <w:tr w:rsidR="000E5DEF" w:rsidRPr="00787196" w14:paraId="3A49B8D6" w14:textId="77777777" w:rsidTr="006A2AD4">
        <w:trPr>
          <w:trHeight w:val="169"/>
        </w:trPr>
        <w:tc>
          <w:tcPr>
            <w:tcW w:w="4678" w:type="dxa"/>
            <w:gridSpan w:val="2"/>
            <w:tcBorders>
              <w:top w:val="nil"/>
              <w:left w:val="nil"/>
              <w:bottom w:val="nil"/>
              <w:right w:val="nil"/>
            </w:tcBorders>
            <w:shd w:val="clear" w:color="auto" w:fill="FFFFFF"/>
            <w:vAlign w:val="center"/>
          </w:tcPr>
          <w:p w14:paraId="4932D9AD" w14:textId="77777777" w:rsidR="000E5DEF" w:rsidRPr="00787196" w:rsidRDefault="000E5DEF" w:rsidP="000E5DEF">
            <w:pPr>
              <w:autoSpaceDE w:val="0"/>
              <w:autoSpaceDN w:val="0"/>
              <w:adjustRightInd w:val="0"/>
              <w:spacing w:before="0" w:after="0" w:line="240" w:lineRule="auto"/>
              <w:rPr>
                <w:rFonts w:cs="Arial"/>
                <w:color w:val="000000"/>
                <w:szCs w:val="24"/>
              </w:rPr>
            </w:pPr>
            <w:r w:rsidRPr="00787196">
              <w:rPr>
                <w:rFonts w:cs="Arial"/>
                <w:color w:val="000000"/>
                <w:szCs w:val="24"/>
              </w:rPr>
              <w:t>Need for a full unit prosthesis</w:t>
            </w:r>
          </w:p>
        </w:tc>
        <w:tc>
          <w:tcPr>
            <w:tcW w:w="1276" w:type="dxa"/>
            <w:tcBorders>
              <w:top w:val="nil"/>
              <w:left w:val="nil"/>
              <w:bottom w:val="nil"/>
              <w:right w:val="nil"/>
            </w:tcBorders>
            <w:shd w:val="clear" w:color="auto" w:fill="FFFFFF"/>
          </w:tcPr>
          <w:p w14:paraId="3ED5AE58"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63.7</w:t>
            </w:r>
          </w:p>
        </w:tc>
        <w:tc>
          <w:tcPr>
            <w:tcW w:w="2126" w:type="dxa"/>
            <w:gridSpan w:val="2"/>
            <w:tcBorders>
              <w:top w:val="nil"/>
              <w:left w:val="nil"/>
              <w:bottom w:val="nil"/>
              <w:right w:val="nil"/>
            </w:tcBorders>
            <w:shd w:val="clear" w:color="auto" w:fill="FFFFFF"/>
          </w:tcPr>
          <w:p w14:paraId="268E4069" w14:textId="77777777" w:rsidR="000E5DEF" w:rsidRPr="00787196" w:rsidRDefault="000E5DEF" w:rsidP="000E5DEF">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58.2</w:t>
            </w:r>
          </w:p>
        </w:tc>
      </w:tr>
      <w:tr w:rsidR="000E5DEF" w:rsidRPr="00787196" w14:paraId="36CD22E5" w14:textId="77777777" w:rsidTr="006A2AD4">
        <w:trPr>
          <w:trHeight w:val="169"/>
        </w:trPr>
        <w:tc>
          <w:tcPr>
            <w:tcW w:w="4192" w:type="dxa"/>
            <w:tcBorders>
              <w:top w:val="nil"/>
              <w:left w:val="nil"/>
              <w:right w:val="nil"/>
            </w:tcBorders>
            <w:shd w:val="clear" w:color="auto" w:fill="FFFFFF"/>
            <w:vAlign w:val="center"/>
          </w:tcPr>
          <w:p w14:paraId="3944C887" w14:textId="77777777" w:rsidR="000E5DEF" w:rsidRPr="00787196" w:rsidRDefault="000E5DEF" w:rsidP="000E5DEF">
            <w:pPr>
              <w:autoSpaceDE w:val="0"/>
              <w:autoSpaceDN w:val="0"/>
              <w:adjustRightInd w:val="0"/>
              <w:spacing w:before="0" w:after="0" w:line="240" w:lineRule="auto"/>
              <w:rPr>
                <w:rFonts w:cs="Arial"/>
                <w:color w:val="000000"/>
                <w:szCs w:val="24"/>
              </w:rPr>
            </w:pPr>
          </w:p>
        </w:tc>
        <w:tc>
          <w:tcPr>
            <w:tcW w:w="2456" w:type="dxa"/>
            <w:gridSpan w:val="3"/>
            <w:tcBorders>
              <w:top w:val="nil"/>
              <w:left w:val="nil"/>
              <w:right w:val="nil"/>
            </w:tcBorders>
            <w:shd w:val="clear" w:color="auto" w:fill="FFFFFF"/>
          </w:tcPr>
          <w:p w14:paraId="1ECDB445" w14:textId="77777777" w:rsidR="000E5DEF" w:rsidRPr="00787196" w:rsidRDefault="000E5DEF" w:rsidP="000E5DEF">
            <w:pPr>
              <w:autoSpaceDE w:val="0"/>
              <w:autoSpaceDN w:val="0"/>
              <w:adjustRightInd w:val="0"/>
              <w:spacing w:before="0" w:after="0" w:line="240" w:lineRule="auto"/>
              <w:ind w:left="142"/>
              <w:jc w:val="center"/>
              <w:rPr>
                <w:rFonts w:cs="Arial"/>
                <w:color w:val="000000"/>
                <w:szCs w:val="24"/>
              </w:rPr>
            </w:pPr>
          </w:p>
        </w:tc>
        <w:tc>
          <w:tcPr>
            <w:tcW w:w="1432" w:type="dxa"/>
            <w:tcBorders>
              <w:top w:val="nil"/>
              <w:left w:val="nil"/>
              <w:right w:val="nil"/>
            </w:tcBorders>
            <w:shd w:val="clear" w:color="auto" w:fill="FFFFFF"/>
            <w:vAlign w:val="center"/>
          </w:tcPr>
          <w:p w14:paraId="54896AA5" w14:textId="77777777" w:rsidR="000E5DEF" w:rsidRPr="00787196" w:rsidRDefault="000E5DEF" w:rsidP="000E5DEF">
            <w:pPr>
              <w:autoSpaceDE w:val="0"/>
              <w:autoSpaceDN w:val="0"/>
              <w:adjustRightInd w:val="0"/>
              <w:spacing w:before="0" w:after="0" w:line="240" w:lineRule="auto"/>
              <w:ind w:left="142"/>
              <w:jc w:val="center"/>
              <w:rPr>
                <w:rFonts w:cs="Arial"/>
                <w:color w:val="000000"/>
                <w:szCs w:val="24"/>
              </w:rPr>
            </w:pPr>
          </w:p>
        </w:tc>
      </w:tr>
    </w:tbl>
    <w:p w14:paraId="28E03589" w14:textId="77777777" w:rsidR="00522EDA" w:rsidRPr="00787196" w:rsidRDefault="00522EDA" w:rsidP="00755F46">
      <w:pPr>
        <w:pStyle w:val="Caption"/>
        <w:keepNext/>
        <w:spacing w:before="0" w:after="0" w:line="360" w:lineRule="auto"/>
        <w:rPr>
          <w:i w:val="0"/>
          <w:iCs w:val="0"/>
          <w:color w:val="auto"/>
          <w:sz w:val="24"/>
          <w:szCs w:val="24"/>
        </w:rPr>
      </w:pPr>
    </w:p>
    <w:p w14:paraId="6FA3F6A6" w14:textId="30E4AF90" w:rsidR="000E5DEF" w:rsidRPr="00787196" w:rsidRDefault="000E5DEF" w:rsidP="00755F46">
      <w:pPr>
        <w:pStyle w:val="Caption"/>
        <w:keepNext/>
        <w:spacing w:before="0" w:after="0" w:line="360" w:lineRule="auto"/>
        <w:rPr>
          <w:i w:val="0"/>
          <w:iCs w:val="0"/>
          <w:color w:val="auto"/>
          <w:sz w:val="24"/>
          <w:szCs w:val="24"/>
        </w:rPr>
      </w:pPr>
      <w:bookmarkStart w:id="222" w:name="_Ref428412244"/>
      <w:r w:rsidRPr="00787196">
        <w:rPr>
          <w:i w:val="0"/>
          <w:iCs w:val="0"/>
          <w:color w:val="auto"/>
          <w:sz w:val="24"/>
          <w:szCs w:val="24"/>
        </w:rPr>
        <w:t>For analytical reasons, the demographic and clinical data were recoded</w:t>
      </w:r>
      <w:r w:rsidR="00A755E5" w:rsidRPr="00787196">
        <w:rPr>
          <w:i w:val="0"/>
          <w:iCs w:val="0"/>
          <w:color w:val="auto"/>
          <w:sz w:val="24"/>
          <w:szCs w:val="24"/>
        </w:rPr>
        <w:t xml:space="preserve"> for later analyses</w:t>
      </w:r>
      <w:r w:rsidRPr="00787196">
        <w:rPr>
          <w:i w:val="0"/>
          <w:iCs w:val="0"/>
          <w:color w:val="auto"/>
          <w:sz w:val="24"/>
          <w:szCs w:val="24"/>
        </w:rPr>
        <w:t xml:space="preserve"> into smaller groups as listed in the Tables (5-4, 5-5 &amp; 5-6)</w:t>
      </w:r>
    </w:p>
    <w:p w14:paraId="76C074B1" w14:textId="77777777" w:rsidR="000E5DEF" w:rsidRPr="00787196" w:rsidRDefault="000E5DEF" w:rsidP="000E5DEF">
      <w:pPr>
        <w:spacing w:before="0" w:after="0"/>
      </w:pPr>
    </w:p>
    <w:p w14:paraId="3C72901A" w14:textId="4698DDFB" w:rsidR="00522EDA" w:rsidRPr="00787196" w:rsidRDefault="00522EDA" w:rsidP="004C66A2">
      <w:pPr>
        <w:pStyle w:val="Caption"/>
        <w:keepNext/>
        <w:spacing w:before="0" w:after="0" w:line="360" w:lineRule="auto"/>
        <w:jc w:val="center"/>
        <w:rPr>
          <w:b/>
          <w:bCs/>
          <w:i w:val="0"/>
          <w:iCs w:val="0"/>
          <w:color w:val="auto"/>
          <w:sz w:val="24"/>
          <w:szCs w:val="24"/>
        </w:rPr>
      </w:pPr>
      <w:bookmarkStart w:id="223" w:name="_Toc461641229"/>
      <w:bookmarkStart w:id="224" w:name="_Toc488655533"/>
      <w:r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4</w:t>
      </w:r>
      <w:r w:rsidR="000332A1" w:rsidRPr="00787196">
        <w:rPr>
          <w:b/>
          <w:bCs/>
          <w:i w:val="0"/>
          <w:iCs w:val="0"/>
          <w:color w:val="auto"/>
          <w:sz w:val="24"/>
          <w:szCs w:val="24"/>
        </w:rPr>
        <w:fldChar w:fldCharType="end"/>
      </w:r>
      <w:bookmarkEnd w:id="222"/>
      <w:r w:rsidR="009E5273" w:rsidRPr="00787196">
        <w:rPr>
          <w:b/>
          <w:bCs/>
          <w:i w:val="0"/>
          <w:iCs w:val="0"/>
          <w:color w:val="auto"/>
          <w:sz w:val="24"/>
          <w:szCs w:val="24"/>
        </w:rPr>
        <w:t>.</w:t>
      </w:r>
      <w:r w:rsidRPr="00787196">
        <w:rPr>
          <w:b/>
          <w:bCs/>
          <w:i w:val="0"/>
          <w:iCs w:val="0"/>
          <w:color w:val="auto"/>
          <w:sz w:val="24"/>
          <w:szCs w:val="24"/>
        </w:rPr>
        <w:t xml:space="preserve"> Recoded demographic data</w:t>
      </w:r>
      <w:r w:rsidR="001825C8" w:rsidRPr="00787196">
        <w:rPr>
          <w:b/>
          <w:bCs/>
          <w:i w:val="0"/>
          <w:iCs w:val="0"/>
          <w:color w:val="auto"/>
          <w:sz w:val="24"/>
          <w:szCs w:val="24"/>
        </w:rPr>
        <w:t xml:space="preserve"> of 201 participants</w:t>
      </w:r>
      <w:bookmarkEnd w:id="223"/>
      <w:bookmarkEnd w:id="224"/>
    </w:p>
    <w:tbl>
      <w:tblPr>
        <w:tblpPr w:leftFromText="180" w:rightFromText="180" w:vertAnchor="text" w:horzAnchor="margin" w:tblpY="9"/>
        <w:tblW w:w="0" w:type="auto"/>
        <w:tblBorders>
          <w:top w:val="single" w:sz="8" w:space="0" w:color="000000"/>
          <w:bottom w:val="single" w:sz="8" w:space="0" w:color="000000"/>
        </w:tblBorders>
        <w:tblLook w:val="04A0" w:firstRow="1" w:lastRow="0" w:firstColumn="1" w:lastColumn="0" w:noHBand="0" w:noVBand="1"/>
      </w:tblPr>
      <w:tblGrid>
        <w:gridCol w:w="4395"/>
        <w:gridCol w:w="3685"/>
      </w:tblGrid>
      <w:tr w:rsidR="001825C8" w:rsidRPr="00787196" w14:paraId="75A807EA" w14:textId="77777777" w:rsidTr="004C66A2">
        <w:trPr>
          <w:trHeight w:val="596"/>
        </w:trPr>
        <w:tc>
          <w:tcPr>
            <w:tcW w:w="4395" w:type="dxa"/>
            <w:tcBorders>
              <w:top w:val="single" w:sz="8" w:space="0" w:color="000000"/>
              <w:bottom w:val="single" w:sz="8" w:space="0" w:color="000000"/>
            </w:tcBorders>
            <w:shd w:val="clear" w:color="auto" w:fill="FFFFFF"/>
            <w:vAlign w:val="center"/>
          </w:tcPr>
          <w:p w14:paraId="120F0C4A" w14:textId="77777777" w:rsidR="001825C8" w:rsidRPr="00787196" w:rsidRDefault="001825C8" w:rsidP="00B569DB">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Participants</w:t>
            </w:r>
          </w:p>
        </w:tc>
        <w:tc>
          <w:tcPr>
            <w:tcW w:w="3685" w:type="dxa"/>
            <w:tcBorders>
              <w:top w:val="single" w:sz="8" w:space="0" w:color="000000"/>
              <w:bottom w:val="single" w:sz="8" w:space="0" w:color="000000"/>
            </w:tcBorders>
            <w:shd w:val="clear" w:color="auto" w:fill="FFFFFF"/>
            <w:vAlign w:val="center"/>
          </w:tcPr>
          <w:p w14:paraId="3B66E690" w14:textId="77777777" w:rsidR="001825C8" w:rsidRPr="00787196" w:rsidRDefault="001825C8" w:rsidP="00B569D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w:t>
            </w:r>
          </w:p>
        </w:tc>
      </w:tr>
      <w:tr w:rsidR="001919EC" w:rsidRPr="00787196" w14:paraId="66512451" w14:textId="77777777" w:rsidTr="004C66A2">
        <w:trPr>
          <w:trHeight w:val="111"/>
        </w:trPr>
        <w:tc>
          <w:tcPr>
            <w:tcW w:w="4395" w:type="dxa"/>
            <w:shd w:val="clear" w:color="auto" w:fill="FFFFFF"/>
          </w:tcPr>
          <w:p w14:paraId="5B155ECE" w14:textId="77777777" w:rsidR="001919EC" w:rsidRPr="00787196" w:rsidRDefault="001919EC" w:rsidP="00B569DB">
            <w:pPr>
              <w:autoSpaceDE w:val="0"/>
              <w:autoSpaceDN w:val="0"/>
              <w:adjustRightInd w:val="0"/>
              <w:spacing w:before="0" w:after="0" w:line="240" w:lineRule="auto"/>
              <w:rPr>
                <w:rFonts w:cs="Arial"/>
                <w:b/>
                <w:bCs/>
                <w:color w:val="000000"/>
                <w:sz w:val="18"/>
                <w:szCs w:val="18"/>
              </w:rPr>
            </w:pPr>
          </w:p>
        </w:tc>
        <w:tc>
          <w:tcPr>
            <w:tcW w:w="3685" w:type="dxa"/>
            <w:shd w:val="clear" w:color="auto" w:fill="FFFFFF"/>
          </w:tcPr>
          <w:p w14:paraId="5DE2F155" w14:textId="77777777" w:rsidR="001919EC" w:rsidRPr="00787196" w:rsidRDefault="001919EC" w:rsidP="00B569DB">
            <w:pPr>
              <w:autoSpaceDE w:val="0"/>
              <w:autoSpaceDN w:val="0"/>
              <w:adjustRightInd w:val="0"/>
              <w:spacing w:before="0" w:after="0" w:line="240" w:lineRule="auto"/>
              <w:jc w:val="center"/>
              <w:rPr>
                <w:rFonts w:cs="Arial"/>
                <w:color w:val="000000"/>
                <w:sz w:val="18"/>
                <w:szCs w:val="18"/>
              </w:rPr>
            </w:pPr>
          </w:p>
        </w:tc>
      </w:tr>
      <w:tr w:rsidR="001825C8" w:rsidRPr="00787196" w14:paraId="780DEF5D" w14:textId="77777777" w:rsidTr="004C66A2">
        <w:trPr>
          <w:trHeight w:val="111"/>
        </w:trPr>
        <w:tc>
          <w:tcPr>
            <w:tcW w:w="4395" w:type="dxa"/>
            <w:shd w:val="clear" w:color="auto" w:fill="FFFFFF"/>
          </w:tcPr>
          <w:p w14:paraId="5A92619F" w14:textId="77777777" w:rsidR="001825C8" w:rsidRPr="00787196" w:rsidRDefault="001825C8" w:rsidP="00B569DB">
            <w:pPr>
              <w:autoSpaceDE w:val="0"/>
              <w:autoSpaceDN w:val="0"/>
              <w:adjustRightInd w:val="0"/>
              <w:spacing w:before="0" w:after="0" w:line="240" w:lineRule="auto"/>
              <w:rPr>
                <w:rFonts w:cs="Arial"/>
                <w:b/>
                <w:bCs/>
                <w:color w:val="000000"/>
                <w:sz w:val="18"/>
                <w:szCs w:val="18"/>
              </w:rPr>
            </w:pPr>
            <w:r w:rsidRPr="00787196">
              <w:rPr>
                <w:rFonts w:cs="Arial"/>
                <w:b/>
                <w:bCs/>
                <w:color w:val="000000"/>
                <w:sz w:val="18"/>
                <w:szCs w:val="18"/>
              </w:rPr>
              <w:t>Age (Median split)</w:t>
            </w:r>
          </w:p>
        </w:tc>
        <w:tc>
          <w:tcPr>
            <w:tcW w:w="3685" w:type="dxa"/>
            <w:shd w:val="clear" w:color="auto" w:fill="FFFFFF"/>
          </w:tcPr>
          <w:p w14:paraId="7B0B356F"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1F6E074F" w14:textId="77777777" w:rsidTr="004C66A2">
        <w:trPr>
          <w:trHeight w:val="133"/>
        </w:trPr>
        <w:tc>
          <w:tcPr>
            <w:tcW w:w="4395" w:type="dxa"/>
            <w:shd w:val="clear" w:color="auto" w:fill="FFFFFF"/>
          </w:tcPr>
          <w:p w14:paraId="49A4AF5B" w14:textId="7ADFD09D" w:rsidR="001825C8" w:rsidRPr="00787196" w:rsidRDefault="001825C8" w:rsidP="00A755E5">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18-5</w:t>
            </w:r>
            <w:r w:rsidR="00A755E5" w:rsidRPr="00787196">
              <w:rPr>
                <w:rFonts w:cs="Arial"/>
                <w:color w:val="000000"/>
                <w:sz w:val="18"/>
                <w:szCs w:val="18"/>
              </w:rPr>
              <w:t>8</w:t>
            </w:r>
          </w:p>
        </w:tc>
        <w:tc>
          <w:tcPr>
            <w:tcW w:w="3685" w:type="dxa"/>
            <w:tcBorders>
              <w:left w:val="nil"/>
              <w:right w:val="nil"/>
            </w:tcBorders>
            <w:shd w:val="clear" w:color="auto" w:fill="FFFFFF"/>
          </w:tcPr>
          <w:p w14:paraId="5BDBEF09"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51.7</w:t>
            </w:r>
          </w:p>
        </w:tc>
      </w:tr>
      <w:tr w:rsidR="001825C8" w:rsidRPr="00787196" w14:paraId="692A0575" w14:textId="77777777" w:rsidTr="004C66A2">
        <w:trPr>
          <w:trHeight w:val="153"/>
        </w:trPr>
        <w:tc>
          <w:tcPr>
            <w:tcW w:w="4395" w:type="dxa"/>
            <w:shd w:val="clear" w:color="auto" w:fill="FFFFFF"/>
          </w:tcPr>
          <w:p w14:paraId="5B1B2FC6"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59 &amp; above</w:t>
            </w:r>
          </w:p>
        </w:tc>
        <w:tc>
          <w:tcPr>
            <w:tcW w:w="3685" w:type="dxa"/>
            <w:shd w:val="clear" w:color="auto" w:fill="FFFFFF"/>
          </w:tcPr>
          <w:p w14:paraId="75F23D63"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48.3</w:t>
            </w:r>
          </w:p>
        </w:tc>
      </w:tr>
      <w:tr w:rsidR="001825C8" w:rsidRPr="00787196" w14:paraId="143AE901" w14:textId="77777777" w:rsidTr="004C66A2">
        <w:trPr>
          <w:trHeight w:val="153"/>
        </w:trPr>
        <w:tc>
          <w:tcPr>
            <w:tcW w:w="4395" w:type="dxa"/>
            <w:shd w:val="clear" w:color="auto" w:fill="FFFFFF"/>
          </w:tcPr>
          <w:p w14:paraId="0C205B82"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p>
        </w:tc>
        <w:tc>
          <w:tcPr>
            <w:tcW w:w="3685" w:type="dxa"/>
            <w:shd w:val="clear" w:color="auto" w:fill="FFFFFF"/>
          </w:tcPr>
          <w:p w14:paraId="0B1A8A5E"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353E9A69" w14:textId="77777777" w:rsidTr="004C66A2">
        <w:trPr>
          <w:trHeight w:val="154"/>
        </w:trPr>
        <w:tc>
          <w:tcPr>
            <w:tcW w:w="4395" w:type="dxa"/>
            <w:shd w:val="clear" w:color="auto" w:fill="FFFFFF"/>
          </w:tcPr>
          <w:p w14:paraId="33098F53" w14:textId="77777777" w:rsidR="001825C8" w:rsidRPr="00787196" w:rsidRDefault="001825C8" w:rsidP="00B569DB">
            <w:pPr>
              <w:autoSpaceDE w:val="0"/>
              <w:autoSpaceDN w:val="0"/>
              <w:adjustRightInd w:val="0"/>
              <w:spacing w:before="0" w:after="0" w:line="240" w:lineRule="auto"/>
              <w:ind w:left="142" w:hanging="142"/>
              <w:rPr>
                <w:rFonts w:cs="Arial"/>
                <w:b/>
                <w:bCs/>
                <w:color w:val="000000"/>
                <w:sz w:val="18"/>
                <w:szCs w:val="18"/>
              </w:rPr>
            </w:pPr>
            <w:r w:rsidRPr="00787196">
              <w:rPr>
                <w:rFonts w:cs="Arial"/>
                <w:b/>
                <w:bCs/>
                <w:color w:val="000000"/>
                <w:sz w:val="18"/>
                <w:szCs w:val="18"/>
              </w:rPr>
              <w:t>Marital status</w:t>
            </w:r>
          </w:p>
        </w:tc>
        <w:tc>
          <w:tcPr>
            <w:tcW w:w="3685" w:type="dxa"/>
            <w:tcBorders>
              <w:left w:val="nil"/>
              <w:right w:val="nil"/>
            </w:tcBorders>
            <w:shd w:val="clear" w:color="auto" w:fill="FFFFFF"/>
          </w:tcPr>
          <w:p w14:paraId="04D9DEA2"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53D48920" w14:textId="77777777" w:rsidTr="004C66A2">
        <w:trPr>
          <w:trHeight w:val="154"/>
        </w:trPr>
        <w:tc>
          <w:tcPr>
            <w:tcW w:w="4395" w:type="dxa"/>
            <w:shd w:val="clear" w:color="auto" w:fill="FFFFFF"/>
          </w:tcPr>
          <w:p w14:paraId="3DB67268"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Married with living partner</w:t>
            </w:r>
          </w:p>
        </w:tc>
        <w:tc>
          <w:tcPr>
            <w:tcW w:w="3685" w:type="dxa"/>
            <w:tcBorders>
              <w:left w:val="nil"/>
              <w:right w:val="nil"/>
            </w:tcBorders>
            <w:shd w:val="clear" w:color="auto" w:fill="FFFFFF"/>
          </w:tcPr>
          <w:p w14:paraId="5E573D38"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73.6</w:t>
            </w:r>
          </w:p>
        </w:tc>
      </w:tr>
      <w:tr w:rsidR="001825C8" w:rsidRPr="00787196" w14:paraId="263D8F3A" w14:textId="77777777" w:rsidTr="004C66A2">
        <w:trPr>
          <w:trHeight w:val="154"/>
        </w:trPr>
        <w:tc>
          <w:tcPr>
            <w:tcW w:w="4395" w:type="dxa"/>
            <w:shd w:val="clear" w:color="auto" w:fill="FFFFFF"/>
          </w:tcPr>
          <w:p w14:paraId="1B9D6D2A"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Single/ separated or divorced /widowed</w:t>
            </w:r>
          </w:p>
        </w:tc>
        <w:tc>
          <w:tcPr>
            <w:tcW w:w="3685" w:type="dxa"/>
            <w:tcBorders>
              <w:left w:val="nil"/>
              <w:right w:val="nil"/>
            </w:tcBorders>
            <w:shd w:val="clear" w:color="auto" w:fill="FFFFFF"/>
          </w:tcPr>
          <w:p w14:paraId="7FB6E35E"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26.4</w:t>
            </w:r>
          </w:p>
        </w:tc>
      </w:tr>
      <w:tr w:rsidR="001825C8" w:rsidRPr="00787196" w14:paraId="065132A1" w14:textId="77777777" w:rsidTr="004C66A2">
        <w:trPr>
          <w:trHeight w:val="154"/>
        </w:trPr>
        <w:tc>
          <w:tcPr>
            <w:tcW w:w="4395" w:type="dxa"/>
            <w:shd w:val="clear" w:color="auto" w:fill="FFFFFF"/>
          </w:tcPr>
          <w:p w14:paraId="22AC6FAD" w14:textId="77777777" w:rsidR="001825C8" w:rsidRPr="00787196" w:rsidRDefault="001825C8" w:rsidP="00B569DB">
            <w:pPr>
              <w:autoSpaceDE w:val="0"/>
              <w:autoSpaceDN w:val="0"/>
              <w:adjustRightInd w:val="0"/>
              <w:spacing w:before="0" w:after="0" w:line="240" w:lineRule="auto"/>
              <w:ind w:left="142"/>
              <w:rPr>
                <w:rFonts w:cs="Arial"/>
                <w:b/>
                <w:bCs/>
                <w:color w:val="000000"/>
                <w:sz w:val="18"/>
                <w:szCs w:val="18"/>
              </w:rPr>
            </w:pPr>
          </w:p>
        </w:tc>
        <w:tc>
          <w:tcPr>
            <w:tcW w:w="3685" w:type="dxa"/>
            <w:tcBorders>
              <w:left w:val="nil"/>
              <w:right w:val="nil"/>
            </w:tcBorders>
            <w:shd w:val="clear" w:color="auto" w:fill="FFFFFF"/>
          </w:tcPr>
          <w:p w14:paraId="0DCCD698"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7CCF1120" w14:textId="77777777" w:rsidTr="004C66A2">
        <w:trPr>
          <w:trHeight w:val="264"/>
        </w:trPr>
        <w:tc>
          <w:tcPr>
            <w:tcW w:w="4395" w:type="dxa"/>
            <w:shd w:val="clear" w:color="auto" w:fill="FFFFFF"/>
          </w:tcPr>
          <w:p w14:paraId="741000CF" w14:textId="77777777" w:rsidR="001825C8" w:rsidRPr="00787196" w:rsidRDefault="001825C8" w:rsidP="00B569DB">
            <w:pPr>
              <w:autoSpaceDE w:val="0"/>
              <w:autoSpaceDN w:val="0"/>
              <w:adjustRightInd w:val="0"/>
              <w:spacing w:before="0" w:after="0" w:line="240" w:lineRule="auto"/>
              <w:rPr>
                <w:rFonts w:cs="Arial"/>
                <w:b/>
                <w:bCs/>
                <w:color w:val="000000"/>
                <w:sz w:val="18"/>
                <w:szCs w:val="18"/>
              </w:rPr>
            </w:pPr>
            <w:r w:rsidRPr="00787196">
              <w:rPr>
                <w:rFonts w:cs="Arial"/>
                <w:b/>
                <w:bCs/>
                <w:color w:val="000000"/>
                <w:sz w:val="18"/>
                <w:szCs w:val="18"/>
              </w:rPr>
              <w:t>Monthly income in (₹) rupees (1 rupee = £0.01)</w:t>
            </w:r>
          </w:p>
        </w:tc>
        <w:tc>
          <w:tcPr>
            <w:tcW w:w="3685" w:type="dxa"/>
            <w:tcBorders>
              <w:left w:val="nil"/>
              <w:right w:val="nil"/>
            </w:tcBorders>
            <w:shd w:val="clear" w:color="auto" w:fill="FFFFFF"/>
          </w:tcPr>
          <w:p w14:paraId="719F06A6"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7251F10A" w14:textId="77777777" w:rsidTr="006F178C">
        <w:trPr>
          <w:trHeight w:val="106"/>
        </w:trPr>
        <w:tc>
          <w:tcPr>
            <w:tcW w:w="4395" w:type="dxa"/>
            <w:shd w:val="clear" w:color="auto" w:fill="FFFFFF"/>
          </w:tcPr>
          <w:p w14:paraId="2ED0FE86"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Upto 4555</w:t>
            </w:r>
          </w:p>
        </w:tc>
        <w:tc>
          <w:tcPr>
            <w:tcW w:w="3685" w:type="dxa"/>
            <w:tcBorders>
              <w:left w:val="nil"/>
              <w:right w:val="nil"/>
            </w:tcBorders>
            <w:shd w:val="clear" w:color="auto" w:fill="FFFFFF"/>
          </w:tcPr>
          <w:p w14:paraId="66B2BEE3"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54.2</w:t>
            </w:r>
          </w:p>
        </w:tc>
      </w:tr>
      <w:tr w:rsidR="001825C8" w:rsidRPr="00787196" w14:paraId="4F9A191B" w14:textId="77777777" w:rsidTr="004C66A2">
        <w:trPr>
          <w:trHeight w:val="270"/>
        </w:trPr>
        <w:tc>
          <w:tcPr>
            <w:tcW w:w="4395" w:type="dxa"/>
            <w:shd w:val="clear" w:color="auto" w:fill="FFFFFF"/>
          </w:tcPr>
          <w:p w14:paraId="4C990006"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4556 and above</w:t>
            </w:r>
          </w:p>
        </w:tc>
        <w:tc>
          <w:tcPr>
            <w:tcW w:w="3685" w:type="dxa"/>
            <w:tcBorders>
              <w:left w:val="nil"/>
              <w:right w:val="nil"/>
            </w:tcBorders>
            <w:shd w:val="clear" w:color="auto" w:fill="FFFFFF"/>
          </w:tcPr>
          <w:p w14:paraId="111AE399"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45.8</w:t>
            </w:r>
          </w:p>
        </w:tc>
      </w:tr>
      <w:tr w:rsidR="001825C8" w:rsidRPr="00787196" w14:paraId="771ED91E" w14:textId="77777777" w:rsidTr="004C66A2">
        <w:trPr>
          <w:trHeight w:val="270"/>
        </w:trPr>
        <w:tc>
          <w:tcPr>
            <w:tcW w:w="4395" w:type="dxa"/>
            <w:shd w:val="clear" w:color="auto" w:fill="FFFFFF"/>
          </w:tcPr>
          <w:p w14:paraId="5778E7A8" w14:textId="77777777" w:rsidR="001825C8" w:rsidRPr="00787196" w:rsidRDefault="001825C8" w:rsidP="00B569DB">
            <w:pPr>
              <w:autoSpaceDE w:val="0"/>
              <w:autoSpaceDN w:val="0"/>
              <w:adjustRightInd w:val="0"/>
              <w:spacing w:before="0" w:after="0" w:line="240" w:lineRule="auto"/>
              <w:ind w:left="142" w:hanging="142"/>
              <w:rPr>
                <w:rFonts w:cs="Arial"/>
                <w:b/>
                <w:bCs/>
                <w:color w:val="000000"/>
                <w:sz w:val="18"/>
                <w:szCs w:val="18"/>
              </w:rPr>
            </w:pPr>
            <w:r w:rsidRPr="00787196">
              <w:rPr>
                <w:rFonts w:cs="Arial"/>
                <w:b/>
                <w:bCs/>
                <w:color w:val="000000"/>
                <w:sz w:val="18"/>
                <w:szCs w:val="18"/>
              </w:rPr>
              <w:t>Education</w:t>
            </w:r>
          </w:p>
        </w:tc>
        <w:tc>
          <w:tcPr>
            <w:tcW w:w="3685" w:type="dxa"/>
            <w:tcBorders>
              <w:left w:val="nil"/>
              <w:right w:val="nil"/>
            </w:tcBorders>
            <w:shd w:val="clear" w:color="auto" w:fill="FFFFFF"/>
          </w:tcPr>
          <w:p w14:paraId="66A58652"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56D90EB1" w14:textId="77777777" w:rsidTr="004C66A2">
        <w:trPr>
          <w:trHeight w:val="154"/>
        </w:trPr>
        <w:tc>
          <w:tcPr>
            <w:tcW w:w="4395" w:type="dxa"/>
            <w:shd w:val="clear" w:color="auto" w:fill="FFFFFF"/>
          </w:tcPr>
          <w:p w14:paraId="757C523A"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High school and above</w:t>
            </w:r>
          </w:p>
        </w:tc>
        <w:tc>
          <w:tcPr>
            <w:tcW w:w="3685" w:type="dxa"/>
            <w:tcBorders>
              <w:left w:val="nil"/>
              <w:right w:val="nil"/>
            </w:tcBorders>
            <w:shd w:val="clear" w:color="auto" w:fill="FFFFFF"/>
          </w:tcPr>
          <w:p w14:paraId="5B152FD6"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35.3</w:t>
            </w:r>
          </w:p>
        </w:tc>
      </w:tr>
      <w:tr w:rsidR="001825C8" w:rsidRPr="00787196" w14:paraId="7C1EF9AC" w14:textId="77777777" w:rsidTr="006F178C">
        <w:trPr>
          <w:trHeight w:val="112"/>
        </w:trPr>
        <w:tc>
          <w:tcPr>
            <w:tcW w:w="4395" w:type="dxa"/>
            <w:shd w:val="clear" w:color="auto" w:fill="FFFFFF"/>
          </w:tcPr>
          <w:p w14:paraId="60156FFE"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School drop outs/ Illiterate</w:t>
            </w:r>
          </w:p>
        </w:tc>
        <w:tc>
          <w:tcPr>
            <w:tcW w:w="3685" w:type="dxa"/>
            <w:shd w:val="clear" w:color="auto" w:fill="FFFFFF"/>
          </w:tcPr>
          <w:p w14:paraId="2534F81B"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64.7</w:t>
            </w:r>
          </w:p>
        </w:tc>
      </w:tr>
      <w:tr w:rsidR="001825C8" w:rsidRPr="00787196" w14:paraId="1469008F" w14:textId="77777777" w:rsidTr="006F178C">
        <w:trPr>
          <w:trHeight w:val="106"/>
        </w:trPr>
        <w:tc>
          <w:tcPr>
            <w:tcW w:w="4395" w:type="dxa"/>
            <w:shd w:val="clear" w:color="auto" w:fill="FFFFFF"/>
          </w:tcPr>
          <w:p w14:paraId="4B5D41D5" w14:textId="77777777" w:rsidR="001825C8" w:rsidRPr="00787196" w:rsidRDefault="001825C8" w:rsidP="006F178C">
            <w:pPr>
              <w:autoSpaceDE w:val="0"/>
              <w:autoSpaceDN w:val="0"/>
              <w:adjustRightInd w:val="0"/>
              <w:spacing w:before="0" w:after="0" w:line="240" w:lineRule="auto"/>
              <w:rPr>
                <w:rFonts w:cs="Arial"/>
                <w:b/>
                <w:bCs/>
                <w:color w:val="000000"/>
                <w:sz w:val="18"/>
                <w:szCs w:val="18"/>
              </w:rPr>
            </w:pPr>
          </w:p>
        </w:tc>
        <w:tc>
          <w:tcPr>
            <w:tcW w:w="3685" w:type="dxa"/>
            <w:tcBorders>
              <w:left w:val="nil"/>
              <w:right w:val="nil"/>
            </w:tcBorders>
            <w:shd w:val="clear" w:color="auto" w:fill="FFFFFF"/>
          </w:tcPr>
          <w:p w14:paraId="21FA24F8"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5C1B86B1" w14:textId="77777777" w:rsidTr="004C66A2">
        <w:trPr>
          <w:trHeight w:val="154"/>
        </w:trPr>
        <w:tc>
          <w:tcPr>
            <w:tcW w:w="4395" w:type="dxa"/>
            <w:shd w:val="clear" w:color="auto" w:fill="FFFFFF"/>
          </w:tcPr>
          <w:p w14:paraId="1B4725D9" w14:textId="77777777" w:rsidR="001825C8" w:rsidRPr="00787196" w:rsidRDefault="001825C8" w:rsidP="00B569DB">
            <w:pPr>
              <w:autoSpaceDE w:val="0"/>
              <w:autoSpaceDN w:val="0"/>
              <w:adjustRightInd w:val="0"/>
              <w:spacing w:before="0" w:after="0" w:line="240" w:lineRule="auto"/>
              <w:ind w:left="142" w:hanging="142"/>
              <w:rPr>
                <w:rFonts w:cs="Arial"/>
                <w:b/>
                <w:bCs/>
                <w:color w:val="000000"/>
                <w:sz w:val="18"/>
                <w:szCs w:val="18"/>
              </w:rPr>
            </w:pPr>
            <w:r w:rsidRPr="00787196">
              <w:rPr>
                <w:rFonts w:cs="Arial"/>
                <w:b/>
                <w:bCs/>
                <w:color w:val="000000"/>
                <w:sz w:val="18"/>
                <w:szCs w:val="18"/>
              </w:rPr>
              <w:t>Occupation</w:t>
            </w:r>
          </w:p>
        </w:tc>
        <w:tc>
          <w:tcPr>
            <w:tcW w:w="3685" w:type="dxa"/>
            <w:tcBorders>
              <w:left w:val="nil"/>
              <w:right w:val="nil"/>
            </w:tcBorders>
            <w:shd w:val="clear" w:color="auto" w:fill="FFFFFF"/>
          </w:tcPr>
          <w:p w14:paraId="3FE8AC01"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023368D0" w14:textId="77777777" w:rsidTr="006F178C">
        <w:trPr>
          <w:trHeight w:val="207"/>
        </w:trPr>
        <w:tc>
          <w:tcPr>
            <w:tcW w:w="4395" w:type="dxa"/>
            <w:shd w:val="clear" w:color="auto" w:fill="FFFFFF"/>
          </w:tcPr>
          <w:p w14:paraId="270B1675" w14:textId="77777777" w:rsidR="001825C8" w:rsidRPr="00787196" w:rsidRDefault="001825C8" w:rsidP="006F178C">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Employed</w:t>
            </w:r>
          </w:p>
        </w:tc>
        <w:tc>
          <w:tcPr>
            <w:tcW w:w="3685" w:type="dxa"/>
            <w:shd w:val="clear" w:color="auto" w:fill="FFFFFF"/>
          </w:tcPr>
          <w:p w14:paraId="38572501"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39.3</w:t>
            </w:r>
          </w:p>
        </w:tc>
      </w:tr>
      <w:tr w:rsidR="001825C8" w:rsidRPr="00787196" w14:paraId="5C73891B" w14:textId="77777777" w:rsidTr="004C66A2">
        <w:trPr>
          <w:trHeight w:val="154"/>
        </w:trPr>
        <w:tc>
          <w:tcPr>
            <w:tcW w:w="4395" w:type="dxa"/>
            <w:shd w:val="clear" w:color="auto" w:fill="FFFFFF"/>
          </w:tcPr>
          <w:p w14:paraId="0948B80D" w14:textId="77777777" w:rsidR="001825C8" w:rsidRPr="00787196" w:rsidRDefault="001825C8" w:rsidP="006F178C">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Unemployed/retired</w:t>
            </w:r>
          </w:p>
        </w:tc>
        <w:tc>
          <w:tcPr>
            <w:tcW w:w="3685" w:type="dxa"/>
            <w:tcBorders>
              <w:left w:val="nil"/>
              <w:right w:val="nil"/>
            </w:tcBorders>
            <w:shd w:val="clear" w:color="auto" w:fill="FFFFFF"/>
          </w:tcPr>
          <w:p w14:paraId="5E1811E6"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60.7</w:t>
            </w:r>
          </w:p>
        </w:tc>
      </w:tr>
      <w:tr w:rsidR="001825C8" w:rsidRPr="00787196" w14:paraId="3D716FEC" w14:textId="77777777" w:rsidTr="006F178C">
        <w:trPr>
          <w:trHeight w:val="106"/>
        </w:trPr>
        <w:tc>
          <w:tcPr>
            <w:tcW w:w="4395" w:type="dxa"/>
            <w:shd w:val="clear" w:color="auto" w:fill="FFFFFF"/>
          </w:tcPr>
          <w:p w14:paraId="575FC7DE" w14:textId="77777777" w:rsidR="001825C8" w:rsidRPr="00787196" w:rsidRDefault="001825C8" w:rsidP="006F178C">
            <w:pPr>
              <w:autoSpaceDE w:val="0"/>
              <w:autoSpaceDN w:val="0"/>
              <w:adjustRightInd w:val="0"/>
              <w:spacing w:before="0" w:after="0" w:line="240" w:lineRule="auto"/>
              <w:rPr>
                <w:rFonts w:cs="Arial"/>
                <w:b/>
                <w:bCs/>
                <w:color w:val="000000"/>
                <w:sz w:val="18"/>
                <w:szCs w:val="18"/>
              </w:rPr>
            </w:pPr>
          </w:p>
        </w:tc>
        <w:tc>
          <w:tcPr>
            <w:tcW w:w="3685" w:type="dxa"/>
            <w:tcBorders>
              <w:left w:val="nil"/>
              <w:right w:val="nil"/>
            </w:tcBorders>
            <w:shd w:val="clear" w:color="auto" w:fill="FFFFFF"/>
          </w:tcPr>
          <w:p w14:paraId="200D6892"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4D53D71C" w14:textId="77777777" w:rsidTr="004C66A2">
        <w:trPr>
          <w:trHeight w:val="154"/>
        </w:trPr>
        <w:tc>
          <w:tcPr>
            <w:tcW w:w="4395" w:type="dxa"/>
            <w:shd w:val="clear" w:color="auto" w:fill="FFFFFF"/>
          </w:tcPr>
          <w:p w14:paraId="43DF8421" w14:textId="77777777" w:rsidR="001825C8" w:rsidRPr="00787196" w:rsidRDefault="001825C8" w:rsidP="00B569DB">
            <w:pPr>
              <w:autoSpaceDE w:val="0"/>
              <w:autoSpaceDN w:val="0"/>
              <w:adjustRightInd w:val="0"/>
              <w:spacing w:before="0" w:after="0" w:line="240" w:lineRule="auto"/>
              <w:ind w:left="142" w:hanging="142"/>
              <w:rPr>
                <w:rFonts w:cs="Arial"/>
                <w:b/>
                <w:bCs/>
                <w:color w:val="000000"/>
                <w:sz w:val="18"/>
                <w:szCs w:val="18"/>
              </w:rPr>
            </w:pPr>
            <w:r w:rsidRPr="00787196">
              <w:rPr>
                <w:rFonts w:cs="Arial"/>
                <w:b/>
                <w:bCs/>
                <w:color w:val="000000"/>
                <w:sz w:val="18"/>
                <w:szCs w:val="18"/>
              </w:rPr>
              <w:t>Caste</w:t>
            </w:r>
          </w:p>
        </w:tc>
        <w:tc>
          <w:tcPr>
            <w:tcW w:w="3685" w:type="dxa"/>
            <w:tcBorders>
              <w:left w:val="nil"/>
              <w:right w:val="nil"/>
            </w:tcBorders>
            <w:shd w:val="clear" w:color="auto" w:fill="FFFFFF"/>
          </w:tcPr>
          <w:p w14:paraId="60AC4EB1"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p>
        </w:tc>
      </w:tr>
      <w:tr w:rsidR="001825C8" w:rsidRPr="00787196" w14:paraId="0AE6A873" w14:textId="77777777" w:rsidTr="006F178C">
        <w:trPr>
          <w:trHeight w:val="219"/>
        </w:trPr>
        <w:tc>
          <w:tcPr>
            <w:tcW w:w="4395" w:type="dxa"/>
            <w:shd w:val="clear" w:color="auto" w:fill="FFFFFF"/>
          </w:tcPr>
          <w:p w14:paraId="24701BD9" w14:textId="77777777"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Forward / open category</w:t>
            </w:r>
          </w:p>
        </w:tc>
        <w:tc>
          <w:tcPr>
            <w:tcW w:w="3685" w:type="dxa"/>
            <w:shd w:val="clear" w:color="auto" w:fill="FFFFFF"/>
          </w:tcPr>
          <w:p w14:paraId="39F1C385"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25.9</w:t>
            </w:r>
          </w:p>
        </w:tc>
      </w:tr>
      <w:tr w:rsidR="001825C8" w:rsidRPr="00787196" w14:paraId="3F8DA81C" w14:textId="77777777" w:rsidTr="004C66A2">
        <w:trPr>
          <w:trHeight w:val="378"/>
        </w:trPr>
        <w:tc>
          <w:tcPr>
            <w:tcW w:w="4395" w:type="dxa"/>
            <w:shd w:val="clear" w:color="auto" w:fill="FFFFFF"/>
          </w:tcPr>
          <w:p w14:paraId="4DD9032B" w14:textId="59CCA625" w:rsidR="001825C8" w:rsidRPr="00787196" w:rsidRDefault="001825C8" w:rsidP="00B569DB">
            <w:pPr>
              <w:autoSpaceDE w:val="0"/>
              <w:autoSpaceDN w:val="0"/>
              <w:adjustRightInd w:val="0"/>
              <w:spacing w:before="0" w:after="0" w:line="240" w:lineRule="auto"/>
              <w:ind w:left="142"/>
              <w:rPr>
                <w:rFonts w:cs="Arial"/>
                <w:color w:val="000000"/>
                <w:sz w:val="18"/>
                <w:szCs w:val="18"/>
              </w:rPr>
            </w:pPr>
            <w:r w:rsidRPr="00787196">
              <w:rPr>
                <w:rFonts w:cs="Arial"/>
                <w:color w:val="000000"/>
                <w:sz w:val="18"/>
                <w:szCs w:val="18"/>
              </w:rPr>
              <w:t>Historically oppressed</w:t>
            </w:r>
            <w:r w:rsidR="00A755E5" w:rsidRPr="00787196">
              <w:rPr>
                <w:rFonts w:cs="Arial"/>
                <w:color w:val="000000"/>
                <w:sz w:val="18"/>
                <w:szCs w:val="18"/>
              </w:rPr>
              <w:t xml:space="preserve"> backward</w:t>
            </w:r>
            <w:r w:rsidRPr="00787196">
              <w:rPr>
                <w:rFonts w:cs="Arial"/>
                <w:color w:val="000000"/>
                <w:sz w:val="18"/>
                <w:szCs w:val="18"/>
              </w:rPr>
              <w:t xml:space="preserve"> castes</w:t>
            </w:r>
          </w:p>
        </w:tc>
        <w:tc>
          <w:tcPr>
            <w:tcW w:w="3685" w:type="dxa"/>
            <w:tcBorders>
              <w:left w:val="nil"/>
              <w:right w:val="nil"/>
            </w:tcBorders>
            <w:shd w:val="clear" w:color="auto" w:fill="FFFFFF"/>
          </w:tcPr>
          <w:p w14:paraId="5FF47086" w14:textId="77777777" w:rsidR="001825C8" w:rsidRPr="00787196" w:rsidRDefault="001825C8" w:rsidP="00B569DB">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74.1</w:t>
            </w:r>
          </w:p>
        </w:tc>
      </w:tr>
    </w:tbl>
    <w:p w14:paraId="0C5A73AD" w14:textId="77777777" w:rsidR="00C4455B" w:rsidRPr="00787196" w:rsidRDefault="00C4455B" w:rsidP="00755F46">
      <w:pPr>
        <w:pStyle w:val="Caption"/>
        <w:keepNext/>
        <w:spacing w:before="0" w:after="0"/>
        <w:rPr>
          <w:i w:val="0"/>
          <w:iCs w:val="0"/>
          <w:color w:val="auto"/>
          <w:sz w:val="24"/>
          <w:szCs w:val="24"/>
        </w:rPr>
      </w:pPr>
      <w:bookmarkStart w:id="225" w:name="_Ref428412247"/>
      <w:bookmarkStart w:id="226" w:name="_Toc461641230"/>
    </w:p>
    <w:p w14:paraId="05146335" w14:textId="77777777" w:rsidR="00C4455B" w:rsidRPr="00787196" w:rsidRDefault="00C4455B" w:rsidP="00C50A90">
      <w:pPr>
        <w:pStyle w:val="Caption"/>
        <w:keepNext/>
        <w:spacing w:before="0" w:after="0"/>
        <w:jc w:val="center"/>
        <w:rPr>
          <w:i w:val="0"/>
          <w:iCs w:val="0"/>
          <w:color w:val="auto"/>
          <w:sz w:val="24"/>
          <w:szCs w:val="24"/>
        </w:rPr>
      </w:pPr>
    </w:p>
    <w:p w14:paraId="52ECA701" w14:textId="5F5D7443" w:rsidR="00522EDA" w:rsidRPr="00787196" w:rsidRDefault="00522EDA" w:rsidP="00C50A90">
      <w:pPr>
        <w:pStyle w:val="Caption"/>
        <w:keepNext/>
        <w:spacing w:before="0" w:after="0"/>
        <w:jc w:val="center"/>
        <w:rPr>
          <w:b/>
          <w:bCs/>
          <w:i w:val="0"/>
          <w:iCs w:val="0"/>
          <w:color w:val="auto"/>
          <w:sz w:val="24"/>
          <w:szCs w:val="24"/>
        </w:rPr>
      </w:pPr>
      <w:bookmarkStart w:id="227" w:name="_Toc488655534"/>
      <w:r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bookmarkEnd w:id="225"/>
      <w:r w:rsidR="009E5273" w:rsidRPr="00787196">
        <w:rPr>
          <w:b/>
          <w:bCs/>
          <w:i w:val="0"/>
          <w:iCs w:val="0"/>
          <w:color w:val="auto"/>
          <w:sz w:val="24"/>
          <w:szCs w:val="24"/>
        </w:rPr>
        <w:t>.</w:t>
      </w:r>
      <w:r w:rsidRPr="00787196">
        <w:rPr>
          <w:b/>
          <w:bCs/>
          <w:i w:val="0"/>
          <w:iCs w:val="0"/>
          <w:color w:val="auto"/>
          <w:sz w:val="24"/>
          <w:szCs w:val="24"/>
        </w:rPr>
        <w:t xml:space="preserve"> Recoded clinical data</w:t>
      </w:r>
      <w:r w:rsidR="001825C8" w:rsidRPr="00787196">
        <w:rPr>
          <w:b/>
          <w:bCs/>
          <w:i w:val="0"/>
          <w:iCs w:val="0"/>
          <w:color w:val="auto"/>
          <w:sz w:val="24"/>
          <w:szCs w:val="24"/>
        </w:rPr>
        <w:t xml:space="preserve"> among 201 participants</w:t>
      </w:r>
      <w:bookmarkEnd w:id="226"/>
      <w:bookmarkEnd w:id="227"/>
    </w:p>
    <w:p w14:paraId="24321C79" w14:textId="77777777" w:rsidR="00522EDA" w:rsidRPr="00787196" w:rsidRDefault="00522EDA" w:rsidP="00755F46">
      <w:pPr>
        <w:spacing w:before="0" w:after="0"/>
        <w:rPr>
          <w:b/>
          <w:bCs/>
          <w:sz w:val="20"/>
          <w:szCs w:val="20"/>
        </w:rPr>
      </w:pPr>
    </w:p>
    <w:p w14:paraId="322A93A7" w14:textId="77777777" w:rsidR="00C4455B" w:rsidRPr="00787196" w:rsidRDefault="00C4455B" w:rsidP="00755F46">
      <w:pPr>
        <w:pStyle w:val="Caption"/>
        <w:keepNext/>
        <w:spacing w:after="0" w:line="360" w:lineRule="auto"/>
        <w:rPr>
          <w:i w:val="0"/>
          <w:iCs w:val="0"/>
          <w:color w:val="auto"/>
          <w:sz w:val="24"/>
          <w:szCs w:val="24"/>
        </w:rPr>
      </w:pPr>
      <w:bookmarkStart w:id="228" w:name="_Ref428412256"/>
      <w:bookmarkStart w:id="229" w:name="_Toc461641231"/>
    </w:p>
    <w:tbl>
      <w:tblPr>
        <w:tblpPr w:leftFromText="180" w:rightFromText="180" w:vertAnchor="text" w:horzAnchor="margin" w:tblpY="-98"/>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11"/>
        <w:gridCol w:w="3969"/>
      </w:tblGrid>
      <w:tr w:rsidR="00C50A90" w:rsidRPr="00787196" w14:paraId="7E678270" w14:textId="77777777" w:rsidTr="00A755E5">
        <w:trPr>
          <w:trHeight w:val="592"/>
        </w:trPr>
        <w:tc>
          <w:tcPr>
            <w:tcW w:w="4111" w:type="dxa"/>
            <w:tcBorders>
              <w:left w:val="nil"/>
              <w:bottom w:val="single" w:sz="8" w:space="0" w:color="000000"/>
              <w:right w:val="nil"/>
            </w:tcBorders>
            <w:shd w:val="clear" w:color="auto" w:fill="FFFFFF"/>
            <w:vAlign w:val="center"/>
          </w:tcPr>
          <w:p w14:paraId="63114932" w14:textId="77777777" w:rsidR="00C50A90" w:rsidRPr="00787196" w:rsidRDefault="00C50A90" w:rsidP="00C50A90">
            <w:pPr>
              <w:autoSpaceDE w:val="0"/>
              <w:autoSpaceDN w:val="0"/>
              <w:adjustRightInd w:val="0"/>
              <w:spacing w:before="0" w:after="0" w:line="240" w:lineRule="auto"/>
              <w:rPr>
                <w:rFonts w:cs="Arial"/>
                <w:b/>
                <w:bCs/>
                <w:color w:val="000000"/>
                <w:szCs w:val="24"/>
              </w:rPr>
            </w:pPr>
            <w:r w:rsidRPr="00787196">
              <w:rPr>
                <w:rFonts w:cs="Arial"/>
                <w:b/>
                <w:bCs/>
                <w:color w:val="000000"/>
                <w:szCs w:val="24"/>
              </w:rPr>
              <w:t>Clinical data</w:t>
            </w:r>
          </w:p>
        </w:tc>
        <w:tc>
          <w:tcPr>
            <w:tcW w:w="3969" w:type="dxa"/>
            <w:tcBorders>
              <w:left w:val="nil"/>
              <w:bottom w:val="single" w:sz="8" w:space="0" w:color="000000"/>
              <w:right w:val="nil"/>
            </w:tcBorders>
            <w:shd w:val="clear" w:color="auto" w:fill="FFFFFF"/>
            <w:vAlign w:val="center"/>
          </w:tcPr>
          <w:p w14:paraId="29320145" w14:textId="77777777" w:rsidR="00C50A90" w:rsidRPr="00787196" w:rsidRDefault="00C50A90" w:rsidP="00C50A90">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w:t>
            </w:r>
          </w:p>
        </w:tc>
      </w:tr>
      <w:tr w:rsidR="00C50A90" w:rsidRPr="00787196" w14:paraId="12AF31FB" w14:textId="77777777" w:rsidTr="00A755E5">
        <w:trPr>
          <w:trHeight w:val="235"/>
        </w:trPr>
        <w:tc>
          <w:tcPr>
            <w:tcW w:w="4111" w:type="dxa"/>
            <w:tcBorders>
              <w:left w:val="nil"/>
              <w:bottom w:val="nil"/>
              <w:right w:val="nil"/>
            </w:tcBorders>
            <w:shd w:val="clear" w:color="auto" w:fill="FFFFFF"/>
            <w:vAlign w:val="center"/>
          </w:tcPr>
          <w:p w14:paraId="640402BD" w14:textId="77777777" w:rsidR="00C50A90" w:rsidRPr="00787196" w:rsidRDefault="00C50A90" w:rsidP="00C50A90">
            <w:pPr>
              <w:autoSpaceDE w:val="0"/>
              <w:autoSpaceDN w:val="0"/>
              <w:adjustRightInd w:val="0"/>
              <w:spacing w:before="0" w:after="0" w:line="240" w:lineRule="auto"/>
              <w:ind w:left="142"/>
              <w:rPr>
                <w:rFonts w:cs="Arial"/>
                <w:b/>
                <w:bCs/>
                <w:color w:val="000000"/>
                <w:szCs w:val="24"/>
              </w:rPr>
            </w:pPr>
          </w:p>
        </w:tc>
        <w:tc>
          <w:tcPr>
            <w:tcW w:w="3969" w:type="dxa"/>
            <w:tcBorders>
              <w:left w:val="nil"/>
              <w:bottom w:val="nil"/>
              <w:right w:val="nil"/>
            </w:tcBorders>
            <w:shd w:val="clear" w:color="auto" w:fill="FFFFFF"/>
          </w:tcPr>
          <w:p w14:paraId="08E9F6D6"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p>
        </w:tc>
      </w:tr>
      <w:tr w:rsidR="00C50A90" w:rsidRPr="00787196" w14:paraId="37FE63A4" w14:textId="77777777" w:rsidTr="00A755E5">
        <w:trPr>
          <w:trHeight w:val="235"/>
        </w:trPr>
        <w:tc>
          <w:tcPr>
            <w:tcW w:w="4111" w:type="dxa"/>
            <w:tcBorders>
              <w:top w:val="nil"/>
              <w:left w:val="nil"/>
              <w:bottom w:val="nil"/>
              <w:right w:val="nil"/>
            </w:tcBorders>
            <w:shd w:val="clear" w:color="auto" w:fill="FFFFFF"/>
            <w:vAlign w:val="center"/>
          </w:tcPr>
          <w:p w14:paraId="661D3389"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b/>
                <w:bCs/>
                <w:color w:val="000000"/>
                <w:sz w:val="20"/>
                <w:szCs w:val="20"/>
              </w:rPr>
              <w:t>Missing teeth</w:t>
            </w:r>
          </w:p>
        </w:tc>
        <w:tc>
          <w:tcPr>
            <w:tcW w:w="3969" w:type="dxa"/>
            <w:tcBorders>
              <w:top w:val="nil"/>
              <w:left w:val="nil"/>
              <w:bottom w:val="nil"/>
              <w:right w:val="nil"/>
            </w:tcBorders>
            <w:shd w:val="clear" w:color="auto" w:fill="FFFFFF"/>
          </w:tcPr>
          <w:p w14:paraId="094F084F"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p>
        </w:tc>
      </w:tr>
      <w:tr w:rsidR="00C50A90" w:rsidRPr="00787196" w14:paraId="6E9AD724" w14:textId="77777777" w:rsidTr="00A755E5">
        <w:trPr>
          <w:trHeight w:val="235"/>
        </w:trPr>
        <w:tc>
          <w:tcPr>
            <w:tcW w:w="4111" w:type="dxa"/>
            <w:tcBorders>
              <w:top w:val="nil"/>
              <w:left w:val="nil"/>
              <w:bottom w:val="nil"/>
              <w:right w:val="nil"/>
            </w:tcBorders>
            <w:shd w:val="clear" w:color="auto" w:fill="FFFFFF"/>
            <w:vAlign w:val="center"/>
          </w:tcPr>
          <w:p w14:paraId="3541531C"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21 or more teeth (functional dentition)</w:t>
            </w:r>
          </w:p>
        </w:tc>
        <w:tc>
          <w:tcPr>
            <w:tcW w:w="3969" w:type="dxa"/>
            <w:tcBorders>
              <w:top w:val="nil"/>
              <w:left w:val="nil"/>
              <w:bottom w:val="nil"/>
              <w:right w:val="nil"/>
            </w:tcBorders>
            <w:shd w:val="clear" w:color="auto" w:fill="FFFFFF"/>
          </w:tcPr>
          <w:p w14:paraId="261E2C6B"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18.9</w:t>
            </w:r>
          </w:p>
        </w:tc>
      </w:tr>
      <w:tr w:rsidR="00C50A90" w:rsidRPr="00787196" w14:paraId="481B008C" w14:textId="77777777" w:rsidTr="00A755E5">
        <w:trPr>
          <w:trHeight w:val="235"/>
        </w:trPr>
        <w:tc>
          <w:tcPr>
            <w:tcW w:w="4111" w:type="dxa"/>
            <w:tcBorders>
              <w:top w:val="nil"/>
              <w:left w:val="nil"/>
              <w:bottom w:val="nil"/>
              <w:right w:val="nil"/>
            </w:tcBorders>
            <w:shd w:val="clear" w:color="auto" w:fill="FFFFFF"/>
            <w:vAlign w:val="center"/>
          </w:tcPr>
          <w:p w14:paraId="453C6ADA"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Less than 21 teeth </w:t>
            </w:r>
          </w:p>
        </w:tc>
        <w:tc>
          <w:tcPr>
            <w:tcW w:w="3969" w:type="dxa"/>
            <w:tcBorders>
              <w:top w:val="nil"/>
              <w:left w:val="nil"/>
              <w:bottom w:val="nil"/>
              <w:right w:val="nil"/>
            </w:tcBorders>
            <w:shd w:val="clear" w:color="auto" w:fill="FFFFFF"/>
          </w:tcPr>
          <w:p w14:paraId="39DC00E4"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26.9</w:t>
            </w:r>
          </w:p>
        </w:tc>
      </w:tr>
      <w:tr w:rsidR="00C50A90" w:rsidRPr="00787196" w14:paraId="01E5AFCB" w14:textId="77777777" w:rsidTr="00A755E5">
        <w:trPr>
          <w:trHeight w:val="142"/>
        </w:trPr>
        <w:tc>
          <w:tcPr>
            <w:tcW w:w="4111" w:type="dxa"/>
            <w:tcBorders>
              <w:top w:val="nil"/>
              <w:left w:val="nil"/>
              <w:bottom w:val="nil"/>
              <w:right w:val="nil"/>
            </w:tcBorders>
            <w:shd w:val="clear" w:color="auto" w:fill="FFFFFF"/>
            <w:vAlign w:val="center"/>
          </w:tcPr>
          <w:p w14:paraId="4EF0CCE8"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No teeth present</w:t>
            </w:r>
          </w:p>
        </w:tc>
        <w:tc>
          <w:tcPr>
            <w:tcW w:w="3969" w:type="dxa"/>
            <w:tcBorders>
              <w:top w:val="nil"/>
              <w:left w:val="nil"/>
              <w:bottom w:val="nil"/>
              <w:right w:val="nil"/>
            </w:tcBorders>
            <w:shd w:val="clear" w:color="auto" w:fill="FFFFFF"/>
          </w:tcPr>
          <w:p w14:paraId="06F1B627"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54.2</w:t>
            </w:r>
          </w:p>
        </w:tc>
      </w:tr>
      <w:tr w:rsidR="00C50A90" w:rsidRPr="00787196" w14:paraId="69A33B73" w14:textId="77777777" w:rsidTr="00A755E5">
        <w:trPr>
          <w:trHeight w:val="142"/>
        </w:trPr>
        <w:tc>
          <w:tcPr>
            <w:tcW w:w="4111" w:type="dxa"/>
            <w:tcBorders>
              <w:top w:val="nil"/>
              <w:left w:val="nil"/>
              <w:bottom w:val="nil"/>
              <w:right w:val="nil"/>
            </w:tcBorders>
            <w:shd w:val="clear" w:color="auto" w:fill="FFFFFF"/>
            <w:vAlign w:val="center"/>
          </w:tcPr>
          <w:p w14:paraId="6395A602"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p>
        </w:tc>
        <w:tc>
          <w:tcPr>
            <w:tcW w:w="3969" w:type="dxa"/>
            <w:tcBorders>
              <w:top w:val="nil"/>
              <w:left w:val="nil"/>
              <w:bottom w:val="nil"/>
              <w:right w:val="nil"/>
            </w:tcBorders>
            <w:shd w:val="clear" w:color="auto" w:fill="FFFFFF"/>
          </w:tcPr>
          <w:p w14:paraId="7F0E7B75"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p>
        </w:tc>
      </w:tr>
      <w:tr w:rsidR="00C50A90" w:rsidRPr="00787196" w14:paraId="633FCE2A" w14:textId="77777777" w:rsidTr="00A755E5">
        <w:trPr>
          <w:trHeight w:val="142"/>
        </w:trPr>
        <w:tc>
          <w:tcPr>
            <w:tcW w:w="4111" w:type="dxa"/>
            <w:tcBorders>
              <w:top w:val="nil"/>
              <w:left w:val="nil"/>
              <w:bottom w:val="nil"/>
              <w:right w:val="nil"/>
            </w:tcBorders>
            <w:shd w:val="clear" w:color="auto" w:fill="FFFFFF"/>
            <w:vAlign w:val="center"/>
          </w:tcPr>
          <w:p w14:paraId="362CA609"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r w:rsidRPr="00787196">
              <w:rPr>
                <w:rFonts w:cs="Arial"/>
                <w:b/>
                <w:bCs/>
                <w:color w:val="000000"/>
                <w:sz w:val="20"/>
                <w:szCs w:val="20"/>
              </w:rPr>
              <w:t>Occluding pairs</w:t>
            </w:r>
          </w:p>
        </w:tc>
        <w:tc>
          <w:tcPr>
            <w:tcW w:w="3969" w:type="dxa"/>
            <w:tcBorders>
              <w:top w:val="nil"/>
              <w:left w:val="nil"/>
              <w:bottom w:val="nil"/>
              <w:right w:val="nil"/>
            </w:tcBorders>
            <w:shd w:val="clear" w:color="auto" w:fill="FFFFFF"/>
          </w:tcPr>
          <w:p w14:paraId="69EA7964"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p>
        </w:tc>
      </w:tr>
      <w:tr w:rsidR="00C50A90" w:rsidRPr="00787196" w14:paraId="1983538E" w14:textId="77777777" w:rsidTr="00A755E5">
        <w:trPr>
          <w:trHeight w:val="142"/>
        </w:trPr>
        <w:tc>
          <w:tcPr>
            <w:tcW w:w="4111" w:type="dxa"/>
            <w:tcBorders>
              <w:top w:val="nil"/>
              <w:left w:val="nil"/>
              <w:bottom w:val="nil"/>
              <w:right w:val="nil"/>
            </w:tcBorders>
            <w:shd w:val="clear" w:color="auto" w:fill="FFFFFF"/>
            <w:vAlign w:val="center"/>
          </w:tcPr>
          <w:p w14:paraId="21D4FD1F"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Present</w:t>
            </w:r>
          </w:p>
        </w:tc>
        <w:tc>
          <w:tcPr>
            <w:tcW w:w="3969" w:type="dxa"/>
            <w:tcBorders>
              <w:top w:val="nil"/>
              <w:left w:val="nil"/>
              <w:bottom w:val="nil"/>
              <w:right w:val="nil"/>
            </w:tcBorders>
            <w:shd w:val="clear" w:color="auto" w:fill="FFFFFF"/>
          </w:tcPr>
          <w:p w14:paraId="02FF5C44"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31.3</w:t>
            </w:r>
          </w:p>
        </w:tc>
      </w:tr>
      <w:tr w:rsidR="00C50A90" w:rsidRPr="00787196" w14:paraId="42284DEC" w14:textId="77777777" w:rsidTr="00A755E5">
        <w:trPr>
          <w:trHeight w:val="142"/>
        </w:trPr>
        <w:tc>
          <w:tcPr>
            <w:tcW w:w="4111" w:type="dxa"/>
            <w:tcBorders>
              <w:top w:val="nil"/>
              <w:left w:val="nil"/>
              <w:bottom w:val="nil"/>
              <w:right w:val="nil"/>
            </w:tcBorders>
            <w:shd w:val="clear" w:color="auto" w:fill="FFFFFF"/>
            <w:vAlign w:val="center"/>
          </w:tcPr>
          <w:p w14:paraId="5E292090"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No occluding pairs</w:t>
            </w:r>
          </w:p>
        </w:tc>
        <w:tc>
          <w:tcPr>
            <w:tcW w:w="3969" w:type="dxa"/>
            <w:tcBorders>
              <w:top w:val="nil"/>
              <w:left w:val="nil"/>
              <w:bottom w:val="nil"/>
              <w:right w:val="nil"/>
            </w:tcBorders>
            <w:shd w:val="clear" w:color="auto" w:fill="FFFFFF"/>
          </w:tcPr>
          <w:p w14:paraId="6AD32B12" w14:textId="77777777" w:rsidR="00C50A90" w:rsidRPr="00787196" w:rsidRDefault="00C50A90" w:rsidP="00C50A90">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68.7</w:t>
            </w:r>
          </w:p>
        </w:tc>
      </w:tr>
      <w:tr w:rsidR="00C50A90" w:rsidRPr="00787196" w14:paraId="403949F8" w14:textId="77777777" w:rsidTr="00A755E5">
        <w:trPr>
          <w:trHeight w:val="142"/>
        </w:trPr>
        <w:tc>
          <w:tcPr>
            <w:tcW w:w="4111" w:type="dxa"/>
            <w:tcBorders>
              <w:top w:val="nil"/>
              <w:left w:val="nil"/>
              <w:bottom w:val="nil"/>
              <w:right w:val="nil"/>
            </w:tcBorders>
            <w:shd w:val="clear" w:color="auto" w:fill="FFFFFF"/>
            <w:vAlign w:val="center"/>
          </w:tcPr>
          <w:p w14:paraId="1F421E4B"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p>
        </w:tc>
        <w:tc>
          <w:tcPr>
            <w:tcW w:w="3969" w:type="dxa"/>
            <w:tcBorders>
              <w:top w:val="nil"/>
              <w:left w:val="nil"/>
              <w:bottom w:val="nil"/>
              <w:right w:val="nil"/>
            </w:tcBorders>
            <w:shd w:val="clear" w:color="auto" w:fill="FFFFFF"/>
            <w:vAlign w:val="center"/>
          </w:tcPr>
          <w:p w14:paraId="4690E8A1" w14:textId="77777777" w:rsidR="00C50A90" w:rsidRPr="00787196" w:rsidRDefault="00C50A90" w:rsidP="00C50A90">
            <w:pPr>
              <w:autoSpaceDE w:val="0"/>
              <w:autoSpaceDN w:val="0"/>
              <w:adjustRightInd w:val="0"/>
              <w:spacing w:before="0" w:after="0" w:line="240" w:lineRule="auto"/>
              <w:ind w:left="142"/>
              <w:jc w:val="center"/>
              <w:rPr>
                <w:rFonts w:cs="Arial"/>
                <w:b/>
                <w:bCs/>
                <w:color w:val="000000"/>
                <w:sz w:val="20"/>
                <w:szCs w:val="20"/>
              </w:rPr>
            </w:pPr>
          </w:p>
        </w:tc>
      </w:tr>
      <w:tr w:rsidR="00C50A90" w:rsidRPr="00787196" w14:paraId="3EC11C00" w14:textId="77777777" w:rsidTr="00A755E5">
        <w:trPr>
          <w:trHeight w:val="142"/>
        </w:trPr>
        <w:tc>
          <w:tcPr>
            <w:tcW w:w="4111" w:type="dxa"/>
            <w:tcBorders>
              <w:top w:val="nil"/>
              <w:left w:val="nil"/>
              <w:bottom w:val="nil"/>
              <w:right w:val="nil"/>
            </w:tcBorders>
            <w:shd w:val="clear" w:color="auto" w:fill="FFFFFF"/>
            <w:vAlign w:val="center"/>
          </w:tcPr>
          <w:p w14:paraId="70D794FE"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p>
        </w:tc>
        <w:tc>
          <w:tcPr>
            <w:tcW w:w="3969" w:type="dxa"/>
            <w:tcBorders>
              <w:top w:val="nil"/>
              <w:left w:val="nil"/>
              <w:bottom w:val="nil"/>
              <w:right w:val="nil"/>
            </w:tcBorders>
            <w:shd w:val="clear" w:color="auto" w:fill="FFFFFF"/>
            <w:vAlign w:val="center"/>
          </w:tcPr>
          <w:p w14:paraId="197BD5AD" w14:textId="77777777" w:rsidR="00C50A90" w:rsidRPr="00787196" w:rsidRDefault="00C50A90" w:rsidP="00C50A90">
            <w:pPr>
              <w:autoSpaceDE w:val="0"/>
              <w:autoSpaceDN w:val="0"/>
              <w:adjustRightInd w:val="0"/>
              <w:spacing w:before="0" w:after="0" w:line="240" w:lineRule="auto"/>
              <w:ind w:left="142"/>
              <w:jc w:val="center"/>
              <w:rPr>
                <w:rFonts w:cs="Arial"/>
                <w:b/>
                <w:bCs/>
                <w:color w:val="000000"/>
                <w:sz w:val="20"/>
                <w:szCs w:val="20"/>
              </w:rPr>
            </w:pPr>
          </w:p>
        </w:tc>
      </w:tr>
      <w:tr w:rsidR="00C50A90" w:rsidRPr="00787196" w14:paraId="6A83A267" w14:textId="77777777" w:rsidTr="00A755E5">
        <w:trPr>
          <w:trHeight w:val="142"/>
        </w:trPr>
        <w:tc>
          <w:tcPr>
            <w:tcW w:w="4111" w:type="dxa"/>
            <w:tcBorders>
              <w:top w:val="nil"/>
              <w:left w:val="nil"/>
              <w:bottom w:val="nil"/>
              <w:right w:val="nil"/>
            </w:tcBorders>
            <w:shd w:val="clear" w:color="auto" w:fill="FFFFFF"/>
            <w:vAlign w:val="center"/>
          </w:tcPr>
          <w:p w14:paraId="115BF0CA"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r w:rsidRPr="00787196">
              <w:rPr>
                <w:rFonts w:cs="Arial"/>
                <w:b/>
                <w:bCs/>
                <w:color w:val="000000"/>
                <w:sz w:val="20"/>
                <w:szCs w:val="20"/>
              </w:rPr>
              <w:t>Time since last tooth loss episode</w:t>
            </w:r>
          </w:p>
        </w:tc>
        <w:tc>
          <w:tcPr>
            <w:tcW w:w="3969" w:type="dxa"/>
            <w:tcBorders>
              <w:top w:val="nil"/>
              <w:left w:val="nil"/>
              <w:bottom w:val="nil"/>
              <w:right w:val="nil"/>
            </w:tcBorders>
            <w:shd w:val="clear" w:color="auto" w:fill="FFFFFF"/>
            <w:vAlign w:val="center"/>
          </w:tcPr>
          <w:p w14:paraId="0F311F1F" w14:textId="77777777" w:rsidR="00C50A90" w:rsidRPr="00787196" w:rsidRDefault="00C50A90" w:rsidP="00C50A90">
            <w:pPr>
              <w:autoSpaceDE w:val="0"/>
              <w:autoSpaceDN w:val="0"/>
              <w:adjustRightInd w:val="0"/>
              <w:spacing w:before="0" w:after="0" w:line="240" w:lineRule="auto"/>
              <w:ind w:left="142"/>
              <w:jc w:val="center"/>
              <w:rPr>
                <w:rFonts w:cs="Arial"/>
                <w:b/>
                <w:bCs/>
                <w:color w:val="000000"/>
                <w:sz w:val="20"/>
                <w:szCs w:val="20"/>
              </w:rPr>
            </w:pPr>
          </w:p>
        </w:tc>
      </w:tr>
      <w:tr w:rsidR="00C50A90" w:rsidRPr="00787196" w14:paraId="1AB9D057" w14:textId="77777777" w:rsidTr="00A755E5">
        <w:trPr>
          <w:trHeight w:val="142"/>
        </w:trPr>
        <w:tc>
          <w:tcPr>
            <w:tcW w:w="4111" w:type="dxa"/>
            <w:tcBorders>
              <w:top w:val="nil"/>
              <w:left w:val="nil"/>
              <w:bottom w:val="nil"/>
              <w:right w:val="nil"/>
            </w:tcBorders>
            <w:shd w:val="clear" w:color="auto" w:fill="FFFFFF"/>
            <w:vAlign w:val="center"/>
          </w:tcPr>
          <w:p w14:paraId="56FA47D2"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Less than 1 year</w:t>
            </w:r>
          </w:p>
        </w:tc>
        <w:tc>
          <w:tcPr>
            <w:tcW w:w="3969" w:type="dxa"/>
            <w:tcBorders>
              <w:top w:val="nil"/>
              <w:left w:val="nil"/>
              <w:bottom w:val="nil"/>
              <w:right w:val="nil"/>
            </w:tcBorders>
            <w:shd w:val="clear" w:color="auto" w:fill="FFFFFF"/>
            <w:vAlign w:val="center"/>
          </w:tcPr>
          <w:p w14:paraId="5AA22D89" w14:textId="77777777" w:rsidR="00C50A90" w:rsidRPr="00787196" w:rsidRDefault="00C50A90" w:rsidP="00C50A90">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56.7</w:t>
            </w:r>
          </w:p>
        </w:tc>
      </w:tr>
      <w:tr w:rsidR="00C50A90" w:rsidRPr="00787196" w14:paraId="509E9B73" w14:textId="77777777" w:rsidTr="00A755E5">
        <w:trPr>
          <w:trHeight w:val="142"/>
        </w:trPr>
        <w:tc>
          <w:tcPr>
            <w:tcW w:w="4111" w:type="dxa"/>
            <w:tcBorders>
              <w:top w:val="nil"/>
              <w:left w:val="nil"/>
              <w:bottom w:val="nil"/>
              <w:right w:val="nil"/>
            </w:tcBorders>
            <w:shd w:val="clear" w:color="auto" w:fill="FFFFFF"/>
            <w:vAlign w:val="center"/>
          </w:tcPr>
          <w:p w14:paraId="657A5ED6"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More than a year</w:t>
            </w:r>
          </w:p>
        </w:tc>
        <w:tc>
          <w:tcPr>
            <w:tcW w:w="3969" w:type="dxa"/>
            <w:tcBorders>
              <w:top w:val="nil"/>
              <w:left w:val="nil"/>
              <w:bottom w:val="nil"/>
              <w:right w:val="nil"/>
            </w:tcBorders>
            <w:shd w:val="clear" w:color="auto" w:fill="FFFFFF"/>
            <w:vAlign w:val="center"/>
          </w:tcPr>
          <w:p w14:paraId="229531A7" w14:textId="77777777" w:rsidR="00C50A90" w:rsidRPr="00787196" w:rsidRDefault="00C50A90" w:rsidP="00C50A90">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43.3</w:t>
            </w:r>
          </w:p>
        </w:tc>
      </w:tr>
      <w:tr w:rsidR="00C50A90" w:rsidRPr="00787196" w14:paraId="6022AE45" w14:textId="77777777" w:rsidTr="00A755E5">
        <w:trPr>
          <w:trHeight w:val="142"/>
        </w:trPr>
        <w:tc>
          <w:tcPr>
            <w:tcW w:w="4111" w:type="dxa"/>
            <w:tcBorders>
              <w:top w:val="nil"/>
              <w:left w:val="nil"/>
              <w:bottom w:val="nil"/>
              <w:right w:val="nil"/>
            </w:tcBorders>
            <w:shd w:val="clear" w:color="auto" w:fill="FFFFFF"/>
            <w:vAlign w:val="center"/>
          </w:tcPr>
          <w:p w14:paraId="6FBE6510"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p>
        </w:tc>
        <w:tc>
          <w:tcPr>
            <w:tcW w:w="3969" w:type="dxa"/>
            <w:tcBorders>
              <w:top w:val="nil"/>
              <w:left w:val="nil"/>
              <w:bottom w:val="nil"/>
              <w:right w:val="nil"/>
            </w:tcBorders>
            <w:shd w:val="clear" w:color="auto" w:fill="FFFFFF"/>
            <w:vAlign w:val="center"/>
          </w:tcPr>
          <w:p w14:paraId="7638124B" w14:textId="77777777" w:rsidR="00C50A90" w:rsidRPr="00787196" w:rsidRDefault="00C50A90" w:rsidP="00C50A90">
            <w:pPr>
              <w:autoSpaceDE w:val="0"/>
              <w:autoSpaceDN w:val="0"/>
              <w:adjustRightInd w:val="0"/>
              <w:spacing w:before="0" w:after="0" w:line="240" w:lineRule="auto"/>
              <w:ind w:left="142"/>
              <w:jc w:val="center"/>
              <w:rPr>
                <w:rFonts w:cs="Arial"/>
                <w:b/>
                <w:bCs/>
                <w:color w:val="000000"/>
                <w:sz w:val="20"/>
                <w:szCs w:val="20"/>
              </w:rPr>
            </w:pPr>
          </w:p>
        </w:tc>
      </w:tr>
      <w:tr w:rsidR="00C50A90" w:rsidRPr="00787196" w14:paraId="44931E9C" w14:textId="77777777" w:rsidTr="00A755E5">
        <w:trPr>
          <w:trHeight w:val="142"/>
        </w:trPr>
        <w:tc>
          <w:tcPr>
            <w:tcW w:w="4111" w:type="dxa"/>
            <w:tcBorders>
              <w:top w:val="nil"/>
              <w:left w:val="nil"/>
              <w:bottom w:val="nil"/>
              <w:right w:val="nil"/>
            </w:tcBorders>
            <w:shd w:val="clear" w:color="auto" w:fill="FFFFFF"/>
            <w:vAlign w:val="center"/>
          </w:tcPr>
          <w:p w14:paraId="2D8483FB" w14:textId="77777777" w:rsidR="00C50A90" w:rsidRPr="00787196" w:rsidRDefault="00C50A90" w:rsidP="00C50A90">
            <w:pPr>
              <w:autoSpaceDE w:val="0"/>
              <w:autoSpaceDN w:val="0"/>
              <w:adjustRightInd w:val="0"/>
              <w:spacing w:before="0" w:after="0" w:line="240" w:lineRule="auto"/>
              <w:ind w:left="142"/>
              <w:rPr>
                <w:rFonts w:cs="Arial"/>
                <w:b/>
                <w:bCs/>
                <w:color w:val="000000"/>
                <w:sz w:val="20"/>
                <w:szCs w:val="20"/>
              </w:rPr>
            </w:pPr>
            <w:r w:rsidRPr="00787196">
              <w:rPr>
                <w:rFonts w:cs="Arial"/>
                <w:b/>
                <w:bCs/>
                <w:color w:val="000000"/>
                <w:sz w:val="20"/>
                <w:szCs w:val="20"/>
              </w:rPr>
              <w:t>Operator expertise</w:t>
            </w:r>
          </w:p>
        </w:tc>
        <w:tc>
          <w:tcPr>
            <w:tcW w:w="3969" w:type="dxa"/>
            <w:tcBorders>
              <w:top w:val="nil"/>
              <w:left w:val="nil"/>
              <w:bottom w:val="nil"/>
              <w:right w:val="nil"/>
            </w:tcBorders>
            <w:shd w:val="clear" w:color="auto" w:fill="FFFFFF"/>
            <w:vAlign w:val="center"/>
          </w:tcPr>
          <w:p w14:paraId="4FC7F1C6" w14:textId="77777777" w:rsidR="00C50A90" w:rsidRPr="00787196" w:rsidRDefault="00C50A90" w:rsidP="00C50A90">
            <w:pPr>
              <w:autoSpaceDE w:val="0"/>
              <w:autoSpaceDN w:val="0"/>
              <w:adjustRightInd w:val="0"/>
              <w:spacing w:before="0" w:after="0" w:line="240" w:lineRule="auto"/>
              <w:ind w:left="142"/>
              <w:jc w:val="center"/>
              <w:rPr>
                <w:rFonts w:cs="Arial"/>
                <w:color w:val="000000"/>
                <w:sz w:val="20"/>
                <w:szCs w:val="20"/>
              </w:rPr>
            </w:pPr>
          </w:p>
        </w:tc>
      </w:tr>
      <w:tr w:rsidR="00C50A90" w:rsidRPr="00787196" w14:paraId="512F017C" w14:textId="77777777" w:rsidTr="00A755E5">
        <w:trPr>
          <w:trHeight w:val="142"/>
        </w:trPr>
        <w:tc>
          <w:tcPr>
            <w:tcW w:w="4111" w:type="dxa"/>
            <w:tcBorders>
              <w:top w:val="nil"/>
              <w:left w:val="nil"/>
              <w:bottom w:val="nil"/>
              <w:right w:val="nil"/>
            </w:tcBorders>
            <w:shd w:val="clear" w:color="auto" w:fill="FFFFFF"/>
            <w:vAlign w:val="center"/>
          </w:tcPr>
          <w:p w14:paraId="5B0A0CCE"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Undergraduates</w:t>
            </w:r>
          </w:p>
        </w:tc>
        <w:tc>
          <w:tcPr>
            <w:tcW w:w="3969" w:type="dxa"/>
            <w:tcBorders>
              <w:top w:val="nil"/>
              <w:left w:val="nil"/>
              <w:bottom w:val="nil"/>
              <w:right w:val="nil"/>
            </w:tcBorders>
            <w:shd w:val="clear" w:color="auto" w:fill="FFFFFF"/>
            <w:vAlign w:val="center"/>
          </w:tcPr>
          <w:p w14:paraId="2B9A1547" w14:textId="77777777" w:rsidR="00C50A90" w:rsidRPr="00787196" w:rsidRDefault="00C50A90" w:rsidP="00C50A90">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77.6</w:t>
            </w:r>
          </w:p>
        </w:tc>
      </w:tr>
      <w:tr w:rsidR="00C50A90" w:rsidRPr="00787196" w14:paraId="109785E4" w14:textId="77777777" w:rsidTr="00A755E5">
        <w:trPr>
          <w:trHeight w:val="142"/>
        </w:trPr>
        <w:tc>
          <w:tcPr>
            <w:tcW w:w="4111" w:type="dxa"/>
            <w:tcBorders>
              <w:top w:val="nil"/>
              <w:left w:val="nil"/>
              <w:bottom w:val="nil"/>
              <w:right w:val="nil"/>
            </w:tcBorders>
            <w:shd w:val="clear" w:color="auto" w:fill="FFFFFF"/>
            <w:vAlign w:val="center"/>
          </w:tcPr>
          <w:p w14:paraId="1358D0D6"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Other</w:t>
            </w:r>
          </w:p>
        </w:tc>
        <w:tc>
          <w:tcPr>
            <w:tcW w:w="3969" w:type="dxa"/>
            <w:tcBorders>
              <w:top w:val="nil"/>
              <w:left w:val="nil"/>
              <w:bottom w:val="nil"/>
              <w:right w:val="nil"/>
            </w:tcBorders>
            <w:shd w:val="clear" w:color="auto" w:fill="FFFFFF"/>
            <w:vAlign w:val="center"/>
          </w:tcPr>
          <w:p w14:paraId="51504C9A" w14:textId="77777777" w:rsidR="00C50A90" w:rsidRPr="00787196" w:rsidRDefault="00C50A90" w:rsidP="00C50A90">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22.4</w:t>
            </w:r>
          </w:p>
        </w:tc>
      </w:tr>
      <w:tr w:rsidR="00C50A90" w:rsidRPr="00787196" w14:paraId="5DF2A9FB" w14:textId="77777777" w:rsidTr="00A755E5">
        <w:trPr>
          <w:trHeight w:val="142"/>
        </w:trPr>
        <w:tc>
          <w:tcPr>
            <w:tcW w:w="4111" w:type="dxa"/>
            <w:tcBorders>
              <w:top w:val="nil"/>
              <w:left w:val="nil"/>
              <w:right w:val="nil"/>
            </w:tcBorders>
            <w:shd w:val="clear" w:color="auto" w:fill="FFFFFF"/>
            <w:vAlign w:val="center"/>
          </w:tcPr>
          <w:p w14:paraId="1FF83C6B"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p>
        </w:tc>
        <w:tc>
          <w:tcPr>
            <w:tcW w:w="3969" w:type="dxa"/>
            <w:tcBorders>
              <w:top w:val="nil"/>
              <w:left w:val="nil"/>
              <w:right w:val="nil"/>
            </w:tcBorders>
            <w:shd w:val="clear" w:color="auto" w:fill="FFFFFF"/>
            <w:vAlign w:val="center"/>
          </w:tcPr>
          <w:p w14:paraId="11329E61" w14:textId="77777777" w:rsidR="00C50A90" w:rsidRPr="00787196" w:rsidRDefault="00C50A90" w:rsidP="00C50A90">
            <w:pPr>
              <w:autoSpaceDE w:val="0"/>
              <w:autoSpaceDN w:val="0"/>
              <w:adjustRightInd w:val="0"/>
              <w:spacing w:before="0" w:after="0" w:line="240" w:lineRule="auto"/>
              <w:ind w:left="142"/>
              <w:rPr>
                <w:rFonts w:cs="Arial"/>
                <w:color w:val="000000"/>
                <w:sz w:val="20"/>
                <w:szCs w:val="20"/>
              </w:rPr>
            </w:pPr>
          </w:p>
        </w:tc>
      </w:tr>
    </w:tbl>
    <w:p w14:paraId="266F3BE5" w14:textId="77777777" w:rsidR="00C4455B" w:rsidRPr="00787196" w:rsidRDefault="00C4455B" w:rsidP="00755F46">
      <w:pPr>
        <w:pStyle w:val="Caption"/>
        <w:keepNext/>
        <w:spacing w:after="0" w:line="360" w:lineRule="auto"/>
        <w:rPr>
          <w:i w:val="0"/>
          <w:iCs w:val="0"/>
          <w:color w:val="auto"/>
          <w:sz w:val="24"/>
          <w:szCs w:val="24"/>
        </w:rPr>
      </w:pPr>
    </w:p>
    <w:p w14:paraId="0598DB59" w14:textId="04E83C9C" w:rsidR="00522EDA" w:rsidRPr="00787196" w:rsidRDefault="00522EDA" w:rsidP="00C4455B">
      <w:pPr>
        <w:pStyle w:val="Caption"/>
        <w:keepNext/>
        <w:spacing w:after="0" w:line="360" w:lineRule="auto"/>
        <w:jc w:val="center"/>
        <w:rPr>
          <w:b/>
          <w:bCs/>
          <w:i w:val="0"/>
          <w:iCs w:val="0"/>
          <w:color w:val="auto"/>
          <w:sz w:val="24"/>
          <w:szCs w:val="24"/>
        </w:rPr>
      </w:pPr>
      <w:bookmarkStart w:id="230" w:name="_Toc488655535"/>
      <w:r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6</w:t>
      </w:r>
      <w:r w:rsidR="000332A1" w:rsidRPr="00787196">
        <w:rPr>
          <w:b/>
          <w:bCs/>
          <w:i w:val="0"/>
          <w:iCs w:val="0"/>
          <w:color w:val="auto"/>
          <w:sz w:val="24"/>
          <w:szCs w:val="24"/>
        </w:rPr>
        <w:fldChar w:fldCharType="end"/>
      </w:r>
      <w:bookmarkEnd w:id="228"/>
      <w:r w:rsidR="009E5273" w:rsidRPr="00787196">
        <w:rPr>
          <w:b/>
          <w:bCs/>
          <w:i w:val="0"/>
          <w:iCs w:val="0"/>
          <w:color w:val="auto"/>
          <w:sz w:val="24"/>
          <w:szCs w:val="24"/>
        </w:rPr>
        <w:t>.</w:t>
      </w:r>
      <w:r w:rsidRPr="00787196">
        <w:rPr>
          <w:b/>
          <w:bCs/>
          <w:i w:val="0"/>
          <w:iCs w:val="0"/>
          <w:color w:val="auto"/>
          <w:sz w:val="24"/>
          <w:szCs w:val="24"/>
        </w:rPr>
        <w:t xml:space="preserve"> Recoded </w:t>
      </w:r>
      <w:r w:rsidR="0066742F" w:rsidRPr="00787196">
        <w:rPr>
          <w:b/>
          <w:bCs/>
          <w:i w:val="0"/>
          <w:iCs w:val="0"/>
          <w:color w:val="auto"/>
          <w:sz w:val="24"/>
          <w:szCs w:val="24"/>
        </w:rPr>
        <w:t>prosthetic status and need</w:t>
      </w:r>
      <w:r w:rsidR="001825C8" w:rsidRPr="00787196">
        <w:rPr>
          <w:b/>
          <w:bCs/>
          <w:i w:val="0"/>
          <w:iCs w:val="0"/>
          <w:color w:val="auto"/>
          <w:sz w:val="24"/>
          <w:szCs w:val="24"/>
        </w:rPr>
        <w:t xml:space="preserve"> </w:t>
      </w:r>
      <w:r w:rsidR="00500BEE" w:rsidRPr="00787196">
        <w:rPr>
          <w:b/>
          <w:bCs/>
          <w:i w:val="0"/>
          <w:iCs w:val="0"/>
          <w:color w:val="auto"/>
          <w:sz w:val="24"/>
          <w:szCs w:val="24"/>
        </w:rPr>
        <w:t xml:space="preserve">in </w:t>
      </w:r>
      <w:r w:rsidR="001825C8" w:rsidRPr="00787196">
        <w:rPr>
          <w:b/>
          <w:bCs/>
          <w:i w:val="0"/>
          <w:iCs w:val="0"/>
          <w:color w:val="auto"/>
          <w:sz w:val="24"/>
          <w:szCs w:val="24"/>
        </w:rPr>
        <w:t>201 participants</w:t>
      </w:r>
      <w:bookmarkEnd w:id="229"/>
      <w:bookmarkEnd w:id="230"/>
    </w:p>
    <w:tbl>
      <w:tblPr>
        <w:tblpPr w:leftFromText="180" w:rightFromText="180" w:vertAnchor="text" w:horzAnchor="margin" w:tblpY="265"/>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977"/>
        <w:gridCol w:w="2126"/>
        <w:gridCol w:w="3119"/>
      </w:tblGrid>
      <w:tr w:rsidR="00330664" w:rsidRPr="00787196" w14:paraId="69A2D981" w14:textId="77777777" w:rsidTr="006C2B50">
        <w:trPr>
          <w:trHeight w:val="264"/>
        </w:trPr>
        <w:tc>
          <w:tcPr>
            <w:tcW w:w="2977" w:type="dxa"/>
            <w:vMerge w:val="restart"/>
            <w:tcBorders>
              <w:left w:val="nil"/>
              <w:right w:val="nil"/>
            </w:tcBorders>
            <w:shd w:val="clear" w:color="auto" w:fill="FFFFFF"/>
            <w:vAlign w:val="center"/>
          </w:tcPr>
          <w:p w14:paraId="2B341E0B" w14:textId="6702CB3D" w:rsidR="00330664" w:rsidRPr="00787196" w:rsidDel="00330664" w:rsidRDefault="00330664" w:rsidP="00245247">
            <w:pPr>
              <w:autoSpaceDE w:val="0"/>
              <w:autoSpaceDN w:val="0"/>
              <w:adjustRightInd w:val="0"/>
              <w:spacing w:before="0" w:after="0" w:line="240" w:lineRule="auto"/>
              <w:rPr>
                <w:rFonts w:cs="Arial"/>
                <w:b/>
                <w:bCs/>
                <w:color w:val="000000"/>
                <w:szCs w:val="24"/>
              </w:rPr>
            </w:pPr>
          </w:p>
        </w:tc>
        <w:tc>
          <w:tcPr>
            <w:tcW w:w="5245" w:type="dxa"/>
            <w:gridSpan w:val="2"/>
            <w:tcBorders>
              <w:left w:val="nil"/>
              <w:bottom w:val="nil"/>
              <w:right w:val="nil"/>
            </w:tcBorders>
            <w:shd w:val="clear" w:color="auto" w:fill="FFFFFF"/>
            <w:vAlign w:val="center"/>
          </w:tcPr>
          <w:p w14:paraId="5DFDB8AE" w14:textId="203BB707" w:rsidR="00330664" w:rsidRPr="00787196" w:rsidRDefault="00245247" w:rsidP="00245247">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Percentage </w:t>
            </w:r>
            <w:r w:rsidR="00330664" w:rsidRPr="00787196">
              <w:rPr>
                <w:rFonts w:cs="Arial"/>
                <w:b/>
                <w:bCs/>
                <w:color w:val="000000"/>
                <w:sz w:val="20"/>
                <w:szCs w:val="20"/>
              </w:rPr>
              <w:t>%</w:t>
            </w:r>
          </w:p>
        </w:tc>
      </w:tr>
      <w:tr w:rsidR="00330664" w:rsidRPr="00787196" w14:paraId="723168B4" w14:textId="77777777" w:rsidTr="006C2B50">
        <w:trPr>
          <w:trHeight w:val="269"/>
        </w:trPr>
        <w:tc>
          <w:tcPr>
            <w:tcW w:w="2977" w:type="dxa"/>
            <w:vMerge/>
            <w:tcBorders>
              <w:left w:val="nil"/>
              <w:right w:val="nil"/>
            </w:tcBorders>
            <w:shd w:val="clear" w:color="auto" w:fill="FFFFFF"/>
            <w:vAlign w:val="center"/>
          </w:tcPr>
          <w:p w14:paraId="7E3C4EF3" w14:textId="6EE972CD" w:rsidR="00330664" w:rsidRPr="00787196" w:rsidRDefault="00330664" w:rsidP="00C4455B">
            <w:pPr>
              <w:autoSpaceDE w:val="0"/>
              <w:autoSpaceDN w:val="0"/>
              <w:adjustRightInd w:val="0"/>
              <w:spacing w:before="0" w:after="0" w:line="240" w:lineRule="auto"/>
              <w:rPr>
                <w:rFonts w:cs="Arial"/>
                <w:b/>
                <w:bCs/>
                <w:color w:val="000000"/>
                <w:szCs w:val="24"/>
              </w:rPr>
            </w:pPr>
          </w:p>
        </w:tc>
        <w:tc>
          <w:tcPr>
            <w:tcW w:w="2126" w:type="dxa"/>
            <w:tcBorders>
              <w:top w:val="nil"/>
              <w:left w:val="nil"/>
              <w:right w:val="nil"/>
            </w:tcBorders>
            <w:shd w:val="clear" w:color="auto" w:fill="FFFFFF"/>
            <w:vAlign w:val="center"/>
          </w:tcPr>
          <w:p w14:paraId="6AADB3F7" w14:textId="713BCAB5" w:rsidR="00330664" w:rsidRPr="00787196" w:rsidRDefault="00330664" w:rsidP="00330664">
            <w:pPr>
              <w:autoSpaceDE w:val="0"/>
              <w:autoSpaceDN w:val="0"/>
              <w:adjustRightInd w:val="0"/>
              <w:spacing w:before="0" w:after="0" w:line="240" w:lineRule="auto"/>
              <w:jc w:val="center"/>
              <w:rPr>
                <w:rFonts w:cs="Arial"/>
                <w:color w:val="000000"/>
                <w:sz w:val="20"/>
                <w:szCs w:val="20"/>
              </w:rPr>
            </w:pPr>
            <w:r w:rsidRPr="00787196">
              <w:rPr>
                <w:rFonts w:cs="Arial"/>
                <w:b/>
                <w:bCs/>
                <w:color w:val="000000"/>
                <w:sz w:val="20"/>
                <w:szCs w:val="20"/>
              </w:rPr>
              <w:t>Upper</w:t>
            </w:r>
          </w:p>
        </w:tc>
        <w:tc>
          <w:tcPr>
            <w:tcW w:w="3119" w:type="dxa"/>
            <w:tcBorders>
              <w:top w:val="nil"/>
              <w:left w:val="nil"/>
              <w:right w:val="nil"/>
            </w:tcBorders>
            <w:shd w:val="clear" w:color="auto" w:fill="FFFFFF"/>
            <w:vAlign w:val="center"/>
          </w:tcPr>
          <w:p w14:paraId="24DDF5F4" w14:textId="1DDC8302" w:rsidR="00330664" w:rsidRPr="00787196" w:rsidRDefault="00330664" w:rsidP="00330664">
            <w:pPr>
              <w:autoSpaceDE w:val="0"/>
              <w:autoSpaceDN w:val="0"/>
              <w:adjustRightInd w:val="0"/>
              <w:spacing w:before="0" w:after="0" w:line="240" w:lineRule="auto"/>
              <w:jc w:val="center"/>
              <w:rPr>
                <w:rFonts w:cs="Arial"/>
                <w:color w:val="000000"/>
                <w:sz w:val="20"/>
                <w:szCs w:val="20"/>
              </w:rPr>
            </w:pPr>
            <w:r w:rsidRPr="00787196">
              <w:rPr>
                <w:rFonts w:cs="Arial"/>
                <w:b/>
                <w:bCs/>
                <w:color w:val="000000"/>
                <w:sz w:val="20"/>
                <w:szCs w:val="20"/>
              </w:rPr>
              <w:t xml:space="preserve">Lower </w:t>
            </w:r>
          </w:p>
        </w:tc>
      </w:tr>
      <w:tr w:rsidR="00C4455B" w:rsidRPr="00787196" w14:paraId="6AD5B439" w14:textId="77777777" w:rsidTr="006F178C">
        <w:trPr>
          <w:trHeight w:val="279"/>
        </w:trPr>
        <w:tc>
          <w:tcPr>
            <w:tcW w:w="2977" w:type="dxa"/>
            <w:tcBorders>
              <w:top w:val="single" w:sz="8" w:space="0" w:color="000000"/>
              <w:left w:val="nil"/>
              <w:bottom w:val="nil"/>
              <w:right w:val="nil"/>
            </w:tcBorders>
            <w:shd w:val="clear" w:color="auto" w:fill="FFFFFF"/>
            <w:vAlign w:val="center"/>
          </w:tcPr>
          <w:p w14:paraId="6C8AC423" w14:textId="77777777" w:rsidR="00C4455B" w:rsidRPr="00787196" w:rsidRDefault="00C4455B" w:rsidP="00C4455B">
            <w:pPr>
              <w:autoSpaceDE w:val="0"/>
              <w:autoSpaceDN w:val="0"/>
              <w:adjustRightInd w:val="0"/>
              <w:spacing w:before="0" w:after="0" w:line="240" w:lineRule="auto"/>
              <w:rPr>
                <w:rFonts w:cs="Arial"/>
                <w:b/>
                <w:bCs/>
                <w:color w:val="000000"/>
                <w:sz w:val="20"/>
                <w:szCs w:val="20"/>
              </w:rPr>
            </w:pPr>
          </w:p>
        </w:tc>
        <w:tc>
          <w:tcPr>
            <w:tcW w:w="2126" w:type="dxa"/>
            <w:tcBorders>
              <w:top w:val="single" w:sz="8" w:space="0" w:color="000000"/>
              <w:left w:val="nil"/>
              <w:bottom w:val="nil"/>
              <w:right w:val="nil"/>
            </w:tcBorders>
            <w:shd w:val="clear" w:color="auto" w:fill="FFFFFF"/>
          </w:tcPr>
          <w:p w14:paraId="22937192"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c>
          <w:tcPr>
            <w:tcW w:w="3119" w:type="dxa"/>
            <w:tcBorders>
              <w:top w:val="single" w:sz="8" w:space="0" w:color="000000"/>
              <w:left w:val="nil"/>
              <w:bottom w:val="nil"/>
              <w:right w:val="nil"/>
            </w:tcBorders>
            <w:shd w:val="clear" w:color="auto" w:fill="FFFFFF"/>
          </w:tcPr>
          <w:p w14:paraId="0D78B573"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r>
      <w:tr w:rsidR="00C4455B" w:rsidRPr="00787196" w14:paraId="60E65B36" w14:textId="77777777" w:rsidTr="006F178C">
        <w:trPr>
          <w:trHeight w:val="279"/>
        </w:trPr>
        <w:tc>
          <w:tcPr>
            <w:tcW w:w="2977" w:type="dxa"/>
            <w:tcBorders>
              <w:top w:val="nil"/>
              <w:left w:val="nil"/>
              <w:bottom w:val="nil"/>
              <w:right w:val="nil"/>
            </w:tcBorders>
            <w:shd w:val="clear" w:color="auto" w:fill="FFFFFF"/>
            <w:vAlign w:val="center"/>
          </w:tcPr>
          <w:p w14:paraId="236FD86F" w14:textId="77777777" w:rsidR="00C4455B" w:rsidRPr="00787196" w:rsidRDefault="00C4455B" w:rsidP="00C4455B">
            <w:pPr>
              <w:autoSpaceDE w:val="0"/>
              <w:autoSpaceDN w:val="0"/>
              <w:adjustRightInd w:val="0"/>
              <w:spacing w:before="0" w:after="0" w:line="240" w:lineRule="auto"/>
              <w:rPr>
                <w:rFonts w:cs="Arial"/>
                <w:color w:val="000000"/>
                <w:sz w:val="20"/>
                <w:szCs w:val="20"/>
              </w:rPr>
            </w:pPr>
            <w:r w:rsidRPr="00787196">
              <w:rPr>
                <w:rFonts w:cs="Arial"/>
                <w:b/>
                <w:bCs/>
                <w:color w:val="000000"/>
                <w:sz w:val="20"/>
                <w:szCs w:val="20"/>
              </w:rPr>
              <w:t>Prosthetic status</w:t>
            </w:r>
          </w:p>
        </w:tc>
        <w:tc>
          <w:tcPr>
            <w:tcW w:w="2126" w:type="dxa"/>
            <w:tcBorders>
              <w:top w:val="nil"/>
              <w:left w:val="nil"/>
              <w:bottom w:val="nil"/>
              <w:right w:val="nil"/>
            </w:tcBorders>
            <w:shd w:val="clear" w:color="auto" w:fill="FFFFFF"/>
          </w:tcPr>
          <w:p w14:paraId="14CED931"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c>
          <w:tcPr>
            <w:tcW w:w="3119" w:type="dxa"/>
            <w:tcBorders>
              <w:top w:val="nil"/>
              <w:left w:val="nil"/>
              <w:bottom w:val="nil"/>
              <w:right w:val="nil"/>
            </w:tcBorders>
            <w:shd w:val="clear" w:color="auto" w:fill="FFFFFF"/>
          </w:tcPr>
          <w:p w14:paraId="5E6EEF7C"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r>
      <w:tr w:rsidR="00C4455B" w:rsidRPr="00787196" w14:paraId="170ED71D" w14:textId="77777777" w:rsidTr="006F178C">
        <w:trPr>
          <w:trHeight w:val="279"/>
        </w:trPr>
        <w:tc>
          <w:tcPr>
            <w:tcW w:w="2977" w:type="dxa"/>
            <w:tcBorders>
              <w:top w:val="nil"/>
              <w:left w:val="nil"/>
              <w:bottom w:val="nil"/>
              <w:right w:val="nil"/>
            </w:tcBorders>
            <w:shd w:val="clear" w:color="auto" w:fill="FFFFFF"/>
            <w:vAlign w:val="center"/>
          </w:tcPr>
          <w:p w14:paraId="0046076E" w14:textId="2F9AA3F1" w:rsidR="00C4455B" w:rsidRPr="00787196" w:rsidRDefault="00C4455B" w:rsidP="00500BEE">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No</w:t>
            </w:r>
            <w:r w:rsidR="00500BEE" w:rsidRPr="00787196">
              <w:rPr>
                <w:rFonts w:cs="Arial"/>
                <w:color w:val="000000"/>
                <w:sz w:val="20"/>
                <w:szCs w:val="20"/>
              </w:rPr>
              <w:t>ne</w:t>
            </w:r>
            <w:r w:rsidRPr="00787196">
              <w:rPr>
                <w:rFonts w:cs="Arial"/>
                <w:color w:val="000000"/>
                <w:sz w:val="20"/>
                <w:szCs w:val="20"/>
              </w:rPr>
              <w:t xml:space="preserve"> </w:t>
            </w:r>
          </w:p>
        </w:tc>
        <w:tc>
          <w:tcPr>
            <w:tcW w:w="2126" w:type="dxa"/>
            <w:tcBorders>
              <w:top w:val="nil"/>
              <w:left w:val="nil"/>
              <w:bottom w:val="nil"/>
              <w:right w:val="nil"/>
            </w:tcBorders>
            <w:shd w:val="clear" w:color="auto" w:fill="FFFFFF"/>
          </w:tcPr>
          <w:p w14:paraId="1997AE27"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48.3</w:t>
            </w:r>
          </w:p>
        </w:tc>
        <w:tc>
          <w:tcPr>
            <w:tcW w:w="3119" w:type="dxa"/>
            <w:tcBorders>
              <w:top w:val="nil"/>
              <w:left w:val="nil"/>
              <w:bottom w:val="nil"/>
              <w:right w:val="nil"/>
            </w:tcBorders>
            <w:shd w:val="clear" w:color="auto" w:fill="FFFFFF"/>
          </w:tcPr>
          <w:p w14:paraId="6B00C191"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53.2</w:t>
            </w:r>
          </w:p>
        </w:tc>
      </w:tr>
      <w:tr w:rsidR="00C4455B" w:rsidRPr="00787196" w14:paraId="0DD088FC" w14:textId="77777777" w:rsidTr="006F178C">
        <w:trPr>
          <w:trHeight w:val="123"/>
        </w:trPr>
        <w:tc>
          <w:tcPr>
            <w:tcW w:w="2977" w:type="dxa"/>
            <w:tcBorders>
              <w:top w:val="nil"/>
              <w:left w:val="nil"/>
              <w:bottom w:val="nil"/>
              <w:right w:val="nil"/>
            </w:tcBorders>
            <w:shd w:val="clear" w:color="auto" w:fill="FFFFFF"/>
            <w:vAlign w:val="center"/>
          </w:tcPr>
          <w:p w14:paraId="2F5F2DC1" w14:textId="77777777" w:rsidR="00C4455B" w:rsidRPr="00787196" w:rsidRDefault="00C4455B" w:rsidP="00C4455B">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Wearing dentures</w:t>
            </w:r>
          </w:p>
        </w:tc>
        <w:tc>
          <w:tcPr>
            <w:tcW w:w="2126" w:type="dxa"/>
            <w:tcBorders>
              <w:top w:val="nil"/>
              <w:left w:val="nil"/>
              <w:bottom w:val="nil"/>
              <w:right w:val="nil"/>
            </w:tcBorders>
            <w:shd w:val="clear" w:color="auto" w:fill="FFFFFF"/>
          </w:tcPr>
          <w:p w14:paraId="716B241F"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51.7</w:t>
            </w:r>
          </w:p>
        </w:tc>
        <w:tc>
          <w:tcPr>
            <w:tcW w:w="3119" w:type="dxa"/>
            <w:tcBorders>
              <w:top w:val="nil"/>
              <w:left w:val="nil"/>
              <w:bottom w:val="nil"/>
              <w:right w:val="nil"/>
            </w:tcBorders>
            <w:shd w:val="clear" w:color="auto" w:fill="FFFFFF"/>
          </w:tcPr>
          <w:p w14:paraId="36559F64"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46.8</w:t>
            </w:r>
          </w:p>
        </w:tc>
      </w:tr>
      <w:tr w:rsidR="00C4455B" w:rsidRPr="00787196" w14:paraId="006BF01B" w14:textId="77777777" w:rsidTr="006F178C">
        <w:trPr>
          <w:trHeight w:val="123"/>
        </w:trPr>
        <w:tc>
          <w:tcPr>
            <w:tcW w:w="2977" w:type="dxa"/>
            <w:tcBorders>
              <w:top w:val="nil"/>
              <w:left w:val="nil"/>
              <w:bottom w:val="nil"/>
              <w:right w:val="nil"/>
            </w:tcBorders>
            <w:shd w:val="clear" w:color="auto" w:fill="FFFFFF"/>
            <w:vAlign w:val="center"/>
          </w:tcPr>
          <w:p w14:paraId="1423F43B" w14:textId="77777777" w:rsidR="00C4455B" w:rsidRPr="00787196" w:rsidRDefault="00C4455B" w:rsidP="00C4455B">
            <w:pPr>
              <w:autoSpaceDE w:val="0"/>
              <w:autoSpaceDN w:val="0"/>
              <w:adjustRightInd w:val="0"/>
              <w:spacing w:before="0" w:after="0" w:line="240" w:lineRule="auto"/>
              <w:rPr>
                <w:rFonts w:cs="Arial"/>
                <w:color w:val="000000"/>
                <w:sz w:val="20"/>
                <w:szCs w:val="20"/>
              </w:rPr>
            </w:pPr>
          </w:p>
        </w:tc>
        <w:tc>
          <w:tcPr>
            <w:tcW w:w="2126" w:type="dxa"/>
            <w:tcBorders>
              <w:top w:val="nil"/>
              <w:left w:val="nil"/>
              <w:bottom w:val="nil"/>
              <w:right w:val="nil"/>
            </w:tcBorders>
            <w:shd w:val="clear" w:color="auto" w:fill="FFFFFF"/>
          </w:tcPr>
          <w:p w14:paraId="425D3641"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c>
          <w:tcPr>
            <w:tcW w:w="3119" w:type="dxa"/>
            <w:tcBorders>
              <w:top w:val="nil"/>
              <w:left w:val="nil"/>
              <w:bottom w:val="nil"/>
              <w:right w:val="nil"/>
            </w:tcBorders>
            <w:shd w:val="clear" w:color="auto" w:fill="FFFFFF"/>
          </w:tcPr>
          <w:p w14:paraId="0CF725A5"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r>
      <w:tr w:rsidR="00C4455B" w:rsidRPr="00787196" w14:paraId="07C0486E" w14:textId="77777777" w:rsidTr="006F178C">
        <w:trPr>
          <w:trHeight w:val="168"/>
        </w:trPr>
        <w:tc>
          <w:tcPr>
            <w:tcW w:w="2977" w:type="dxa"/>
            <w:tcBorders>
              <w:top w:val="nil"/>
              <w:left w:val="nil"/>
              <w:bottom w:val="nil"/>
              <w:right w:val="nil"/>
            </w:tcBorders>
            <w:shd w:val="clear" w:color="auto" w:fill="FFFFFF"/>
            <w:vAlign w:val="center"/>
          </w:tcPr>
          <w:p w14:paraId="47E6E206" w14:textId="77777777" w:rsidR="00C4455B" w:rsidRPr="00787196" w:rsidRDefault="00C4455B" w:rsidP="00C4455B">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 xml:space="preserve">Prosthetic need </w:t>
            </w:r>
          </w:p>
        </w:tc>
        <w:tc>
          <w:tcPr>
            <w:tcW w:w="2126" w:type="dxa"/>
            <w:tcBorders>
              <w:top w:val="nil"/>
              <w:left w:val="nil"/>
              <w:bottom w:val="nil"/>
              <w:right w:val="nil"/>
            </w:tcBorders>
            <w:shd w:val="clear" w:color="auto" w:fill="FFFFFF"/>
          </w:tcPr>
          <w:p w14:paraId="7F79CC14"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c>
          <w:tcPr>
            <w:tcW w:w="3119" w:type="dxa"/>
            <w:tcBorders>
              <w:top w:val="nil"/>
              <w:left w:val="nil"/>
              <w:bottom w:val="nil"/>
              <w:right w:val="nil"/>
            </w:tcBorders>
            <w:shd w:val="clear" w:color="auto" w:fill="FFFFFF"/>
          </w:tcPr>
          <w:p w14:paraId="7E972701"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p>
        </w:tc>
      </w:tr>
      <w:tr w:rsidR="00C4455B" w:rsidRPr="00787196" w14:paraId="426DEA43" w14:textId="77777777" w:rsidTr="006F178C">
        <w:trPr>
          <w:trHeight w:val="168"/>
        </w:trPr>
        <w:tc>
          <w:tcPr>
            <w:tcW w:w="2977" w:type="dxa"/>
            <w:tcBorders>
              <w:top w:val="nil"/>
              <w:left w:val="nil"/>
              <w:bottom w:val="nil"/>
              <w:right w:val="nil"/>
            </w:tcBorders>
            <w:shd w:val="clear" w:color="auto" w:fill="FFFFFF"/>
            <w:vAlign w:val="center"/>
          </w:tcPr>
          <w:p w14:paraId="76A74933" w14:textId="77777777" w:rsidR="00C4455B" w:rsidRPr="00787196" w:rsidRDefault="00C4455B" w:rsidP="00C4455B">
            <w:pPr>
              <w:autoSpaceDE w:val="0"/>
              <w:autoSpaceDN w:val="0"/>
              <w:adjustRightInd w:val="0"/>
              <w:spacing w:before="0" w:after="0" w:line="240" w:lineRule="auto"/>
              <w:rPr>
                <w:rFonts w:cs="Arial"/>
                <w:b/>
                <w:bCs/>
                <w:color w:val="000000"/>
                <w:sz w:val="20"/>
                <w:szCs w:val="20"/>
              </w:rPr>
            </w:pPr>
            <w:r w:rsidRPr="00787196">
              <w:rPr>
                <w:rFonts w:cs="Arial"/>
                <w:color w:val="000000"/>
                <w:sz w:val="20"/>
                <w:szCs w:val="20"/>
              </w:rPr>
              <w:t>Partial dentures/ none needed</w:t>
            </w:r>
          </w:p>
        </w:tc>
        <w:tc>
          <w:tcPr>
            <w:tcW w:w="2126" w:type="dxa"/>
            <w:tcBorders>
              <w:top w:val="nil"/>
              <w:left w:val="nil"/>
              <w:bottom w:val="nil"/>
              <w:right w:val="nil"/>
            </w:tcBorders>
            <w:shd w:val="clear" w:color="auto" w:fill="FFFFFF"/>
          </w:tcPr>
          <w:p w14:paraId="0AB00DEF"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36.3</w:t>
            </w:r>
          </w:p>
        </w:tc>
        <w:tc>
          <w:tcPr>
            <w:tcW w:w="3119" w:type="dxa"/>
            <w:tcBorders>
              <w:top w:val="nil"/>
              <w:left w:val="nil"/>
              <w:bottom w:val="nil"/>
              <w:right w:val="nil"/>
            </w:tcBorders>
            <w:shd w:val="clear" w:color="auto" w:fill="FFFFFF"/>
          </w:tcPr>
          <w:p w14:paraId="1F134C96"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41.8</w:t>
            </w:r>
          </w:p>
        </w:tc>
      </w:tr>
      <w:tr w:rsidR="00C4455B" w:rsidRPr="00787196" w14:paraId="2C039235" w14:textId="77777777" w:rsidTr="006F178C">
        <w:trPr>
          <w:trHeight w:val="168"/>
        </w:trPr>
        <w:tc>
          <w:tcPr>
            <w:tcW w:w="2977" w:type="dxa"/>
            <w:tcBorders>
              <w:top w:val="nil"/>
              <w:left w:val="nil"/>
              <w:bottom w:val="nil"/>
              <w:right w:val="nil"/>
            </w:tcBorders>
            <w:shd w:val="clear" w:color="auto" w:fill="FFFFFF"/>
            <w:vAlign w:val="center"/>
          </w:tcPr>
          <w:p w14:paraId="0DC0E908" w14:textId="77777777" w:rsidR="00C4455B" w:rsidRPr="00787196" w:rsidRDefault="00C4455B" w:rsidP="00C4455B">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Need for a full prosthesis</w:t>
            </w:r>
          </w:p>
        </w:tc>
        <w:tc>
          <w:tcPr>
            <w:tcW w:w="2126" w:type="dxa"/>
            <w:tcBorders>
              <w:top w:val="nil"/>
              <w:left w:val="nil"/>
              <w:bottom w:val="nil"/>
              <w:right w:val="nil"/>
            </w:tcBorders>
            <w:shd w:val="clear" w:color="auto" w:fill="FFFFFF"/>
          </w:tcPr>
          <w:p w14:paraId="3CB87F78"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63.7</w:t>
            </w:r>
          </w:p>
        </w:tc>
        <w:tc>
          <w:tcPr>
            <w:tcW w:w="3119" w:type="dxa"/>
            <w:tcBorders>
              <w:top w:val="nil"/>
              <w:left w:val="nil"/>
              <w:bottom w:val="nil"/>
              <w:right w:val="nil"/>
            </w:tcBorders>
            <w:shd w:val="clear" w:color="auto" w:fill="FFFFFF"/>
          </w:tcPr>
          <w:p w14:paraId="0CFEF4D7" w14:textId="77777777" w:rsidR="00C4455B" w:rsidRPr="00787196" w:rsidRDefault="00C4455B" w:rsidP="00C4455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58.2</w:t>
            </w:r>
          </w:p>
        </w:tc>
      </w:tr>
      <w:tr w:rsidR="00C4455B" w:rsidRPr="00787196" w14:paraId="1B1EEC43" w14:textId="77777777" w:rsidTr="006F178C">
        <w:trPr>
          <w:trHeight w:val="168"/>
        </w:trPr>
        <w:tc>
          <w:tcPr>
            <w:tcW w:w="2977" w:type="dxa"/>
            <w:tcBorders>
              <w:top w:val="nil"/>
              <w:left w:val="nil"/>
              <w:right w:val="nil"/>
            </w:tcBorders>
            <w:shd w:val="clear" w:color="auto" w:fill="FFFFFF"/>
            <w:vAlign w:val="center"/>
          </w:tcPr>
          <w:p w14:paraId="200CB447" w14:textId="77777777" w:rsidR="00C4455B" w:rsidRPr="00787196" w:rsidRDefault="00C4455B" w:rsidP="00C4455B">
            <w:pPr>
              <w:autoSpaceDE w:val="0"/>
              <w:autoSpaceDN w:val="0"/>
              <w:adjustRightInd w:val="0"/>
              <w:spacing w:before="0" w:after="0" w:line="240" w:lineRule="auto"/>
              <w:rPr>
                <w:rFonts w:cs="Arial"/>
                <w:color w:val="000000"/>
                <w:sz w:val="20"/>
                <w:szCs w:val="20"/>
              </w:rPr>
            </w:pPr>
          </w:p>
        </w:tc>
        <w:tc>
          <w:tcPr>
            <w:tcW w:w="2126" w:type="dxa"/>
            <w:tcBorders>
              <w:top w:val="nil"/>
              <w:left w:val="nil"/>
              <w:right w:val="nil"/>
            </w:tcBorders>
            <w:shd w:val="clear" w:color="auto" w:fill="FFFFFF"/>
          </w:tcPr>
          <w:p w14:paraId="226CC40A" w14:textId="77777777" w:rsidR="00C4455B" w:rsidRPr="00787196" w:rsidRDefault="00C4455B" w:rsidP="00C4455B">
            <w:pPr>
              <w:autoSpaceDE w:val="0"/>
              <w:autoSpaceDN w:val="0"/>
              <w:adjustRightInd w:val="0"/>
              <w:spacing w:before="0" w:after="0" w:line="240" w:lineRule="auto"/>
              <w:ind w:left="142"/>
              <w:rPr>
                <w:rFonts w:cs="Arial"/>
                <w:color w:val="000000"/>
                <w:sz w:val="20"/>
                <w:szCs w:val="20"/>
              </w:rPr>
            </w:pPr>
          </w:p>
        </w:tc>
        <w:tc>
          <w:tcPr>
            <w:tcW w:w="3119" w:type="dxa"/>
            <w:tcBorders>
              <w:top w:val="nil"/>
              <w:left w:val="nil"/>
              <w:right w:val="nil"/>
            </w:tcBorders>
            <w:shd w:val="clear" w:color="auto" w:fill="FFFFFF"/>
            <w:vAlign w:val="center"/>
          </w:tcPr>
          <w:p w14:paraId="41A9689B" w14:textId="77777777" w:rsidR="00C4455B" w:rsidRPr="00787196" w:rsidRDefault="00C4455B" w:rsidP="00C4455B">
            <w:pPr>
              <w:autoSpaceDE w:val="0"/>
              <w:autoSpaceDN w:val="0"/>
              <w:adjustRightInd w:val="0"/>
              <w:spacing w:before="0" w:after="0" w:line="240" w:lineRule="auto"/>
              <w:ind w:left="142"/>
              <w:rPr>
                <w:rFonts w:cs="Arial"/>
                <w:color w:val="000000"/>
                <w:sz w:val="20"/>
                <w:szCs w:val="20"/>
              </w:rPr>
            </w:pPr>
          </w:p>
        </w:tc>
      </w:tr>
    </w:tbl>
    <w:p w14:paraId="542388C6" w14:textId="5C23F8E2" w:rsidR="0091127E" w:rsidRPr="00787196" w:rsidRDefault="0091127E">
      <w:pPr>
        <w:spacing w:before="0" w:after="0" w:line="240" w:lineRule="auto"/>
      </w:pPr>
      <w:r w:rsidRPr="00787196">
        <w:br w:type="page"/>
      </w:r>
    </w:p>
    <w:p w14:paraId="7242EA8B" w14:textId="77777777" w:rsidR="00061946" w:rsidRPr="00787196" w:rsidRDefault="00CC318A" w:rsidP="00D9694A">
      <w:pPr>
        <w:pStyle w:val="Heading3"/>
      </w:pPr>
      <w:r w:rsidRPr="00787196">
        <w:lastRenderedPageBreak/>
        <w:t xml:space="preserve"> </w:t>
      </w:r>
      <w:bookmarkStart w:id="231" w:name="_Toc456211180"/>
      <w:bookmarkStart w:id="232" w:name="_Toc488655664"/>
      <w:r w:rsidR="00061946" w:rsidRPr="00787196">
        <w:t>Coping strategies</w:t>
      </w:r>
      <w:bookmarkEnd w:id="231"/>
      <w:bookmarkEnd w:id="232"/>
      <w:r w:rsidR="00061946" w:rsidRPr="00787196">
        <w:t xml:space="preserve"> </w:t>
      </w:r>
    </w:p>
    <w:p w14:paraId="02CE2F9B" w14:textId="7F63A763" w:rsidR="00093E16" w:rsidRPr="00787196" w:rsidRDefault="005C3A4B" w:rsidP="00226A04">
      <w:pPr>
        <w:pStyle w:val="Heading4"/>
      </w:pPr>
      <w:bookmarkStart w:id="233" w:name="_Ref424115249"/>
      <w:r w:rsidRPr="00787196">
        <w:t xml:space="preserve"> </w:t>
      </w:r>
      <w:r w:rsidR="00093E16" w:rsidRPr="00787196">
        <w:t>Brief COPE</w:t>
      </w:r>
    </w:p>
    <w:p w14:paraId="46F3D39D" w14:textId="15B05EBD" w:rsidR="00D60210" w:rsidRPr="00787196" w:rsidRDefault="00AA1A58" w:rsidP="00C4455B">
      <w:r w:rsidRPr="00787196">
        <w:t>Coping strategies</w:t>
      </w:r>
      <w:r w:rsidR="00C4455B" w:rsidRPr="00787196">
        <w:t xml:space="preserve"> were measured with the </w:t>
      </w:r>
      <w:r w:rsidR="00DC4413" w:rsidRPr="00787196">
        <w:t xml:space="preserve">28– item </w:t>
      </w:r>
      <w:r w:rsidR="008E2EE8" w:rsidRPr="00787196">
        <w:t xml:space="preserve">Brief COPE </w:t>
      </w:r>
      <w:r w:rsidR="008E2EE8" w:rsidRPr="00787196">
        <w:fldChar w:fldCharType="begin"/>
      </w:r>
      <w:r w:rsidR="00CE759F" w:rsidRPr="00787196">
        <w:instrText xml:space="preserve"> ADDIN EN.CITE &lt;EndNote&gt;&lt;Cite&gt;&lt;Author&gt;Carver&lt;/Author&gt;&lt;Year&gt;1997&lt;/Year&gt;&lt;RecNum&gt;0&lt;/RecNum&gt;&lt;IDText&gt;You want to measure coping but your protocol’too long: Consider the brief cope&lt;/IDText&gt;&lt;DisplayText&gt;(Carver, 1997)&lt;/DisplayText&gt;&lt;record&gt;&lt;isbn&gt;1070-5503&lt;/isbn&gt;&lt;titles&gt;&lt;title&gt;You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format="utc"&gt;1364393655&lt;/last-updated-date&gt;&lt;volume&gt;4&lt;/volume&gt;&lt;/record&gt;&lt;/Cite&gt;&lt;Cite&gt;&lt;Author&gt;Carver&lt;/Author&gt;&lt;Year&gt;1997&lt;/Year&gt;&lt;RecNum&gt;0&lt;/RecNum&gt;&lt;IDText&gt;You want to measure coping but your protocol’too long: Consider the brief cope&lt;/IDText&gt;&lt;record&gt;&lt;isbn&gt;1070-5503&lt;/isbn&gt;&lt;titles&gt;&lt;title&gt;You want to measure coping but your protocol’too long: Consider the brief cope&lt;/title&gt;&lt;secondary-title&gt;International journal of behavioral medicine&lt;/secondary-title&gt;&lt;/titles&gt;&lt;pages&gt;92-100&lt;/pages&gt;&lt;number&gt;1&lt;/number&gt;&lt;contributors&gt;&lt;authors&gt;&lt;author&gt;Carver, Charles S.&lt;/author&gt;&lt;/authors&gt;&lt;/contributors&gt;&lt;added-date format="utc"&gt;1364393655&lt;/added-date&gt;&lt;ref-type name="Journal Article"&gt;17&lt;/ref-type&gt;&lt;dates&gt;&lt;year&gt;1997&lt;/year&gt;&lt;/dates&gt;&lt;rec-number&gt;583&lt;/rec-number&gt;&lt;last-updated-date format="utc"&gt;1364393655&lt;/last-updated-date&gt;&lt;volume&gt;4&lt;/volume&gt;&lt;/record&gt;&lt;/Cite&gt;&lt;/EndNote&gt;</w:instrText>
      </w:r>
      <w:r w:rsidR="008E2EE8" w:rsidRPr="00787196">
        <w:fldChar w:fldCharType="separate"/>
      </w:r>
      <w:r w:rsidR="008E2EE8" w:rsidRPr="00787196">
        <w:t>(Carver, 1997)</w:t>
      </w:r>
      <w:r w:rsidR="008E2EE8" w:rsidRPr="00787196">
        <w:fldChar w:fldCharType="end"/>
      </w:r>
      <w:r w:rsidR="00B230C3" w:rsidRPr="00787196">
        <w:t xml:space="preserve"> with 1</w:t>
      </w:r>
      <w:r w:rsidR="00011D60" w:rsidRPr="00787196">
        <w:t>4 coping strategies grouped under</w:t>
      </w:r>
      <w:r w:rsidR="00B230C3" w:rsidRPr="00787196">
        <w:t xml:space="preserve"> their</w:t>
      </w:r>
      <w:r w:rsidR="00011D60" w:rsidRPr="00787196">
        <w:t xml:space="preserve"> </w:t>
      </w:r>
      <w:r w:rsidR="006E060C" w:rsidRPr="00787196">
        <w:t xml:space="preserve">respective </w:t>
      </w:r>
      <w:r w:rsidR="00011D60" w:rsidRPr="00787196">
        <w:t>subscales</w:t>
      </w:r>
      <w:r w:rsidR="006E060C" w:rsidRPr="00787196">
        <w:t xml:space="preserve"> (2 items per subscale) </w:t>
      </w:r>
      <w:r w:rsidR="00C4455B" w:rsidRPr="00787196">
        <w:t xml:space="preserve">(Table 5-7). </w:t>
      </w:r>
      <w:r w:rsidR="00AD149A" w:rsidRPr="00787196">
        <w:t xml:space="preserve">Higher scores meant that </w:t>
      </w:r>
      <w:r w:rsidR="004B098C" w:rsidRPr="00787196">
        <w:t xml:space="preserve">the specific </w:t>
      </w:r>
      <w:r w:rsidR="00AD149A" w:rsidRPr="00787196">
        <w:t xml:space="preserve">coping strategy was used more. The scores </w:t>
      </w:r>
      <w:r w:rsidRPr="00787196">
        <w:t>w</w:t>
      </w:r>
      <w:r w:rsidR="00202E46" w:rsidRPr="00787196">
        <w:t>ere measured at both</w:t>
      </w:r>
      <w:r w:rsidR="005C3A4B" w:rsidRPr="00787196">
        <w:t xml:space="preserve"> </w:t>
      </w:r>
      <w:r w:rsidR="006E060C" w:rsidRPr="00787196">
        <w:t>stages T1</w:t>
      </w:r>
      <w:r w:rsidR="00202E46" w:rsidRPr="00787196">
        <w:t xml:space="preserve"> and T2 (Table 5-7). </w:t>
      </w:r>
      <w:r w:rsidR="00AD149A" w:rsidRPr="00787196">
        <w:t>Active coping and acceptance were the most used strategies at baseline and follow-up respectively</w:t>
      </w:r>
      <w:r w:rsidR="00D60210" w:rsidRPr="00787196">
        <w:t>.</w:t>
      </w:r>
      <w:r w:rsidR="001B3653" w:rsidRPr="00787196">
        <w:t xml:space="preserve"> While the least used was substance misuse in both stages.</w:t>
      </w:r>
    </w:p>
    <w:p w14:paraId="5CDDF662" w14:textId="77777777" w:rsidR="00C4455B" w:rsidRPr="00787196" w:rsidRDefault="00C4455B" w:rsidP="00705EF4">
      <w:pPr>
        <w:spacing w:before="0" w:after="0"/>
      </w:pPr>
    </w:p>
    <w:p w14:paraId="00842915" w14:textId="56A91F5C" w:rsidR="001B3653" w:rsidRPr="00787196" w:rsidRDefault="004F1CC4" w:rsidP="00B230C3">
      <w:pPr>
        <w:spacing w:after="0" w:line="240" w:lineRule="auto"/>
        <w:jc w:val="left"/>
        <w:rPr>
          <w:b/>
          <w:bCs/>
          <w:sz w:val="22"/>
        </w:rPr>
      </w:pPr>
      <w:bookmarkStart w:id="234" w:name="_Ref425957378"/>
      <w:bookmarkStart w:id="235" w:name="_Toc461641232"/>
      <w:bookmarkStart w:id="236" w:name="_Toc488655536"/>
      <w:r w:rsidRPr="00787196">
        <w:rPr>
          <w:b/>
          <w:bCs/>
          <w:sz w:val="20"/>
          <w:szCs w:val="20"/>
        </w:rPr>
        <w:t xml:space="preserve">Table </w:t>
      </w:r>
      <w:r w:rsidR="000332A1" w:rsidRPr="00787196">
        <w:rPr>
          <w:b/>
          <w:bCs/>
          <w:sz w:val="20"/>
          <w:szCs w:val="20"/>
        </w:rPr>
        <w:fldChar w:fldCharType="begin"/>
      </w:r>
      <w:r w:rsidR="000332A1" w:rsidRPr="00787196">
        <w:rPr>
          <w:b/>
          <w:bCs/>
          <w:sz w:val="20"/>
          <w:szCs w:val="20"/>
        </w:rPr>
        <w:instrText xml:space="preserve"> STYLEREF 1 \s </w:instrText>
      </w:r>
      <w:r w:rsidR="000332A1" w:rsidRPr="00787196">
        <w:rPr>
          <w:b/>
          <w:bCs/>
          <w:sz w:val="20"/>
          <w:szCs w:val="20"/>
        </w:rPr>
        <w:fldChar w:fldCharType="separate"/>
      </w:r>
      <w:r w:rsidR="00C069BC" w:rsidRPr="00787196">
        <w:rPr>
          <w:b/>
          <w:bCs/>
          <w:noProof/>
          <w:sz w:val="20"/>
          <w:szCs w:val="20"/>
        </w:rPr>
        <w:t>5</w:t>
      </w:r>
      <w:r w:rsidR="000332A1" w:rsidRPr="00787196">
        <w:rPr>
          <w:b/>
          <w:bCs/>
          <w:sz w:val="20"/>
          <w:szCs w:val="20"/>
        </w:rPr>
        <w:fldChar w:fldCharType="end"/>
      </w:r>
      <w:r w:rsidR="000332A1" w:rsidRPr="00787196">
        <w:rPr>
          <w:b/>
          <w:bCs/>
          <w:sz w:val="20"/>
          <w:szCs w:val="20"/>
        </w:rPr>
        <w:noBreakHyphen/>
      </w:r>
      <w:r w:rsidR="000332A1" w:rsidRPr="00787196">
        <w:rPr>
          <w:b/>
          <w:bCs/>
          <w:sz w:val="20"/>
          <w:szCs w:val="20"/>
        </w:rPr>
        <w:fldChar w:fldCharType="begin"/>
      </w:r>
      <w:r w:rsidR="000332A1" w:rsidRPr="00787196">
        <w:rPr>
          <w:b/>
          <w:bCs/>
          <w:sz w:val="20"/>
          <w:szCs w:val="20"/>
        </w:rPr>
        <w:instrText xml:space="preserve"> SEQ Table \* ARABIC \s 1 </w:instrText>
      </w:r>
      <w:r w:rsidR="000332A1" w:rsidRPr="00787196">
        <w:rPr>
          <w:b/>
          <w:bCs/>
          <w:sz w:val="20"/>
          <w:szCs w:val="20"/>
        </w:rPr>
        <w:fldChar w:fldCharType="separate"/>
      </w:r>
      <w:r w:rsidR="00C069BC" w:rsidRPr="00787196">
        <w:rPr>
          <w:b/>
          <w:bCs/>
          <w:noProof/>
          <w:sz w:val="20"/>
          <w:szCs w:val="20"/>
        </w:rPr>
        <w:t>7</w:t>
      </w:r>
      <w:r w:rsidR="000332A1" w:rsidRPr="00787196">
        <w:rPr>
          <w:b/>
          <w:bCs/>
          <w:sz w:val="20"/>
          <w:szCs w:val="20"/>
        </w:rPr>
        <w:fldChar w:fldCharType="end"/>
      </w:r>
      <w:bookmarkEnd w:id="233"/>
      <w:bookmarkEnd w:id="234"/>
      <w:r w:rsidR="009E5273" w:rsidRPr="00787196">
        <w:rPr>
          <w:b/>
          <w:bCs/>
          <w:sz w:val="20"/>
          <w:szCs w:val="20"/>
        </w:rPr>
        <w:t>.</w:t>
      </w:r>
      <w:r w:rsidR="007163E9" w:rsidRPr="00787196">
        <w:rPr>
          <w:b/>
          <w:bCs/>
          <w:sz w:val="20"/>
          <w:szCs w:val="20"/>
        </w:rPr>
        <w:t xml:space="preserve"> Mean scores of Brief COPE </w:t>
      </w:r>
      <w:r w:rsidR="00F2376F" w:rsidRPr="00787196">
        <w:rPr>
          <w:b/>
          <w:bCs/>
          <w:sz w:val="20"/>
          <w:szCs w:val="20"/>
        </w:rPr>
        <w:t xml:space="preserve">overall and </w:t>
      </w:r>
      <w:r w:rsidR="007163E9" w:rsidRPr="00787196">
        <w:rPr>
          <w:b/>
          <w:bCs/>
          <w:sz w:val="20"/>
          <w:szCs w:val="20"/>
        </w:rPr>
        <w:t xml:space="preserve">subscales </w:t>
      </w:r>
      <w:r w:rsidR="007163E9" w:rsidRPr="00787196">
        <w:rPr>
          <w:b/>
          <w:bCs/>
          <w:sz w:val="22"/>
        </w:rPr>
        <w:t>at baseline (T1) and follow up (T2)</w:t>
      </w:r>
      <w:bookmarkEnd w:id="235"/>
      <w:bookmarkEnd w:id="236"/>
    </w:p>
    <w:tbl>
      <w:tblPr>
        <w:tblpPr w:leftFromText="180" w:rightFromText="180" w:vertAnchor="text" w:horzAnchor="page" w:tblpX="2773" w:tblpY="441"/>
        <w:tblW w:w="7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261"/>
        <w:gridCol w:w="1701"/>
        <w:gridCol w:w="2127"/>
      </w:tblGrid>
      <w:tr w:rsidR="001B3653" w:rsidRPr="00787196" w14:paraId="5D6C536B" w14:textId="77777777" w:rsidTr="00EB5F2C">
        <w:trPr>
          <w:trHeight w:val="263"/>
        </w:trPr>
        <w:tc>
          <w:tcPr>
            <w:tcW w:w="3261" w:type="dxa"/>
            <w:vMerge w:val="restart"/>
            <w:tcBorders>
              <w:left w:val="nil"/>
              <w:right w:val="nil"/>
            </w:tcBorders>
            <w:shd w:val="clear" w:color="auto" w:fill="FFFFFF"/>
            <w:vAlign w:val="center"/>
          </w:tcPr>
          <w:p w14:paraId="61E30D97" w14:textId="77777777" w:rsidR="001B3653" w:rsidRPr="00787196" w:rsidRDefault="001B3653" w:rsidP="00EB5F2C">
            <w:pPr>
              <w:autoSpaceDE w:val="0"/>
              <w:autoSpaceDN w:val="0"/>
              <w:adjustRightInd w:val="0"/>
              <w:spacing w:before="0" w:after="0" w:line="240" w:lineRule="auto"/>
              <w:rPr>
                <w:rFonts w:cs="Arial"/>
                <w:b/>
                <w:bCs/>
                <w:color w:val="000000"/>
                <w:szCs w:val="24"/>
              </w:rPr>
            </w:pPr>
            <w:r w:rsidRPr="00787196">
              <w:rPr>
                <w:rFonts w:cs="Arial"/>
                <w:b/>
                <w:bCs/>
                <w:color w:val="000000"/>
                <w:szCs w:val="24"/>
              </w:rPr>
              <w:t>Coping strategies/</w:t>
            </w:r>
          </w:p>
          <w:p w14:paraId="5E8D3D6F" w14:textId="77777777" w:rsidR="001B3653" w:rsidRPr="00787196" w:rsidRDefault="001B3653" w:rsidP="00EB5F2C">
            <w:pPr>
              <w:autoSpaceDE w:val="0"/>
              <w:autoSpaceDN w:val="0"/>
              <w:adjustRightInd w:val="0"/>
              <w:spacing w:before="0" w:after="0" w:line="240" w:lineRule="auto"/>
              <w:rPr>
                <w:rFonts w:cs="Arial"/>
                <w:b/>
                <w:bCs/>
                <w:color w:val="000000"/>
                <w:szCs w:val="24"/>
              </w:rPr>
            </w:pPr>
            <w:r w:rsidRPr="00787196">
              <w:rPr>
                <w:rFonts w:cs="Arial"/>
                <w:b/>
                <w:bCs/>
                <w:color w:val="000000"/>
                <w:szCs w:val="24"/>
              </w:rPr>
              <w:t>Subscales</w:t>
            </w:r>
          </w:p>
        </w:tc>
        <w:tc>
          <w:tcPr>
            <w:tcW w:w="3828" w:type="dxa"/>
            <w:gridSpan w:val="2"/>
            <w:tcBorders>
              <w:left w:val="nil"/>
              <w:bottom w:val="single" w:sz="8" w:space="0" w:color="000000"/>
              <w:right w:val="nil"/>
            </w:tcBorders>
            <w:shd w:val="clear" w:color="auto" w:fill="FFFFFF"/>
            <w:vAlign w:val="center"/>
          </w:tcPr>
          <w:p w14:paraId="6B7AB485" w14:textId="77777777" w:rsidR="001B3653" w:rsidRPr="00787196" w:rsidRDefault="001B3653" w:rsidP="00EB5F2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Potential Range 2-8</w:t>
            </w:r>
          </w:p>
        </w:tc>
      </w:tr>
      <w:tr w:rsidR="001B3653" w:rsidRPr="00787196" w14:paraId="2531D5E3" w14:textId="77777777" w:rsidTr="00EB5F2C">
        <w:trPr>
          <w:trHeight w:val="694"/>
        </w:trPr>
        <w:tc>
          <w:tcPr>
            <w:tcW w:w="3261" w:type="dxa"/>
            <w:vMerge/>
            <w:tcBorders>
              <w:left w:val="nil"/>
              <w:bottom w:val="single" w:sz="8" w:space="0" w:color="000000"/>
              <w:right w:val="nil"/>
            </w:tcBorders>
            <w:shd w:val="clear" w:color="auto" w:fill="FFFFFF"/>
            <w:vAlign w:val="center"/>
          </w:tcPr>
          <w:p w14:paraId="1FC90883" w14:textId="77777777" w:rsidR="001B3653" w:rsidRPr="00787196" w:rsidRDefault="001B3653" w:rsidP="00EB5F2C">
            <w:pPr>
              <w:autoSpaceDE w:val="0"/>
              <w:autoSpaceDN w:val="0"/>
              <w:adjustRightInd w:val="0"/>
              <w:spacing w:before="0" w:after="0" w:line="240" w:lineRule="auto"/>
              <w:rPr>
                <w:rFonts w:cs="Arial"/>
                <w:b/>
                <w:bCs/>
                <w:color w:val="000000"/>
                <w:szCs w:val="24"/>
              </w:rPr>
            </w:pPr>
          </w:p>
        </w:tc>
        <w:tc>
          <w:tcPr>
            <w:tcW w:w="1701" w:type="dxa"/>
            <w:tcBorders>
              <w:left w:val="nil"/>
              <w:bottom w:val="single" w:sz="8" w:space="0" w:color="000000"/>
              <w:right w:val="nil"/>
            </w:tcBorders>
            <w:shd w:val="clear" w:color="auto" w:fill="FFFFFF"/>
            <w:vAlign w:val="center"/>
          </w:tcPr>
          <w:p w14:paraId="7E585EDB" w14:textId="77777777" w:rsidR="001B3653" w:rsidRPr="00787196" w:rsidRDefault="001B3653" w:rsidP="00EB5F2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p w14:paraId="1F3BEC86" w14:textId="77777777" w:rsidR="001B3653" w:rsidRPr="00787196" w:rsidRDefault="001B3653" w:rsidP="00EB5F2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Baseline n=201</w:t>
            </w:r>
          </w:p>
        </w:tc>
        <w:tc>
          <w:tcPr>
            <w:tcW w:w="2127" w:type="dxa"/>
            <w:tcBorders>
              <w:left w:val="nil"/>
              <w:bottom w:val="single" w:sz="8" w:space="0" w:color="000000"/>
              <w:right w:val="nil"/>
            </w:tcBorders>
            <w:shd w:val="clear" w:color="auto" w:fill="FFFFFF"/>
            <w:vAlign w:val="center"/>
          </w:tcPr>
          <w:p w14:paraId="58ED98FC" w14:textId="77777777" w:rsidR="001B3653" w:rsidRPr="00787196" w:rsidRDefault="001B3653" w:rsidP="00EB5F2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p w14:paraId="2E12E040" w14:textId="77777777" w:rsidR="001B3653" w:rsidRPr="00787196" w:rsidRDefault="001B3653" w:rsidP="00EB5F2C">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Follow-up n=191</w:t>
            </w:r>
          </w:p>
        </w:tc>
      </w:tr>
      <w:tr w:rsidR="001B3653" w:rsidRPr="00787196" w14:paraId="07B61B18" w14:textId="77777777" w:rsidTr="00EB5F2C">
        <w:trPr>
          <w:trHeight w:val="320"/>
        </w:trPr>
        <w:tc>
          <w:tcPr>
            <w:tcW w:w="3261" w:type="dxa"/>
            <w:tcBorders>
              <w:top w:val="single" w:sz="8" w:space="0" w:color="000000"/>
              <w:left w:val="nil"/>
              <w:bottom w:val="nil"/>
              <w:right w:val="nil"/>
            </w:tcBorders>
            <w:shd w:val="clear" w:color="auto" w:fill="FFFFFF"/>
            <w:vAlign w:val="center"/>
          </w:tcPr>
          <w:p w14:paraId="03E728C1" w14:textId="77777777" w:rsidR="001B3653" w:rsidRPr="00787196" w:rsidRDefault="001B3653" w:rsidP="00EB5F2C">
            <w:pPr>
              <w:autoSpaceDE w:val="0"/>
              <w:autoSpaceDN w:val="0"/>
              <w:adjustRightInd w:val="0"/>
              <w:spacing w:before="0" w:after="0" w:line="240" w:lineRule="auto"/>
              <w:rPr>
                <w:rFonts w:cs="Arial"/>
                <w:b/>
                <w:bCs/>
                <w:color w:val="000000"/>
                <w:szCs w:val="24"/>
              </w:rPr>
            </w:pPr>
          </w:p>
        </w:tc>
        <w:tc>
          <w:tcPr>
            <w:tcW w:w="1701" w:type="dxa"/>
            <w:tcBorders>
              <w:top w:val="single" w:sz="8" w:space="0" w:color="000000"/>
              <w:left w:val="nil"/>
              <w:bottom w:val="nil"/>
              <w:right w:val="nil"/>
            </w:tcBorders>
            <w:shd w:val="clear" w:color="auto" w:fill="FFFFFF"/>
            <w:vAlign w:val="center"/>
          </w:tcPr>
          <w:p w14:paraId="56132BEF"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p>
        </w:tc>
        <w:tc>
          <w:tcPr>
            <w:tcW w:w="2127" w:type="dxa"/>
            <w:tcBorders>
              <w:top w:val="single" w:sz="8" w:space="0" w:color="000000"/>
              <w:left w:val="nil"/>
              <w:bottom w:val="nil"/>
              <w:right w:val="nil"/>
            </w:tcBorders>
            <w:shd w:val="clear" w:color="auto" w:fill="FFFFFF"/>
            <w:vAlign w:val="center"/>
          </w:tcPr>
          <w:p w14:paraId="38895607"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p>
        </w:tc>
      </w:tr>
      <w:tr w:rsidR="001B3653" w:rsidRPr="00787196" w14:paraId="6C05FED2" w14:textId="77777777" w:rsidTr="00EB5F2C">
        <w:trPr>
          <w:trHeight w:val="320"/>
        </w:trPr>
        <w:tc>
          <w:tcPr>
            <w:tcW w:w="3261" w:type="dxa"/>
            <w:tcBorders>
              <w:top w:val="nil"/>
              <w:left w:val="nil"/>
              <w:bottom w:val="nil"/>
              <w:right w:val="nil"/>
            </w:tcBorders>
            <w:shd w:val="clear" w:color="auto" w:fill="FFFFFF"/>
            <w:vAlign w:val="center"/>
          </w:tcPr>
          <w:p w14:paraId="703A254F"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Active</w:t>
            </w:r>
          </w:p>
        </w:tc>
        <w:tc>
          <w:tcPr>
            <w:tcW w:w="1701" w:type="dxa"/>
            <w:tcBorders>
              <w:top w:val="nil"/>
              <w:left w:val="nil"/>
              <w:bottom w:val="nil"/>
              <w:right w:val="nil"/>
            </w:tcBorders>
            <w:shd w:val="clear" w:color="auto" w:fill="FFFFFF"/>
            <w:vAlign w:val="center"/>
          </w:tcPr>
          <w:p w14:paraId="01B62D62"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6.5 (1.5)</w:t>
            </w:r>
          </w:p>
        </w:tc>
        <w:tc>
          <w:tcPr>
            <w:tcW w:w="2127" w:type="dxa"/>
            <w:tcBorders>
              <w:top w:val="nil"/>
              <w:left w:val="nil"/>
              <w:bottom w:val="nil"/>
              <w:right w:val="nil"/>
            </w:tcBorders>
            <w:shd w:val="clear" w:color="auto" w:fill="FFFFFF"/>
            <w:vAlign w:val="center"/>
          </w:tcPr>
          <w:p w14:paraId="44F7A872"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5.2 (1.9)</w:t>
            </w:r>
          </w:p>
        </w:tc>
      </w:tr>
      <w:tr w:rsidR="001B3653" w:rsidRPr="00787196" w14:paraId="46D44C10" w14:textId="77777777" w:rsidTr="00EB5F2C">
        <w:trPr>
          <w:trHeight w:val="320"/>
        </w:trPr>
        <w:tc>
          <w:tcPr>
            <w:tcW w:w="3261" w:type="dxa"/>
            <w:tcBorders>
              <w:top w:val="nil"/>
              <w:left w:val="nil"/>
              <w:bottom w:val="nil"/>
              <w:right w:val="nil"/>
            </w:tcBorders>
            <w:shd w:val="clear" w:color="auto" w:fill="FFFFFF"/>
            <w:vAlign w:val="center"/>
          </w:tcPr>
          <w:p w14:paraId="3D0DB43A"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Planning</w:t>
            </w:r>
          </w:p>
        </w:tc>
        <w:tc>
          <w:tcPr>
            <w:tcW w:w="1701" w:type="dxa"/>
            <w:tcBorders>
              <w:top w:val="nil"/>
              <w:left w:val="nil"/>
              <w:bottom w:val="nil"/>
              <w:right w:val="nil"/>
            </w:tcBorders>
            <w:shd w:val="clear" w:color="auto" w:fill="FFFFFF"/>
            <w:vAlign w:val="center"/>
          </w:tcPr>
          <w:p w14:paraId="51C7EB50"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5.6 (2)</w:t>
            </w:r>
          </w:p>
        </w:tc>
        <w:tc>
          <w:tcPr>
            <w:tcW w:w="2127" w:type="dxa"/>
            <w:tcBorders>
              <w:top w:val="nil"/>
              <w:left w:val="nil"/>
              <w:bottom w:val="nil"/>
              <w:right w:val="nil"/>
            </w:tcBorders>
            <w:shd w:val="clear" w:color="auto" w:fill="FFFFFF"/>
            <w:vAlign w:val="center"/>
          </w:tcPr>
          <w:p w14:paraId="7D9B3885"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4.2 (1.6)</w:t>
            </w:r>
          </w:p>
        </w:tc>
      </w:tr>
      <w:tr w:rsidR="001B3653" w:rsidRPr="00787196" w14:paraId="54EBF5CA" w14:textId="77777777" w:rsidTr="00EB5F2C">
        <w:trPr>
          <w:trHeight w:val="320"/>
        </w:trPr>
        <w:tc>
          <w:tcPr>
            <w:tcW w:w="3261" w:type="dxa"/>
            <w:tcBorders>
              <w:top w:val="nil"/>
              <w:left w:val="nil"/>
              <w:bottom w:val="nil"/>
              <w:right w:val="nil"/>
            </w:tcBorders>
            <w:shd w:val="clear" w:color="auto" w:fill="FFFFFF"/>
            <w:vAlign w:val="center"/>
          </w:tcPr>
          <w:p w14:paraId="5976E47E"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Positive reframing</w:t>
            </w:r>
          </w:p>
        </w:tc>
        <w:tc>
          <w:tcPr>
            <w:tcW w:w="1701" w:type="dxa"/>
            <w:tcBorders>
              <w:top w:val="nil"/>
              <w:left w:val="nil"/>
              <w:bottom w:val="nil"/>
              <w:right w:val="nil"/>
            </w:tcBorders>
            <w:shd w:val="clear" w:color="auto" w:fill="FFFFFF"/>
            <w:vAlign w:val="center"/>
          </w:tcPr>
          <w:p w14:paraId="41289814"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5.8 (1.7)</w:t>
            </w:r>
          </w:p>
        </w:tc>
        <w:tc>
          <w:tcPr>
            <w:tcW w:w="2127" w:type="dxa"/>
            <w:tcBorders>
              <w:top w:val="nil"/>
              <w:left w:val="nil"/>
              <w:bottom w:val="nil"/>
              <w:right w:val="nil"/>
            </w:tcBorders>
            <w:shd w:val="clear" w:color="auto" w:fill="FFFFFF"/>
            <w:vAlign w:val="center"/>
          </w:tcPr>
          <w:p w14:paraId="4D5F1D18"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4.6 (1.8)</w:t>
            </w:r>
          </w:p>
        </w:tc>
      </w:tr>
      <w:tr w:rsidR="001B3653" w:rsidRPr="00787196" w14:paraId="0A327009" w14:textId="77777777" w:rsidTr="00EB5F2C">
        <w:trPr>
          <w:trHeight w:val="320"/>
        </w:trPr>
        <w:tc>
          <w:tcPr>
            <w:tcW w:w="3261" w:type="dxa"/>
            <w:tcBorders>
              <w:top w:val="nil"/>
              <w:left w:val="nil"/>
              <w:bottom w:val="nil"/>
              <w:right w:val="nil"/>
            </w:tcBorders>
            <w:shd w:val="clear" w:color="auto" w:fill="FFFFFF"/>
            <w:vAlign w:val="center"/>
          </w:tcPr>
          <w:p w14:paraId="7B411893"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Acceptance</w:t>
            </w:r>
          </w:p>
        </w:tc>
        <w:tc>
          <w:tcPr>
            <w:tcW w:w="1701" w:type="dxa"/>
            <w:tcBorders>
              <w:top w:val="nil"/>
              <w:left w:val="nil"/>
              <w:bottom w:val="nil"/>
              <w:right w:val="nil"/>
            </w:tcBorders>
            <w:shd w:val="clear" w:color="auto" w:fill="FFFFFF"/>
            <w:vAlign w:val="center"/>
          </w:tcPr>
          <w:p w14:paraId="0B58C993"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6.3 (1.8)</w:t>
            </w:r>
          </w:p>
        </w:tc>
        <w:tc>
          <w:tcPr>
            <w:tcW w:w="2127" w:type="dxa"/>
            <w:tcBorders>
              <w:top w:val="nil"/>
              <w:left w:val="nil"/>
              <w:bottom w:val="nil"/>
              <w:right w:val="nil"/>
            </w:tcBorders>
            <w:shd w:val="clear" w:color="auto" w:fill="FFFFFF"/>
            <w:vAlign w:val="center"/>
          </w:tcPr>
          <w:p w14:paraId="6839BDC7"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5.5 (1.9)</w:t>
            </w:r>
          </w:p>
        </w:tc>
      </w:tr>
      <w:tr w:rsidR="001B3653" w:rsidRPr="00787196" w14:paraId="647A82EC" w14:textId="77777777" w:rsidTr="00EB5F2C">
        <w:trPr>
          <w:trHeight w:val="193"/>
        </w:trPr>
        <w:tc>
          <w:tcPr>
            <w:tcW w:w="3261" w:type="dxa"/>
            <w:tcBorders>
              <w:top w:val="nil"/>
              <w:left w:val="nil"/>
              <w:bottom w:val="nil"/>
              <w:right w:val="nil"/>
            </w:tcBorders>
            <w:shd w:val="clear" w:color="auto" w:fill="FFFFFF"/>
            <w:vAlign w:val="center"/>
          </w:tcPr>
          <w:p w14:paraId="4C00BC98"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Humour</w:t>
            </w:r>
          </w:p>
        </w:tc>
        <w:tc>
          <w:tcPr>
            <w:tcW w:w="1701" w:type="dxa"/>
            <w:tcBorders>
              <w:top w:val="nil"/>
              <w:left w:val="nil"/>
              <w:bottom w:val="nil"/>
              <w:right w:val="nil"/>
            </w:tcBorders>
            <w:shd w:val="clear" w:color="auto" w:fill="FFFFFF"/>
            <w:vAlign w:val="center"/>
          </w:tcPr>
          <w:p w14:paraId="534FFD51"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2.4 (1.1)</w:t>
            </w:r>
          </w:p>
        </w:tc>
        <w:tc>
          <w:tcPr>
            <w:tcW w:w="2127" w:type="dxa"/>
            <w:tcBorders>
              <w:top w:val="nil"/>
              <w:left w:val="nil"/>
              <w:bottom w:val="nil"/>
              <w:right w:val="nil"/>
            </w:tcBorders>
            <w:shd w:val="clear" w:color="auto" w:fill="FFFFFF"/>
            <w:vAlign w:val="center"/>
          </w:tcPr>
          <w:p w14:paraId="3EB5EE0F"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2.5 (1)</w:t>
            </w:r>
          </w:p>
        </w:tc>
      </w:tr>
      <w:tr w:rsidR="001B3653" w:rsidRPr="00787196" w14:paraId="309F404E" w14:textId="77777777" w:rsidTr="00EB5F2C">
        <w:trPr>
          <w:trHeight w:val="140"/>
        </w:trPr>
        <w:tc>
          <w:tcPr>
            <w:tcW w:w="3261" w:type="dxa"/>
            <w:tcBorders>
              <w:top w:val="nil"/>
              <w:left w:val="nil"/>
              <w:bottom w:val="nil"/>
              <w:right w:val="nil"/>
            </w:tcBorders>
            <w:shd w:val="clear" w:color="auto" w:fill="FFFFFF"/>
            <w:vAlign w:val="center"/>
          </w:tcPr>
          <w:p w14:paraId="4AFD90E5"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Religion</w:t>
            </w:r>
          </w:p>
        </w:tc>
        <w:tc>
          <w:tcPr>
            <w:tcW w:w="1701" w:type="dxa"/>
            <w:tcBorders>
              <w:top w:val="nil"/>
              <w:left w:val="nil"/>
              <w:bottom w:val="nil"/>
              <w:right w:val="nil"/>
            </w:tcBorders>
            <w:shd w:val="clear" w:color="auto" w:fill="FFFFFF"/>
            <w:vAlign w:val="center"/>
          </w:tcPr>
          <w:p w14:paraId="7CAC7003"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5.1 (2.4)</w:t>
            </w:r>
          </w:p>
        </w:tc>
        <w:tc>
          <w:tcPr>
            <w:tcW w:w="2127" w:type="dxa"/>
            <w:tcBorders>
              <w:top w:val="nil"/>
              <w:left w:val="nil"/>
              <w:bottom w:val="nil"/>
              <w:right w:val="nil"/>
            </w:tcBorders>
            <w:shd w:val="clear" w:color="auto" w:fill="FFFFFF"/>
            <w:vAlign w:val="center"/>
          </w:tcPr>
          <w:p w14:paraId="7E522696"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4.6 (2.1)</w:t>
            </w:r>
          </w:p>
        </w:tc>
      </w:tr>
      <w:tr w:rsidR="001B3653" w:rsidRPr="00787196" w14:paraId="24CC5CE5" w14:textId="77777777" w:rsidTr="00EB5F2C">
        <w:trPr>
          <w:trHeight w:val="140"/>
        </w:trPr>
        <w:tc>
          <w:tcPr>
            <w:tcW w:w="3261" w:type="dxa"/>
            <w:tcBorders>
              <w:top w:val="nil"/>
              <w:left w:val="nil"/>
              <w:bottom w:val="nil"/>
              <w:right w:val="nil"/>
            </w:tcBorders>
            <w:shd w:val="clear" w:color="auto" w:fill="FFFFFF"/>
            <w:vAlign w:val="center"/>
          </w:tcPr>
          <w:p w14:paraId="6872B4E5"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Emotional support</w:t>
            </w:r>
          </w:p>
        </w:tc>
        <w:tc>
          <w:tcPr>
            <w:tcW w:w="1701" w:type="dxa"/>
            <w:tcBorders>
              <w:top w:val="nil"/>
              <w:left w:val="nil"/>
              <w:bottom w:val="nil"/>
              <w:right w:val="nil"/>
            </w:tcBorders>
            <w:shd w:val="clear" w:color="auto" w:fill="FFFFFF"/>
            <w:vAlign w:val="center"/>
          </w:tcPr>
          <w:p w14:paraId="139296C0"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4.3 (2.0)</w:t>
            </w:r>
          </w:p>
        </w:tc>
        <w:tc>
          <w:tcPr>
            <w:tcW w:w="2127" w:type="dxa"/>
            <w:tcBorders>
              <w:top w:val="nil"/>
              <w:left w:val="nil"/>
              <w:bottom w:val="nil"/>
              <w:right w:val="nil"/>
            </w:tcBorders>
            <w:shd w:val="clear" w:color="auto" w:fill="FFFFFF"/>
            <w:vAlign w:val="center"/>
          </w:tcPr>
          <w:p w14:paraId="79AE0A41"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3.3 (1.5)</w:t>
            </w:r>
          </w:p>
        </w:tc>
      </w:tr>
      <w:tr w:rsidR="001B3653" w:rsidRPr="00787196" w14:paraId="5DDACFEF" w14:textId="77777777" w:rsidTr="00EB5F2C">
        <w:trPr>
          <w:trHeight w:val="192"/>
        </w:trPr>
        <w:tc>
          <w:tcPr>
            <w:tcW w:w="3261" w:type="dxa"/>
            <w:tcBorders>
              <w:top w:val="nil"/>
              <w:left w:val="nil"/>
              <w:bottom w:val="nil"/>
              <w:right w:val="nil"/>
            </w:tcBorders>
            <w:shd w:val="clear" w:color="auto" w:fill="FFFFFF"/>
            <w:vAlign w:val="center"/>
          </w:tcPr>
          <w:p w14:paraId="4F148BA4"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Instrumental support</w:t>
            </w:r>
          </w:p>
        </w:tc>
        <w:tc>
          <w:tcPr>
            <w:tcW w:w="1701" w:type="dxa"/>
            <w:tcBorders>
              <w:top w:val="nil"/>
              <w:left w:val="nil"/>
              <w:bottom w:val="nil"/>
              <w:right w:val="nil"/>
            </w:tcBorders>
            <w:shd w:val="clear" w:color="auto" w:fill="FFFFFF"/>
            <w:vAlign w:val="center"/>
          </w:tcPr>
          <w:p w14:paraId="623DF33C"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3.8 (1.9)</w:t>
            </w:r>
          </w:p>
        </w:tc>
        <w:tc>
          <w:tcPr>
            <w:tcW w:w="2127" w:type="dxa"/>
            <w:tcBorders>
              <w:top w:val="nil"/>
              <w:left w:val="nil"/>
              <w:bottom w:val="nil"/>
              <w:right w:val="nil"/>
            </w:tcBorders>
            <w:shd w:val="clear" w:color="auto" w:fill="FFFFFF"/>
            <w:vAlign w:val="center"/>
          </w:tcPr>
          <w:p w14:paraId="7DA92AC5"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3.6 (1.5)</w:t>
            </w:r>
          </w:p>
        </w:tc>
      </w:tr>
      <w:tr w:rsidR="001B3653" w:rsidRPr="00787196" w14:paraId="6BED5CBF" w14:textId="77777777" w:rsidTr="00EB5F2C">
        <w:trPr>
          <w:trHeight w:val="192"/>
        </w:trPr>
        <w:tc>
          <w:tcPr>
            <w:tcW w:w="3261" w:type="dxa"/>
            <w:tcBorders>
              <w:top w:val="nil"/>
              <w:left w:val="nil"/>
              <w:bottom w:val="nil"/>
              <w:right w:val="nil"/>
            </w:tcBorders>
            <w:shd w:val="clear" w:color="auto" w:fill="FFFFFF"/>
            <w:vAlign w:val="center"/>
          </w:tcPr>
          <w:p w14:paraId="2E67F425"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Distraction</w:t>
            </w:r>
          </w:p>
        </w:tc>
        <w:tc>
          <w:tcPr>
            <w:tcW w:w="1701" w:type="dxa"/>
            <w:tcBorders>
              <w:top w:val="nil"/>
              <w:left w:val="nil"/>
              <w:bottom w:val="nil"/>
              <w:right w:val="nil"/>
            </w:tcBorders>
            <w:shd w:val="clear" w:color="auto" w:fill="FFFFFF"/>
            <w:vAlign w:val="center"/>
          </w:tcPr>
          <w:p w14:paraId="650DEDA1"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3.6 (1.7)</w:t>
            </w:r>
          </w:p>
        </w:tc>
        <w:tc>
          <w:tcPr>
            <w:tcW w:w="2127" w:type="dxa"/>
            <w:tcBorders>
              <w:top w:val="nil"/>
              <w:left w:val="nil"/>
              <w:bottom w:val="nil"/>
              <w:right w:val="nil"/>
            </w:tcBorders>
            <w:shd w:val="clear" w:color="auto" w:fill="FFFFFF"/>
            <w:vAlign w:val="center"/>
          </w:tcPr>
          <w:p w14:paraId="6262308C"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3.4 (1.2)</w:t>
            </w:r>
          </w:p>
        </w:tc>
      </w:tr>
      <w:tr w:rsidR="001B3653" w:rsidRPr="00787196" w14:paraId="2981E12D" w14:textId="77777777" w:rsidTr="00EB5F2C">
        <w:trPr>
          <w:trHeight w:val="192"/>
        </w:trPr>
        <w:tc>
          <w:tcPr>
            <w:tcW w:w="3261" w:type="dxa"/>
            <w:tcBorders>
              <w:top w:val="nil"/>
              <w:left w:val="nil"/>
              <w:bottom w:val="nil"/>
              <w:right w:val="nil"/>
            </w:tcBorders>
            <w:shd w:val="clear" w:color="auto" w:fill="FFFFFF"/>
            <w:vAlign w:val="center"/>
          </w:tcPr>
          <w:p w14:paraId="0C0C0F30"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Denial</w:t>
            </w:r>
          </w:p>
        </w:tc>
        <w:tc>
          <w:tcPr>
            <w:tcW w:w="1701" w:type="dxa"/>
            <w:tcBorders>
              <w:top w:val="nil"/>
              <w:left w:val="nil"/>
              <w:bottom w:val="nil"/>
              <w:right w:val="nil"/>
            </w:tcBorders>
            <w:shd w:val="clear" w:color="auto" w:fill="FFFFFF"/>
            <w:vAlign w:val="center"/>
          </w:tcPr>
          <w:p w14:paraId="45AF6B65"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2.9 (1.7)</w:t>
            </w:r>
          </w:p>
        </w:tc>
        <w:tc>
          <w:tcPr>
            <w:tcW w:w="2127" w:type="dxa"/>
            <w:tcBorders>
              <w:top w:val="nil"/>
              <w:left w:val="nil"/>
              <w:bottom w:val="nil"/>
              <w:right w:val="nil"/>
            </w:tcBorders>
            <w:shd w:val="clear" w:color="auto" w:fill="FFFFFF"/>
            <w:vAlign w:val="center"/>
          </w:tcPr>
          <w:p w14:paraId="75B7DC0D"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2.5 (1.1)</w:t>
            </w:r>
          </w:p>
        </w:tc>
      </w:tr>
      <w:tr w:rsidR="001B3653" w:rsidRPr="00787196" w14:paraId="1A523676" w14:textId="77777777" w:rsidTr="00EB5F2C">
        <w:trPr>
          <w:trHeight w:val="192"/>
        </w:trPr>
        <w:tc>
          <w:tcPr>
            <w:tcW w:w="3261" w:type="dxa"/>
            <w:tcBorders>
              <w:top w:val="nil"/>
              <w:left w:val="nil"/>
              <w:bottom w:val="nil"/>
              <w:right w:val="nil"/>
            </w:tcBorders>
            <w:shd w:val="clear" w:color="auto" w:fill="FFFFFF"/>
            <w:vAlign w:val="center"/>
          </w:tcPr>
          <w:p w14:paraId="76A837F6"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Venting</w:t>
            </w:r>
          </w:p>
        </w:tc>
        <w:tc>
          <w:tcPr>
            <w:tcW w:w="1701" w:type="dxa"/>
            <w:tcBorders>
              <w:top w:val="nil"/>
              <w:left w:val="nil"/>
              <w:bottom w:val="nil"/>
              <w:right w:val="nil"/>
            </w:tcBorders>
            <w:shd w:val="clear" w:color="auto" w:fill="FFFFFF"/>
            <w:vAlign w:val="center"/>
          </w:tcPr>
          <w:p w14:paraId="2E77D68C"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3.8 (1.4)</w:t>
            </w:r>
          </w:p>
        </w:tc>
        <w:tc>
          <w:tcPr>
            <w:tcW w:w="2127" w:type="dxa"/>
            <w:tcBorders>
              <w:top w:val="nil"/>
              <w:left w:val="nil"/>
              <w:bottom w:val="nil"/>
              <w:right w:val="nil"/>
            </w:tcBorders>
            <w:shd w:val="clear" w:color="auto" w:fill="FFFFFF"/>
            <w:vAlign w:val="center"/>
          </w:tcPr>
          <w:p w14:paraId="466E8E34"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2.8 (1.1)</w:t>
            </w:r>
          </w:p>
        </w:tc>
      </w:tr>
      <w:tr w:rsidR="001B3653" w:rsidRPr="00787196" w14:paraId="76278A54" w14:textId="77777777" w:rsidTr="00EB5F2C">
        <w:trPr>
          <w:trHeight w:val="192"/>
        </w:trPr>
        <w:tc>
          <w:tcPr>
            <w:tcW w:w="3261" w:type="dxa"/>
            <w:tcBorders>
              <w:top w:val="nil"/>
              <w:left w:val="nil"/>
              <w:bottom w:val="nil"/>
              <w:right w:val="nil"/>
            </w:tcBorders>
            <w:shd w:val="clear" w:color="auto" w:fill="FFFFFF"/>
            <w:vAlign w:val="center"/>
          </w:tcPr>
          <w:p w14:paraId="5F0010FA"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Substance misuse</w:t>
            </w:r>
          </w:p>
        </w:tc>
        <w:tc>
          <w:tcPr>
            <w:tcW w:w="1701" w:type="dxa"/>
            <w:tcBorders>
              <w:top w:val="nil"/>
              <w:left w:val="nil"/>
              <w:bottom w:val="nil"/>
              <w:right w:val="nil"/>
            </w:tcBorders>
            <w:shd w:val="clear" w:color="auto" w:fill="FFFFFF"/>
            <w:vAlign w:val="center"/>
          </w:tcPr>
          <w:p w14:paraId="209824EF"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2.1 (0.7)</w:t>
            </w:r>
          </w:p>
        </w:tc>
        <w:tc>
          <w:tcPr>
            <w:tcW w:w="2127" w:type="dxa"/>
            <w:tcBorders>
              <w:top w:val="nil"/>
              <w:left w:val="nil"/>
              <w:bottom w:val="nil"/>
              <w:right w:val="nil"/>
            </w:tcBorders>
            <w:shd w:val="clear" w:color="auto" w:fill="FFFFFF"/>
            <w:vAlign w:val="center"/>
          </w:tcPr>
          <w:p w14:paraId="07CD9DB3"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2.1 (0.4)</w:t>
            </w:r>
          </w:p>
        </w:tc>
      </w:tr>
      <w:tr w:rsidR="001B3653" w:rsidRPr="00787196" w14:paraId="6EE9BB71" w14:textId="77777777" w:rsidTr="00EB5F2C">
        <w:trPr>
          <w:trHeight w:val="192"/>
        </w:trPr>
        <w:tc>
          <w:tcPr>
            <w:tcW w:w="3261" w:type="dxa"/>
            <w:tcBorders>
              <w:top w:val="nil"/>
              <w:left w:val="nil"/>
              <w:bottom w:val="nil"/>
              <w:right w:val="nil"/>
            </w:tcBorders>
            <w:shd w:val="clear" w:color="auto" w:fill="FFFFFF"/>
            <w:vAlign w:val="center"/>
          </w:tcPr>
          <w:p w14:paraId="65F2C275"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Behavioural disengagement</w:t>
            </w:r>
          </w:p>
        </w:tc>
        <w:tc>
          <w:tcPr>
            <w:tcW w:w="1701" w:type="dxa"/>
            <w:tcBorders>
              <w:top w:val="nil"/>
              <w:left w:val="nil"/>
              <w:bottom w:val="nil"/>
              <w:right w:val="nil"/>
            </w:tcBorders>
            <w:shd w:val="clear" w:color="auto" w:fill="FFFFFF"/>
            <w:vAlign w:val="center"/>
          </w:tcPr>
          <w:p w14:paraId="2D1AEBC8"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 (1.3)</w:t>
            </w:r>
          </w:p>
        </w:tc>
        <w:tc>
          <w:tcPr>
            <w:tcW w:w="2127" w:type="dxa"/>
            <w:tcBorders>
              <w:top w:val="nil"/>
              <w:left w:val="nil"/>
              <w:bottom w:val="nil"/>
              <w:right w:val="nil"/>
            </w:tcBorders>
            <w:shd w:val="clear" w:color="auto" w:fill="FFFFFF"/>
            <w:vAlign w:val="center"/>
          </w:tcPr>
          <w:p w14:paraId="7CD412FF"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 (1.3)</w:t>
            </w:r>
          </w:p>
        </w:tc>
      </w:tr>
      <w:tr w:rsidR="001B3653" w:rsidRPr="00787196" w14:paraId="7C7766BF" w14:textId="77777777" w:rsidTr="00EB5F2C">
        <w:trPr>
          <w:trHeight w:val="192"/>
        </w:trPr>
        <w:tc>
          <w:tcPr>
            <w:tcW w:w="3261" w:type="dxa"/>
            <w:tcBorders>
              <w:top w:val="nil"/>
              <w:left w:val="nil"/>
              <w:bottom w:val="nil"/>
              <w:right w:val="nil"/>
            </w:tcBorders>
            <w:shd w:val="clear" w:color="auto" w:fill="FFFFFF"/>
            <w:vAlign w:val="center"/>
          </w:tcPr>
          <w:p w14:paraId="17C8D32B" w14:textId="77777777" w:rsidR="001B3653" w:rsidRPr="00787196" w:rsidRDefault="001B3653" w:rsidP="00EB5F2C">
            <w:pPr>
              <w:autoSpaceDE w:val="0"/>
              <w:autoSpaceDN w:val="0"/>
              <w:adjustRightInd w:val="0"/>
              <w:spacing w:before="0" w:after="0" w:line="240" w:lineRule="auto"/>
              <w:rPr>
                <w:rFonts w:cs="Arial"/>
                <w:color w:val="000000"/>
                <w:szCs w:val="24"/>
              </w:rPr>
            </w:pPr>
            <w:r w:rsidRPr="00787196">
              <w:rPr>
                <w:rFonts w:cs="Arial"/>
                <w:color w:val="000000"/>
                <w:szCs w:val="24"/>
              </w:rPr>
              <w:t>Self-blame</w:t>
            </w:r>
          </w:p>
        </w:tc>
        <w:tc>
          <w:tcPr>
            <w:tcW w:w="1701" w:type="dxa"/>
            <w:tcBorders>
              <w:top w:val="nil"/>
              <w:left w:val="nil"/>
              <w:bottom w:val="nil"/>
              <w:right w:val="nil"/>
            </w:tcBorders>
            <w:shd w:val="clear" w:color="auto" w:fill="FFFFFF"/>
            <w:vAlign w:val="center"/>
          </w:tcPr>
          <w:p w14:paraId="0E59C881"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3.8 (2.2)</w:t>
            </w:r>
          </w:p>
        </w:tc>
        <w:tc>
          <w:tcPr>
            <w:tcW w:w="2127" w:type="dxa"/>
            <w:tcBorders>
              <w:top w:val="nil"/>
              <w:left w:val="nil"/>
              <w:bottom w:val="nil"/>
              <w:right w:val="nil"/>
            </w:tcBorders>
            <w:shd w:val="clear" w:color="auto" w:fill="FFFFFF"/>
            <w:vAlign w:val="center"/>
          </w:tcPr>
          <w:p w14:paraId="256DB2F7" w14:textId="77777777" w:rsidR="001B3653" w:rsidRPr="00787196" w:rsidRDefault="001B3653" w:rsidP="00EB5F2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2.9 (1.2)</w:t>
            </w:r>
          </w:p>
        </w:tc>
      </w:tr>
      <w:tr w:rsidR="001B3653" w:rsidRPr="00787196" w14:paraId="69853F45" w14:textId="77777777" w:rsidTr="00EB5F2C">
        <w:trPr>
          <w:trHeight w:val="192"/>
        </w:trPr>
        <w:tc>
          <w:tcPr>
            <w:tcW w:w="3261" w:type="dxa"/>
            <w:tcBorders>
              <w:top w:val="nil"/>
              <w:left w:val="nil"/>
              <w:right w:val="nil"/>
            </w:tcBorders>
            <w:shd w:val="clear" w:color="auto" w:fill="FFFFFF"/>
            <w:vAlign w:val="center"/>
          </w:tcPr>
          <w:p w14:paraId="0BADB65C" w14:textId="77777777" w:rsidR="001B3653" w:rsidRPr="00787196" w:rsidRDefault="001B3653" w:rsidP="00EB5F2C">
            <w:pPr>
              <w:autoSpaceDE w:val="0"/>
              <w:autoSpaceDN w:val="0"/>
              <w:adjustRightInd w:val="0"/>
              <w:spacing w:before="0" w:after="0" w:line="240" w:lineRule="auto"/>
              <w:rPr>
                <w:rFonts w:cs="Arial"/>
                <w:color w:val="000000"/>
                <w:szCs w:val="24"/>
              </w:rPr>
            </w:pPr>
          </w:p>
        </w:tc>
        <w:tc>
          <w:tcPr>
            <w:tcW w:w="1701" w:type="dxa"/>
            <w:tcBorders>
              <w:top w:val="nil"/>
              <w:left w:val="nil"/>
              <w:right w:val="nil"/>
            </w:tcBorders>
            <w:shd w:val="clear" w:color="auto" w:fill="FFFFFF"/>
          </w:tcPr>
          <w:p w14:paraId="22399C66" w14:textId="77777777" w:rsidR="001B3653" w:rsidRPr="00787196" w:rsidRDefault="001B3653" w:rsidP="00EB5F2C">
            <w:pPr>
              <w:autoSpaceDE w:val="0"/>
              <w:autoSpaceDN w:val="0"/>
              <w:adjustRightInd w:val="0"/>
              <w:spacing w:before="0" w:after="0" w:line="240" w:lineRule="auto"/>
              <w:ind w:left="142"/>
              <w:rPr>
                <w:rFonts w:cs="Arial"/>
                <w:color w:val="000000"/>
                <w:szCs w:val="24"/>
              </w:rPr>
            </w:pPr>
          </w:p>
        </w:tc>
        <w:tc>
          <w:tcPr>
            <w:tcW w:w="2127" w:type="dxa"/>
            <w:tcBorders>
              <w:top w:val="nil"/>
              <w:left w:val="nil"/>
              <w:right w:val="nil"/>
            </w:tcBorders>
            <w:shd w:val="clear" w:color="auto" w:fill="FFFFFF"/>
            <w:vAlign w:val="center"/>
          </w:tcPr>
          <w:p w14:paraId="1731B8A5" w14:textId="77777777" w:rsidR="001B3653" w:rsidRPr="00787196" w:rsidRDefault="001B3653" w:rsidP="00EB5F2C">
            <w:pPr>
              <w:autoSpaceDE w:val="0"/>
              <w:autoSpaceDN w:val="0"/>
              <w:adjustRightInd w:val="0"/>
              <w:spacing w:before="0" w:after="0" w:line="240" w:lineRule="auto"/>
              <w:ind w:left="142"/>
              <w:rPr>
                <w:rFonts w:cs="Arial"/>
                <w:color w:val="000000"/>
                <w:szCs w:val="24"/>
              </w:rPr>
            </w:pPr>
          </w:p>
        </w:tc>
      </w:tr>
    </w:tbl>
    <w:p w14:paraId="018669EE" w14:textId="77777777" w:rsidR="001B3653" w:rsidRPr="00787196" w:rsidRDefault="001B3653">
      <w:pPr>
        <w:spacing w:before="0" w:after="0" w:line="240" w:lineRule="auto"/>
        <w:jc w:val="left"/>
        <w:rPr>
          <w:sz w:val="22"/>
        </w:rPr>
      </w:pPr>
      <w:r w:rsidRPr="00787196">
        <w:rPr>
          <w:sz w:val="22"/>
        </w:rPr>
        <w:br w:type="page"/>
      </w:r>
    </w:p>
    <w:p w14:paraId="73076EF0" w14:textId="7F37EE06" w:rsidR="005F31E9" w:rsidRPr="00787196" w:rsidRDefault="005F31E9" w:rsidP="00226A04">
      <w:pPr>
        <w:pStyle w:val="Heading4"/>
      </w:pPr>
      <w:r w:rsidRPr="00787196">
        <w:lastRenderedPageBreak/>
        <w:t xml:space="preserve"> </w:t>
      </w:r>
      <w:bookmarkStart w:id="237" w:name="_Ref441130295"/>
      <w:r w:rsidRPr="00787196">
        <w:t>Factor analysis</w:t>
      </w:r>
      <w:bookmarkEnd w:id="237"/>
    </w:p>
    <w:p w14:paraId="30C27E10" w14:textId="306B0BCC" w:rsidR="001B3653" w:rsidRPr="00787196" w:rsidRDefault="001B3653" w:rsidP="00ED23DE">
      <w:pPr>
        <w:spacing w:after="0"/>
        <w:rPr>
          <w:sz w:val="26"/>
          <w:szCs w:val="26"/>
        </w:rPr>
      </w:pPr>
      <w:r w:rsidRPr="00787196">
        <w:rPr>
          <w:sz w:val="26"/>
          <w:szCs w:val="26"/>
        </w:rPr>
        <w:t>Rationale</w:t>
      </w:r>
    </w:p>
    <w:p w14:paraId="4DA5A5E8" w14:textId="70118DE7" w:rsidR="00B75111" w:rsidRPr="00787196" w:rsidRDefault="0041342E" w:rsidP="00ED23DE">
      <w:pPr>
        <w:spacing w:after="0"/>
      </w:pPr>
      <w:r w:rsidRPr="00787196">
        <w:t xml:space="preserve">With 14 subscales and 28 items in </w:t>
      </w:r>
      <w:r w:rsidR="00BF4BB5" w:rsidRPr="00787196">
        <w:t xml:space="preserve">the </w:t>
      </w:r>
      <w:r w:rsidRPr="00787196">
        <w:t>Brief COPE questionnaire</w:t>
      </w:r>
      <w:r w:rsidR="00BF4BB5" w:rsidRPr="00787196">
        <w:t xml:space="preserve">, explaining </w:t>
      </w:r>
      <w:r w:rsidR="00925B86" w:rsidRPr="00787196">
        <w:t>the</w:t>
      </w:r>
      <w:r w:rsidR="00BF4BB5" w:rsidRPr="00787196">
        <w:t xml:space="preserve"> variance and </w:t>
      </w:r>
      <w:r w:rsidR="006A53B7" w:rsidRPr="00787196">
        <w:t xml:space="preserve">its </w:t>
      </w:r>
      <w:r w:rsidR="00BF4BB5" w:rsidRPr="00787196">
        <w:t xml:space="preserve">associations </w:t>
      </w:r>
      <w:r w:rsidR="006A53B7" w:rsidRPr="00787196">
        <w:t>with other variables becomes</w:t>
      </w:r>
      <w:r w:rsidR="00925B86" w:rsidRPr="00787196">
        <w:t xml:space="preserve"> complex.</w:t>
      </w:r>
      <w:r w:rsidR="004E154B" w:rsidRPr="00787196">
        <w:t xml:space="preserve"> For instance, analysing each subscale separately would lead to many analyses and the risk of Type I error. Moreover, two item scales would be unreliable, leading to Type II error. A s</w:t>
      </w:r>
      <w:r w:rsidR="00925B86" w:rsidRPr="00787196">
        <w:t>impler, smaller set of latent constructs (factors) can be used to explain such large measures with varied subscales</w:t>
      </w:r>
      <w:r w:rsidR="00962B44" w:rsidRPr="00787196">
        <w:t>. Such parsimonious solutions have a better external validity</w:t>
      </w:r>
      <w:r w:rsidR="00925B86" w:rsidRPr="00787196">
        <w:t xml:space="preserve">  </w:t>
      </w:r>
      <w:r w:rsidR="00BF4BB5" w:rsidRPr="00787196">
        <w:fldChar w:fldCharType="begin"/>
      </w:r>
      <w:r w:rsidR="00CE759F" w:rsidRPr="00787196">
        <w:instrText xml:space="preserve"> ADDIN EN.CITE &lt;EndNote&gt;&lt;Cite&gt;&lt;Author&gt;Henson&lt;/Author&gt;&lt;Year&gt;2006&lt;/Year&gt;&lt;RecNum&gt;0&lt;/RecNum&gt;&lt;IDText&gt;Use of exploratory factor analysis in published research common errors and some comment on improved practice&lt;/IDText&gt;&lt;DisplayText&gt;(Henson and Roberts, 2006)&lt;/DisplayText&gt;&lt;record&gt;&lt;isbn&gt;0013-1644&lt;/isbn&gt;&lt;titles&gt;&lt;title&gt;Use of exploratory factor analysis in published research common errors and some comment on improved practice&lt;/title&gt;&lt;secondary-title&gt;Educational and Psychological measurement&lt;/secondary-title&gt;&lt;/titles&gt;&lt;pages&gt;393-416&lt;/pages&gt;&lt;number&gt;3&lt;/number&gt;&lt;contributors&gt;&lt;authors&gt;&lt;author&gt;Henson, Robin K.&lt;/author&gt;&lt;author&gt;Roberts, J. Kyle&lt;/author&gt;&lt;/authors&gt;&lt;/contributors&gt;&lt;added-date format="utc"&gt;1463730742&lt;/added-date&gt;&lt;ref-type name="Journal Article"&gt;17&lt;/ref-type&gt;&lt;dates&gt;&lt;year&gt;2006&lt;/year&gt;&lt;/dates&gt;&lt;rec-number&gt;2027&lt;/rec-number&gt;&lt;publisher&gt;Sage Publications&lt;/publisher&gt;&lt;last-updated-date format="utc"&gt;1463730742&lt;/last-updated-date&gt;&lt;volume&gt;66&lt;/volume&gt;&lt;/record&gt;&lt;/Cite&gt;&lt;/EndNote&gt;</w:instrText>
      </w:r>
      <w:r w:rsidR="00BF4BB5" w:rsidRPr="00787196">
        <w:fldChar w:fldCharType="separate"/>
      </w:r>
      <w:r w:rsidR="00BF4BB5" w:rsidRPr="00787196">
        <w:t>(Henson and Roberts, 2006)</w:t>
      </w:r>
      <w:r w:rsidR="00BF4BB5" w:rsidRPr="00787196">
        <w:fldChar w:fldCharType="end"/>
      </w:r>
      <w:r w:rsidR="004E154B" w:rsidRPr="00787196">
        <w:t>.</w:t>
      </w:r>
    </w:p>
    <w:p w14:paraId="6F0E9388" w14:textId="3D454619" w:rsidR="00ED23DE" w:rsidRPr="00787196" w:rsidRDefault="005A30AC" w:rsidP="00ED23DE">
      <w:pPr>
        <w:spacing w:after="0"/>
      </w:pPr>
      <w:r w:rsidRPr="00787196">
        <w:t>Thus,</w:t>
      </w:r>
      <w:r w:rsidR="00962B44" w:rsidRPr="00787196">
        <w:t xml:space="preserve"> factor</w:t>
      </w:r>
      <w:r w:rsidR="00026D06" w:rsidRPr="00787196">
        <w:t xml:space="preserve"> analysis was </w:t>
      </w:r>
      <w:r w:rsidR="00B75111" w:rsidRPr="00787196">
        <w:t>used to synthesise the domains of</w:t>
      </w:r>
      <w:r w:rsidR="00026D06" w:rsidRPr="00787196">
        <w:t xml:space="preserve"> Brief COPE scale</w:t>
      </w:r>
      <w:r w:rsidRPr="00787196">
        <w:t xml:space="preserve">. </w:t>
      </w:r>
      <w:r w:rsidR="005F31E9" w:rsidRPr="00787196">
        <w:t>Coping strategies were normally distributed in both</w:t>
      </w:r>
      <w:r w:rsidR="001B3653" w:rsidRPr="00787196">
        <w:t xml:space="preserve"> the stages T1 and T2 (Appendix 8 – Coping strategies</w:t>
      </w:r>
      <w:r w:rsidR="005F31E9" w:rsidRPr="00787196">
        <w:t xml:space="preserve">). </w:t>
      </w:r>
      <w:r w:rsidR="00026D06" w:rsidRPr="00787196">
        <w:t>T</w:t>
      </w:r>
      <w:r w:rsidR="005F31E9" w:rsidRPr="00787196">
        <w:t xml:space="preserve">he </w:t>
      </w:r>
      <w:r w:rsidR="004E154B" w:rsidRPr="00787196">
        <w:t xml:space="preserve">baseline </w:t>
      </w:r>
      <w:r w:rsidR="005F31E9" w:rsidRPr="00787196">
        <w:t>data were extracted using ML extraction using SPSS software (version 22). The factor analysis with ML extraction, Kaiser Normalisation and oblique rotation yielded eight factors with Eigen values greater than 1 (</w:t>
      </w:r>
      <w:r w:rsidR="005F31E9" w:rsidRPr="00787196">
        <w:fldChar w:fldCharType="begin"/>
      </w:r>
      <w:r w:rsidR="005F31E9" w:rsidRPr="00787196">
        <w:instrText xml:space="preserve"> REF _Ref426683904 \h  \* MERGEFORMAT </w:instrText>
      </w:r>
      <w:r w:rsidR="005F31E9" w:rsidRPr="00787196">
        <w:fldChar w:fldCharType="separate"/>
      </w:r>
      <w:r w:rsidR="00C069BC" w:rsidRPr="00787196">
        <w:rPr>
          <w:szCs w:val="24"/>
        </w:rPr>
        <w:t xml:space="preserve">Table </w:t>
      </w:r>
      <w:r w:rsidR="00C069BC" w:rsidRPr="00787196">
        <w:rPr>
          <w:rFonts w:cs="Arial"/>
          <w:szCs w:val="24"/>
        </w:rPr>
        <w:t>5</w:t>
      </w:r>
      <w:r w:rsidR="00C069BC" w:rsidRPr="00787196">
        <w:rPr>
          <w:rFonts w:cs="Arial"/>
          <w:szCs w:val="24"/>
        </w:rPr>
        <w:noBreakHyphen/>
        <w:t>8</w:t>
      </w:r>
      <w:r w:rsidR="005F31E9" w:rsidRPr="00787196">
        <w:fldChar w:fldCharType="end"/>
      </w:r>
      <w:r w:rsidR="005F31E9" w:rsidRPr="00787196">
        <w:t xml:space="preserve">). Factor 1 (Active, Planning and Positive Reframing) can be considered as a positive/active coping, Factor 2 (Self-Distraction, Denial) are Negative/Avoidance coping. Factor 3 (Emotional Support and Instrumental Support) which is seeking social support. Although, there is an inherent difference as instrumental support is a problem-focussed strategy and the other one is an emotion-focussed coping strategy. Factor 4 (Substance Misuse, Behavioural Disengagement) is again a Negative/ Avoidance form of coping.  The rest of the factors were restricted to each </w:t>
      </w:r>
      <w:r w:rsidR="00DA4CBC" w:rsidRPr="00787196">
        <w:t>subscale</w:t>
      </w:r>
      <w:r w:rsidR="005F31E9" w:rsidRPr="00787196">
        <w:t xml:space="preserve"> (Factor 5 – Self-Blame; Factor 6 – Humour; Factor 7 – Religion; Factor 8 – Acceptance). The distributions of these eight factors were varied and repetitive sometimes (as seen in factors 2 &amp; 4) although they were not necessarily the same coping strategies</w:t>
      </w:r>
    </w:p>
    <w:p w14:paraId="67E3151E" w14:textId="0DAE13AB" w:rsidR="00ED23DE" w:rsidRPr="00787196" w:rsidRDefault="00B75111" w:rsidP="00ED23DE">
      <w:pPr>
        <w:spacing w:after="0"/>
      </w:pPr>
      <w:r w:rsidRPr="00787196">
        <w:t>According to Kaiser-Guttmann criterion, usually factors with Eigen values greater than 1 are suggested to be used in the analysis. The results (Table 5 8) suggest that not all factors appear to be relevant and need to be included in the analysis</w:t>
      </w:r>
      <w:r w:rsidR="005F31E9" w:rsidRPr="00787196">
        <w:t>.</w:t>
      </w:r>
      <w:r w:rsidR="00ED23DE" w:rsidRPr="00787196">
        <w:br w:type="page"/>
      </w:r>
    </w:p>
    <w:p w14:paraId="7609E74C" w14:textId="77777777" w:rsidR="00181E2D" w:rsidRPr="00787196" w:rsidRDefault="00181E2D" w:rsidP="00ED23DE">
      <w:pPr>
        <w:spacing w:after="0"/>
      </w:pPr>
    </w:p>
    <w:bookmarkStart w:id="238" w:name="_Ref426683904"/>
    <w:bookmarkStart w:id="239" w:name="_Toc461641233"/>
    <w:bookmarkStart w:id="240" w:name="_Toc488655537"/>
    <w:p w14:paraId="7BF765BD" w14:textId="735D6AF5" w:rsidR="005F31E9" w:rsidRPr="00787196" w:rsidRDefault="001A6391" w:rsidP="008D438B">
      <w:pPr>
        <w:spacing w:after="0"/>
        <w:rPr>
          <w:b/>
          <w:bCs/>
          <w:szCs w:val="24"/>
        </w:rPr>
      </w:pPr>
      <w:r w:rsidRPr="00787196">
        <w:rPr>
          <w:noProof/>
        </w:rPr>
        <mc:AlternateContent>
          <mc:Choice Requires="wps">
            <w:drawing>
              <wp:anchor distT="0" distB="0" distL="114300" distR="114300" simplePos="0" relativeHeight="251657728" behindDoc="0" locked="0" layoutInCell="1" allowOverlap="1" wp14:anchorId="13EBBC9E" wp14:editId="190042C3">
                <wp:simplePos x="0" y="0"/>
                <wp:positionH relativeFrom="column">
                  <wp:posOffset>81545</wp:posOffset>
                </wp:positionH>
                <wp:positionV relativeFrom="paragraph">
                  <wp:posOffset>7740830</wp:posOffset>
                </wp:positionV>
                <wp:extent cx="436245" cy="313690"/>
                <wp:effectExtent l="0" t="0" r="20955" b="10160"/>
                <wp:wrapNone/>
                <wp:docPr id="8" name="Rectangle 8"/>
                <wp:cNvGraphicFramePr/>
                <a:graphic xmlns:a="http://schemas.openxmlformats.org/drawingml/2006/main">
                  <a:graphicData uri="http://schemas.microsoft.com/office/word/2010/wordprocessingShape">
                    <wps:wsp>
                      <wps:cNvSpPr/>
                      <wps:spPr>
                        <a:xfrm>
                          <a:off x="0" y="0"/>
                          <a:ext cx="436245" cy="31369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D6B09" id="Rectangle 8" o:spid="_x0000_s1026" style="position:absolute;margin-left:6.4pt;margin-top:609.5pt;width:34.35pt;height:24.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" fillcolor="#2e74b5 [2404]" strokecolor="#1f4d78 [1604]" strokeweight="1pt"/>
            </w:pict>
          </mc:Fallback>
        </mc:AlternateContent>
      </w:r>
      <w:r w:rsidR="005F31E9" w:rsidRPr="00787196">
        <w:rPr>
          <w:b/>
          <w:bCs/>
          <w:szCs w:val="24"/>
        </w:rPr>
        <w:t xml:space="preserve">Table </w:t>
      </w:r>
      <w:r w:rsidR="000332A1" w:rsidRPr="00787196">
        <w:rPr>
          <w:b/>
          <w:bCs/>
          <w:szCs w:val="24"/>
        </w:rPr>
        <w:fldChar w:fldCharType="begin"/>
      </w:r>
      <w:r w:rsidR="000332A1" w:rsidRPr="00787196">
        <w:rPr>
          <w:b/>
          <w:bCs/>
          <w:szCs w:val="24"/>
        </w:rPr>
        <w:instrText xml:space="preserve"> STYLEREF 1 \s </w:instrText>
      </w:r>
      <w:r w:rsidR="000332A1" w:rsidRPr="00787196">
        <w:rPr>
          <w:b/>
          <w:bCs/>
          <w:szCs w:val="24"/>
        </w:rPr>
        <w:fldChar w:fldCharType="separate"/>
      </w:r>
      <w:r w:rsidR="00C069BC" w:rsidRPr="00787196">
        <w:rPr>
          <w:b/>
          <w:bCs/>
          <w:noProof/>
          <w:szCs w:val="24"/>
        </w:rPr>
        <w:t>5</w:t>
      </w:r>
      <w:r w:rsidR="000332A1" w:rsidRPr="00787196">
        <w:rPr>
          <w:b/>
          <w:bCs/>
          <w:szCs w:val="24"/>
        </w:rPr>
        <w:fldChar w:fldCharType="end"/>
      </w:r>
      <w:r w:rsidR="000332A1" w:rsidRPr="00787196">
        <w:rPr>
          <w:b/>
          <w:bCs/>
          <w:szCs w:val="24"/>
        </w:rPr>
        <w:noBreakHyphen/>
      </w:r>
      <w:r w:rsidR="000332A1" w:rsidRPr="00787196">
        <w:rPr>
          <w:b/>
          <w:bCs/>
          <w:szCs w:val="24"/>
        </w:rPr>
        <w:fldChar w:fldCharType="begin"/>
      </w:r>
      <w:r w:rsidR="000332A1" w:rsidRPr="00787196">
        <w:rPr>
          <w:b/>
          <w:bCs/>
          <w:szCs w:val="24"/>
        </w:rPr>
        <w:instrText xml:space="preserve"> SEQ Table \* ARABIC \s 1 </w:instrText>
      </w:r>
      <w:r w:rsidR="000332A1" w:rsidRPr="00787196">
        <w:rPr>
          <w:b/>
          <w:bCs/>
          <w:szCs w:val="24"/>
        </w:rPr>
        <w:fldChar w:fldCharType="separate"/>
      </w:r>
      <w:r w:rsidR="00C069BC" w:rsidRPr="00787196">
        <w:rPr>
          <w:b/>
          <w:bCs/>
          <w:noProof/>
          <w:szCs w:val="24"/>
        </w:rPr>
        <w:t>8</w:t>
      </w:r>
      <w:r w:rsidR="000332A1" w:rsidRPr="00787196">
        <w:rPr>
          <w:b/>
          <w:bCs/>
          <w:szCs w:val="24"/>
        </w:rPr>
        <w:fldChar w:fldCharType="end"/>
      </w:r>
      <w:bookmarkEnd w:id="238"/>
      <w:r w:rsidR="001772B0" w:rsidRPr="00787196">
        <w:rPr>
          <w:b/>
          <w:bCs/>
          <w:szCs w:val="24"/>
        </w:rPr>
        <w:t>.</w:t>
      </w:r>
      <w:r w:rsidR="005F31E9" w:rsidRPr="00787196">
        <w:rPr>
          <w:b/>
          <w:bCs/>
          <w:szCs w:val="24"/>
        </w:rPr>
        <w:t xml:space="preserve"> Factor structure matrix of Brief COPE at T1</w:t>
      </w:r>
      <w:bookmarkEnd w:id="239"/>
      <w:bookmarkEnd w:id="240"/>
    </w:p>
    <w:tbl>
      <w:tblPr>
        <w:tblpPr w:leftFromText="180" w:rightFromText="180" w:vertAnchor="text" w:horzAnchor="margin" w:tblpY="143"/>
        <w:tblW w:w="8183" w:type="dxa"/>
        <w:tblBorders>
          <w:top w:val="single" w:sz="8" w:space="0" w:color="000000"/>
          <w:bottom w:val="single" w:sz="8" w:space="0" w:color="000000"/>
        </w:tblBorders>
        <w:tblLook w:val="04A0" w:firstRow="1" w:lastRow="0" w:firstColumn="1" w:lastColumn="0" w:noHBand="0" w:noVBand="1"/>
      </w:tblPr>
      <w:tblGrid>
        <w:gridCol w:w="1756"/>
        <w:gridCol w:w="455"/>
        <w:gridCol w:w="720"/>
        <w:gridCol w:w="818"/>
        <w:gridCol w:w="737"/>
        <w:gridCol w:w="737"/>
        <w:gridCol w:w="737"/>
        <w:gridCol w:w="737"/>
        <w:gridCol w:w="741"/>
        <w:gridCol w:w="739"/>
        <w:gridCol w:w="6"/>
      </w:tblGrid>
      <w:tr w:rsidR="001A6391" w:rsidRPr="00787196" w14:paraId="71D5D76C" w14:textId="77777777" w:rsidTr="001A6391">
        <w:trPr>
          <w:trHeight w:val="506"/>
        </w:trPr>
        <w:tc>
          <w:tcPr>
            <w:tcW w:w="2211" w:type="dxa"/>
            <w:gridSpan w:val="2"/>
            <w:vMerge w:val="restart"/>
            <w:tcBorders>
              <w:top w:val="single" w:sz="8" w:space="0" w:color="000000"/>
              <w:right w:val="nil"/>
            </w:tcBorders>
            <w:shd w:val="clear" w:color="auto" w:fill="FFFFFF"/>
            <w:vAlign w:val="center"/>
          </w:tcPr>
          <w:p w14:paraId="34609BB3" w14:textId="77777777" w:rsidR="001A6391" w:rsidRPr="00787196" w:rsidRDefault="001A6391" w:rsidP="001A6391">
            <w:pPr>
              <w:autoSpaceDE w:val="0"/>
              <w:autoSpaceDN w:val="0"/>
              <w:adjustRightInd w:val="0"/>
              <w:spacing w:before="0" w:after="0" w:line="240" w:lineRule="auto"/>
              <w:jc w:val="left"/>
              <w:rPr>
                <w:rFonts w:cs="Arial"/>
                <w:b/>
                <w:bCs/>
                <w:color w:val="000000"/>
                <w:sz w:val="22"/>
              </w:rPr>
            </w:pPr>
            <w:r w:rsidRPr="00787196">
              <w:rPr>
                <w:rFonts w:cs="Arial"/>
                <w:b/>
                <w:bCs/>
                <w:color w:val="000000"/>
                <w:sz w:val="22"/>
              </w:rPr>
              <w:t>Coping strategies/ item no.</w:t>
            </w:r>
          </w:p>
        </w:tc>
        <w:tc>
          <w:tcPr>
            <w:tcW w:w="5972" w:type="dxa"/>
            <w:gridSpan w:val="9"/>
            <w:tcBorders>
              <w:top w:val="single" w:sz="8" w:space="0" w:color="000000"/>
              <w:left w:val="nil"/>
              <w:bottom w:val="single" w:sz="8" w:space="0" w:color="000000"/>
            </w:tcBorders>
            <w:shd w:val="clear" w:color="auto" w:fill="FFFFFF"/>
            <w:vAlign w:val="center"/>
          </w:tcPr>
          <w:p w14:paraId="7941F160" w14:textId="77777777" w:rsidR="001A6391" w:rsidRPr="00787196" w:rsidRDefault="001A6391" w:rsidP="001A6391">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Factor</w:t>
            </w:r>
          </w:p>
        </w:tc>
      </w:tr>
      <w:tr w:rsidR="001A6391" w:rsidRPr="00787196" w14:paraId="66A28201" w14:textId="77777777" w:rsidTr="001A6391">
        <w:trPr>
          <w:gridAfter w:val="1"/>
          <w:wAfter w:w="6" w:type="dxa"/>
          <w:trHeight w:val="151"/>
        </w:trPr>
        <w:tc>
          <w:tcPr>
            <w:tcW w:w="2211" w:type="dxa"/>
            <w:gridSpan w:val="2"/>
            <w:vMerge/>
            <w:tcBorders>
              <w:bottom w:val="single" w:sz="4" w:space="0" w:color="auto"/>
              <w:right w:val="nil"/>
            </w:tcBorders>
            <w:shd w:val="clear" w:color="auto" w:fill="FFFFFF"/>
            <w:vAlign w:val="center"/>
          </w:tcPr>
          <w:p w14:paraId="33B64BA3" w14:textId="77777777" w:rsidR="001A6391" w:rsidRPr="00787196" w:rsidRDefault="001A6391" w:rsidP="001A6391">
            <w:pPr>
              <w:autoSpaceDE w:val="0"/>
              <w:autoSpaceDN w:val="0"/>
              <w:adjustRightInd w:val="0"/>
              <w:spacing w:before="0" w:after="0" w:line="240" w:lineRule="auto"/>
              <w:jc w:val="left"/>
              <w:rPr>
                <w:rFonts w:cs="Arial"/>
                <w:color w:val="000000"/>
                <w:sz w:val="20"/>
                <w:szCs w:val="20"/>
              </w:rPr>
            </w:pPr>
          </w:p>
        </w:tc>
        <w:tc>
          <w:tcPr>
            <w:tcW w:w="720" w:type="dxa"/>
            <w:tcBorders>
              <w:top w:val="single" w:sz="8" w:space="0" w:color="000000"/>
              <w:left w:val="nil"/>
              <w:bottom w:val="single" w:sz="4" w:space="0" w:color="auto"/>
              <w:right w:val="nil"/>
            </w:tcBorders>
            <w:shd w:val="clear" w:color="auto" w:fill="FFFFFF"/>
            <w:vAlign w:val="center"/>
          </w:tcPr>
          <w:p w14:paraId="73807A5D"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p>
        </w:tc>
        <w:tc>
          <w:tcPr>
            <w:tcW w:w="818" w:type="dxa"/>
            <w:tcBorders>
              <w:top w:val="single" w:sz="8" w:space="0" w:color="000000"/>
              <w:left w:val="nil"/>
              <w:bottom w:val="single" w:sz="4" w:space="0" w:color="auto"/>
              <w:right w:val="nil"/>
            </w:tcBorders>
            <w:shd w:val="clear" w:color="auto" w:fill="FFFFFF"/>
            <w:vAlign w:val="center"/>
          </w:tcPr>
          <w:p w14:paraId="22E32CEF"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w:t>
            </w:r>
          </w:p>
        </w:tc>
        <w:tc>
          <w:tcPr>
            <w:tcW w:w="737" w:type="dxa"/>
            <w:tcBorders>
              <w:top w:val="single" w:sz="8" w:space="0" w:color="000000"/>
              <w:left w:val="nil"/>
              <w:bottom w:val="single" w:sz="4" w:space="0" w:color="auto"/>
              <w:right w:val="nil"/>
            </w:tcBorders>
            <w:shd w:val="clear" w:color="auto" w:fill="FFFFFF"/>
            <w:vAlign w:val="center"/>
          </w:tcPr>
          <w:p w14:paraId="003F9D14"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w:t>
            </w:r>
          </w:p>
        </w:tc>
        <w:tc>
          <w:tcPr>
            <w:tcW w:w="737" w:type="dxa"/>
            <w:tcBorders>
              <w:top w:val="single" w:sz="8" w:space="0" w:color="000000"/>
              <w:left w:val="nil"/>
              <w:bottom w:val="single" w:sz="4" w:space="0" w:color="auto"/>
              <w:right w:val="nil"/>
            </w:tcBorders>
            <w:shd w:val="clear" w:color="auto" w:fill="FFFFFF"/>
            <w:vAlign w:val="center"/>
          </w:tcPr>
          <w:p w14:paraId="2379A9FC"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w:t>
            </w:r>
          </w:p>
        </w:tc>
        <w:tc>
          <w:tcPr>
            <w:tcW w:w="737" w:type="dxa"/>
            <w:tcBorders>
              <w:top w:val="single" w:sz="8" w:space="0" w:color="000000"/>
              <w:left w:val="nil"/>
              <w:bottom w:val="single" w:sz="4" w:space="0" w:color="auto"/>
              <w:right w:val="nil"/>
            </w:tcBorders>
            <w:shd w:val="clear" w:color="auto" w:fill="FFFFFF"/>
            <w:vAlign w:val="center"/>
          </w:tcPr>
          <w:p w14:paraId="0D7AF85A"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w:t>
            </w:r>
          </w:p>
        </w:tc>
        <w:tc>
          <w:tcPr>
            <w:tcW w:w="737" w:type="dxa"/>
            <w:tcBorders>
              <w:top w:val="single" w:sz="8" w:space="0" w:color="000000"/>
              <w:left w:val="nil"/>
              <w:bottom w:val="single" w:sz="4" w:space="0" w:color="auto"/>
              <w:right w:val="nil"/>
            </w:tcBorders>
            <w:shd w:val="clear" w:color="auto" w:fill="FFFFFF"/>
            <w:vAlign w:val="center"/>
          </w:tcPr>
          <w:p w14:paraId="4196415A"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w:t>
            </w:r>
          </w:p>
        </w:tc>
        <w:tc>
          <w:tcPr>
            <w:tcW w:w="741" w:type="dxa"/>
            <w:tcBorders>
              <w:top w:val="single" w:sz="8" w:space="0" w:color="000000"/>
              <w:left w:val="nil"/>
              <w:bottom w:val="single" w:sz="4" w:space="0" w:color="auto"/>
              <w:right w:val="nil"/>
            </w:tcBorders>
            <w:shd w:val="clear" w:color="auto" w:fill="FFFFFF"/>
            <w:vAlign w:val="center"/>
          </w:tcPr>
          <w:p w14:paraId="3C55FD6D"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w:t>
            </w:r>
          </w:p>
        </w:tc>
        <w:tc>
          <w:tcPr>
            <w:tcW w:w="739" w:type="dxa"/>
            <w:tcBorders>
              <w:top w:val="single" w:sz="8" w:space="0" w:color="000000"/>
              <w:left w:val="nil"/>
              <w:bottom w:val="single" w:sz="4" w:space="0" w:color="auto"/>
              <w:right w:val="nil"/>
            </w:tcBorders>
            <w:shd w:val="clear" w:color="auto" w:fill="FFFFFF"/>
            <w:vAlign w:val="center"/>
          </w:tcPr>
          <w:p w14:paraId="49E80F5F" w14:textId="77777777" w:rsidR="001A6391" w:rsidRPr="00787196" w:rsidRDefault="001A6391" w:rsidP="001A6391">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w:t>
            </w:r>
          </w:p>
        </w:tc>
      </w:tr>
      <w:tr w:rsidR="001A6391" w:rsidRPr="00787196" w14:paraId="1D8B3FC5" w14:textId="77777777" w:rsidTr="001A6391">
        <w:trPr>
          <w:gridAfter w:val="1"/>
          <w:wAfter w:w="6" w:type="dxa"/>
          <w:trHeight w:val="399"/>
        </w:trPr>
        <w:tc>
          <w:tcPr>
            <w:tcW w:w="1756" w:type="dxa"/>
            <w:vMerge w:val="restart"/>
            <w:tcBorders>
              <w:top w:val="single" w:sz="4" w:space="0" w:color="auto"/>
              <w:bottom w:val="nil"/>
              <w:right w:val="nil"/>
            </w:tcBorders>
            <w:shd w:val="clear" w:color="auto" w:fill="FFFFFF"/>
            <w:vAlign w:val="center"/>
          </w:tcPr>
          <w:p w14:paraId="0362600C"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Active coping</w:t>
            </w:r>
          </w:p>
        </w:tc>
        <w:tc>
          <w:tcPr>
            <w:tcW w:w="455" w:type="dxa"/>
            <w:tcBorders>
              <w:top w:val="single" w:sz="4" w:space="0" w:color="auto"/>
              <w:left w:val="nil"/>
              <w:bottom w:val="nil"/>
              <w:right w:val="nil"/>
            </w:tcBorders>
            <w:shd w:val="clear" w:color="auto" w:fill="FFFFFF"/>
            <w:vAlign w:val="center"/>
          </w:tcPr>
          <w:p w14:paraId="700B4D40"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w:t>
            </w:r>
          </w:p>
        </w:tc>
        <w:tc>
          <w:tcPr>
            <w:tcW w:w="720" w:type="dxa"/>
            <w:tcBorders>
              <w:top w:val="single" w:sz="4" w:space="0" w:color="auto"/>
              <w:left w:val="nil"/>
              <w:bottom w:val="nil"/>
              <w:right w:val="nil"/>
            </w:tcBorders>
            <w:shd w:val="clear" w:color="auto" w:fill="2E74B5"/>
            <w:vAlign w:val="center"/>
          </w:tcPr>
          <w:p w14:paraId="7C9F867C"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.558</w:t>
            </w:r>
          </w:p>
        </w:tc>
        <w:tc>
          <w:tcPr>
            <w:tcW w:w="818" w:type="dxa"/>
            <w:tcBorders>
              <w:top w:val="single" w:sz="4" w:space="0" w:color="auto"/>
              <w:left w:val="nil"/>
              <w:bottom w:val="nil"/>
              <w:right w:val="nil"/>
            </w:tcBorders>
            <w:shd w:val="clear" w:color="auto" w:fill="FFFFFF"/>
            <w:vAlign w:val="center"/>
          </w:tcPr>
          <w:p w14:paraId="0EF7352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-.164</w:t>
            </w:r>
          </w:p>
        </w:tc>
        <w:tc>
          <w:tcPr>
            <w:tcW w:w="737" w:type="dxa"/>
            <w:tcBorders>
              <w:top w:val="single" w:sz="4" w:space="0" w:color="auto"/>
              <w:left w:val="nil"/>
              <w:bottom w:val="nil"/>
              <w:right w:val="nil"/>
            </w:tcBorders>
            <w:shd w:val="clear" w:color="auto" w:fill="FFFFFF"/>
            <w:vAlign w:val="center"/>
          </w:tcPr>
          <w:p w14:paraId="3CBF585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.011</w:t>
            </w:r>
          </w:p>
        </w:tc>
        <w:tc>
          <w:tcPr>
            <w:tcW w:w="737" w:type="dxa"/>
            <w:tcBorders>
              <w:top w:val="single" w:sz="4" w:space="0" w:color="auto"/>
              <w:left w:val="nil"/>
              <w:bottom w:val="nil"/>
              <w:right w:val="nil"/>
            </w:tcBorders>
            <w:shd w:val="clear" w:color="auto" w:fill="FFFFFF"/>
            <w:vAlign w:val="center"/>
          </w:tcPr>
          <w:p w14:paraId="13ABB68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-.138</w:t>
            </w:r>
          </w:p>
        </w:tc>
        <w:tc>
          <w:tcPr>
            <w:tcW w:w="737" w:type="dxa"/>
            <w:tcBorders>
              <w:top w:val="single" w:sz="4" w:space="0" w:color="auto"/>
              <w:left w:val="nil"/>
              <w:bottom w:val="nil"/>
              <w:right w:val="nil"/>
            </w:tcBorders>
            <w:shd w:val="clear" w:color="auto" w:fill="FFFFFF"/>
            <w:vAlign w:val="center"/>
          </w:tcPr>
          <w:p w14:paraId="3D870F9F"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.317</w:t>
            </w:r>
          </w:p>
        </w:tc>
        <w:tc>
          <w:tcPr>
            <w:tcW w:w="737" w:type="dxa"/>
            <w:tcBorders>
              <w:top w:val="single" w:sz="4" w:space="0" w:color="auto"/>
              <w:left w:val="nil"/>
              <w:bottom w:val="nil"/>
              <w:right w:val="nil"/>
            </w:tcBorders>
            <w:shd w:val="clear" w:color="auto" w:fill="FFFFFF"/>
            <w:vAlign w:val="center"/>
          </w:tcPr>
          <w:p w14:paraId="016F1CC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-.048</w:t>
            </w:r>
          </w:p>
        </w:tc>
        <w:tc>
          <w:tcPr>
            <w:tcW w:w="741" w:type="dxa"/>
            <w:tcBorders>
              <w:top w:val="single" w:sz="4" w:space="0" w:color="auto"/>
              <w:left w:val="nil"/>
              <w:bottom w:val="nil"/>
              <w:right w:val="nil"/>
            </w:tcBorders>
            <w:shd w:val="clear" w:color="auto" w:fill="FFFFFF"/>
            <w:vAlign w:val="center"/>
          </w:tcPr>
          <w:p w14:paraId="1EAFEC3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.137</w:t>
            </w:r>
          </w:p>
        </w:tc>
        <w:tc>
          <w:tcPr>
            <w:tcW w:w="739" w:type="dxa"/>
            <w:tcBorders>
              <w:top w:val="single" w:sz="4" w:space="0" w:color="auto"/>
              <w:left w:val="nil"/>
              <w:bottom w:val="nil"/>
              <w:right w:val="nil"/>
            </w:tcBorders>
            <w:shd w:val="clear" w:color="auto" w:fill="FFFFFF"/>
            <w:vAlign w:val="center"/>
          </w:tcPr>
          <w:p w14:paraId="5E05BF5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.301</w:t>
            </w:r>
          </w:p>
        </w:tc>
      </w:tr>
      <w:tr w:rsidR="001A6391" w:rsidRPr="00787196" w14:paraId="2D5C2DE2" w14:textId="77777777" w:rsidTr="001A6391">
        <w:trPr>
          <w:gridAfter w:val="1"/>
          <w:wAfter w:w="6" w:type="dxa"/>
          <w:trHeight w:val="342"/>
        </w:trPr>
        <w:tc>
          <w:tcPr>
            <w:tcW w:w="1756" w:type="dxa"/>
            <w:vMerge/>
            <w:tcBorders>
              <w:top w:val="nil"/>
              <w:bottom w:val="single" w:sz="4" w:space="0" w:color="auto"/>
              <w:right w:val="nil"/>
            </w:tcBorders>
            <w:shd w:val="clear" w:color="auto" w:fill="FFFFFF"/>
            <w:vAlign w:val="center"/>
          </w:tcPr>
          <w:p w14:paraId="021A36CC"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left w:val="nil"/>
              <w:bottom w:val="single" w:sz="4" w:space="0" w:color="auto"/>
              <w:right w:val="nil"/>
            </w:tcBorders>
            <w:shd w:val="clear" w:color="auto" w:fill="FFFFFF"/>
            <w:vAlign w:val="center"/>
          </w:tcPr>
          <w:p w14:paraId="42B4D580"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w:t>
            </w:r>
          </w:p>
        </w:tc>
        <w:tc>
          <w:tcPr>
            <w:tcW w:w="720" w:type="dxa"/>
            <w:tcBorders>
              <w:top w:val="nil"/>
              <w:left w:val="nil"/>
              <w:bottom w:val="single" w:sz="4" w:space="0" w:color="auto"/>
              <w:right w:val="nil"/>
            </w:tcBorders>
            <w:shd w:val="clear" w:color="auto" w:fill="2E74B5"/>
            <w:vAlign w:val="center"/>
          </w:tcPr>
          <w:p w14:paraId="2E6F5B7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.665</w:t>
            </w:r>
          </w:p>
        </w:tc>
        <w:tc>
          <w:tcPr>
            <w:tcW w:w="818" w:type="dxa"/>
            <w:tcBorders>
              <w:top w:val="nil"/>
              <w:left w:val="nil"/>
              <w:bottom w:val="single" w:sz="4" w:space="0" w:color="auto"/>
              <w:right w:val="nil"/>
            </w:tcBorders>
            <w:shd w:val="clear" w:color="auto" w:fill="FFFFFF"/>
            <w:vAlign w:val="center"/>
          </w:tcPr>
          <w:p w14:paraId="01154F3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.025</w:t>
            </w:r>
          </w:p>
        </w:tc>
        <w:tc>
          <w:tcPr>
            <w:tcW w:w="737" w:type="dxa"/>
            <w:tcBorders>
              <w:top w:val="nil"/>
              <w:left w:val="nil"/>
              <w:bottom w:val="single" w:sz="4" w:space="0" w:color="auto"/>
              <w:right w:val="nil"/>
            </w:tcBorders>
            <w:shd w:val="clear" w:color="auto" w:fill="FFFFFF"/>
            <w:vAlign w:val="center"/>
          </w:tcPr>
          <w:p w14:paraId="298C6FB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.115</w:t>
            </w:r>
          </w:p>
        </w:tc>
        <w:tc>
          <w:tcPr>
            <w:tcW w:w="737" w:type="dxa"/>
            <w:tcBorders>
              <w:top w:val="nil"/>
              <w:left w:val="nil"/>
              <w:bottom w:val="single" w:sz="4" w:space="0" w:color="auto"/>
              <w:right w:val="nil"/>
            </w:tcBorders>
            <w:shd w:val="clear" w:color="auto" w:fill="FFFFFF"/>
            <w:vAlign w:val="center"/>
          </w:tcPr>
          <w:p w14:paraId="0BA6493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-.280</w:t>
            </w:r>
          </w:p>
        </w:tc>
        <w:tc>
          <w:tcPr>
            <w:tcW w:w="737" w:type="dxa"/>
            <w:tcBorders>
              <w:top w:val="nil"/>
              <w:left w:val="nil"/>
              <w:bottom w:val="single" w:sz="4" w:space="0" w:color="auto"/>
              <w:right w:val="nil"/>
            </w:tcBorders>
            <w:shd w:val="clear" w:color="auto" w:fill="FFFFFF"/>
            <w:vAlign w:val="center"/>
          </w:tcPr>
          <w:p w14:paraId="0553E63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.131</w:t>
            </w:r>
          </w:p>
        </w:tc>
        <w:tc>
          <w:tcPr>
            <w:tcW w:w="737" w:type="dxa"/>
            <w:tcBorders>
              <w:top w:val="nil"/>
              <w:left w:val="nil"/>
              <w:bottom w:val="single" w:sz="4" w:space="0" w:color="auto"/>
              <w:right w:val="nil"/>
            </w:tcBorders>
            <w:shd w:val="clear" w:color="auto" w:fill="FFFFFF"/>
            <w:vAlign w:val="center"/>
          </w:tcPr>
          <w:p w14:paraId="7EB3874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-.020</w:t>
            </w:r>
          </w:p>
        </w:tc>
        <w:tc>
          <w:tcPr>
            <w:tcW w:w="741" w:type="dxa"/>
            <w:tcBorders>
              <w:top w:val="nil"/>
              <w:left w:val="nil"/>
              <w:bottom w:val="single" w:sz="4" w:space="0" w:color="auto"/>
              <w:right w:val="nil"/>
            </w:tcBorders>
            <w:shd w:val="clear" w:color="auto" w:fill="FFFFFF"/>
            <w:vAlign w:val="center"/>
          </w:tcPr>
          <w:p w14:paraId="4859DFA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.153</w:t>
            </w:r>
          </w:p>
        </w:tc>
        <w:tc>
          <w:tcPr>
            <w:tcW w:w="739" w:type="dxa"/>
            <w:tcBorders>
              <w:top w:val="nil"/>
              <w:left w:val="nil"/>
              <w:bottom w:val="single" w:sz="4" w:space="0" w:color="auto"/>
              <w:right w:val="nil"/>
            </w:tcBorders>
            <w:shd w:val="clear" w:color="auto" w:fill="FFFFFF"/>
            <w:vAlign w:val="center"/>
          </w:tcPr>
          <w:p w14:paraId="3AE63A6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.296</w:t>
            </w:r>
          </w:p>
        </w:tc>
      </w:tr>
      <w:tr w:rsidR="001A6391" w:rsidRPr="00787196" w14:paraId="5CF5B3A3" w14:textId="77777777" w:rsidTr="001A6391">
        <w:trPr>
          <w:gridAfter w:val="1"/>
          <w:wAfter w:w="6" w:type="dxa"/>
          <w:trHeight w:val="422"/>
        </w:trPr>
        <w:tc>
          <w:tcPr>
            <w:tcW w:w="1756" w:type="dxa"/>
            <w:vMerge w:val="restart"/>
            <w:tcBorders>
              <w:top w:val="single" w:sz="4" w:space="0" w:color="auto"/>
              <w:bottom w:val="nil"/>
            </w:tcBorders>
            <w:shd w:val="clear" w:color="auto" w:fill="FFFFFF"/>
            <w:vAlign w:val="center"/>
          </w:tcPr>
          <w:p w14:paraId="4458F91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Planning</w:t>
            </w:r>
          </w:p>
        </w:tc>
        <w:tc>
          <w:tcPr>
            <w:tcW w:w="455" w:type="dxa"/>
            <w:tcBorders>
              <w:top w:val="single" w:sz="4" w:space="0" w:color="auto"/>
              <w:bottom w:val="nil"/>
              <w:right w:val="nil"/>
            </w:tcBorders>
            <w:shd w:val="clear" w:color="auto" w:fill="FFFFFF"/>
            <w:vAlign w:val="center"/>
          </w:tcPr>
          <w:p w14:paraId="2459A85A"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3</w:t>
            </w:r>
          </w:p>
        </w:tc>
        <w:tc>
          <w:tcPr>
            <w:tcW w:w="720" w:type="dxa"/>
            <w:tcBorders>
              <w:top w:val="single" w:sz="4" w:space="0" w:color="auto"/>
              <w:left w:val="nil"/>
              <w:bottom w:val="nil"/>
              <w:right w:val="nil"/>
            </w:tcBorders>
            <w:shd w:val="clear" w:color="auto" w:fill="2E74B5"/>
            <w:vAlign w:val="center"/>
          </w:tcPr>
          <w:p w14:paraId="1E9C3DD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.784</w:t>
            </w:r>
          </w:p>
        </w:tc>
        <w:tc>
          <w:tcPr>
            <w:tcW w:w="818" w:type="dxa"/>
            <w:tcBorders>
              <w:top w:val="single" w:sz="4" w:space="0" w:color="auto"/>
              <w:left w:val="nil"/>
              <w:bottom w:val="nil"/>
              <w:right w:val="nil"/>
            </w:tcBorders>
            <w:shd w:val="clear" w:color="auto" w:fill="FFFFFF"/>
            <w:vAlign w:val="center"/>
          </w:tcPr>
          <w:p w14:paraId="6AFE37D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.013</w:t>
            </w:r>
          </w:p>
        </w:tc>
        <w:tc>
          <w:tcPr>
            <w:tcW w:w="737" w:type="dxa"/>
            <w:tcBorders>
              <w:top w:val="single" w:sz="4" w:space="0" w:color="auto"/>
              <w:left w:val="nil"/>
              <w:bottom w:val="nil"/>
              <w:right w:val="nil"/>
            </w:tcBorders>
            <w:shd w:val="clear" w:color="auto" w:fill="FFFFFF"/>
            <w:vAlign w:val="center"/>
          </w:tcPr>
          <w:p w14:paraId="35B0931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.185</w:t>
            </w:r>
          </w:p>
        </w:tc>
        <w:tc>
          <w:tcPr>
            <w:tcW w:w="737" w:type="dxa"/>
            <w:tcBorders>
              <w:top w:val="single" w:sz="4" w:space="0" w:color="auto"/>
              <w:left w:val="nil"/>
              <w:bottom w:val="nil"/>
              <w:right w:val="nil"/>
            </w:tcBorders>
            <w:shd w:val="clear" w:color="auto" w:fill="FFFFFF"/>
            <w:vAlign w:val="center"/>
          </w:tcPr>
          <w:p w14:paraId="520883F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-.078</w:t>
            </w:r>
          </w:p>
        </w:tc>
        <w:tc>
          <w:tcPr>
            <w:tcW w:w="737" w:type="dxa"/>
            <w:tcBorders>
              <w:top w:val="single" w:sz="4" w:space="0" w:color="auto"/>
              <w:left w:val="nil"/>
              <w:bottom w:val="nil"/>
              <w:right w:val="nil"/>
            </w:tcBorders>
            <w:shd w:val="clear" w:color="auto" w:fill="FFFFFF"/>
            <w:vAlign w:val="center"/>
          </w:tcPr>
          <w:p w14:paraId="2BBAAE8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.171</w:t>
            </w:r>
          </w:p>
        </w:tc>
        <w:tc>
          <w:tcPr>
            <w:tcW w:w="737" w:type="dxa"/>
            <w:tcBorders>
              <w:top w:val="single" w:sz="4" w:space="0" w:color="auto"/>
              <w:left w:val="nil"/>
              <w:bottom w:val="nil"/>
              <w:right w:val="nil"/>
            </w:tcBorders>
            <w:shd w:val="clear" w:color="auto" w:fill="FFFFFF"/>
            <w:vAlign w:val="center"/>
          </w:tcPr>
          <w:p w14:paraId="33C68C8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.044</w:t>
            </w:r>
          </w:p>
        </w:tc>
        <w:tc>
          <w:tcPr>
            <w:tcW w:w="741" w:type="dxa"/>
            <w:tcBorders>
              <w:top w:val="single" w:sz="4" w:space="0" w:color="auto"/>
              <w:left w:val="nil"/>
              <w:bottom w:val="nil"/>
              <w:right w:val="nil"/>
            </w:tcBorders>
            <w:shd w:val="clear" w:color="auto" w:fill="FFFFFF"/>
            <w:vAlign w:val="center"/>
          </w:tcPr>
          <w:p w14:paraId="6309A07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.151</w:t>
            </w:r>
          </w:p>
        </w:tc>
        <w:tc>
          <w:tcPr>
            <w:tcW w:w="739" w:type="dxa"/>
            <w:tcBorders>
              <w:top w:val="single" w:sz="4" w:space="0" w:color="auto"/>
              <w:left w:val="nil"/>
              <w:bottom w:val="nil"/>
              <w:right w:val="nil"/>
            </w:tcBorders>
            <w:shd w:val="clear" w:color="auto" w:fill="FFFFFF"/>
            <w:vAlign w:val="center"/>
          </w:tcPr>
          <w:p w14:paraId="035E8A8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.250</w:t>
            </w:r>
          </w:p>
        </w:tc>
      </w:tr>
      <w:tr w:rsidR="001A6391" w:rsidRPr="00787196" w14:paraId="6D7D06CE" w14:textId="77777777" w:rsidTr="001A6391">
        <w:trPr>
          <w:gridAfter w:val="1"/>
          <w:wAfter w:w="6" w:type="dxa"/>
          <w:trHeight w:val="282"/>
        </w:trPr>
        <w:tc>
          <w:tcPr>
            <w:tcW w:w="1756" w:type="dxa"/>
            <w:vMerge/>
            <w:tcBorders>
              <w:top w:val="nil"/>
              <w:bottom w:val="single" w:sz="4" w:space="0" w:color="auto"/>
            </w:tcBorders>
            <w:shd w:val="clear" w:color="auto" w:fill="FFFFFF"/>
            <w:vAlign w:val="center"/>
          </w:tcPr>
          <w:p w14:paraId="58F95672"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70763245"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4</w:t>
            </w:r>
          </w:p>
        </w:tc>
        <w:tc>
          <w:tcPr>
            <w:tcW w:w="720" w:type="dxa"/>
            <w:tcBorders>
              <w:top w:val="nil"/>
              <w:left w:val="nil"/>
              <w:bottom w:val="single" w:sz="4" w:space="0" w:color="auto"/>
              <w:right w:val="nil"/>
            </w:tcBorders>
            <w:shd w:val="clear" w:color="auto" w:fill="2E74B5"/>
            <w:vAlign w:val="center"/>
          </w:tcPr>
          <w:p w14:paraId="01737FA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.769</w:t>
            </w:r>
          </w:p>
        </w:tc>
        <w:tc>
          <w:tcPr>
            <w:tcW w:w="818" w:type="dxa"/>
            <w:tcBorders>
              <w:top w:val="nil"/>
              <w:left w:val="nil"/>
              <w:bottom w:val="single" w:sz="4" w:space="0" w:color="auto"/>
              <w:right w:val="nil"/>
            </w:tcBorders>
            <w:shd w:val="clear" w:color="auto" w:fill="FFFFFF"/>
            <w:vAlign w:val="center"/>
          </w:tcPr>
          <w:p w14:paraId="46F3C8A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.128</w:t>
            </w:r>
          </w:p>
        </w:tc>
        <w:tc>
          <w:tcPr>
            <w:tcW w:w="737" w:type="dxa"/>
            <w:tcBorders>
              <w:top w:val="nil"/>
              <w:left w:val="nil"/>
              <w:bottom w:val="single" w:sz="4" w:space="0" w:color="auto"/>
              <w:right w:val="nil"/>
            </w:tcBorders>
            <w:shd w:val="clear" w:color="auto" w:fill="FFFFFF"/>
            <w:vAlign w:val="center"/>
          </w:tcPr>
          <w:p w14:paraId="1165C354"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.241</w:t>
            </w:r>
          </w:p>
        </w:tc>
        <w:tc>
          <w:tcPr>
            <w:tcW w:w="737" w:type="dxa"/>
            <w:tcBorders>
              <w:top w:val="nil"/>
              <w:left w:val="nil"/>
              <w:bottom w:val="single" w:sz="4" w:space="0" w:color="auto"/>
              <w:right w:val="nil"/>
            </w:tcBorders>
            <w:shd w:val="clear" w:color="auto" w:fill="FFFFFF"/>
            <w:vAlign w:val="center"/>
          </w:tcPr>
          <w:p w14:paraId="08033AD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.063</w:t>
            </w:r>
          </w:p>
        </w:tc>
        <w:tc>
          <w:tcPr>
            <w:tcW w:w="737" w:type="dxa"/>
            <w:tcBorders>
              <w:top w:val="nil"/>
              <w:left w:val="nil"/>
              <w:bottom w:val="single" w:sz="4" w:space="0" w:color="auto"/>
              <w:right w:val="nil"/>
            </w:tcBorders>
            <w:shd w:val="clear" w:color="auto" w:fill="FFFFFF"/>
            <w:vAlign w:val="center"/>
          </w:tcPr>
          <w:p w14:paraId="7EF5355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.135</w:t>
            </w:r>
          </w:p>
        </w:tc>
        <w:tc>
          <w:tcPr>
            <w:tcW w:w="737" w:type="dxa"/>
            <w:tcBorders>
              <w:top w:val="nil"/>
              <w:left w:val="nil"/>
              <w:bottom w:val="single" w:sz="4" w:space="0" w:color="auto"/>
              <w:right w:val="nil"/>
            </w:tcBorders>
            <w:shd w:val="clear" w:color="auto" w:fill="FFFFFF"/>
            <w:vAlign w:val="center"/>
          </w:tcPr>
          <w:p w14:paraId="200BAE9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.053</w:t>
            </w:r>
          </w:p>
        </w:tc>
        <w:tc>
          <w:tcPr>
            <w:tcW w:w="741" w:type="dxa"/>
            <w:tcBorders>
              <w:top w:val="nil"/>
              <w:left w:val="nil"/>
              <w:bottom w:val="single" w:sz="4" w:space="0" w:color="auto"/>
              <w:right w:val="nil"/>
            </w:tcBorders>
            <w:shd w:val="clear" w:color="auto" w:fill="FFFFFF"/>
            <w:vAlign w:val="center"/>
          </w:tcPr>
          <w:p w14:paraId="7B3566A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.185</w:t>
            </w:r>
          </w:p>
        </w:tc>
        <w:tc>
          <w:tcPr>
            <w:tcW w:w="739" w:type="dxa"/>
            <w:tcBorders>
              <w:top w:val="nil"/>
              <w:left w:val="nil"/>
              <w:bottom w:val="single" w:sz="4" w:space="0" w:color="auto"/>
              <w:right w:val="nil"/>
            </w:tcBorders>
            <w:shd w:val="clear" w:color="auto" w:fill="FFFFFF"/>
            <w:vAlign w:val="center"/>
          </w:tcPr>
          <w:p w14:paraId="4AB06E1C"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.248</w:t>
            </w:r>
          </w:p>
        </w:tc>
      </w:tr>
      <w:tr w:rsidR="001A6391" w:rsidRPr="00787196" w14:paraId="7920F9D6" w14:textId="77777777" w:rsidTr="001A6391">
        <w:trPr>
          <w:gridAfter w:val="1"/>
          <w:wAfter w:w="6" w:type="dxa"/>
          <w:trHeight w:val="418"/>
        </w:trPr>
        <w:tc>
          <w:tcPr>
            <w:tcW w:w="1756" w:type="dxa"/>
            <w:vMerge w:val="restart"/>
            <w:tcBorders>
              <w:top w:val="single" w:sz="4" w:space="0" w:color="auto"/>
              <w:bottom w:val="nil"/>
            </w:tcBorders>
            <w:shd w:val="clear" w:color="auto" w:fill="FFFFFF"/>
            <w:vAlign w:val="center"/>
          </w:tcPr>
          <w:p w14:paraId="707AF67B"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Positive Reframing</w:t>
            </w:r>
          </w:p>
        </w:tc>
        <w:tc>
          <w:tcPr>
            <w:tcW w:w="455" w:type="dxa"/>
            <w:tcBorders>
              <w:top w:val="single" w:sz="4" w:space="0" w:color="auto"/>
              <w:bottom w:val="nil"/>
              <w:right w:val="nil"/>
            </w:tcBorders>
            <w:shd w:val="clear" w:color="auto" w:fill="FFFFFF"/>
            <w:vAlign w:val="center"/>
          </w:tcPr>
          <w:p w14:paraId="384ED162"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5</w:t>
            </w:r>
          </w:p>
        </w:tc>
        <w:tc>
          <w:tcPr>
            <w:tcW w:w="720" w:type="dxa"/>
            <w:tcBorders>
              <w:top w:val="single" w:sz="4" w:space="0" w:color="auto"/>
              <w:left w:val="nil"/>
              <w:bottom w:val="nil"/>
              <w:right w:val="nil"/>
            </w:tcBorders>
            <w:shd w:val="clear" w:color="auto" w:fill="2E74B5"/>
            <w:vAlign w:val="center"/>
          </w:tcPr>
          <w:p w14:paraId="42C36A74"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.592</w:t>
            </w:r>
          </w:p>
        </w:tc>
        <w:tc>
          <w:tcPr>
            <w:tcW w:w="818" w:type="dxa"/>
            <w:tcBorders>
              <w:top w:val="single" w:sz="4" w:space="0" w:color="auto"/>
              <w:left w:val="nil"/>
              <w:bottom w:val="nil"/>
              <w:right w:val="nil"/>
            </w:tcBorders>
            <w:shd w:val="clear" w:color="auto" w:fill="FFFFFF"/>
            <w:vAlign w:val="center"/>
          </w:tcPr>
          <w:p w14:paraId="5DD7B36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.052</w:t>
            </w:r>
          </w:p>
        </w:tc>
        <w:tc>
          <w:tcPr>
            <w:tcW w:w="737" w:type="dxa"/>
            <w:tcBorders>
              <w:top w:val="single" w:sz="4" w:space="0" w:color="auto"/>
              <w:left w:val="nil"/>
              <w:bottom w:val="nil"/>
              <w:right w:val="nil"/>
            </w:tcBorders>
            <w:shd w:val="clear" w:color="auto" w:fill="FFFFFF"/>
            <w:vAlign w:val="center"/>
          </w:tcPr>
          <w:p w14:paraId="370ACA1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.009</w:t>
            </w:r>
          </w:p>
        </w:tc>
        <w:tc>
          <w:tcPr>
            <w:tcW w:w="737" w:type="dxa"/>
            <w:tcBorders>
              <w:top w:val="single" w:sz="4" w:space="0" w:color="auto"/>
              <w:left w:val="nil"/>
              <w:bottom w:val="nil"/>
              <w:right w:val="nil"/>
            </w:tcBorders>
            <w:shd w:val="clear" w:color="auto" w:fill="FFFFFF"/>
            <w:vAlign w:val="center"/>
          </w:tcPr>
          <w:p w14:paraId="33F7B35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-.049</w:t>
            </w:r>
          </w:p>
        </w:tc>
        <w:tc>
          <w:tcPr>
            <w:tcW w:w="737" w:type="dxa"/>
            <w:tcBorders>
              <w:top w:val="single" w:sz="4" w:space="0" w:color="auto"/>
              <w:left w:val="nil"/>
              <w:bottom w:val="nil"/>
              <w:right w:val="nil"/>
            </w:tcBorders>
            <w:shd w:val="clear" w:color="auto" w:fill="FFFFFF"/>
            <w:vAlign w:val="center"/>
          </w:tcPr>
          <w:p w14:paraId="40A8DCE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.250</w:t>
            </w:r>
          </w:p>
        </w:tc>
        <w:tc>
          <w:tcPr>
            <w:tcW w:w="737" w:type="dxa"/>
            <w:tcBorders>
              <w:top w:val="single" w:sz="4" w:space="0" w:color="auto"/>
              <w:left w:val="nil"/>
              <w:bottom w:val="nil"/>
              <w:right w:val="nil"/>
            </w:tcBorders>
            <w:shd w:val="clear" w:color="auto" w:fill="FFFFFF"/>
            <w:vAlign w:val="center"/>
          </w:tcPr>
          <w:p w14:paraId="292FC69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.007</w:t>
            </w:r>
          </w:p>
        </w:tc>
        <w:tc>
          <w:tcPr>
            <w:tcW w:w="741" w:type="dxa"/>
            <w:tcBorders>
              <w:top w:val="single" w:sz="4" w:space="0" w:color="auto"/>
              <w:left w:val="nil"/>
              <w:bottom w:val="nil"/>
              <w:right w:val="nil"/>
            </w:tcBorders>
            <w:shd w:val="clear" w:color="auto" w:fill="FFFFFF"/>
            <w:vAlign w:val="center"/>
          </w:tcPr>
          <w:p w14:paraId="28E2509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.166</w:t>
            </w:r>
          </w:p>
        </w:tc>
        <w:tc>
          <w:tcPr>
            <w:tcW w:w="739" w:type="dxa"/>
            <w:tcBorders>
              <w:top w:val="single" w:sz="4" w:space="0" w:color="auto"/>
              <w:left w:val="nil"/>
              <w:bottom w:val="nil"/>
              <w:right w:val="nil"/>
            </w:tcBorders>
            <w:shd w:val="clear" w:color="auto" w:fill="FFFFFF"/>
            <w:vAlign w:val="center"/>
          </w:tcPr>
          <w:p w14:paraId="0D39AFF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.238</w:t>
            </w:r>
          </w:p>
        </w:tc>
      </w:tr>
      <w:tr w:rsidR="001A6391" w:rsidRPr="00787196" w14:paraId="0CFAFE14" w14:textId="77777777" w:rsidTr="001A6391">
        <w:trPr>
          <w:gridAfter w:val="1"/>
          <w:wAfter w:w="6" w:type="dxa"/>
          <w:trHeight w:val="316"/>
        </w:trPr>
        <w:tc>
          <w:tcPr>
            <w:tcW w:w="1756" w:type="dxa"/>
            <w:vMerge/>
            <w:tcBorders>
              <w:top w:val="nil"/>
              <w:bottom w:val="single" w:sz="4" w:space="0" w:color="auto"/>
            </w:tcBorders>
            <w:shd w:val="clear" w:color="auto" w:fill="FFFFFF"/>
            <w:vAlign w:val="center"/>
          </w:tcPr>
          <w:p w14:paraId="011D75CA"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623C815A"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6</w:t>
            </w:r>
          </w:p>
        </w:tc>
        <w:tc>
          <w:tcPr>
            <w:tcW w:w="720" w:type="dxa"/>
            <w:tcBorders>
              <w:top w:val="nil"/>
              <w:left w:val="nil"/>
              <w:bottom w:val="single" w:sz="4" w:space="0" w:color="auto"/>
              <w:right w:val="nil"/>
            </w:tcBorders>
            <w:shd w:val="clear" w:color="auto" w:fill="2E74B5"/>
            <w:vAlign w:val="center"/>
          </w:tcPr>
          <w:p w14:paraId="463B31A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.429</w:t>
            </w:r>
          </w:p>
        </w:tc>
        <w:tc>
          <w:tcPr>
            <w:tcW w:w="818" w:type="dxa"/>
            <w:tcBorders>
              <w:top w:val="nil"/>
              <w:left w:val="nil"/>
              <w:bottom w:val="single" w:sz="4" w:space="0" w:color="auto"/>
              <w:right w:val="nil"/>
            </w:tcBorders>
            <w:shd w:val="clear" w:color="auto" w:fill="FFFFFF"/>
            <w:vAlign w:val="center"/>
          </w:tcPr>
          <w:p w14:paraId="67ED0F2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.136</w:t>
            </w:r>
          </w:p>
        </w:tc>
        <w:tc>
          <w:tcPr>
            <w:tcW w:w="737" w:type="dxa"/>
            <w:tcBorders>
              <w:top w:val="nil"/>
              <w:left w:val="nil"/>
              <w:bottom w:val="single" w:sz="4" w:space="0" w:color="auto"/>
              <w:right w:val="nil"/>
            </w:tcBorders>
            <w:shd w:val="clear" w:color="auto" w:fill="FFFFFF"/>
            <w:vAlign w:val="center"/>
          </w:tcPr>
          <w:p w14:paraId="0C6A9D64"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.210</w:t>
            </w:r>
          </w:p>
        </w:tc>
        <w:tc>
          <w:tcPr>
            <w:tcW w:w="737" w:type="dxa"/>
            <w:tcBorders>
              <w:top w:val="nil"/>
              <w:left w:val="nil"/>
              <w:bottom w:val="single" w:sz="4" w:space="0" w:color="auto"/>
              <w:right w:val="nil"/>
            </w:tcBorders>
            <w:shd w:val="clear" w:color="auto" w:fill="FFFFFF"/>
            <w:vAlign w:val="center"/>
          </w:tcPr>
          <w:p w14:paraId="7124B97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.030</w:t>
            </w:r>
          </w:p>
        </w:tc>
        <w:tc>
          <w:tcPr>
            <w:tcW w:w="737" w:type="dxa"/>
            <w:tcBorders>
              <w:top w:val="nil"/>
              <w:left w:val="nil"/>
              <w:bottom w:val="single" w:sz="4" w:space="0" w:color="auto"/>
              <w:right w:val="nil"/>
            </w:tcBorders>
            <w:shd w:val="clear" w:color="auto" w:fill="FFFFFF"/>
            <w:vAlign w:val="center"/>
          </w:tcPr>
          <w:p w14:paraId="28EC675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.173</w:t>
            </w:r>
          </w:p>
        </w:tc>
        <w:tc>
          <w:tcPr>
            <w:tcW w:w="737" w:type="dxa"/>
            <w:tcBorders>
              <w:top w:val="nil"/>
              <w:left w:val="nil"/>
              <w:bottom w:val="single" w:sz="4" w:space="0" w:color="auto"/>
              <w:right w:val="nil"/>
            </w:tcBorders>
            <w:shd w:val="clear" w:color="auto" w:fill="FFFFFF"/>
            <w:vAlign w:val="center"/>
          </w:tcPr>
          <w:p w14:paraId="104575B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-.034</w:t>
            </w:r>
          </w:p>
        </w:tc>
        <w:tc>
          <w:tcPr>
            <w:tcW w:w="741" w:type="dxa"/>
            <w:tcBorders>
              <w:top w:val="nil"/>
              <w:left w:val="nil"/>
              <w:bottom w:val="single" w:sz="4" w:space="0" w:color="auto"/>
              <w:right w:val="nil"/>
            </w:tcBorders>
            <w:shd w:val="clear" w:color="auto" w:fill="FFFFFF"/>
            <w:vAlign w:val="center"/>
          </w:tcPr>
          <w:p w14:paraId="53C1795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.156</w:t>
            </w:r>
          </w:p>
        </w:tc>
        <w:tc>
          <w:tcPr>
            <w:tcW w:w="739" w:type="dxa"/>
            <w:tcBorders>
              <w:top w:val="nil"/>
              <w:left w:val="nil"/>
              <w:bottom w:val="single" w:sz="4" w:space="0" w:color="auto"/>
              <w:right w:val="nil"/>
            </w:tcBorders>
            <w:shd w:val="clear" w:color="auto" w:fill="FFFFFF"/>
            <w:vAlign w:val="center"/>
          </w:tcPr>
          <w:p w14:paraId="40580D1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.234</w:t>
            </w:r>
          </w:p>
        </w:tc>
      </w:tr>
      <w:tr w:rsidR="001A6391" w:rsidRPr="00787196" w14:paraId="635D3C70" w14:textId="77777777" w:rsidTr="001A6391">
        <w:trPr>
          <w:gridAfter w:val="1"/>
          <w:wAfter w:w="6" w:type="dxa"/>
          <w:trHeight w:val="372"/>
        </w:trPr>
        <w:tc>
          <w:tcPr>
            <w:tcW w:w="1756" w:type="dxa"/>
            <w:vMerge w:val="restart"/>
            <w:tcBorders>
              <w:top w:val="single" w:sz="4" w:space="0" w:color="auto"/>
              <w:bottom w:val="nil"/>
            </w:tcBorders>
            <w:shd w:val="clear" w:color="auto" w:fill="FFFFFF"/>
            <w:vAlign w:val="center"/>
          </w:tcPr>
          <w:p w14:paraId="13F20D20"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Acceptance</w:t>
            </w:r>
          </w:p>
        </w:tc>
        <w:tc>
          <w:tcPr>
            <w:tcW w:w="455" w:type="dxa"/>
            <w:tcBorders>
              <w:top w:val="single" w:sz="4" w:space="0" w:color="auto"/>
              <w:bottom w:val="nil"/>
              <w:right w:val="nil"/>
            </w:tcBorders>
            <w:shd w:val="clear" w:color="auto" w:fill="FFFFFF"/>
            <w:vAlign w:val="center"/>
          </w:tcPr>
          <w:p w14:paraId="47EE3F85"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7</w:t>
            </w:r>
          </w:p>
        </w:tc>
        <w:tc>
          <w:tcPr>
            <w:tcW w:w="720" w:type="dxa"/>
            <w:tcBorders>
              <w:top w:val="single" w:sz="4" w:space="0" w:color="auto"/>
              <w:left w:val="nil"/>
              <w:bottom w:val="nil"/>
              <w:right w:val="nil"/>
            </w:tcBorders>
            <w:shd w:val="clear" w:color="auto" w:fill="FFFFFF"/>
            <w:vAlign w:val="center"/>
          </w:tcPr>
          <w:p w14:paraId="1A07A25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.362</w:t>
            </w:r>
          </w:p>
        </w:tc>
        <w:tc>
          <w:tcPr>
            <w:tcW w:w="818" w:type="dxa"/>
            <w:tcBorders>
              <w:top w:val="single" w:sz="4" w:space="0" w:color="auto"/>
              <w:left w:val="nil"/>
              <w:bottom w:val="nil"/>
              <w:right w:val="nil"/>
            </w:tcBorders>
            <w:shd w:val="clear" w:color="auto" w:fill="FFFFFF"/>
            <w:vAlign w:val="center"/>
          </w:tcPr>
          <w:p w14:paraId="31EABE7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.070</w:t>
            </w:r>
          </w:p>
        </w:tc>
        <w:tc>
          <w:tcPr>
            <w:tcW w:w="737" w:type="dxa"/>
            <w:tcBorders>
              <w:top w:val="single" w:sz="4" w:space="0" w:color="auto"/>
              <w:left w:val="nil"/>
              <w:bottom w:val="nil"/>
              <w:right w:val="nil"/>
            </w:tcBorders>
            <w:shd w:val="clear" w:color="auto" w:fill="FFFFFF"/>
            <w:vAlign w:val="center"/>
          </w:tcPr>
          <w:p w14:paraId="1599A82F"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.218</w:t>
            </w:r>
          </w:p>
        </w:tc>
        <w:tc>
          <w:tcPr>
            <w:tcW w:w="737" w:type="dxa"/>
            <w:tcBorders>
              <w:top w:val="single" w:sz="4" w:space="0" w:color="auto"/>
              <w:left w:val="nil"/>
              <w:bottom w:val="nil"/>
              <w:right w:val="nil"/>
            </w:tcBorders>
            <w:shd w:val="clear" w:color="auto" w:fill="FFFFFF"/>
            <w:vAlign w:val="center"/>
          </w:tcPr>
          <w:p w14:paraId="42D5DB7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-.029</w:t>
            </w:r>
          </w:p>
        </w:tc>
        <w:tc>
          <w:tcPr>
            <w:tcW w:w="737" w:type="dxa"/>
            <w:tcBorders>
              <w:top w:val="single" w:sz="4" w:space="0" w:color="auto"/>
              <w:left w:val="nil"/>
              <w:bottom w:val="nil"/>
              <w:right w:val="nil"/>
            </w:tcBorders>
            <w:shd w:val="clear" w:color="auto" w:fill="FFFFFF"/>
            <w:vAlign w:val="center"/>
          </w:tcPr>
          <w:p w14:paraId="2150DCD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.076</w:t>
            </w:r>
          </w:p>
        </w:tc>
        <w:tc>
          <w:tcPr>
            <w:tcW w:w="737" w:type="dxa"/>
            <w:tcBorders>
              <w:top w:val="single" w:sz="4" w:space="0" w:color="auto"/>
              <w:left w:val="nil"/>
              <w:bottom w:val="nil"/>
              <w:right w:val="nil"/>
            </w:tcBorders>
            <w:shd w:val="clear" w:color="auto" w:fill="FFFFFF"/>
            <w:vAlign w:val="center"/>
          </w:tcPr>
          <w:p w14:paraId="3633F214"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.010</w:t>
            </w:r>
          </w:p>
        </w:tc>
        <w:tc>
          <w:tcPr>
            <w:tcW w:w="741" w:type="dxa"/>
            <w:tcBorders>
              <w:top w:val="single" w:sz="4" w:space="0" w:color="auto"/>
              <w:left w:val="nil"/>
              <w:bottom w:val="nil"/>
              <w:right w:val="nil"/>
            </w:tcBorders>
            <w:shd w:val="clear" w:color="auto" w:fill="FFFFFF"/>
            <w:vAlign w:val="center"/>
          </w:tcPr>
          <w:p w14:paraId="01DAACE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.049</w:t>
            </w:r>
          </w:p>
        </w:tc>
        <w:tc>
          <w:tcPr>
            <w:tcW w:w="739" w:type="dxa"/>
            <w:tcBorders>
              <w:top w:val="single" w:sz="4" w:space="0" w:color="auto"/>
              <w:left w:val="nil"/>
              <w:bottom w:val="nil"/>
              <w:right w:val="nil"/>
            </w:tcBorders>
            <w:shd w:val="clear" w:color="auto" w:fill="2E74B5"/>
            <w:vAlign w:val="center"/>
          </w:tcPr>
          <w:p w14:paraId="3D28DAC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.996</w:t>
            </w:r>
          </w:p>
        </w:tc>
      </w:tr>
      <w:tr w:rsidR="001A6391" w:rsidRPr="00787196" w14:paraId="6F2EC368" w14:textId="77777777" w:rsidTr="001A6391">
        <w:trPr>
          <w:gridAfter w:val="1"/>
          <w:wAfter w:w="6" w:type="dxa"/>
          <w:trHeight w:val="349"/>
        </w:trPr>
        <w:tc>
          <w:tcPr>
            <w:tcW w:w="1756" w:type="dxa"/>
            <w:vMerge/>
            <w:tcBorders>
              <w:top w:val="nil"/>
              <w:bottom w:val="single" w:sz="4" w:space="0" w:color="auto"/>
            </w:tcBorders>
            <w:shd w:val="clear" w:color="auto" w:fill="FFFFFF"/>
            <w:vAlign w:val="center"/>
          </w:tcPr>
          <w:p w14:paraId="0AE47E1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7AC6E7D0"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8</w:t>
            </w:r>
          </w:p>
        </w:tc>
        <w:tc>
          <w:tcPr>
            <w:tcW w:w="720" w:type="dxa"/>
            <w:tcBorders>
              <w:top w:val="nil"/>
              <w:left w:val="nil"/>
              <w:bottom w:val="single" w:sz="4" w:space="0" w:color="auto"/>
              <w:right w:val="nil"/>
            </w:tcBorders>
            <w:shd w:val="clear" w:color="auto" w:fill="FFFFFF"/>
            <w:vAlign w:val="center"/>
          </w:tcPr>
          <w:p w14:paraId="3BB8092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.351</w:t>
            </w:r>
          </w:p>
        </w:tc>
        <w:tc>
          <w:tcPr>
            <w:tcW w:w="818" w:type="dxa"/>
            <w:tcBorders>
              <w:top w:val="nil"/>
              <w:left w:val="nil"/>
              <w:bottom w:val="single" w:sz="4" w:space="0" w:color="auto"/>
              <w:right w:val="nil"/>
            </w:tcBorders>
            <w:shd w:val="clear" w:color="auto" w:fill="FFFFFF"/>
            <w:vAlign w:val="center"/>
          </w:tcPr>
          <w:p w14:paraId="1E43067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.129</w:t>
            </w:r>
          </w:p>
        </w:tc>
        <w:tc>
          <w:tcPr>
            <w:tcW w:w="737" w:type="dxa"/>
            <w:tcBorders>
              <w:top w:val="nil"/>
              <w:left w:val="nil"/>
              <w:bottom w:val="single" w:sz="4" w:space="0" w:color="auto"/>
              <w:right w:val="nil"/>
            </w:tcBorders>
            <w:shd w:val="clear" w:color="auto" w:fill="FFFFFF"/>
            <w:vAlign w:val="center"/>
          </w:tcPr>
          <w:p w14:paraId="0C5CB88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.141</w:t>
            </w:r>
          </w:p>
        </w:tc>
        <w:tc>
          <w:tcPr>
            <w:tcW w:w="737" w:type="dxa"/>
            <w:tcBorders>
              <w:top w:val="nil"/>
              <w:left w:val="nil"/>
              <w:bottom w:val="single" w:sz="4" w:space="0" w:color="auto"/>
              <w:right w:val="nil"/>
            </w:tcBorders>
            <w:shd w:val="clear" w:color="auto" w:fill="FFFFFF"/>
            <w:vAlign w:val="center"/>
          </w:tcPr>
          <w:p w14:paraId="5C20326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-.040</w:t>
            </w:r>
          </w:p>
        </w:tc>
        <w:tc>
          <w:tcPr>
            <w:tcW w:w="737" w:type="dxa"/>
            <w:tcBorders>
              <w:top w:val="nil"/>
              <w:left w:val="nil"/>
              <w:bottom w:val="single" w:sz="4" w:space="0" w:color="auto"/>
              <w:right w:val="nil"/>
            </w:tcBorders>
            <w:shd w:val="clear" w:color="auto" w:fill="FFFFFF"/>
            <w:vAlign w:val="center"/>
          </w:tcPr>
          <w:p w14:paraId="5A3AF3C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-.092</w:t>
            </w:r>
          </w:p>
        </w:tc>
        <w:tc>
          <w:tcPr>
            <w:tcW w:w="737" w:type="dxa"/>
            <w:tcBorders>
              <w:top w:val="nil"/>
              <w:left w:val="nil"/>
              <w:bottom w:val="single" w:sz="4" w:space="0" w:color="auto"/>
              <w:right w:val="nil"/>
            </w:tcBorders>
            <w:shd w:val="clear" w:color="auto" w:fill="FFFFFF"/>
            <w:vAlign w:val="center"/>
          </w:tcPr>
          <w:p w14:paraId="22A63ED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.060</w:t>
            </w:r>
          </w:p>
        </w:tc>
        <w:tc>
          <w:tcPr>
            <w:tcW w:w="741" w:type="dxa"/>
            <w:tcBorders>
              <w:top w:val="nil"/>
              <w:left w:val="nil"/>
              <w:bottom w:val="single" w:sz="4" w:space="0" w:color="auto"/>
              <w:right w:val="nil"/>
            </w:tcBorders>
            <w:shd w:val="clear" w:color="auto" w:fill="FFFFFF"/>
            <w:vAlign w:val="center"/>
          </w:tcPr>
          <w:p w14:paraId="5EC6282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.047</w:t>
            </w:r>
          </w:p>
        </w:tc>
        <w:tc>
          <w:tcPr>
            <w:tcW w:w="739" w:type="dxa"/>
            <w:tcBorders>
              <w:top w:val="nil"/>
              <w:left w:val="nil"/>
              <w:bottom w:val="single" w:sz="4" w:space="0" w:color="auto"/>
              <w:right w:val="nil"/>
            </w:tcBorders>
            <w:shd w:val="clear" w:color="auto" w:fill="2E74B5"/>
            <w:vAlign w:val="center"/>
          </w:tcPr>
          <w:p w14:paraId="730057A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.612</w:t>
            </w:r>
          </w:p>
        </w:tc>
      </w:tr>
      <w:tr w:rsidR="001A6391" w:rsidRPr="00787196" w14:paraId="57558FD2" w14:textId="77777777" w:rsidTr="001A6391">
        <w:trPr>
          <w:gridAfter w:val="1"/>
          <w:wAfter w:w="6" w:type="dxa"/>
          <w:trHeight w:val="414"/>
        </w:trPr>
        <w:tc>
          <w:tcPr>
            <w:tcW w:w="1756" w:type="dxa"/>
            <w:vMerge w:val="restart"/>
            <w:tcBorders>
              <w:top w:val="single" w:sz="4" w:space="0" w:color="auto"/>
              <w:bottom w:val="nil"/>
            </w:tcBorders>
            <w:shd w:val="clear" w:color="auto" w:fill="FFFFFF"/>
            <w:vAlign w:val="center"/>
          </w:tcPr>
          <w:p w14:paraId="700B59C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Humour</w:t>
            </w:r>
          </w:p>
        </w:tc>
        <w:tc>
          <w:tcPr>
            <w:tcW w:w="455" w:type="dxa"/>
            <w:tcBorders>
              <w:top w:val="single" w:sz="4" w:space="0" w:color="auto"/>
              <w:bottom w:val="nil"/>
              <w:right w:val="nil"/>
            </w:tcBorders>
            <w:shd w:val="clear" w:color="auto" w:fill="FFFFFF"/>
            <w:vAlign w:val="center"/>
          </w:tcPr>
          <w:p w14:paraId="7E80F266"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9</w:t>
            </w:r>
          </w:p>
        </w:tc>
        <w:tc>
          <w:tcPr>
            <w:tcW w:w="720" w:type="dxa"/>
            <w:tcBorders>
              <w:top w:val="single" w:sz="4" w:space="0" w:color="auto"/>
              <w:left w:val="nil"/>
              <w:bottom w:val="nil"/>
              <w:right w:val="nil"/>
            </w:tcBorders>
            <w:shd w:val="clear" w:color="auto" w:fill="FFFFFF"/>
            <w:vAlign w:val="center"/>
          </w:tcPr>
          <w:p w14:paraId="33E026AC"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.033</w:t>
            </w:r>
          </w:p>
        </w:tc>
        <w:tc>
          <w:tcPr>
            <w:tcW w:w="818" w:type="dxa"/>
            <w:tcBorders>
              <w:top w:val="single" w:sz="4" w:space="0" w:color="auto"/>
              <w:left w:val="nil"/>
              <w:bottom w:val="nil"/>
              <w:right w:val="nil"/>
            </w:tcBorders>
            <w:shd w:val="clear" w:color="auto" w:fill="FFFFFF"/>
            <w:vAlign w:val="center"/>
          </w:tcPr>
          <w:p w14:paraId="3938527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.205</w:t>
            </w:r>
          </w:p>
        </w:tc>
        <w:tc>
          <w:tcPr>
            <w:tcW w:w="737" w:type="dxa"/>
            <w:tcBorders>
              <w:top w:val="single" w:sz="4" w:space="0" w:color="auto"/>
              <w:left w:val="nil"/>
              <w:bottom w:val="nil"/>
              <w:right w:val="nil"/>
            </w:tcBorders>
            <w:shd w:val="clear" w:color="auto" w:fill="FFFFFF"/>
            <w:vAlign w:val="center"/>
          </w:tcPr>
          <w:p w14:paraId="40BFE7EF"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.109</w:t>
            </w:r>
          </w:p>
        </w:tc>
        <w:tc>
          <w:tcPr>
            <w:tcW w:w="737" w:type="dxa"/>
            <w:tcBorders>
              <w:top w:val="single" w:sz="4" w:space="0" w:color="auto"/>
              <w:left w:val="nil"/>
              <w:bottom w:val="nil"/>
              <w:right w:val="nil"/>
            </w:tcBorders>
            <w:shd w:val="clear" w:color="auto" w:fill="FFFFFF"/>
            <w:vAlign w:val="center"/>
          </w:tcPr>
          <w:p w14:paraId="1D3193B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.277</w:t>
            </w:r>
          </w:p>
        </w:tc>
        <w:tc>
          <w:tcPr>
            <w:tcW w:w="737" w:type="dxa"/>
            <w:tcBorders>
              <w:top w:val="single" w:sz="4" w:space="0" w:color="auto"/>
              <w:left w:val="nil"/>
              <w:bottom w:val="nil"/>
              <w:right w:val="nil"/>
            </w:tcBorders>
            <w:shd w:val="clear" w:color="auto" w:fill="FFFFFF"/>
            <w:vAlign w:val="center"/>
          </w:tcPr>
          <w:p w14:paraId="11FCAFCC"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.051</w:t>
            </w:r>
          </w:p>
        </w:tc>
        <w:tc>
          <w:tcPr>
            <w:tcW w:w="737" w:type="dxa"/>
            <w:tcBorders>
              <w:top w:val="single" w:sz="4" w:space="0" w:color="auto"/>
              <w:left w:val="nil"/>
              <w:bottom w:val="nil"/>
              <w:right w:val="nil"/>
            </w:tcBorders>
            <w:shd w:val="clear" w:color="auto" w:fill="2E74B5"/>
            <w:vAlign w:val="center"/>
          </w:tcPr>
          <w:p w14:paraId="25F0D03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.855</w:t>
            </w:r>
          </w:p>
        </w:tc>
        <w:tc>
          <w:tcPr>
            <w:tcW w:w="741" w:type="dxa"/>
            <w:tcBorders>
              <w:top w:val="single" w:sz="4" w:space="0" w:color="auto"/>
              <w:left w:val="nil"/>
              <w:bottom w:val="nil"/>
              <w:right w:val="nil"/>
            </w:tcBorders>
            <w:shd w:val="clear" w:color="auto" w:fill="FFFFFF"/>
            <w:vAlign w:val="center"/>
          </w:tcPr>
          <w:p w14:paraId="226FD2A7"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.094</w:t>
            </w:r>
          </w:p>
        </w:tc>
        <w:tc>
          <w:tcPr>
            <w:tcW w:w="739" w:type="dxa"/>
            <w:tcBorders>
              <w:top w:val="single" w:sz="4" w:space="0" w:color="auto"/>
              <w:left w:val="nil"/>
              <w:bottom w:val="nil"/>
              <w:right w:val="nil"/>
            </w:tcBorders>
            <w:shd w:val="clear" w:color="auto" w:fill="FFFFFF"/>
            <w:vAlign w:val="center"/>
          </w:tcPr>
          <w:p w14:paraId="36F104E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.035</w:t>
            </w:r>
          </w:p>
        </w:tc>
      </w:tr>
      <w:tr w:rsidR="001A6391" w:rsidRPr="00787196" w14:paraId="0AA55907" w14:textId="77777777" w:rsidTr="001A6391">
        <w:trPr>
          <w:gridAfter w:val="1"/>
          <w:wAfter w:w="6" w:type="dxa"/>
          <w:trHeight w:val="424"/>
        </w:trPr>
        <w:tc>
          <w:tcPr>
            <w:tcW w:w="1756" w:type="dxa"/>
            <w:vMerge/>
            <w:tcBorders>
              <w:top w:val="nil"/>
              <w:bottom w:val="single" w:sz="4" w:space="0" w:color="auto"/>
            </w:tcBorders>
            <w:shd w:val="clear" w:color="auto" w:fill="FFFFFF"/>
            <w:vAlign w:val="center"/>
          </w:tcPr>
          <w:p w14:paraId="087B41D6"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7B995A59"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10</w:t>
            </w:r>
          </w:p>
        </w:tc>
        <w:tc>
          <w:tcPr>
            <w:tcW w:w="720" w:type="dxa"/>
            <w:tcBorders>
              <w:top w:val="nil"/>
              <w:left w:val="nil"/>
              <w:bottom w:val="single" w:sz="4" w:space="0" w:color="auto"/>
              <w:right w:val="nil"/>
            </w:tcBorders>
            <w:shd w:val="clear" w:color="auto" w:fill="FFFFFF"/>
            <w:vAlign w:val="center"/>
          </w:tcPr>
          <w:p w14:paraId="452BFD9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.025</w:t>
            </w:r>
          </w:p>
        </w:tc>
        <w:tc>
          <w:tcPr>
            <w:tcW w:w="818" w:type="dxa"/>
            <w:tcBorders>
              <w:top w:val="nil"/>
              <w:left w:val="nil"/>
              <w:bottom w:val="single" w:sz="4" w:space="0" w:color="auto"/>
              <w:right w:val="nil"/>
            </w:tcBorders>
            <w:shd w:val="clear" w:color="auto" w:fill="FFFFFF"/>
            <w:vAlign w:val="center"/>
          </w:tcPr>
          <w:p w14:paraId="43AC946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.256</w:t>
            </w:r>
          </w:p>
        </w:tc>
        <w:tc>
          <w:tcPr>
            <w:tcW w:w="737" w:type="dxa"/>
            <w:tcBorders>
              <w:top w:val="nil"/>
              <w:left w:val="nil"/>
              <w:bottom w:val="single" w:sz="4" w:space="0" w:color="auto"/>
              <w:right w:val="nil"/>
            </w:tcBorders>
            <w:shd w:val="clear" w:color="auto" w:fill="FFFFFF"/>
            <w:vAlign w:val="center"/>
          </w:tcPr>
          <w:p w14:paraId="4EC5E14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.130</w:t>
            </w:r>
          </w:p>
        </w:tc>
        <w:tc>
          <w:tcPr>
            <w:tcW w:w="737" w:type="dxa"/>
            <w:tcBorders>
              <w:top w:val="nil"/>
              <w:left w:val="nil"/>
              <w:bottom w:val="single" w:sz="4" w:space="0" w:color="auto"/>
              <w:right w:val="nil"/>
            </w:tcBorders>
            <w:shd w:val="clear" w:color="auto" w:fill="FFFFFF"/>
            <w:vAlign w:val="center"/>
          </w:tcPr>
          <w:p w14:paraId="18601A9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.205</w:t>
            </w:r>
          </w:p>
        </w:tc>
        <w:tc>
          <w:tcPr>
            <w:tcW w:w="737" w:type="dxa"/>
            <w:tcBorders>
              <w:top w:val="nil"/>
              <w:left w:val="nil"/>
              <w:bottom w:val="single" w:sz="4" w:space="0" w:color="auto"/>
              <w:right w:val="nil"/>
            </w:tcBorders>
            <w:shd w:val="clear" w:color="auto" w:fill="FFFFFF"/>
            <w:vAlign w:val="center"/>
          </w:tcPr>
          <w:p w14:paraId="39E7E1E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.082</w:t>
            </w:r>
          </w:p>
        </w:tc>
        <w:tc>
          <w:tcPr>
            <w:tcW w:w="737" w:type="dxa"/>
            <w:tcBorders>
              <w:top w:val="nil"/>
              <w:left w:val="nil"/>
              <w:bottom w:val="single" w:sz="4" w:space="0" w:color="auto"/>
              <w:right w:val="nil"/>
            </w:tcBorders>
            <w:shd w:val="clear" w:color="auto" w:fill="2E74B5"/>
            <w:vAlign w:val="center"/>
          </w:tcPr>
          <w:p w14:paraId="0FD126DE"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.922</w:t>
            </w:r>
          </w:p>
        </w:tc>
        <w:tc>
          <w:tcPr>
            <w:tcW w:w="741" w:type="dxa"/>
            <w:tcBorders>
              <w:top w:val="nil"/>
              <w:left w:val="nil"/>
              <w:bottom w:val="single" w:sz="4" w:space="0" w:color="auto"/>
              <w:right w:val="nil"/>
            </w:tcBorders>
            <w:shd w:val="clear" w:color="auto" w:fill="FFFFFF"/>
            <w:vAlign w:val="center"/>
          </w:tcPr>
          <w:p w14:paraId="65CCD9F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.079</w:t>
            </w:r>
          </w:p>
        </w:tc>
        <w:tc>
          <w:tcPr>
            <w:tcW w:w="739" w:type="dxa"/>
            <w:tcBorders>
              <w:top w:val="nil"/>
              <w:left w:val="nil"/>
              <w:bottom w:val="single" w:sz="4" w:space="0" w:color="auto"/>
              <w:right w:val="nil"/>
            </w:tcBorders>
            <w:shd w:val="clear" w:color="auto" w:fill="FFFFFF"/>
            <w:vAlign w:val="center"/>
          </w:tcPr>
          <w:p w14:paraId="7ED3490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.007</w:t>
            </w:r>
          </w:p>
        </w:tc>
      </w:tr>
      <w:tr w:rsidR="001A6391" w:rsidRPr="00787196" w14:paraId="1E241DF3" w14:textId="77777777" w:rsidTr="001A6391">
        <w:trPr>
          <w:gridAfter w:val="1"/>
          <w:wAfter w:w="6" w:type="dxa"/>
          <w:trHeight w:val="424"/>
        </w:trPr>
        <w:tc>
          <w:tcPr>
            <w:tcW w:w="1756" w:type="dxa"/>
            <w:vMerge w:val="restart"/>
            <w:tcBorders>
              <w:top w:val="single" w:sz="4" w:space="0" w:color="auto"/>
              <w:bottom w:val="nil"/>
            </w:tcBorders>
            <w:shd w:val="clear" w:color="auto" w:fill="FFFFFF"/>
            <w:vAlign w:val="center"/>
          </w:tcPr>
          <w:p w14:paraId="0455201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Religion</w:t>
            </w:r>
          </w:p>
        </w:tc>
        <w:tc>
          <w:tcPr>
            <w:tcW w:w="455" w:type="dxa"/>
            <w:tcBorders>
              <w:top w:val="single" w:sz="4" w:space="0" w:color="auto"/>
              <w:bottom w:val="nil"/>
              <w:right w:val="nil"/>
            </w:tcBorders>
            <w:shd w:val="clear" w:color="auto" w:fill="FFFFFF"/>
            <w:vAlign w:val="center"/>
          </w:tcPr>
          <w:p w14:paraId="50BD9F59"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11</w:t>
            </w:r>
          </w:p>
        </w:tc>
        <w:tc>
          <w:tcPr>
            <w:tcW w:w="720" w:type="dxa"/>
            <w:tcBorders>
              <w:top w:val="single" w:sz="4" w:space="0" w:color="auto"/>
              <w:left w:val="nil"/>
              <w:bottom w:val="nil"/>
              <w:right w:val="nil"/>
            </w:tcBorders>
            <w:shd w:val="clear" w:color="auto" w:fill="FFFFFF"/>
            <w:vAlign w:val="center"/>
          </w:tcPr>
          <w:p w14:paraId="1596F69F"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.229</w:t>
            </w:r>
          </w:p>
        </w:tc>
        <w:tc>
          <w:tcPr>
            <w:tcW w:w="818" w:type="dxa"/>
            <w:tcBorders>
              <w:top w:val="single" w:sz="4" w:space="0" w:color="auto"/>
              <w:left w:val="nil"/>
              <w:bottom w:val="nil"/>
              <w:right w:val="nil"/>
            </w:tcBorders>
            <w:shd w:val="clear" w:color="auto" w:fill="FFFFFF"/>
            <w:vAlign w:val="center"/>
          </w:tcPr>
          <w:p w14:paraId="5B7FEAB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.245</w:t>
            </w:r>
          </w:p>
        </w:tc>
        <w:tc>
          <w:tcPr>
            <w:tcW w:w="737" w:type="dxa"/>
            <w:tcBorders>
              <w:top w:val="single" w:sz="4" w:space="0" w:color="auto"/>
              <w:left w:val="nil"/>
              <w:bottom w:val="nil"/>
              <w:right w:val="nil"/>
            </w:tcBorders>
            <w:shd w:val="clear" w:color="auto" w:fill="FFFFFF"/>
            <w:vAlign w:val="center"/>
          </w:tcPr>
          <w:p w14:paraId="555BFD64"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.159</w:t>
            </w:r>
          </w:p>
        </w:tc>
        <w:tc>
          <w:tcPr>
            <w:tcW w:w="737" w:type="dxa"/>
            <w:tcBorders>
              <w:top w:val="single" w:sz="4" w:space="0" w:color="auto"/>
              <w:left w:val="nil"/>
              <w:bottom w:val="nil"/>
              <w:right w:val="nil"/>
            </w:tcBorders>
            <w:shd w:val="clear" w:color="auto" w:fill="FFFFFF"/>
            <w:vAlign w:val="center"/>
          </w:tcPr>
          <w:p w14:paraId="4514C4C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.088</w:t>
            </w:r>
          </w:p>
        </w:tc>
        <w:tc>
          <w:tcPr>
            <w:tcW w:w="737" w:type="dxa"/>
            <w:tcBorders>
              <w:top w:val="single" w:sz="4" w:space="0" w:color="auto"/>
              <w:left w:val="nil"/>
              <w:bottom w:val="nil"/>
              <w:right w:val="nil"/>
            </w:tcBorders>
            <w:shd w:val="clear" w:color="auto" w:fill="FFFFFF"/>
            <w:vAlign w:val="center"/>
          </w:tcPr>
          <w:p w14:paraId="48CE3C9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.163</w:t>
            </w:r>
          </w:p>
        </w:tc>
        <w:tc>
          <w:tcPr>
            <w:tcW w:w="737" w:type="dxa"/>
            <w:tcBorders>
              <w:top w:val="single" w:sz="4" w:space="0" w:color="auto"/>
              <w:left w:val="nil"/>
              <w:bottom w:val="nil"/>
              <w:right w:val="nil"/>
            </w:tcBorders>
            <w:shd w:val="clear" w:color="auto" w:fill="FFFFFF"/>
            <w:vAlign w:val="center"/>
          </w:tcPr>
          <w:p w14:paraId="2AF76A7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.100</w:t>
            </w:r>
          </w:p>
        </w:tc>
        <w:tc>
          <w:tcPr>
            <w:tcW w:w="741" w:type="dxa"/>
            <w:tcBorders>
              <w:top w:val="single" w:sz="4" w:space="0" w:color="auto"/>
              <w:left w:val="nil"/>
              <w:bottom w:val="nil"/>
              <w:right w:val="nil"/>
            </w:tcBorders>
            <w:shd w:val="clear" w:color="auto" w:fill="2E74B5"/>
            <w:vAlign w:val="center"/>
          </w:tcPr>
          <w:p w14:paraId="70BB0EA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.912</w:t>
            </w:r>
          </w:p>
        </w:tc>
        <w:tc>
          <w:tcPr>
            <w:tcW w:w="739" w:type="dxa"/>
            <w:tcBorders>
              <w:top w:val="single" w:sz="4" w:space="0" w:color="auto"/>
              <w:left w:val="nil"/>
              <w:bottom w:val="nil"/>
              <w:right w:val="nil"/>
            </w:tcBorders>
            <w:shd w:val="clear" w:color="auto" w:fill="FFFFFF"/>
            <w:vAlign w:val="center"/>
          </w:tcPr>
          <w:p w14:paraId="532DC67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.000</w:t>
            </w:r>
          </w:p>
        </w:tc>
      </w:tr>
      <w:tr w:rsidR="001A6391" w:rsidRPr="00787196" w14:paraId="30093CE0" w14:textId="77777777" w:rsidTr="001A6391">
        <w:trPr>
          <w:gridAfter w:val="1"/>
          <w:wAfter w:w="6" w:type="dxa"/>
          <w:trHeight w:val="424"/>
        </w:trPr>
        <w:tc>
          <w:tcPr>
            <w:tcW w:w="1756" w:type="dxa"/>
            <w:vMerge/>
            <w:tcBorders>
              <w:top w:val="nil"/>
              <w:bottom w:val="single" w:sz="4" w:space="0" w:color="auto"/>
            </w:tcBorders>
            <w:shd w:val="clear" w:color="auto" w:fill="FFFFFF"/>
            <w:vAlign w:val="center"/>
          </w:tcPr>
          <w:p w14:paraId="6A9DAEC5"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3E469DF3"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12</w:t>
            </w:r>
          </w:p>
        </w:tc>
        <w:tc>
          <w:tcPr>
            <w:tcW w:w="720" w:type="dxa"/>
            <w:tcBorders>
              <w:top w:val="nil"/>
              <w:left w:val="nil"/>
              <w:bottom w:val="single" w:sz="4" w:space="0" w:color="auto"/>
              <w:right w:val="nil"/>
            </w:tcBorders>
            <w:shd w:val="clear" w:color="auto" w:fill="FFFFFF"/>
            <w:vAlign w:val="center"/>
          </w:tcPr>
          <w:p w14:paraId="362639B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.195</w:t>
            </w:r>
          </w:p>
        </w:tc>
        <w:tc>
          <w:tcPr>
            <w:tcW w:w="818" w:type="dxa"/>
            <w:tcBorders>
              <w:top w:val="nil"/>
              <w:left w:val="nil"/>
              <w:bottom w:val="single" w:sz="4" w:space="0" w:color="auto"/>
              <w:right w:val="nil"/>
            </w:tcBorders>
            <w:shd w:val="clear" w:color="auto" w:fill="FFFFFF"/>
            <w:vAlign w:val="center"/>
          </w:tcPr>
          <w:p w14:paraId="7380CB1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.330</w:t>
            </w:r>
          </w:p>
        </w:tc>
        <w:tc>
          <w:tcPr>
            <w:tcW w:w="737" w:type="dxa"/>
            <w:tcBorders>
              <w:top w:val="nil"/>
              <w:left w:val="nil"/>
              <w:bottom w:val="single" w:sz="4" w:space="0" w:color="auto"/>
              <w:right w:val="nil"/>
            </w:tcBorders>
            <w:shd w:val="clear" w:color="auto" w:fill="FFFFFF"/>
            <w:vAlign w:val="center"/>
          </w:tcPr>
          <w:p w14:paraId="2EFB1DC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.250</w:t>
            </w:r>
          </w:p>
        </w:tc>
        <w:tc>
          <w:tcPr>
            <w:tcW w:w="737" w:type="dxa"/>
            <w:tcBorders>
              <w:top w:val="nil"/>
              <w:left w:val="nil"/>
              <w:bottom w:val="single" w:sz="4" w:space="0" w:color="auto"/>
              <w:right w:val="nil"/>
            </w:tcBorders>
            <w:shd w:val="clear" w:color="auto" w:fill="FFFFFF"/>
            <w:vAlign w:val="center"/>
          </w:tcPr>
          <w:p w14:paraId="72B108D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.112</w:t>
            </w:r>
          </w:p>
        </w:tc>
        <w:tc>
          <w:tcPr>
            <w:tcW w:w="737" w:type="dxa"/>
            <w:tcBorders>
              <w:top w:val="nil"/>
              <w:left w:val="nil"/>
              <w:bottom w:val="single" w:sz="4" w:space="0" w:color="auto"/>
              <w:right w:val="nil"/>
            </w:tcBorders>
            <w:shd w:val="clear" w:color="auto" w:fill="FFFFFF"/>
            <w:vAlign w:val="center"/>
          </w:tcPr>
          <w:p w14:paraId="0CAC315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.131</w:t>
            </w:r>
          </w:p>
        </w:tc>
        <w:tc>
          <w:tcPr>
            <w:tcW w:w="737" w:type="dxa"/>
            <w:tcBorders>
              <w:top w:val="nil"/>
              <w:left w:val="nil"/>
              <w:bottom w:val="single" w:sz="4" w:space="0" w:color="auto"/>
              <w:right w:val="nil"/>
            </w:tcBorders>
            <w:shd w:val="clear" w:color="auto" w:fill="FFFFFF"/>
            <w:vAlign w:val="center"/>
          </w:tcPr>
          <w:p w14:paraId="44EE84F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.072</w:t>
            </w:r>
          </w:p>
        </w:tc>
        <w:tc>
          <w:tcPr>
            <w:tcW w:w="741" w:type="dxa"/>
            <w:tcBorders>
              <w:top w:val="nil"/>
              <w:left w:val="nil"/>
              <w:bottom w:val="single" w:sz="4" w:space="0" w:color="auto"/>
              <w:right w:val="nil"/>
            </w:tcBorders>
            <w:shd w:val="clear" w:color="auto" w:fill="2E74B5"/>
            <w:vAlign w:val="center"/>
          </w:tcPr>
          <w:p w14:paraId="0D6EE85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.915</w:t>
            </w:r>
          </w:p>
        </w:tc>
        <w:tc>
          <w:tcPr>
            <w:tcW w:w="739" w:type="dxa"/>
            <w:tcBorders>
              <w:top w:val="nil"/>
              <w:left w:val="nil"/>
              <w:bottom w:val="single" w:sz="4" w:space="0" w:color="auto"/>
              <w:right w:val="nil"/>
            </w:tcBorders>
            <w:shd w:val="clear" w:color="auto" w:fill="FFFFFF"/>
            <w:vAlign w:val="center"/>
          </w:tcPr>
          <w:p w14:paraId="72D3524D"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.054</w:t>
            </w:r>
          </w:p>
        </w:tc>
      </w:tr>
      <w:tr w:rsidR="001A6391" w:rsidRPr="00787196" w14:paraId="61A8C6C7" w14:textId="77777777" w:rsidTr="001A6391">
        <w:trPr>
          <w:gridAfter w:val="1"/>
          <w:wAfter w:w="6" w:type="dxa"/>
          <w:trHeight w:val="424"/>
        </w:trPr>
        <w:tc>
          <w:tcPr>
            <w:tcW w:w="1756" w:type="dxa"/>
            <w:vMerge w:val="restart"/>
            <w:tcBorders>
              <w:top w:val="single" w:sz="4" w:space="0" w:color="auto"/>
              <w:bottom w:val="nil"/>
            </w:tcBorders>
            <w:shd w:val="clear" w:color="auto" w:fill="FFFFFF"/>
            <w:vAlign w:val="center"/>
          </w:tcPr>
          <w:p w14:paraId="6D711C3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Emotional</w:t>
            </w:r>
          </w:p>
        </w:tc>
        <w:tc>
          <w:tcPr>
            <w:tcW w:w="455" w:type="dxa"/>
            <w:tcBorders>
              <w:top w:val="single" w:sz="4" w:space="0" w:color="auto"/>
              <w:bottom w:val="nil"/>
              <w:right w:val="nil"/>
            </w:tcBorders>
            <w:shd w:val="clear" w:color="auto" w:fill="FFFFFF"/>
            <w:vAlign w:val="center"/>
          </w:tcPr>
          <w:p w14:paraId="27553936"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13</w:t>
            </w:r>
          </w:p>
        </w:tc>
        <w:tc>
          <w:tcPr>
            <w:tcW w:w="720" w:type="dxa"/>
            <w:tcBorders>
              <w:top w:val="single" w:sz="4" w:space="0" w:color="auto"/>
              <w:left w:val="nil"/>
              <w:bottom w:val="nil"/>
              <w:right w:val="nil"/>
            </w:tcBorders>
            <w:shd w:val="clear" w:color="auto" w:fill="FFFFFF"/>
            <w:vAlign w:val="center"/>
          </w:tcPr>
          <w:p w14:paraId="0B809992"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.198</w:t>
            </w:r>
          </w:p>
        </w:tc>
        <w:tc>
          <w:tcPr>
            <w:tcW w:w="818" w:type="dxa"/>
            <w:tcBorders>
              <w:top w:val="single" w:sz="4" w:space="0" w:color="auto"/>
              <w:left w:val="nil"/>
              <w:bottom w:val="nil"/>
              <w:right w:val="nil"/>
            </w:tcBorders>
            <w:shd w:val="clear" w:color="auto" w:fill="FFFFFF"/>
            <w:vAlign w:val="center"/>
          </w:tcPr>
          <w:p w14:paraId="5F903E6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.184</w:t>
            </w:r>
          </w:p>
        </w:tc>
        <w:tc>
          <w:tcPr>
            <w:tcW w:w="737" w:type="dxa"/>
            <w:tcBorders>
              <w:top w:val="single" w:sz="4" w:space="0" w:color="auto"/>
              <w:left w:val="nil"/>
              <w:bottom w:val="nil"/>
              <w:right w:val="nil"/>
            </w:tcBorders>
            <w:shd w:val="clear" w:color="auto" w:fill="2E74B5"/>
            <w:vAlign w:val="center"/>
          </w:tcPr>
          <w:p w14:paraId="3BB77A8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.605</w:t>
            </w:r>
          </w:p>
        </w:tc>
        <w:tc>
          <w:tcPr>
            <w:tcW w:w="737" w:type="dxa"/>
            <w:tcBorders>
              <w:top w:val="single" w:sz="4" w:space="0" w:color="auto"/>
              <w:left w:val="nil"/>
              <w:bottom w:val="nil"/>
              <w:right w:val="nil"/>
            </w:tcBorders>
            <w:shd w:val="clear" w:color="auto" w:fill="FFFFFF"/>
            <w:vAlign w:val="center"/>
          </w:tcPr>
          <w:p w14:paraId="08E5010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.091</w:t>
            </w:r>
          </w:p>
        </w:tc>
        <w:tc>
          <w:tcPr>
            <w:tcW w:w="737" w:type="dxa"/>
            <w:tcBorders>
              <w:top w:val="single" w:sz="4" w:space="0" w:color="auto"/>
              <w:left w:val="nil"/>
              <w:bottom w:val="nil"/>
              <w:right w:val="nil"/>
            </w:tcBorders>
            <w:shd w:val="clear" w:color="auto" w:fill="FFFFFF"/>
            <w:vAlign w:val="center"/>
          </w:tcPr>
          <w:p w14:paraId="546493C0"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-.047</w:t>
            </w:r>
          </w:p>
        </w:tc>
        <w:tc>
          <w:tcPr>
            <w:tcW w:w="737" w:type="dxa"/>
            <w:tcBorders>
              <w:top w:val="single" w:sz="4" w:space="0" w:color="auto"/>
              <w:left w:val="nil"/>
              <w:bottom w:val="nil"/>
              <w:right w:val="nil"/>
            </w:tcBorders>
            <w:shd w:val="clear" w:color="auto" w:fill="FFFFFF"/>
            <w:vAlign w:val="center"/>
          </w:tcPr>
          <w:p w14:paraId="3185076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.134</w:t>
            </w:r>
          </w:p>
        </w:tc>
        <w:tc>
          <w:tcPr>
            <w:tcW w:w="741" w:type="dxa"/>
            <w:tcBorders>
              <w:top w:val="single" w:sz="4" w:space="0" w:color="auto"/>
              <w:left w:val="nil"/>
              <w:bottom w:val="nil"/>
              <w:right w:val="nil"/>
            </w:tcBorders>
            <w:shd w:val="clear" w:color="auto" w:fill="FFFFFF"/>
            <w:vAlign w:val="center"/>
          </w:tcPr>
          <w:p w14:paraId="577A3F1B"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.277</w:t>
            </w:r>
          </w:p>
        </w:tc>
        <w:tc>
          <w:tcPr>
            <w:tcW w:w="739" w:type="dxa"/>
            <w:tcBorders>
              <w:top w:val="single" w:sz="4" w:space="0" w:color="auto"/>
              <w:left w:val="nil"/>
              <w:bottom w:val="nil"/>
              <w:right w:val="nil"/>
            </w:tcBorders>
            <w:shd w:val="clear" w:color="auto" w:fill="FFFFFF"/>
            <w:vAlign w:val="center"/>
          </w:tcPr>
          <w:p w14:paraId="07D3C13C"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.114</w:t>
            </w:r>
          </w:p>
        </w:tc>
      </w:tr>
      <w:tr w:rsidR="001A6391" w:rsidRPr="00787196" w14:paraId="280E68FC" w14:textId="77777777" w:rsidTr="001A6391">
        <w:trPr>
          <w:gridAfter w:val="1"/>
          <w:wAfter w:w="6" w:type="dxa"/>
          <w:trHeight w:val="433"/>
        </w:trPr>
        <w:tc>
          <w:tcPr>
            <w:tcW w:w="1756" w:type="dxa"/>
            <w:vMerge/>
            <w:tcBorders>
              <w:top w:val="nil"/>
              <w:bottom w:val="single" w:sz="4" w:space="0" w:color="auto"/>
            </w:tcBorders>
            <w:shd w:val="clear" w:color="auto" w:fill="FFFFFF"/>
            <w:vAlign w:val="center"/>
          </w:tcPr>
          <w:p w14:paraId="22DEB209"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5460D2C4"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14</w:t>
            </w:r>
          </w:p>
        </w:tc>
        <w:tc>
          <w:tcPr>
            <w:tcW w:w="720" w:type="dxa"/>
            <w:tcBorders>
              <w:top w:val="nil"/>
              <w:left w:val="nil"/>
              <w:bottom w:val="single" w:sz="4" w:space="0" w:color="auto"/>
              <w:right w:val="nil"/>
            </w:tcBorders>
            <w:shd w:val="clear" w:color="auto" w:fill="FFFFFF"/>
            <w:vAlign w:val="center"/>
          </w:tcPr>
          <w:p w14:paraId="21829EB1"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.160</w:t>
            </w:r>
          </w:p>
        </w:tc>
        <w:tc>
          <w:tcPr>
            <w:tcW w:w="818" w:type="dxa"/>
            <w:tcBorders>
              <w:top w:val="nil"/>
              <w:left w:val="nil"/>
              <w:bottom w:val="single" w:sz="4" w:space="0" w:color="auto"/>
              <w:right w:val="nil"/>
            </w:tcBorders>
            <w:shd w:val="clear" w:color="auto" w:fill="FFFFFF"/>
            <w:vAlign w:val="center"/>
          </w:tcPr>
          <w:p w14:paraId="2B0EBEF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.233</w:t>
            </w:r>
          </w:p>
        </w:tc>
        <w:tc>
          <w:tcPr>
            <w:tcW w:w="737" w:type="dxa"/>
            <w:tcBorders>
              <w:top w:val="nil"/>
              <w:left w:val="nil"/>
              <w:bottom w:val="single" w:sz="4" w:space="0" w:color="auto"/>
              <w:right w:val="nil"/>
            </w:tcBorders>
            <w:shd w:val="clear" w:color="auto" w:fill="2E74B5"/>
            <w:vAlign w:val="center"/>
          </w:tcPr>
          <w:p w14:paraId="6FC0312A"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.672</w:t>
            </w:r>
          </w:p>
        </w:tc>
        <w:tc>
          <w:tcPr>
            <w:tcW w:w="737" w:type="dxa"/>
            <w:tcBorders>
              <w:top w:val="nil"/>
              <w:left w:val="nil"/>
              <w:bottom w:val="single" w:sz="4" w:space="0" w:color="auto"/>
              <w:right w:val="nil"/>
            </w:tcBorders>
            <w:shd w:val="clear" w:color="auto" w:fill="FFFFFF"/>
            <w:vAlign w:val="center"/>
          </w:tcPr>
          <w:p w14:paraId="3B2AFDA3"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-.043</w:t>
            </w:r>
          </w:p>
        </w:tc>
        <w:tc>
          <w:tcPr>
            <w:tcW w:w="737" w:type="dxa"/>
            <w:tcBorders>
              <w:top w:val="nil"/>
              <w:left w:val="nil"/>
              <w:bottom w:val="single" w:sz="4" w:space="0" w:color="auto"/>
              <w:right w:val="nil"/>
            </w:tcBorders>
            <w:shd w:val="clear" w:color="auto" w:fill="FFFFFF"/>
            <w:vAlign w:val="center"/>
          </w:tcPr>
          <w:p w14:paraId="7B5126E9"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-.132</w:t>
            </w:r>
          </w:p>
        </w:tc>
        <w:tc>
          <w:tcPr>
            <w:tcW w:w="737" w:type="dxa"/>
            <w:tcBorders>
              <w:top w:val="nil"/>
              <w:left w:val="nil"/>
              <w:bottom w:val="single" w:sz="4" w:space="0" w:color="auto"/>
              <w:right w:val="nil"/>
            </w:tcBorders>
            <w:shd w:val="clear" w:color="auto" w:fill="FFFFFF"/>
            <w:vAlign w:val="center"/>
          </w:tcPr>
          <w:p w14:paraId="734EAA88"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.068</w:t>
            </w:r>
          </w:p>
        </w:tc>
        <w:tc>
          <w:tcPr>
            <w:tcW w:w="741" w:type="dxa"/>
            <w:tcBorders>
              <w:top w:val="nil"/>
              <w:left w:val="nil"/>
              <w:bottom w:val="single" w:sz="4" w:space="0" w:color="auto"/>
              <w:right w:val="nil"/>
            </w:tcBorders>
            <w:shd w:val="clear" w:color="auto" w:fill="FFFFFF"/>
            <w:vAlign w:val="center"/>
          </w:tcPr>
          <w:p w14:paraId="2BF12735"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.181</w:t>
            </w:r>
          </w:p>
        </w:tc>
        <w:tc>
          <w:tcPr>
            <w:tcW w:w="739" w:type="dxa"/>
            <w:tcBorders>
              <w:top w:val="nil"/>
              <w:left w:val="nil"/>
              <w:bottom w:val="single" w:sz="4" w:space="0" w:color="auto"/>
              <w:right w:val="nil"/>
            </w:tcBorders>
            <w:shd w:val="clear" w:color="auto" w:fill="FFFFFF"/>
            <w:vAlign w:val="center"/>
          </w:tcPr>
          <w:p w14:paraId="5D79E336" w14:textId="77777777" w:rsidR="001A6391" w:rsidRPr="00787196" w:rsidRDefault="001A6391" w:rsidP="001A6391">
            <w:pPr>
              <w:spacing w:before="0" w:after="0" w:line="240" w:lineRule="auto"/>
              <w:jc w:val="center"/>
              <w:rPr>
                <w:rFonts w:cs="Arial"/>
                <w:sz w:val="18"/>
                <w:szCs w:val="18"/>
              </w:rPr>
            </w:pPr>
            <w:r w:rsidRPr="00787196">
              <w:rPr>
                <w:rFonts w:cs="Arial"/>
                <w:sz w:val="18"/>
                <w:szCs w:val="18"/>
              </w:rPr>
              <w:t>.129</w:t>
            </w:r>
          </w:p>
        </w:tc>
      </w:tr>
      <w:tr w:rsidR="001A6391" w:rsidRPr="00787196" w14:paraId="3E35245A" w14:textId="77777777" w:rsidTr="001A6391">
        <w:trPr>
          <w:gridAfter w:val="1"/>
          <w:wAfter w:w="6" w:type="dxa"/>
          <w:trHeight w:val="348"/>
        </w:trPr>
        <w:tc>
          <w:tcPr>
            <w:tcW w:w="1756" w:type="dxa"/>
            <w:vMerge w:val="restart"/>
            <w:tcBorders>
              <w:top w:val="single" w:sz="4" w:space="0" w:color="auto"/>
              <w:bottom w:val="nil"/>
            </w:tcBorders>
            <w:shd w:val="clear" w:color="auto" w:fill="FFFFFF"/>
            <w:vAlign w:val="center"/>
          </w:tcPr>
          <w:p w14:paraId="4BDE4145"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Instrumental</w:t>
            </w:r>
          </w:p>
        </w:tc>
        <w:tc>
          <w:tcPr>
            <w:tcW w:w="455" w:type="dxa"/>
            <w:tcBorders>
              <w:top w:val="single" w:sz="4" w:space="0" w:color="auto"/>
              <w:bottom w:val="nil"/>
              <w:right w:val="nil"/>
            </w:tcBorders>
            <w:shd w:val="clear" w:color="auto" w:fill="FFFFFF"/>
            <w:vAlign w:val="center"/>
          </w:tcPr>
          <w:p w14:paraId="287AD6F9"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15</w:t>
            </w:r>
          </w:p>
        </w:tc>
        <w:tc>
          <w:tcPr>
            <w:tcW w:w="720" w:type="dxa"/>
            <w:tcBorders>
              <w:top w:val="single" w:sz="4" w:space="0" w:color="auto"/>
              <w:left w:val="nil"/>
              <w:bottom w:val="nil"/>
              <w:right w:val="nil"/>
            </w:tcBorders>
            <w:shd w:val="clear" w:color="auto" w:fill="FFFFFF"/>
            <w:vAlign w:val="center"/>
          </w:tcPr>
          <w:p w14:paraId="0B95DF4F" w14:textId="77777777" w:rsidR="001A6391" w:rsidRPr="00787196" w:rsidRDefault="001A6391" w:rsidP="001A6391">
            <w:pPr>
              <w:spacing w:before="0" w:after="0"/>
              <w:jc w:val="center"/>
              <w:rPr>
                <w:sz w:val="18"/>
                <w:szCs w:val="18"/>
              </w:rPr>
            </w:pPr>
            <w:r w:rsidRPr="00787196">
              <w:rPr>
                <w:sz w:val="18"/>
                <w:szCs w:val="18"/>
              </w:rPr>
              <w:t>.175</w:t>
            </w:r>
          </w:p>
        </w:tc>
        <w:tc>
          <w:tcPr>
            <w:tcW w:w="818" w:type="dxa"/>
            <w:tcBorders>
              <w:top w:val="single" w:sz="4" w:space="0" w:color="auto"/>
              <w:left w:val="nil"/>
              <w:bottom w:val="nil"/>
              <w:right w:val="nil"/>
            </w:tcBorders>
            <w:shd w:val="clear" w:color="auto" w:fill="FFFFFF"/>
            <w:vAlign w:val="center"/>
          </w:tcPr>
          <w:p w14:paraId="0FA48CCE" w14:textId="77777777" w:rsidR="001A6391" w:rsidRPr="00787196" w:rsidRDefault="001A6391" w:rsidP="001A6391">
            <w:pPr>
              <w:spacing w:before="0" w:after="0"/>
              <w:jc w:val="center"/>
              <w:rPr>
                <w:sz w:val="18"/>
                <w:szCs w:val="18"/>
              </w:rPr>
            </w:pPr>
            <w:r w:rsidRPr="00787196">
              <w:rPr>
                <w:sz w:val="18"/>
                <w:szCs w:val="18"/>
              </w:rPr>
              <w:t>.308</w:t>
            </w:r>
          </w:p>
        </w:tc>
        <w:tc>
          <w:tcPr>
            <w:tcW w:w="737" w:type="dxa"/>
            <w:tcBorders>
              <w:top w:val="single" w:sz="4" w:space="0" w:color="auto"/>
              <w:left w:val="nil"/>
              <w:bottom w:val="nil"/>
              <w:right w:val="nil"/>
            </w:tcBorders>
            <w:shd w:val="clear" w:color="auto" w:fill="2E74B5"/>
            <w:vAlign w:val="center"/>
          </w:tcPr>
          <w:p w14:paraId="36BA69AB" w14:textId="77777777" w:rsidR="001A6391" w:rsidRPr="00787196" w:rsidRDefault="001A6391" w:rsidP="001A6391">
            <w:pPr>
              <w:spacing w:before="0" w:after="0"/>
              <w:jc w:val="center"/>
              <w:rPr>
                <w:sz w:val="18"/>
                <w:szCs w:val="18"/>
              </w:rPr>
            </w:pPr>
            <w:r w:rsidRPr="00787196">
              <w:rPr>
                <w:sz w:val="18"/>
                <w:szCs w:val="18"/>
              </w:rPr>
              <w:t>.677</w:t>
            </w:r>
          </w:p>
        </w:tc>
        <w:tc>
          <w:tcPr>
            <w:tcW w:w="737" w:type="dxa"/>
            <w:tcBorders>
              <w:top w:val="single" w:sz="4" w:space="0" w:color="auto"/>
              <w:left w:val="nil"/>
              <w:bottom w:val="nil"/>
              <w:right w:val="nil"/>
            </w:tcBorders>
            <w:shd w:val="clear" w:color="auto" w:fill="FFFFFF"/>
            <w:vAlign w:val="center"/>
          </w:tcPr>
          <w:p w14:paraId="28748CC1" w14:textId="77777777" w:rsidR="001A6391" w:rsidRPr="00787196" w:rsidRDefault="001A6391" w:rsidP="001A6391">
            <w:pPr>
              <w:spacing w:before="0" w:after="0"/>
              <w:jc w:val="center"/>
              <w:rPr>
                <w:sz w:val="18"/>
                <w:szCs w:val="18"/>
              </w:rPr>
            </w:pPr>
            <w:r w:rsidRPr="00787196">
              <w:rPr>
                <w:sz w:val="18"/>
                <w:szCs w:val="18"/>
              </w:rPr>
              <w:t>.095</w:t>
            </w:r>
          </w:p>
        </w:tc>
        <w:tc>
          <w:tcPr>
            <w:tcW w:w="737" w:type="dxa"/>
            <w:tcBorders>
              <w:top w:val="single" w:sz="4" w:space="0" w:color="auto"/>
              <w:left w:val="nil"/>
              <w:bottom w:val="nil"/>
              <w:right w:val="nil"/>
            </w:tcBorders>
            <w:shd w:val="clear" w:color="auto" w:fill="FFFFFF"/>
            <w:vAlign w:val="center"/>
          </w:tcPr>
          <w:p w14:paraId="1A489478" w14:textId="77777777" w:rsidR="001A6391" w:rsidRPr="00787196" w:rsidRDefault="001A6391" w:rsidP="001A6391">
            <w:pPr>
              <w:spacing w:before="0" w:after="0"/>
              <w:jc w:val="center"/>
              <w:rPr>
                <w:sz w:val="18"/>
                <w:szCs w:val="18"/>
              </w:rPr>
            </w:pPr>
            <w:r w:rsidRPr="00787196">
              <w:rPr>
                <w:sz w:val="18"/>
                <w:szCs w:val="18"/>
              </w:rPr>
              <w:t>-.002</w:t>
            </w:r>
          </w:p>
        </w:tc>
        <w:tc>
          <w:tcPr>
            <w:tcW w:w="737" w:type="dxa"/>
            <w:tcBorders>
              <w:top w:val="single" w:sz="4" w:space="0" w:color="auto"/>
              <w:left w:val="nil"/>
              <w:bottom w:val="nil"/>
              <w:right w:val="nil"/>
            </w:tcBorders>
            <w:shd w:val="clear" w:color="auto" w:fill="FFFFFF"/>
            <w:vAlign w:val="center"/>
          </w:tcPr>
          <w:p w14:paraId="6D747697" w14:textId="77777777" w:rsidR="001A6391" w:rsidRPr="00787196" w:rsidRDefault="001A6391" w:rsidP="001A6391">
            <w:pPr>
              <w:spacing w:before="0" w:after="0"/>
              <w:jc w:val="center"/>
              <w:rPr>
                <w:sz w:val="18"/>
                <w:szCs w:val="18"/>
              </w:rPr>
            </w:pPr>
            <w:r w:rsidRPr="00787196">
              <w:rPr>
                <w:sz w:val="18"/>
                <w:szCs w:val="18"/>
              </w:rPr>
              <w:t>.085</w:t>
            </w:r>
          </w:p>
        </w:tc>
        <w:tc>
          <w:tcPr>
            <w:tcW w:w="741" w:type="dxa"/>
            <w:tcBorders>
              <w:top w:val="single" w:sz="4" w:space="0" w:color="auto"/>
              <w:left w:val="nil"/>
              <w:bottom w:val="nil"/>
              <w:right w:val="nil"/>
            </w:tcBorders>
            <w:shd w:val="clear" w:color="auto" w:fill="FFFFFF"/>
            <w:vAlign w:val="center"/>
          </w:tcPr>
          <w:p w14:paraId="27F66522" w14:textId="77777777" w:rsidR="001A6391" w:rsidRPr="00787196" w:rsidRDefault="001A6391" w:rsidP="001A6391">
            <w:pPr>
              <w:spacing w:before="0" w:after="0"/>
              <w:jc w:val="center"/>
              <w:rPr>
                <w:sz w:val="18"/>
                <w:szCs w:val="18"/>
              </w:rPr>
            </w:pPr>
            <w:r w:rsidRPr="00787196">
              <w:rPr>
                <w:sz w:val="18"/>
                <w:szCs w:val="18"/>
              </w:rPr>
              <w:t>.078</w:t>
            </w:r>
          </w:p>
        </w:tc>
        <w:tc>
          <w:tcPr>
            <w:tcW w:w="739" w:type="dxa"/>
            <w:tcBorders>
              <w:top w:val="single" w:sz="4" w:space="0" w:color="auto"/>
              <w:left w:val="nil"/>
              <w:bottom w:val="nil"/>
              <w:right w:val="nil"/>
            </w:tcBorders>
            <w:shd w:val="clear" w:color="auto" w:fill="FFFFFF"/>
            <w:vAlign w:val="center"/>
          </w:tcPr>
          <w:p w14:paraId="3292A0F2" w14:textId="77777777" w:rsidR="001A6391" w:rsidRPr="00787196" w:rsidRDefault="001A6391" w:rsidP="001A6391">
            <w:pPr>
              <w:spacing w:before="0" w:after="0"/>
              <w:jc w:val="center"/>
              <w:rPr>
                <w:sz w:val="18"/>
                <w:szCs w:val="18"/>
              </w:rPr>
            </w:pPr>
            <w:r w:rsidRPr="00787196">
              <w:rPr>
                <w:sz w:val="18"/>
                <w:szCs w:val="18"/>
              </w:rPr>
              <w:t>.150</w:t>
            </w:r>
          </w:p>
        </w:tc>
      </w:tr>
      <w:tr w:rsidR="001A6391" w:rsidRPr="00787196" w14:paraId="79B094B0" w14:textId="77777777" w:rsidTr="001A6391">
        <w:trPr>
          <w:gridAfter w:val="1"/>
          <w:wAfter w:w="6" w:type="dxa"/>
          <w:trHeight w:val="271"/>
        </w:trPr>
        <w:tc>
          <w:tcPr>
            <w:tcW w:w="1756" w:type="dxa"/>
            <w:vMerge/>
            <w:tcBorders>
              <w:top w:val="nil"/>
              <w:bottom w:val="single" w:sz="4" w:space="0" w:color="auto"/>
            </w:tcBorders>
            <w:shd w:val="clear" w:color="auto" w:fill="FFFFFF"/>
            <w:vAlign w:val="center"/>
          </w:tcPr>
          <w:p w14:paraId="17C072A1"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4CFA4D79"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16</w:t>
            </w:r>
          </w:p>
        </w:tc>
        <w:tc>
          <w:tcPr>
            <w:tcW w:w="720" w:type="dxa"/>
            <w:tcBorders>
              <w:top w:val="nil"/>
              <w:left w:val="nil"/>
              <w:bottom w:val="single" w:sz="4" w:space="0" w:color="auto"/>
              <w:right w:val="nil"/>
            </w:tcBorders>
            <w:shd w:val="clear" w:color="auto" w:fill="FFFFFF"/>
            <w:vAlign w:val="center"/>
          </w:tcPr>
          <w:p w14:paraId="397B03A2" w14:textId="77777777" w:rsidR="001A6391" w:rsidRPr="00787196" w:rsidRDefault="001A6391" w:rsidP="001A6391">
            <w:pPr>
              <w:spacing w:before="0" w:after="0"/>
              <w:jc w:val="center"/>
              <w:rPr>
                <w:sz w:val="18"/>
                <w:szCs w:val="18"/>
              </w:rPr>
            </w:pPr>
            <w:r w:rsidRPr="00787196">
              <w:rPr>
                <w:sz w:val="18"/>
                <w:szCs w:val="18"/>
              </w:rPr>
              <w:t>.070</w:t>
            </w:r>
          </w:p>
        </w:tc>
        <w:tc>
          <w:tcPr>
            <w:tcW w:w="818" w:type="dxa"/>
            <w:tcBorders>
              <w:top w:val="nil"/>
              <w:left w:val="nil"/>
              <w:bottom w:val="single" w:sz="4" w:space="0" w:color="auto"/>
              <w:right w:val="nil"/>
            </w:tcBorders>
            <w:shd w:val="clear" w:color="auto" w:fill="FFFFFF"/>
            <w:vAlign w:val="center"/>
          </w:tcPr>
          <w:p w14:paraId="3F472E2D" w14:textId="77777777" w:rsidR="001A6391" w:rsidRPr="00787196" w:rsidRDefault="001A6391" w:rsidP="001A6391">
            <w:pPr>
              <w:spacing w:before="0" w:after="0"/>
              <w:jc w:val="center"/>
              <w:rPr>
                <w:sz w:val="18"/>
                <w:szCs w:val="18"/>
              </w:rPr>
            </w:pPr>
            <w:r w:rsidRPr="00787196">
              <w:rPr>
                <w:sz w:val="18"/>
                <w:szCs w:val="18"/>
              </w:rPr>
              <w:t>.286</w:t>
            </w:r>
          </w:p>
        </w:tc>
        <w:tc>
          <w:tcPr>
            <w:tcW w:w="737" w:type="dxa"/>
            <w:tcBorders>
              <w:top w:val="nil"/>
              <w:left w:val="nil"/>
              <w:bottom w:val="single" w:sz="4" w:space="0" w:color="auto"/>
              <w:right w:val="nil"/>
            </w:tcBorders>
            <w:shd w:val="clear" w:color="auto" w:fill="2E74B5"/>
            <w:vAlign w:val="center"/>
          </w:tcPr>
          <w:p w14:paraId="28C34366" w14:textId="77777777" w:rsidR="001A6391" w:rsidRPr="00787196" w:rsidRDefault="001A6391" w:rsidP="001A6391">
            <w:pPr>
              <w:spacing w:before="0" w:after="0"/>
              <w:jc w:val="center"/>
              <w:rPr>
                <w:sz w:val="18"/>
                <w:szCs w:val="18"/>
              </w:rPr>
            </w:pPr>
            <w:r w:rsidRPr="00787196">
              <w:rPr>
                <w:sz w:val="18"/>
                <w:szCs w:val="18"/>
              </w:rPr>
              <w:t>.762</w:t>
            </w:r>
          </w:p>
        </w:tc>
        <w:tc>
          <w:tcPr>
            <w:tcW w:w="737" w:type="dxa"/>
            <w:tcBorders>
              <w:top w:val="nil"/>
              <w:left w:val="nil"/>
              <w:bottom w:val="single" w:sz="4" w:space="0" w:color="auto"/>
              <w:right w:val="nil"/>
            </w:tcBorders>
            <w:shd w:val="clear" w:color="auto" w:fill="FFFFFF"/>
            <w:vAlign w:val="center"/>
          </w:tcPr>
          <w:p w14:paraId="65FD6BBB" w14:textId="77777777" w:rsidR="001A6391" w:rsidRPr="00787196" w:rsidRDefault="001A6391" w:rsidP="001A6391">
            <w:pPr>
              <w:spacing w:before="0" w:after="0"/>
              <w:jc w:val="center"/>
              <w:rPr>
                <w:sz w:val="18"/>
                <w:szCs w:val="18"/>
              </w:rPr>
            </w:pPr>
            <w:r w:rsidRPr="00787196">
              <w:rPr>
                <w:sz w:val="18"/>
                <w:szCs w:val="18"/>
              </w:rPr>
              <w:t>.135</w:t>
            </w:r>
          </w:p>
        </w:tc>
        <w:tc>
          <w:tcPr>
            <w:tcW w:w="737" w:type="dxa"/>
            <w:tcBorders>
              <w:top w:val="nil"/>
              <w:left w:val="nil"/>
              <w:bottom w:val="single" w:sz="4" w:space="0" w:color="auto"/>
              <w:right w:val="nil"/>
            </w:tcBorders>
            <w:shd w:val="clear" w:color="auto" w:fill="FFFFFF"/>
            <w:vAlign w:val="center"/>
          </w:tcPr>
          <w:p w14:paraId="461AD04E" w14:textId="77777777" w:rsidR="001A6391" w:rsidRPr="00787196" w:rsidRDefault="001A6391" w:rsidP="001A6391">
            <w:pPr>
              <w:spacing w:before="0" w:after="0"/>
              <w:jc w:val="center"/>
              <w:rPr>
                <w:sz w:val="18"/>
                <w:szCs w:val="18"/>
              </w:rPr>
            </w:pPr>
            <w:r w:rsidRPr="00787196">
              <w:rPr>
                <w:sz w:val="18"/>
                <w:szCs w:val="18"/>
              </w:rPr>
              <w:t>.121</w:t>
            </w:r>
          </w:p>
        </w:tc>
        <w:tc>
          <w:tcPr>
            <w:tcW w:w="737" w:type="dxa"/>
            <w:tcBorders>
              <w:top w:val="nil"/>
              <w:left w:val="nil"/>
              <w:bottom w:val="single" w:sz="4" w:space="0" w:color="auto"/>
              <w:right w:val="nil"/>
            </w:tcBorders>
            <w:shd w:val="clear" w:color="auto" w:fill="FFFFFF"/>
            <w:vAlign w:val="center"/>
          </w:tcPr>
          <w:p w14:paraId="0DB62558" w14:textId="77777777" w:rsidR="001A6391" w:rsidRPr="00787196" w:rsidRDefault="001A6391" w:rsidP="001A6391">
            <w:pPr>
              <w:spacing w:before="0" w:after="0"/>
              <w:jc w:val="center"/>
              <w:rPr>
                <w:sz w:val="18"/>
                <w:szCs w:val="18"/>
              </w:rPr>
            </w:pPr>
            <w:r w:rsidRPr="00787196">
              <w:rPr>
                <w:sz w:val="18"/>
                <w:szCs w:val="18"/>
              </w:rPr>
              <w:t>.072</w:t>
            </w:r>
          </w:p>
        </w:tc>
        <w:tc>
          <w:tcPr>
            <w:tcW w:w="741" w:type="dxa"/>
            <w:tcBorders>
              <w:top w:val="nil"/>
              <w:left w:val="nil"/>
              <w:bottom w:val="single" w:sz="4" w:space="0" w:color="auto"/>
              <w:right w:val="nil"/>
            </w:tcBorders>
            <w:shd w:val="clear" w:color="auto" w:fill="FFFFFF"/>
            <w:vAlign w:val="center"/>
          </w:tcPr>
          <w:p w14:paraId="1FC34EC1" w14:textId="77777777" w:rsidR="001A6391" w:rsidRPr="00787196" w:rsidRDefault="001A6391" w:rsidP="001A6391">
            <w:pPr>
              <w:spacing w:before="0" w:after="0"/>
              <w:jc w:val="center"/>
              <w:rPr>
                <w:sz w:val="18"/>
                <w:szCs w:val="18"/>
              </w:rPr>
            </w:pPr>
            <w:r w:rsidRPr="00787196">
              <w:rPr>
                <w:sz w:val="18"/>
                <w:szCs w:val="18"/>
              </w:rPr>
              <w:t>.107</w:t>
            </w:r>
          </w:p>
        </w:tc>
        <w:tc>
          <w:tcPr>
            <w:tcW w:w="739" w:type="dxa"/>
            <w:tcBorders>
              <w:top w:val="nil"/>
              <w:left w:val="nil"/>
              <w:bottom w:val="single" w:sz="4" w:space="0" w:color="auto"/>
              <w:right w:val="nil"/>
            </w:tcBorders>
            <w:shd w:val="clear" w:color="auto" w:fill="FFFFFF"/>
            <w:vAlign w:val="center"/>
          </w:tcPr>
          <w:p w14:paraId="22B0F4EB" w14:textId="77777777" w:rsidR="001A6391" w:rsidRPr="00787196" w:rsidRDefault="001A6391" w:rsidP="001A6391">
            <w:pPr>
              <w:spacing w:before="0" w:after="0"/>
              <w:jc w:val="center"/>
              <w:rPr>
                <w:sz w:val="18"/>
                <w:szCs w:val="18"/>
              </w:rPr>
            </w:pPr>
            <w:r w:rsidRPr="00787196">
              <w:rPr>
                <w:sz w:val="18"/>
                <w:szCs w:val="18"/>
              </w:rPr>
              <w:t>.149</w:t>
            </w:r>
          </w:p>
        </w:tc>
      </w:tr>
      <w:tr w:rsidR="001A6391" w:rsidRPr="00787196" w14:paraId="42B121D4" w14:textId="77777777" w:rsidTr="001A6391">
        <w:trPr>
          <w:gridAfter w:val="1"/>
          <w:wAfter w:w="6" w:type="dxa"/>
          <w:trHeight w:val="414"/>
        </w:trPr>
        <w:tc>
          <w:tcPr>
            <w:tcW w:w="1756" w:type="dxa"/>
            <w:vMerge w:val="restart"/>
            <w:tcBorders>
              <w:top w:val="single" w:sz="4" w:space="0" w:color="auto"/>
              <w:bottom w:val="nil"/>
            </w:tcBorders>
            <w:shd w:val="clear" w:color="auto" w:fill="FFFFFF"/>
            <w:vAlign w:val="center"/>
          </w:tcPr>
          <w:p w14:paraId="0645226C"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Self-distraction</w:t>
            </w:r>
          </w:p>
        </w:tc>
        <w:tc>
          <w:tcPr>
            <w:tcW w:w="455" w:type="dxa"/>
            <w:tcBorders>
              <w:top w:val="single" w:sz="4" w:space="0" w:color="auto"/>
              <w:bottom w:val="nil"/>
              <w:right w:val="nil"/>
            </w:tcBorders>
            <w:shd w:val="clear" w:color="auto" w:fill="FFFFFF"/>
            <w:vAlign w:val="center"/>
          </w:tcPr>
          <w:p w14:paraId="25462DBA"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17</w:t>
            </w:r>
          </w:p>
        </w:tc>
        <w:tc>
          <w:tcPr>
            <w:tcW w:w="720" w:type="dxa"/>
            <w:tcBorders>
              <w:top w:val="single" w:sz="4" w:space="0" w:color="auto"/>
              <w:left w:val="nil"/>
              <w:bottom w:val="nil"/>
              <w:right w:val="nil"/>
            </w:tcBorders>
            <w:shd w:val="clear" w:color="auto" w:fill="FFFFFF"/>
            <w:vAlign w:val="center"/>
          </w:tcPr>
          <w:p w14:paraId="1054FDA8" w14:textId="77777777" w:rsidR="001A6391" w:rsidRPr="00787196" w:rsidRDefault="001A6391" w:rsidP="001A6391">
            <w:pPr>
              <w:spacing w:before="0" w:after="0"/>
              <w:jc w:val="center"/>
              <w:rPr>
                <w:sz w:val="18"/>
                <w:szCs w:val="18"/>
              </w:rPr>
            </w:pPr>
            <w:r w:rsidRPr="00787196">
              <w:rPr>
                <w:sz w:val="18"/>
                <w:szCs w:val="18"/>
              </w:rPr>
              <w:t>.160</w:t>
            </w:r>
          </w:p>
        </w:tc>
        <w:tc>
          <w:tcPr>
            <w:tcW w:w="818" w:type="dxa"/>
            <w:tcBorders>
              <w:top w:val="single" w:sz="4" w:space="0" w:color="auto"/>
              <w:left w:val="nil"/>
              <w:bottom w:val="nil"/>
              <w:right w:val="nil"/>
            </w:tcBorders>
            <w:shd w:val="clear" w:color="auto" w:fill="2E74B5"/>
            <w:vAlign w:val="center"/>
          </w:tcPr>
          <w:p w14:paraId="2793DBA4" w14:textId="77777777" w:rsidR="001A6391" w:rsidRPr="00787196" w:rsidRDefault="001A6391" w:rsidP="001A6391">
            <w:pPr>
              <w:spacing w:before="0" w:after="0"/>
              <w:jc w:val="center"/>
              <w:rPr>
                <w:sz w:val="18"/>
                <w:szCs w:val="18"/>
              </w:rPr>
            </w:pPr>
            <w:r w:rsidRPr="00787196">
              <w:rPr>
                <w:sz w:val="18"/>
                <w:szCs w:val="18"/>
              </w:rPr>
              <w:t>.520</w:t>
            </w:r>
          </w:p>
        </w:tc>
        <w:tc>
          <w:tcPr>
            <w:tcW w:w="737" w:type="dxa"/>
            <w:tcBorders>
              <w:top w:val="single" w:sz="4" w:space="0" w:color="auto"/>
              <w:left w:val="nil"/>
              <w:bottom w:val="nil"/>
              <w:right w:val="nil"/>
            </w:tcBorders>
            <w:shd w:val="clear" w:color="auto" w:fill="FFFFFF"/>
            <w:vAlign w:val="center"/>
          </w:tcPr>
          <w:p w14:paraId="6E5DF299" w14:textId="77777777" w:rsidR="001A6391" w:rsidRPr="00787196" w:rsidRDefault="001A6391" w:rsidP="001A6391">
            <w:pPr>
              <w:spacing w:before="0" w:after="0"/>
              <w:jc w:val="center"/>
              <w:rPr>
                <w:sz w:val="18"/>
                <w:szCs w:val="18"/>
              </w:rPr>
            </w:pPr>
            <w:r w:rsidRPr="00787196">
              <w:rPr>
                <w:sz w:val="18"/>
                <w:szCs w:val="18"/>
              </w:rPr>
              <w:t>.324</w:t>
            </w:r>
          </w:p>
        </w:tc>
        <w:tc>
          <w:tcPr>
            <w:tcW w:w="737" w:type="dxa"/>
            <w:tcBorders>
              <w:top w:val="single" w:sz="4" w:space="0" w:color="auto"/>
              <w:left w:val="nil"/>
              <w:bottom w:val="nil"/>
              <w:right w:val="nil"/>
            </w:tcBorders>
            <w:shd w:val="clear" w:color="auto" w:fill="FFFFFF"/>
            <w:vAlign w:val="center"/>
          </w:tcPr>
          <w:p w14:paraId="2530D77D" w14:textId="77777777" w:rsidR="001A6391" w:rsidRPr="00787196" w:rsidRDefault="001A6391" w:rsidP="001A6391">
            <w:pPr>
              <w:spacing w:before="0" w:after="0"/>
              <w:jc w:val="center"/>
              <w:rPr>
                <w:sz w:val="18"/>
                <w:szCs w:val="18"/>
              </w:rPr>
            </w:pPr>
            <w:r w:rsidRPr="00787196">
              <w:rPr>
                <w:sz w:val="18"/>
                <w:szCs w:val="18"/>
              </w:rPr>
              <w:t>.171</w:t>
            </w:r>
          </w:p>
        </w:tc>
        <w:tc>
          <w:tcPr>
            <w:tcW w:w="737" w:type="dxa"/>
            <w:tcBorders>
              <w:top w:val="single" w:sz="4" w:space="0" w:color="auto"/>
              <w:left w:val="nil"/>
              <w:bottom w:val="nil"/>
              <w:right w:val="nil"/>
            </w:tcBorders>
            <w:shd w:val="clear" w:color="auto" w:fill="FFFFFF"/>
            <w:vAlign w:val="center"/>
          </w:tcPr>
          <w:p w14:paraId="5DC78C48" w14:textId="77777777" w:rsidR="001A6391" w:rsidRPr="00787196" w:rsidRDefault="001A6391" w:rsidP="001A6391">
            <w:pPr>
              <w:spacing w:before="0" w:after="0"/>
              <w:jc w:val="center"/>
              <w:rPr>
                <w:sz w:val="18"/>
                <w:szCs w:val="18"/>
              </w:rPr>
            </w:pPr>
            <w:r w:rsidRPr="00787196">
              <w:rPr>
                <w:sz w:val="18"/>
                <w:szCs w:val="18"/>
              </w:rPr>
              <w:t>.137</w:t>
            </w:r>
          </w:p>
        </w:tc>
        <w:tc>
          <w:tcPr>
            <w:tcW w:w="737" w:type="dxa"/>
            <w:tcBorders>
              <w:top w:val="single" w:sz="4" w:space="0" w:color="auto"/>
              <w:left w:val="nil"/>
              <w:bottom w:val="nil"/>
              <w:right w:val="nil"/>
            </w:tcBorders>
            <w:shd w:val="clear" w:color="auto" w:fill="FFFFFF"/>
            <w:vAlign w:val="center"/>
          </w:tcPr>
          <w:p w14:paraId="4B5D96FF" w14:textId="77777777" w:rsidR="001A6391" w:rsidRPr="00787196" w:rsidRDefault="001A6391" w:rsidP="001A6391">
            <w:pPr>
              <w:spacing w:before="0" w:after="0"/>
              <w:jc w:val="center"/>
              <w:rPr>
                <w:sz w:val="18"/>
                <w:szCs w:val="18"/>
              </w:rPr>
            </w:pPr>
            <w:r w:rsidRPr="00787196">
              <w:rPr>
                <w:sz w:val="18"/>
                <w:szCs w:val="18"/>
              </w:rPr>
              <w:t>.099</w:t>
            </w:r>
          </w:p>
        </w:tc>
        <w:tc>
          <w:tcPr>
            <w:tcW w:w="741" w:type="dxa"/>
            <w:tcBorders>
              <w:top w:val="single" w:sz="4" w:space="0" w:color="auto"/>
              <w:left w:val="nil"/>
              <w:bottom w:val="nil"/>
              <w:right w:val="nil"/>
            </w:tcBorders>
            <w:shd w:val="clear" w:color="auto" w:fill="FFFFFF"/>
            <w:vAlign w:val="center"/>
          </w:tcPr>
          <w:p w14:paraId="6076A39B" w14:textId="77777777" w:rsidR="001A6391" w:rsidRPr="00787196" w:rsidRDefault="001A6391" w:rsidP="001A6391">
            <w:pPr>
              <w:spacing w:before="0" w:after="0"/>
              <w:jc w:val="center"/>
              <w:rPr>
                <w:sz w:val="18"/>
                <w:szCs w:val="18"/>
              </w:rPr>
            </w:pPr>
            <w:r w:rsidRPr="00787196">
              <w:rPr>
                <w:sz w:val="18"/>
                <w:szCs w:val="18"/>
              </w:rPr>
              <w:t>.178</w:t>
            </w:r>
          </w:p>
        </w:tc>
        <w:tc>
          <w:tcPr>
            <w:tcW w:w="739" w:type="dxa"/>
            <w:tcBorders>
              <w:top w:val="single" w:sz="4" w:space="0" w:color="auto"/>
              <w:left w:val="nil"/>
              <w:bottom w:val="nil"/>
              <w:right w:val="nil"/>
            </w:tcBorders>
            <w:shd w:val="clear" w:color="auto" w:fill="FFFFFF"/>
            <w:vAlign w:val="center"/>
          </w:tcPr>
          <w:p w14:paraId="426F4B86" w14:textId="77777777" w:rsidR="001A6391" w:rsidRPr="00787196" w:rsidRDefault="001A6391" w:rsidP="001A6391">
            <w:pPr>
              <w:spacing w:before="0" w:after="0"/>
              <w:jc w:val="center"/>
              <w:rPr>
                <w:sz w:val="18"/>
                <w:szCs w:val="18"/>
              </w:rPr>
            </w:pPr>
            <w:r w:rsidRPr="00787196">
              <w:rPr>
                <w:sz w:val="18"/>
                <w:szCs w:val="18"/>
              </w:rPr>
              <w:t>.005</w:t>
            </w:r>
          </w:p>
        </w:tc>
      </w:tr>
      <w:tr w:rsidR="001A6391" w:rsidRPr="00787196" w14:paraId="441A28D2" w14:textId="77777777" w:rsidTr="001A6391">
        <w:trPr>
          <w:gridAfter w:val="1"/>
          <w:wAfter w:w="6" w:type="dxa"/>
          <w:trHeight w:val="424"/>
        </w:trPr>
        <w:tc>
          <w:tcPr>
            <w:tcW w:w="1756" w:type="dxa"/>
            <w:vMerge/>
            <w:tcBorders>
              <w:top w:val="nil"/>
              <w:bottom w:val="single" w:sz="4" w:space="0" w:color="auto"/>
            </w:tcBorders>
            <w:shd w:val="clear" w:color="auto" w:fill="FFFFFF"/>
            <w:vAlign w:val="center"/>
          </w:tcPr>
          <w:p w14:paraId="206BAD2A"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5DDEF45B"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18</w:t>
            </w:r>
          </w:p>
        </w:tc>
        <w:tc>
          <w:tcPr>
            <w:tcW w:w="720" w:type="dxa"/>
            <w:tcBorders>
              <w:top w:val="nil"/>
              <w:left w:val="nil"/>
              <w:bottom w:val="single" w:sz="4" w:space="0" w:color="auto"/>
              <w:right w:val="nil"/>
            </w:tcBorders>
            <w:shd w:val="clear" w:color="auto" w:fill="FFFFFF"/>
            <w:vAlign w:val="center"/>
          </w:tcPr>
          <w:p w14:paraId="4D512791" w14:textId="77777777" w:rsidR="001A6391" w:rsidRPr="00787196" w:rsidRDefault="001A6391" w:rsidP="001A6391">
            <w:pPr>
              <w:spacing w:before="0" w:after="0"/>
              <w:jc w:val="center"/>
              <w:rPr>
                <w:sz w:val="18"/>
                <w:szCs w:val="18"/>
              </w:rPr>
            </w:pPr>
            <w:r w:rsidRPr="00787196">
              <w:rPr>
                <w:sz w:val="18"/>
                <w:szCs w:val="18"/>
              </w:rPr>
              <w:t>.172</w:t>
            </w:r>
          </w:p>
        </w:tc>
        <w:tc>
          <w:tcPr>
            <w:tcW w:w="818" w:type="dxa"/>
            <w:tcBorders>
              <w:top w:val="nil"/>
              <w:left w:val="nil"/>
              <w:bottom w:val="single" w:sz="4" w:space="0" w:color="auto"/>
              <w:right w:val="nil"/>
            </w:tcBorders>
            <w:shd w:val="clear" w:color="auto" w:fill="2E74B5"/>
            <w:vAlign w:val="center"/>
          </w:tcPr>
          <w:p w14:paraId="3D67BDB8" w14:textId="77777777" w:rsidR="001A6391" w:rsidRPr="00787196" w:rsidRDefault="001A6391" w:rsidP="001A6391">
            <w:pPr>
              <w:spacing w:before="0" w:after="0"/>
              <w:jc w:val="center"/>
              <w:rPr>
                <w:sz w:val="18"/>
                <w:szCs w:val="18"/>
              </w:rPr>
            </w:pPr>
            <w:r w:rsidRPr="00787196">
              <w:rPr>
                <w:sz w:val="18"/>
                <w:szCs w:val="18"/>
              </w:rPr>
              <w:t>.515</w:t>
            </w:r>
          </w:p>
        </w:tc>
        <w:tc>
          <w:tcPr>
            <w:tcW w:w="737" w:type="dxa"/>
            <w:tcBorders>
              <w:top w:val="nil"/>
              <w:left w:val="nil"/>
              <w:bottom w:val="single" w:sz="4" w:space="0" w:color="auto"/>
              <w:right w:val="nil"/>
            </w:tcBorders>
            <w:shd w:val="clear" w:color="auto" w:fill="FFFFFF"/>
            <w:vAlign w:val="center"/>
          </w:tcPr>
          <w:p w14:paraId="4FE5FFBA" w14:textId="77777777" w:rsidR="001A6391" w:rsidRPr="00787196" w:rsidRDefault="001A6391" w:rsidP="001A6391">
            <w:pPr>
              <w:spacing w:before="0" w:after="0"/>
              <w:jc w:val="center"/>
              <w:rPr>
                <w:sz w:val="18"/>
                <w:szCs w:val="18"/>
              </w:rPr>
            </w:pPr>
            <w:r w:rsidRPr="00787196">
              <w:rPr>
                <w:sz w:val="18"/>
                <w:szCs w:val="18"/>
              </w:rPr>
              <w:t>.262</w:t>
            </w:r>
          </w:p>
        </w:tc>
        <w:tc>
          <w:tcPr>
            <w:tcW w:w="737" w:type="dxa"/>
            <w:tcBorders>
              <w:top w:val="nil"/>
              <w:left w:val="nil"/>
              <w:bottom w:val="single" w:sz="4" w:space="0" w:color="auto"/>
              <w:right w:val="nil"/>
            </w:tcBorders>
            <w:shd w:val="clear" w:color="auto" w:fill="FFFFFF"/>
            <w:vAlign w:val="center"/>
          </w:tcPr>
          <w:p w14:paraId="45907223" w14:textId="77777777" w:rsidR="001A6391" w:rsidRPr="00787196" w:rsidRDefault="001A6391" w:rsidP="001A6391">
            <w:pPr>
              <w:spacing w:before="0" w:after="0"/>
              <w:jc w:val="center"/>
              <w:rPr>
                <w:sz w:val="18"/>
                <w:szCs w:val="18"/>
              </w:rPr>
            </w:pPr>
            <w:r w:rsidRPr="00787196">
              <w:rPr>
                <w:sz w:val="18"/>
                <w:szCs w:val="18"/>
              </w:rPr>
              <w:t>.205</w:t>
            </w:r>
          </w:p>
        </w:tc>
        <w:tc>
          <w:tcPr>
            <w:tcW w:w="737" w:type="dxa"/>
            <w:tcBorders>
              <w:top w:val="nil"/>
              <w:left w:val="nil"/>
              <w:bottom w:val="single" w:sz="4" w:space="0" w:color="auto"/>
              <w:right w:val="nil"/>
            </w:tcBorders>
            <w:shd w:val="clear" w:color="auto" w:fill="FFFFFF"/>
            <w:vAlign w:val="center"/>
          </w:tcPr>
          <w:p w14:paraId="51779450" w14:textId="77777777" w:rsidR="001A6391" w:rsidRPr="00787196" w:rsidRDefault="001A6391" w:rsidP="001A6391">
            <w:pPr>
              <w:spacing w:before="0" w:after="0"/>
              <w:jc w:val="center"/>
              <w:rPr>
                <w:sz w:val="18"/>
                <w:szCs w:val="18"/>
              </w:rPr>
            </w:pPr>
            <w:r w:rsidRPr="00787196">
              <w:rPr>
                <w:sz w:val="18"/>
                <w:szCs w:val="18"/>
              </w:rPr>
              <w:t>.184</w:t>
            </w:r>
          </w:p>
        </w:tc>
        <w:tc>
          <w:tcPr>
            <w:tcW w:w="737" w:type="dxa"/>
            <w:tcBorders>
              <w:top w:val="nil"/>
              <w:left w:val="nil"/>
              <w:bottom w:val="single" w:sz="4" w:space="0" w:color="auto"/>
              <w:right w:val="nil"/>
            </w:tcBorders>
            <w:shd w:val="clear" w:color="auto" w:fill="FFFFFF"/>
            <w:vAlign w:val="center"/>
          </w:tcPr>
          <w:p w14:paraId="7381949B" w14:textId="77777777" w:rsidR="001A6391" w:rsidRPr="00787196" w:rsidRDefault="001A6391" w:rsidP="001A6391">
            <w:pPr>
              <w:spacing w:before="0" w:after="0"/>
              <w:jc w:val="center"/>
              <w:rPr>
                <w:sz w:val="18"/>
                <w:szCs w:val="18"/>
              </w:rPr>
            </w:pPr>
            <w:r w:rsidRPr="00787196">
              <w:rPr>
                <w:sz w:val="18"/>
                <w:szCs w:val="18"/>
              </w:rPr>
              <w:t>.245</w:t>
            </w:r>
          </w:p>
        </w:tc>
        <w:tc>
          <w:tcPr>
            <w:tcW w:w="741" w:type="dxa"/>
            <w:tcBorders>
              <w:top w:val="nil"/>
              <w:left w:val="nil"/>
              <w:bottom w:val="single" w:sz="4" w:space="0" w:color="auto"/>
              <w:right w:val="nil"/>
            </w:tcBorders>
            <w:shd w:val="clear" w:color="auto" w:fill="FFFFFF"/>
            <w:vAlign w:val="center"/>
          </w:tcPr>
          <w:p w14:paraId="4D2EEC74" w14:textId="77777777" w:rsidR="001A6391" w:rsidRPr="00787196" w:rsidRDefault="001A6391" w:rsidP="001A6391">
            <w:pPr>
              <w:spacing w:before="0" w:after="0"/>
              <w:jc w:val="center"/>
              <w:rPr>
                <w:sz w:val="18"/>
                <w:szCs w:val="18"/>
              </w:rPr>
            </w:pPr>
            <w:r w:rsidRPr="00787196">
              <w:rPr>
                <w:sz w:val="18"/>
                <w:szCs w:val="18"/>
              </w:rPr>
              <w:t>.352</w:t>
            </w:r>
          </w:p>
        </w:tc>
        <w:tc>
          <w:tcPr>
            <w:tcW w:w="739" w:type="dxa"/>
            <w:tcBorders>
              <w:top w:val="nil"/>
              <w:left w:val="nil"/>
              <w:bottom w:val="single" w:sz="4" w:space="0" w:color="auto"/>
              <w:right w:val="nil"/>
            </w:tcBorders>
            <w:shd w:val="clear" w:color="auto" w:fill="FFFFFF"/>
            <w:vAlign w:val="center"/>
          </w:tcPr>
          <w:p w14:paraId="1C31F895" w14:textId="77777777" w:rsidR="001A6391" w:rsidRPr="00787196" w:rsidRDefault="001A6391" w:rsidP="001A6391">
            <w:pPr>
              <w:spacing w:before="0" w:after="0"/>
              <w:jc w:val="center"/>
              <w:rPr>
                <w:sz w:val="18"/>
                <w:szCs w:val="18"/>
              </w:rPr>
            </w:pPr>
            <w:r w:rsidRPr="00787196">
              <w:rPr>
                <w:sz w:val="18"/>
                <w:szCs w:val="18"/>
              </w:rPr>
              <w:t>-.024</w:t>
            </w:r>
          </w:p>
        </w:tc>
      </w:tr>
      <w:tr w:rsidR="001A6391" w:rsidRPr="00787196" w14:paraId="76048815" w14:textId="77777777" w:rsidTr="001A6391">
        <w:trPr>
          <w:gridAfter w:val="1"/>
          <w:wAfter w:w="6" w:type="dxa"/>
          <w:trHeight w:val="424"/>
        </w:trPr>
        <w:tc>
          <w:tcPr>
            <w:tcW w:w="1756" w:type="dxa"/>
            <w:vMerge w:val="restart"/>
            <w:tcBorders>
              <w:top w:val="single" w:sz="4" w:space="0" w:color="auto"/>
              <w:bottom w:val="nil"/>
            </w:tcBorders>
            <w:shd w:val="clear" w:color="auto" w:fill="FFFFFF"/>
            <w:vAlign w:val="center"/>
          </w:tcPr>
          <w:p w14:paraId="3A9CDF13"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Denial</w:t>
            </w:r>
          </w:p>
        </w:tc>
        <w:tc>
          <w:tcPr>
            <w:tcW w:w="455" w:type="dxa"/>
            <w:tcBorders>
              <w:top w:val="single" w:sz="4" w:space="0" w:color="auto"/>
              <w:bottom w:val="nil"/>
              <w:right w:val="nil"/>
            </w:tcBorders>
            <w:shd w:val="clear" w:color="auto" w:fill="FFFFFF"/>
            <w:vAlign w:val="center"/>
          </w:tcPr>
          <w:p w14:paraId="2F26AD20"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19</w:t>
            </w:r>
          </w:p>
        </w:tc>
        <w:tc>
          <w:tcPr>
            <w:tcW w:w="720" w:type="dxa"/>
            <w:tcBorders>
              <w:top w:val="single" w:sz="4" w:space="0" w:color="auto"/>
              <w:left w:val="nil"/>
              <w:bottom w:val="nil"/>
              <w:right w:val="nil"/>
            </w:tcBorders>
            <w:shd w:val="clear" w:color="auto" w:fill="FFFFFF"/>
            <w:vAlign w:val="center"/>
          </w:tcPr>
          <w:p w14:paraId="79CC7A91" w14:textId="77777777" w:rsidR="001A6391" w:rsidRPr="00787196" w:rsidRDefault="001A6391" w:rsidP="001A6391">
            <w:pPr>
              <w:spacing w:before="0" w:after="0"/>
              <w:jc w:val="center"/>
              <w:rPr>
                <w:sz w:val="18"/>
                <w:szCs w:val="18"/>
              </w:rPr>
            </w:pPr>
            <w:r w:rsidRPr="00787196">
              <w:rPr>
                <w:sz w:val="18"/>
                <w:szCs w:val="18"/>
              </w:rPr>
              <w:t>-.045</w:t>
            </w:r>
          </w:p>
        </w:tc>
        <w:tc>
          <w:tcPr>
            <w:tcW w:w="818" w:type="dxa"/>
            <w:tcBorders>
              <w:top w:val="single" w:sz="4" w:space="0" w:color="auto"/>
              <w:left w:val="nil"/>
              <w:bottom w:val="nil"/>
              <w:right w:val="nil"/>
            </w:tcBorders>
            <w:shd w:val="clear" w:color="auto" w:fill="2E74B5"/>
            <w:vAlign w:val="center"/>
          </w:tcPr>
          <w:p w14:paraId="3486F3A1" w14:textId="77777777" w:rsidR="001A6391" w:rsidRPr="00787196" w:rsidRDefault="001A6391" w:rsidP="001A6391">
            <w:pPr>
              <w:spacing w:before="0" w:after="0"/>
              <w:jc w:val="center"/>
              <w:rPr>
                <w:sz w:val="18"/>
                <w:szCs w:val="18"/>
              </w:rPr>
            </w:pPr>
            <w:r w:rsidRPr="00787196">
              <w:rPr>
                <w:sz w:val="18"/>
                <w:szCs w:val="18"/>
              </w:rPr>
              <w:t>.830</w:t>
            </w:r>
          </w:p>
        </w:tc>
        <w:tc>
          <w:tcPr>
            <w:tcW w:w="737" w:type="dxa"/>
            <w:tcBorders>
              <w:top w:val="single" w:sz="4" w:space="0" w:color="auto"/>
              <w:left w:val="nil"/>
              <w:bottom w:val="nil"/>
              <w:right w:val="nil"/>
            </w:tcBorders>
            <w:shd w:val="clear" w:color="auto" w:fill="FFFFFF"/>
            <w:vAlign w:val="center"/>
          </w:tcPr>
          <w:p w14:paraId="383D3125" w14:textId="77777777" w:rsidR="001A6391" w:rsidRPr="00787196" w:rsidRDefault="001A6391" w:rsidP="001A6391">
            <w:pPr>
              <w:spacing w:before="0" w:after="0"/>
              <w:jc w:val="center"/>
              <w:rPr>
                <w:sz w:val="18"/>
                <w:szCs w:val="18"/>
              </w:rPr>
            </w:pPr>
            <w:r w:rsidRPr="00787196">
              <w:rPr>
                <w:sz w:val="18"/>
                <w:szCs w:val="18"/>
              </w:rPr>
              <w:t>.294</w:t>
            </w:r>
          </w:p>
        </w:tc>
        <w:tc>
          <w:tcPr>
            <w:tcW w:w="737" w:type="dxa"/>
            <w:tcBorders>
              <w:top w:val="single" w:sz="4" w:space="0" w:color="auto"/>
              <w:left w:val="nil"/>
              <w:bottom w:val="nil"/>
              <w:right w:val="nil"/>
            </w:tcBorders>
            <w:shd w:val="clear" w:color="auto" w:fill="FFFFFF"/>
            <w:vAlign w:val="center"/>
          </w:tcPr>
          <w:p w14:paraId="1E932120" w14:textId="77777777" w:rsidR="001A6391" w:rsidRPr="00787196" w:rsidRDefault="001A6391" w:rsidP="001A6391">
            <w:pPr>
              <w:spacing w:before="0" w:after="0"/>
              <w:jc w:val="center"/>
              <w:rPr>
                <w:sz w:val="18"/>
                <w:szCs w:val="18"/>
              </w:rPr>
            </w:pPr>
            <w:r w:rsidRPr="00787196">
              <w:rPr>
                <w:sz w:val="18"/>
                <w:szCs w:val="18"/>
              </w:rPr>
              <w:t>.278</w:t>
            </w:r>
          </w:p>
        </w:tc>
        <w:tc>
          <w:tcPr>
            <w:tcW w:w="737" w:type="dxa"/>
            <w:tcBorders>
              <w:top w:val="single" w:sz="4" w:space="0" w:color="auto"/>
              <w:left w:val="nil"/>
              <w:bottom w:val="nil"/>
              <w:right w:val="nil"/>
            </w:tcBorders>
            <w:shd w:val="clear" w:color="auto" w:fill="FFFFFF"/>
            <w:vAlign w:val="center"/>
          </w:tcPr>
          <w:p w14:paraId="0D6A8372" w14:textId="77777777" w:rsidR="001A6391" w:rsidRPr="00787196" w:rsidRDefault="001A6391" w:rsidP="001A6391">
            <w:pPr>
              <w:spacing w:before="0" w:after="0"/>
              <w:jc w:val="center"/>
              <w:rPr>
                <w:sz w:val="18"/>
                <w:szCs w:val="18"/>
              </w:rPr>
            </w:pPr>
            <w:r w:rsidRPr="00787196">
              <w:rPr>
                <w:sz w:val="18"/>
                <w:szCs w:val="18"/>
              </w:rPr>
              <w:t>.041</w:t>
            </w:r>
          </w:p>
        </w:tc>
        <w:tc>
          <w:tcPr>
            <w:tcW w:w="737" w:type="dxa"/>
            <w:tcBorders>
              <w:top w:val="single" w:sz="4" w:space="0" w:color="auto"/>
              <w:left w:val="nil"/>
              <w:bottom w:val="nil"/>
              <w:right w:val="nil"/>
            </w:tcBorders>
            <w:shd w:val="clear" w:color="auto" w:fill="FFFFFF"/>
            <w:vAlign w:val="center"/>
          </w:tcPr>
          <w:p w14:paraId="4A417671" w14:textId="77777777" w:rsidR="001A6391" w:rsidRPr="00787196" w:rsidRDefault="001A6391" w:rsidP="001A6391">
            <w:pPr>
              <w:spacing w:before="0" w:after="0"/>
              <w:jc w:val="center"/>
              <w:rPr>
                <w:sz w:val="18"/>
                <w:szCs w:val="18"/>
              </w:rPr>
            </w:pPr>
            <w:r w:rsidRPr="00787196">
              <w:rPr>
                <w:sz w:val="18"/>
                <w:szCs w:val="18"/>
              </w:rPr>
              <w:t>.151</w:t>
            </w:r>
          </w:p>
        </w:tc>
        <w:tc>
          <w:tcPr>
            <w:tcW w:w="741" w:type="dxa"/>
            <w:tcBorders>
              <w:top w:val="single" w:sz="4" w:space="0" w:color="auto"/>
              <w:left w:val="nil"/>
              <w:bottom w:val="nil"/>
              <w:right w:val="nil"/>
            </w:tcBorders>
            <w:shd w:val="clear" w:color="auto" w:fill="FFFFFF"/>
            <w:vAlign w:val="center"/>
          </w:tcPr>
          <w:p w14:paraId="4C69B893" w14:textId="77777777" w:rsidR="001A6391" w:rsidRPr="00787196" w:rsidRDefault="001A6391" w:rsidP="001A6391">
            <w:pPr>
              <w:spacing w:before="0" w:after="0"/>
              <w:jc w:val="center"/>
              <w:rPr>
                <w:sz w:val="18"/>
                <w:szCs w:val="18"/>
              </w:rPr>
            </w:pPr>
            <w:r w:rsidRPr="00787196">
              <w:rPr>
                <w:sz w:val="18"/>
                <w:szCs w:val="18"/>
              </w:rPr>
              <w:t>.215</w:t>
            </w:r>
          </w:p>
        </w:tc>
        <w:tc>
          <w:tcPr>
            <w:tcW w:w="739" w:type="dxa"/>
            <w:tcBorders>
              <w:top w:val="single" w:sz="4" w:space="0" w:color="auto"/>
              <w:left w:val="nil"/>
              <w:bottom w:val="nil"/>
              <w:right w:val="nil"/>
            </w:tcBorders>
            <w:shd w:val="clear" w:color="auto" w:fill="FFFFFF"/>
            <w:vAlign w:val="center"/>
          </w:tcPr>
          <w:p w14:paraId="0EDAABFB" w14:textId="77777777" w:rsidR="001A6391" w:rsidRPr="00787196" w:rsidRDefault="001A6391" w:rsidP="001A6391">
            <w:pPr>
              <w:spacing w:before="0" w:after="0"/>
              <w:jc w:val="center"/>
              <w:rPr>
                <w:sz w:val="18"/>
                <w:szCs w:val="18"/>
              </w:rPr>
            </w:pPr>
            <w:r w:rsidRPr="00787196">
              <w:rPr>
                <w:sz w:val="18"/>
                <w:szCs w:val="18"/>
              </w:rPr>
              <w:t>.105</w:t>
            </w:r>
          </w:p>
        </w:tc>
      </w:tr>
      <w:tr w:rsidR="001A6391" w:rsidRPr="00787196" w14:paraId="5716FF34" w14:textId="77777777" w:rsidTr="001A6391">
        <w:trPr>
          <w:gridAfter w:val="1"/>
          <w:wAfter w:w="6" w:type="dxa"/>
          <w:trHeight w:val="424"/>
        </w:trPr>
        <w:tc>
          <w:tcPr>
            <w:tcW w:w="1756" w:type="dxa"/>
            <w:vMerge/>
            <w:tcBorders>
              <w:top w:val="nil"/>
              <w:bottom w:val="single" w:sz="4" w:space="0" w:color="auto"/>
            </w:tcBorders>
            <w:shd w:val="clear" w:color="auto" w:fill="FFFFFF"/>
            <w:vAlign w:val="center"/>
          </w:tcPr>
          <w:p w14:paraId="26E58DE8"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4F81D5EC"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20</w:t>
            </w:r>
          </w:p>
        </w:tc>
        <w:tc>
          <w:tcPr>
            <w:tcW w:w="720" w:type="dxa"/>
            <w:tcBorders>
              <w:top w:val="nil"/>
              <w:left w:val="nil"/>
              <w:bottom w:val="single" w:sz="4" w:space="0" w:color="auto"/>
              <w:right w:val="nil"/>
            </w:tcBorders>
            <w:shd w:val="clear" w:color="auto" w:fill="FFFFFF"/>
            <w:vAlign w:val="center"/>
          </w:tcPr>
          <w:p w14:paraId="42F89401" w14:textId="77777777" w:rsidR="001A6391" w:rsidRPr="00787196" w:rsidRDefault="001A6391" w:rsidP="001A6391">
            <w:pPr>
              <w:spacing w:before="0" w:after="0"/>
              <w:jc w:val="center"/>
              <w:rPr>
                <w:sz w:val="18"/>
                <w:szCs w:val="18"/>
              </w:rPr>
            </w:pPr>
            <w:r w:rsidRPr="00787196">
              <w:rPr>
                <w:sz w:val="18"/>
                <w:szCs w:val="18"/>
              </w:rPr>
              <w:t>.041</w:t>
            </w:r>
          </w:p>
        </w:tc>
        <w:tc>
          <w:tcPr>
            <w:tcW w:w="818" w:type="dxa"/>
            <w:tcBorders>
              <w:top w:val="nil"/>
              <w:left w:val="nil"/>
              <w:bottom w:val="single" w:sz="4" w:space="0" w:color="auto"/>
              <w:right w:val="nil"/>
            </w:tcBorders>
            <w:shd w:val="clear" w:color="auto" w:fill="2E74B5"/>
            <w:vAlign w:val="center"/>
          </w:tcPr>
          <w:p w14:paraId="5552B8F6" w14:textId="77777777" w:rsidR="001A6391" w:rsidRPr="00787196" w:rsidRDefault="001A6391" w:rsidP="001A6391">
            <w:pPr>
              <w:spacing w:before="0" w:after="0"/>
              <w:jc w:val="center"/>
              <w:rPr>
                <w:sz w:val="18"/>
                <w:szCs w:val="18"/>
              </w:rPr>
            </w:pPr>
            <w:r w:rsidRPr="00787196">
              <w:rPr>
                <w:sz w:val="18"/>
                <w:szCs w:val="18"/>
              </w:rPr>
              <w:t>.800</w:t>
            </w:r>
          </w:p>
        </w:tc>
        <w:tc>
          <w:tcPr>
            <w:tcW w:w="737" w:type="dxa"/>
            <w:tcBorders>
              <w:top w:val="nil"/>
              <w:left w:val="nil"/>
              <w:bottom w:val="single" w:sz="4" w:space="0" w:color="auto"/>
              <w:right w:val="nil"/>
            </w:tcBorders>
            <w:shd w:val="clear" w:color="auto" w:fill="FFFFFF"/>
            <w:vAlign w:val="center"/>
          </w:tcPr>
          <w:p w14:paraId="618EA3F6" w14:textId="77777777" w:rsidR="001A6391" w:rsidRPr="00787196" w:rsidRDefault="001A6391" w:rsidP="001A6391">
            <w:pPr>
              <w:spacing w:before="0" w:after="0"/>
              <w:jc w:val="center"/>
              <w:rPr>
                <w:sz w:val="18"/>
                <w:szCs w:val="18"/>
              </w:rPr>
            </w:pPr>
            <w:r w:rsidRPr="00787196">
              <w:rPr>
                <w:sz w:val="18"/>
                <w:szCs w:val="18"/>
              </w:rPr>
              <w:t>.218</w:t>
            </w:r>
          </w:p>
        </w:tc>
        <w:tc>
          <w:tcPr>
            <w:tcW w:w="737" w:type="dxa"/>
            <w:tcBorders>
              <w:top w:val="nil"/>
              <w:left w:val="nil"/>
              <w:bottom w:val="single" w:sz="4" w:space="0" w:color="auto"/>
              <w:right w:val="nil"/>
            </w:tcBorders>
            <w:shd w:val="clear" w:color="auto" w:fill="FFFFFF"/>
            <w:vAlign w:val="center"/>
          </w:tcPr>
          <w:p w14:paraId="3834F21A" w14:textId="77777777" w:rsidR="001A6391" w:rsidRPr="00787196" w:rsidRDefault="001A6391" w:rsidP="001A6391">
            <w:pPr>
              <w:spacing w:before="0" w:after="0"/>
              <w:jc w:val="center"/>
              <w:rPr>
                <w:sz w:val="18"/>
                <w:szCs w:val="18"/>
              </w:rPr>
            </w:pPr>
            <w:r w:rsidRPr="00787196">
              <w:rPr>
                <w:sz w:val="18"/>
                <w:szCs w:val="18"/>
              </w:rPr>
              <w:t>.322</w:t>
            </w:r>
          </w:p>
        </w:tc>
        <w:tc>
          <w:tcPr>
            <w:tcW w:w="737" w:type="dxa"/>
            <w:tcBorders>
              <w:top w:val="nil"/>
              <w:left w:val="nil"/>
              <w:bottom w:val="single" w:sz="4" w:space="0" w:color="auto"/>
              <w:right w:val="nil"/>
            </w:tcBorders>
            <w:shd w:val="clear" w:color="auto" w:fill="FFFFFF"/>
            <w:vAlign w:val="center"/>
          </w:tcPr>
          <w:p w14:paraId="6238B233" w14:textId="77777777" w:rsidR="001A6391" w:rsidRPr="00787196" w:rsidRDefault="001A6391" w:rsidP="001A6391">
            <w:pPr>
              <w:spacing w:before="0" w:after="0"/>
              <w:jc w:val="center"/>
              <w:rPr>
                <w:sz w:val="18"/>
                <w:szCs w:val="18"/>
              </w:rPr>
            </w:pPr>
            <w:r w:rsidRPr="00787196">
              <w:rPr>
                <w:sz w:val="18"/>
                <w:szCs w:val="18"/>
              </w:rPr>
              <w:t>.035</w:t>
            </w:r>
          </w:p>
        </w:tc>
        <w:tc>
          <w:tcPr>
            <w:tcW w:w="737" w:type="dxa"/>
            <w:tcBorders>
              <w:top w:val="nil"/>
              <w:left w:val="nil"/>
              <w:bottom w:val="single" w:sz="4" w:space="0" w:color="auto"/>
              <w:right w:val="nil"/>
            </w:tcBorders>
            <w:shd w:val="clear" w:color="auto" w:fill="FFFFFF"/>
            <w:vAlign w:val="center"/>
          </w:tcPr>
          <w:p w14:paraId="341937CD" w14:textId="77777777" w:rsidR="001A6391" w:rsidRPr="00787196" w:rsidRDefault="001A6391" w:rsidP="001A6391">
            <w:pPr>
              <w:spacing w:before="0" w:after="0"/>
              <w:jc w:val="center"/>
              <w:rPr>
                <w:sz w:val="18"/>
                <w:szCs w:val="18"/>
              </w:rPr>
            </w:pPr>
            <w:r w:rsidRPr="00787196">
              <w:rPr>
                <w:sz w:val="18"/>
                <w:szCs w:val="18"/>
              </w:rPr>
              <w:t>.251</w:t>
            </w:r>
          </w:p>
        </w:tc>
        <w:tc>
          <w:tcPr>
            <w:tcW w:w="741" w:type="dxa"/>
            <w:tcBorders>
              <w:top w:val="nil"/>
              <w:left w:val="nil"/>
              <w:bottom w:val="single" w:sz="4" w:space="0" w:color="auto"/>
              <w:right w:val="nil"/>
            </w:tcBorders>
            <w:shd w:val="clear" w:color="auto" w:fill="FFFFFF"/>
            <w:vAlign w:val="center"/>
          </w:tcPr>
          <w:p w14:paraId="467E952E" w14:textId="77777777" w:rsidR="001A6391" w:rsidRPr="00787196" w:rsidRDefault="001A6391" w:rsidP="001A6391">
            <w:pPr>
              <w:spacing w:before="0" w:after="0"/>
              <w:jc w:val="center"/>
              <w:rPr>
                <w:sz w:val="18"/>
                <w:szCs w:val="18"/>
              </w:rPr>
            </w:pPr>
            <w:r w:rsidRPr="00787196">
              <w:rPr>
                <w:sz w:val="18"/>
                <w:szCs w:val="18"/>
              </w:rPr>
              <w:t>.207</w:t>
            </w:r>
          </w:p>
        </w:tc>
        <w:tc>
          <w:tcPr>
            <w:tcW w:w="739" w:type="dxa"/>
            <w:tcBorders>
              <w:top w:val="nil"/>
              <w:left w:val="nil"/>
              <w:bottom w:val="single" w:sz="4" w:space="0" w:color="auto"/>
              <w:right w:val="nil"/>
            </w:tcBorders>
            <w:shd w:val="clear" w:color="auto" w:fill="FFFFFF"/>
            <w:vAlign w:val="center"/>
          </w:tcPr>
          <w:p w14:paraId="012DDA29" w14:textId="77777777" w:rsidR="001A6391" w:rsidRPr="00787196" w:rsidRDefault="001A6391" w:rsidP="001A6391">
            <w:pPr>
              <w:spacing w:before="0" w:after="0"/>
              <w:jc w:val="center"/>
              <w:rPr>
                <w:sz w:val="18"/>
                <w:szCs w:val="18"/>
              </w:rPr>
            </w:pPr>
            <w:r w:rsidRPr="00787196">
              <w:rPr>
                <w:sz w:val="18"/>
                <w:szCs w:val="18"/>
              </w:rPr>
              <w:t>.051</w:t>
            </w:r>
          </w:p>
        </w:tc>
      </w:tr>
      <w:tr w:rsidR="001A6391" w:rsidRPr="00787196" w14:paraId="5D30965B" w14:textId="77777777" w:rsidTr="001A6391">
        <w:trPr>
          <w:gridAfter w:val="1"/>
          <w:wAfter w:w="6" w:type="dxa"/>
          <w:trHeight w:val="433"/>
        </w:trPr>
        <w:tc>
          <w:tcPr>
            <w:tcW w:w="1756" w:type="dxa"/>
            <w:vMerge w:val="restart"/>
            <w:tcBorders>
              <w:top w:val="single" w:sz="4" w:space="0" w:color="auto"/>
              <w:bottom w:val="nil"/>
            </w:tcBorders>
            <w:shd w:val="clear" w:color="auto" w:fill="FFFFFF"/>
            <w:vAlign w:val="center"/>
          </w:tcPr>
          <w:p w14:paraId="28496375"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Venting</w:t>
            </w:r>
          </w:p>
        </w:tc>
        <w:tc>
          <w:tcPr>
            <w:tcW w:w="455" w:type="dxa"/>
            <w:tcBorders>
              <w:top w:val="single" w:sz="4" w:space="0" w:color="auto"/>
              <w:bottom w:val="nil"/>
              <w:right w:val="nil"/>
            </w:tcBorders>
            <w:shd w:val="clear" w:color="auto" w:fill="FFFFFF"/>
            <w:vAlign w:val="center"/>
          </w:tcPr>
          <w:p w14:paraId="22793E39"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21</w:t>
            </w:r>
          </w:p>
        </w:tc>
        <w:tc>
          <w:tcPr>
            <w:tcW w:w="720" w:type="dxa"/>
            <w:tcBorders>
              <w:top w:val="single" w:sz="4" w:space="0" w:color="auto"/>
              <w:left w:val="nil"/>
              <w:bottom w:val="nil"/>
              <w:right w:val="nil"/>
            </w:tcBorders>
            <w:shd w:val="clear" w:color="auto" w:fill="FFFFFF"/>
            <w:vAlign w:val="center"/>
          </w:tcPr>
          <w:p w14:paraId="2054C575" w14:textId="77777777" w:rsidR="001A6391" w:rsidRPr="00787196" w:rsidRDefault="001A6391" w:rsidP="001A6391">
            <w:pPr>
              <w:spacing w:before="0" w:after="0"/>
              <w:jc w:val="center"/>
              <w:rPr>
                <w:sz w:val="18"/>
                <w:szCs w:val="18"/>
              </w:rPr>
            </w:pPr>
            <w:r w:rsidRPr="00787196">
              <w:rPr>
                <w:sz w:val="18"/>
                <w:szCs w:val="18"/>
              </w:rPr>
              <w:t>.237</w:t>
            </w:r>
          </w:p>
        </w:tc>
        <w:tc>
          <w:tcPr>
            <w:tcW w:w="818" w:type="dxa"/>
            <w:tcBorders>
              <w:top w:val="single" w:sz="4" w:space="0" w:color="auto"/>
              <w:left w:val="nil"/>
              <w:bottom w:val="nil"/>
              <w:right w:val="nil"/>
            </w:tcBorders>
            <w:shd w:val="clear" w:color="auto" w:fill="FFFFFF"/>
            <w:vAlign w:val="center"/>
          </w:tcPr>
          <w:p w14:paraId="6F27EE8C" w14:textId="77777777" w:rsidR="001A6391" w:rsidRPr="00787196" w:rsidRDefault="001A6391" w:rsidP="001A6391">
            <w:pPr>
              <w:spacing w:before="0" w:after="0"/>
              <w:jc w:val="center"/>
              <w:rPr>
                <w:sz w:val="18"/>
                <w:szCs w:val="18"/>
              </w:rPr>
            </w:pPr>
            <w:r w:rsidRPr="00787196">
              <w:rPr>
                <w:sz w:val="18"/>
                <w:szCs w:val="18"/>
              </w:rPr>
              <w:t>.184</w:t>
            </w:r>
          </w:p>
        </w:tc>
        <w:tc>
          <w:tcPr>
            <w:tcW w:w="737" w:type="dxa"/>
            <w:tcBorders>
              <w:top w:val="single" w:sz="4" w:space="0" w:color="auto"/>
              <w:left w:val="nil"/>
              <w:bottom w:val="nil"/>
              <w:right w:val="nil"/>
            </w:tcBorders>
            <w:shd w:val="clear" w:color="auto" w:fill="FFFFFF"/>
            <w:vAlign w:val="center"/>
          </w:tcPr>
          <w:p w14:paraId="69F750EA" w14:textId="77777777" w:rsidR="001A6391" w:rsidRPr="00787196" w:rsidRDefault="001A6391" w:rsidP="001A6391">
            <w:pPr>
              <w:spacing w:before="0" w:after="0"/>
              <w:jc w:val="center"/>
              <w:rPr>
                <w:sz w:val="18"/>
                <w:szCs w:val="18"/>
              </w:rPr>
            </w:pPr>
            <w:r w:rsidRPr="00787196">
              <w:rPr>
                <w:sz w:val="18"/>
                <w:szCs w:val="18"/>
              </w:rPr>
              <w:t>-.001</w:t>
            </w:r>
          </w:p>
        </w:tc>
        <w:tc>
          <w:tcPr>
            <w:tcW w:w="737" w:type="dxa"/>
            <w:tcBorders>
              <w:top w:val="single" w:sz="4" w:space="0" w:color="auto"/>
              <w:left w:val="nil"/>
              <w:bottom w:val="nil"/>
              <w:right w:val="nil"/>
            </w:tcBorders>
            <w:shd w:val="clear" w:color="auto" w:fill="FFFFFF"/>
            <w:vAlign w:val="center"/>
          </w:tcPr>
          <w:p w14:paraId="4FE81C1D" w14:textId="77777777" w:rsidR="001A6391" w:rsidRPr="00787196" w:rsidRDefault="001A6391" w:rsidP="001A6391">
            <w:pPr>
              <w:spacing w:before="0" w:after="0"/>
              <w:jc w:val="center"/>
              <w:rPr>
                <w:sz w:val="18"/>
                <w:szCs w:val="18"/>
              </w:rPr>
            </w:pPr>
            <w:r w:rsidRPr="00787196">
              <w:rPr>
                <w:sz w:val="18"/>
                <w:szCs w:val="18"/>
              </w:rPr>
              <w:t>.031</w:t>
            </w:r>
          </w:p>
        </w:tc>
        <w:tc>
          <w:tcPr>
            <w:tcW w:w="737" w:type="dxa"/>
            <w:tcBorders>
              <w:top w:val="single" w:sz="4" w:space="0" w:color="auto"/>
              <w:left w:val="nil"/>
              <w:bottom w:val="nil"/>
              <w:right w:val="nil"/>
            </w:tcBorders>
            <w:shd w:val="clear" w:color="auto" w:fill="FFFFFF"/>
            <w:vAlign w:val="center"/>
          </w:tcPr>
          <w:p w14:paraId="168B6F16" w14:textId="77777777" w:rsidR="001A6391" w:rsidRPr="00787196" w:rsidRDefault="001A6391" w:rsidP="001A6391">
            <w:pPr>
              <w:spacing w:before="0" w:after="0"/>
              <w:jc w:val="center"/>
              <w:rPr>
                <w:sz w:val="18"/>
                <w:szCs w:val="18"/>
              </w:rPr>
            </w:pPr>
            <w:r w:rsidRPr="00787196">
              <w:rPr>
                <w:sz w:val="18"/>
                <w:szCs w:val="18"/>
              </w:rPr>
              <w:t>.345</w:t>
            </w:r>
          </w:p>
        </w:tc>
        <w:tc>
          <w:tcPr>
            <w:tcW w:w="737" w:type="dxa"/>
            <w:tcBorders>
              <w:top w:val="single" w:sz="4" w:space="0" w:color="auto"/>
              <w:left w:val="nil"/>
              <w:bottom w:val="nil"/>
              <w:right w:val="nil"/>
            </w:tcBorders>
            <w:shd w:val="clear" w:color="auto" w:fill="FFFFFF"/>
            <w:vAlign w:val="center"/>
          </w:tcPr>
          <w:p w14:paraId="7E315DB4" w14:textId="77777777" w:rsidR="001A6391" w:rsidRPr="00787196" w:rsidRDefault="001A6391" w:rsidP="001A6391">
            <w:pPr>
              <w:spacing w:before="0" w:after="0"/>
              <w:jc w:val="center"/>
              <w:rPr>
                <w:sz w:val="18"/>
                <w:szCs w:val="18"/>
              </w:rPr>
            </w:pPr>
            <w:r w:rsidRPr="00787196">
              <w:rPr>
                <w:sz w:val="18"/>
                <w:szCs w:val="18"/>
              </w:rPr>
              <w:t>.036</w:t>
            </w:r>
          </w:p>
        </w:tc>
        <w:tc>
          <w:tcPr>
            <w:tcW w:w="741" w:type="dxa"/>
            <w:tcBorders>
              <w:top w:val="single" w:sz="4" w:space="0" w:color="auto"/>
              <w:left w:val="nil"/>
              <w:bottom w:val="nil"/>
              <w:right w:val="nil"/>
            </w:tcBorders>
            <w:shd w:val="clear" w:color="auto" w:fill="FFFFFF"/>
            <w:vAlign w:val="center"/>
          </w:tcPr>
          <w:p w14:paraId="46E4C3DE" w14:textId="77777777" w:rsidR="001A6391" w:rsidRPr="00787196" w:rsidRDefault="001A6391" w:rsidP="001A6391">
            <w:pPr>
              <w:spacing w:before="0" w:after="0"/>
              <w:jc w:val="center"/>
              <w:rPr>
                <w:sz w:val="18"/>
                <w:szCs w:val="18"/>
              </w:rPr>
            </w:pPr>
            <w:r w:rsidRPr="00787196">
              <w:rPr>
                <w:sz w:val="18"/>
                <w:szCs w:val="18"/>
              </w:rPr>
              <w:t>.288</w:t>
            </w:r>
          </w:p>
        </w:tc>
        <w:tc>
          <w:tcPr>
            <w:tcW w:w="739" w:type="dxa"/>
            <w:tcBorders>
              <w:top w:val="single" w:sz="4" w:space="0" w:color="auto"/>
              <w:left w:val="nil"/>
              <w:bottom w:val="nil"/>
              <w:right w:val="nil"/>
            </w:tcBorders>
            <w:shd w:val="clear" w:color="auto" w:fill="FFFFFF"/>
            <w:vAlign w:val="center"/>
          </w:tcPr>
          <w:p w14:paraId="513AF0B1" w14:textId="77777777" w:rsidR="001A6391" w:rsidRPr="00787196" w:rsidRDefault="001A6391" w:rsidP="001A6391">
            <w:pPr>
              <w:spacing w:before="0" w:after="0"/>
              <w:jc w:val="center"/>
              <w:rPr>
                <w:sz w:val="18"/>
                <w:szCs w:val="18"/>
              </w:rPr>
            </w:pPr>
            <w:r w:rsidRPr="00787196">
              <w:rPr>
                <w:sz w:val="18"/>
                <w:szCs w:val="18"/>
              </w:rPr>
              <w:t>.080</w:t>
            </w:r>
          </w:p>
        </w:tc>
      </w:tr>
      <w:tr w:rsidR="001A6391" w:rsidRPr="00787196" w14:paraId="360E31E3" w14:textId="77777777" w:rsidTr="001A6391">
        <w:trPr>
          <w:gridAfter w:val="1"/>
          <w:wAfter w:w="6" w:type="dxa"/>
          <w:trHeight w:val="241"/>
        </w:trPr>
        <w:tc>
          <w:tcPr>
            <w:tcW w:w="1756" w:type="dxa"/>
            <w:vMerge/>
            <w:tcBorders>
              <w:top w:val="nil"/>
              <w:bottom w:val="single" w:sz="4" w:space="0" w:color="auto"/>
            </w:tcBorders>
            <w:shd w:val="clear" w:color="auto" w:fill="FFFFFF"/>
            <w:vAlign w:val="center"/>
          </w:tcPr>
          <w:p w14:paraId="2C051C04"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5B10A210"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22</w:t>
            </w:r>
          </w:p>
        </w:tc>
        <w:tc>
          <w:tcPr>
            <w:tcW w:w="720" w:type="dxa"/>
            <w:tcBorders>
              <w:top w:val="nil"/>
              <w:left w:val="nil"/>
              <w:bottom w:val="single" w:sz="4" w:space="0" w:color="auto"/>
              <w:right w:val="nil"/>
            </w:tcBorders>
            <w:shd w:val="clear" w:color="auto" w:fill="FFFFFF"/>
            <w:vAlign w:val="center"/>
          </w:tcPr>
          <w:p w14:paraId="28262D22" w14:textId="77777777" w:rsidR="001A6391" w:rsidRPr="00787196" w:rsidRDefault="001A6391" w:rsidP="001A6391">
            <w:pPr>
              <w:spacing w:before="0" w:after="0"/>
              <w:jc w:val="center"/>
              <w:rPr>
                <w:sz w:val="18"/>
                <w:szCs w:val="18"/>
              </w:rPr>
            </w:pPr>
            <w:r w:rsidRPr="00787196">
              <w:rPr>
                <w:sz w:val="18"/>
                <w:szCs w:val="18"/>
              </w:rPr>
              <w:t>.066</w:t>
            </w:r>
          </w:p>
        </w:tc>
        <w:tc>
          <w:tcPr>
            <w:tcW w:w="818" w:type="dxa"/>
            <w:tcBorders>
              <w:top w:val="nil"/>
              <w:left w:val="nil"/>
              <w:bottom w:val="single" w:sz="4" w:space="0" w:color="auto"/>
              <w:right w:val="nil"/>
            </w:tcBorders>
            <w:shd w:val="clear" w:color="auto" w:fill="2E74B5"/>
            <w:vAlign w:val="center"/>
          </w:tcPr>
          <w:p w14:paraId="5B9E4BB7" w14:textId="77777777" w:rsidR="001A6391" w:rsidRPr="00787196" w:rsidRDefault="001A6391" w:rsidP="001A6391">
            <w:pPr>
              <w:spacing w:before="0" w:after="0"/>
              <w:jc w:val="center"/>
              <w:rPr>
                <w:sz w:val="18"/>
                <w:szCs w:val="18"/>
              </w:rPr>
            </w:pPr>
            <w:r w:rsidRPr="00787196">
              <w:rPr>
                <w:sz w:val="18"/>
                <w:szCs w:val="18"/>
              </w:rPr>
              <w:t>.566</w:t>
            </w:r>
          </w:p>
        </w:tc>
        <w:tc>
          <w:tcPr>
            <w:tcW w:w="737" w:type="dxa"/>
            <w:tcBorders>
              <w:top w:val="nil"/>
              <w:left w:val="nil"/>
              <w:bottom w:val="single" w:sz="4" w:space="0" w:color="auto"/>
              <w:right w:val="nil"/>
            </w:tcBorders>
            <w:shd w:val="clear" w:color="auto" w:fill="FFFFFF"/>
            <w:vAlign w:val="center"/>
          </w:tcPr>
          <w:p w14:paraId="62CB8791" w14:textId="77777777" w:rsidR="001A6391" w:rsidRPr="00787196" w:rsidRDefault="001A6391" w:rsidP="001A6391">
            <w:pPr>
              <w:spacing w:before="0" w:after="0"/>
              <w:jc w:val="center"/>
              <w:rPr>
                <w:sz w:val="18"/>
                <w:szCs w:val="18"/>
              </w:rPr>
            </w:pPr>
            <w:r w:rsidRPr="00787196">
              <w:rPr>
                <w:sz w:val="18"/>
                <w:szCs w:val="18"/>
              </w:rPr>
              <w:t>.183</w:t>
            </w:r>
          </w:p>
        </w:tc>
        <w:tc>
          <w:tcPr>
            <w:tcW w:w="737" w:type="dxa"/>
            <w:tcBorders>
              <w:top w:val="nil"/>
              <w:left w:val="nil"/>
              <w:bottom w:val="single" w:sz="4" w:space="0" w:color="auto"/>
              <w:right w:val="nil"/>
            </w:tcBorders>
            <w:shd w:val="clear" w:color="auto" w:fill="2E74B5"/>
            <w:vAlign w:val="center"/>
          </w:tcPr>
          <w:p w14:paraId="351CA895" w14:textId="77777777" w:rsidR="001A6391" w:rsidRPr="00787196" w:rsidRDefault="001A6391" w:rsidP="001A6391">
            <w:pPr>
              <w:spacing w:before="0" w:after="0"/>
              <w:jc w:val="center"/>
              <w:rPr>
                <w:sz w:val="18"/>
                <w:szCs w:val="18"/>
              </w:rPr>
            </w:pPr>
            <w:r w:rsidRPr="00787196">
              <w:rPr>
                <w:sz w:val="18"/>
                <w:szCs w:val="18"/>
              </w:rPr>
              <w:t>.439</w:t>
            </w:r>
          </w:p>
        </w:tc>
        <w:tc>
          <w:tcPr>
            <w:tcW w:w="737" w:type="dxa"/>
            <w:tcBorders>
              <w:top w:val="nil"/>
              <w:left w:val="nil"/>
              <w:bottom w:val="single" w:sz="4" w:space="0" w:color="auto"/>
              <w:right w:val="nil"/>
            </w:tcBorders>
            <w:shd w:val="clear" w:color="auto" w:fill="FFFFFF"/>
            <w:vAlign w:val="center"/>
          </w:tcPr>
          <w:p w14:paraId="277C2CFA" w14:textId="77777777" w:rsidR="001A6391" w:rsidRPr="00787196" w:rsidRDefault="001A6391" w:rsidP="001A6391">
            <w:pPr>
              <w:spacing w:before="0" w:after="0"/>
              <w:jc w:val="center"/>
              <w:rPr>
                <w:sz w:val="18"/>
                <w:szCs w:val="18"/>
              </w:rPr>
            </w:pPr>
            <w:r w:rsidRPr="00787196">
              <w:rPr>
                <w:sz w:val="18"/>
                <w:szCs w:val="18"/>
              </w:rPr>
              <w:t>.061</w:t>
            </w:r>
          </w:p>
        </w:tc>
        <w:tc>
          <w:tcPr>
            <w:tcW w:w="737" w:type="dxa"/>
            <w:tcBorders>
              <w:top w:val="nil"/>
              <w:left w:val="nil"/>
              <w:bottom w:val="single" w:sz="4" w:space="0" w:color="auto"/>
              <w:right w:val="nil"/>
            </w:tcBorders>
            <w:shd w:val="clear" w:color="auto" w:fill="FFFFFF"/>
            <w:vAlign w:val="center"/>
          </w:tcPr>
          <w:p w14:paraId="61D64C48" w14:textId="77777777" w:rsidR="001A6391" w:rsidRPr="00787196" w:rsidRDefault="001A6391" w:rsidP="001A6391">
            <w:pPr>
              <w:spacing w:before="0" w:after="0"/>
              <w:jc w:val="center"/>
              <w:rPr>
                <w:sz w:val="18"/>
                <w:szCs w:val="18"/>
              </w:rPr>
            </w:pPr>
            <w:r w:rsidRPr="00787196">
              <w:rPr>
                <w:sz w:val="18"/>
                <w:szCs w:val="18"/>
              </w:rPr>
              <w:t>.207</w:t>
            </w:r>
          </w:p>
        </w:tc>
        <w:tc>
          <w:tcPr>
            <w:tcW w:w="741" w:type="dxa"/>
            <w:tcBorders>
              <w:top w:val="nil"/>
              <w:left w:val="nil"/>
              <w:bottom w:val="single" w:sz="4" w:space="0" w:color="auto"/>
              <w:right w:val="nil"/>
            </w:tcBorders>
            <w:shd w:val="clear" w:color="auto" w:fill="FFFFFF"/>
            <w:vAlign w:val="center"/>
          </w:tcPr>
          <w:p w14:paraId="753961B6" w14:textId="77777777" w:rsidR="001A6391" w:rsidRPr="00787196" w:rsidRDefault="001A6391" w:rsidP="001A6391">
            <w:pPr>
              <w:spacing w:before="0" w:after="0"/>
              <w:jc w:val="center"/>
              <w:rPr>
                <w:sz w:val="18"/>
                <w:szCs w:val="18"/>
              </w:rPr>
            </w:pPr>
            <w:r w:rsidRPr="00787196">
              <w:rPr>
                <w:sz w:val="18"/>
                <w:szCs w:val="18"/>
              </w:rPr>
              <w:t>.207</w:t>
            </w:r>
          </w:p>
        </w:tc>
        <w:tc>
          <w:tcPr>
            <w:tcW w:w="739" w:type="dxa"/>
            <w:tcBorders>
              <w:top w:val="nil"/>
              <w:left w:val="nil"/>
              <w:bottom w:val="single" w:sz="4" w:space="0" w:color="auto"/>
              <w:right w:val="nil"/>
            </w:tcBorders>
            <w:shd w:val="clear" w:color="auto" w:fill="FFFFFF"/>
            <w:vAlign w:val="center"/>
          </w:tcPr>
          <w:p w14:paraId="3566711D" w14:textId="77777777" w:rsidR="001A6391" w:rsidRPr="00787196" w:rsidRDefault="001A6391" w:rsidP="001A6391">
            <w:pPr>
              <w:spacing w:before="0" w:after="0"/>
              <w:jc w:val="center"/>
              <w:rPr>
                <w:sz w:val="18"/>
                <w:szCs w:val="18"/>
              </w:rPr>
            </w:pPr>
            <w:r w:rsidRPr="00787196">
              <w:rPr>
                <w:sz w:val="18"/>
                <w:szCs w:val="18"/>
              </w:rPr>
              <w:t>.097</w:t>
            </w:r>
          </w:p>
        </w:tc>
      </w:tr>
      <w:tr w:rsidR="001A6391" w:rsidRPr="00787196" w14:paraId="42B8F241" w14:textId="77777777" w:rsidTr="001A6391">
        <w:trPr>
          <w:gridAfter w:val="1"/>
          <w:wAfter w:w="6" w:type="dxa"/>
          <w:trHeight w:val="445"/>
        </w:trPr>
        <w:tc>
          <w:tcPr>
            <w:tcW w:w="1756" w:type="dxa"/>
            <w:vMerge w:val="restart"/>
            <w:tcBorders>
              <w:top w:val="single" w:sz="4" w:space="0" w:color="auto"/>
              <w:bottom w:val="nil"/>
            </w:tcBorders>
            <w:shd w:val="clear" w:color="auto" w:fill="FFFFFF"/>
            <w:vAlign w:val="center"/>
          </w:tcPr>
          <w:p w14:paraId="599CAED3"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Substance misuse</w:t>
            </w:r>
          </w:p>
        </w:tc>
        <w:tc>
          <w:tcPr>
            <w:tcW w:w="455" w:type="dxa"/>
            <w:tcBorders>
              <w:top w:val="single" w:sz="4" w:space="0" w:color="auto"/>
              <w:bottom w:val="nil"/>
              <w:right w:val="nil"/>
            </w:tcBorders>
            <w:shd w:val="clear" w:color="auto" w:fill="FFFFFF"/>
            <w:vAlign w:val="center"/>
          </w:tcPr>
          <w:p w14:paraId="6AEBBAED"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23</w:t>
            </w:r>
          </w:p>
        </w:tc>
        <w:tc>
          <w:tcPr>
            <w:tcW w:w="720" w:type="dxa"/>
            <w:tcBorders>
              <w:top w:val="single" w:sz="4" w:space="0" w:color="auto"/>
              <w:left w:val="nil"/>
              <w:bottom w:val="nil"/>
              <w:right w:val="nil"/>
            </w:tcBorders>
            <w:shd w:val="clear" w:color="auto" w:fill="FFFFFF"/>
            <w:vAlign w:val="center"/>
          </w:tcPr>
          <w:p w14:paraId="706F13F9" w14:textId="77777777" w:rsidR="001A6391" w:rsidRPr="00787196" w:rsidRDefault="001A6391" w:rsidP="001A6391">
            <w:pPr>
              <w:spacing w:before="0" w:after="0"/>
              <w:jc w:val="center"/>
              <w:rPr>
                <w:sz w:val="18"/>
                <w:szCs w:val="18"/>
              </w:rPr>
            </w:pPr>
            <w:r w:rsidRPr="00787196">
              <w:rPr>
                <w:sz w:val="18"/>
                <w:szCs w:val="18"/>
              </w:rPr>
              <w:t>-.016</w:t>
            </w:r>
          </w:p>
        </w:tc>
        <w:tc>
          <w:tcPr>
            <w:tcW w:w="818" w:type="dxa"/>
            <w:tcBorders>
              <w:top w:val="single" w:sz="4" w:space="0" w:color="auto"/>
              <w:left w:val="nil"/>
              <w:bottom w:val="nil"/>
              <w:right w:val="nil"/>
            </w:tcBorders>
            <w:shd w:val="clear" w:color="auto" w:fill="FFFFFF"/>
            <w:vAlign w:val="center"/>
          </w:tcPr>
          <w:p w14:paraId="705E3DA7" w14:textId="77777777" w:rsidR="001A6391" w:rsidRPr="00787196" w:rsidRDefault="001A6391" w:rsidP="001A6391">
            <w:pPr>
              <w:spacing w:before="0" w:after="0"/>
              <w:jc w:val="center"/>
              <w:rPr>
                <w:sz w:val="18"/>
                <w:szCs w:val="18"/>
              </w:rPr>
            </w:pPr>
            <w:r w:rsidRPr="00787196">
              <w:rPr>
                <w:sz w:val="18"/>
                <w:szCs w:val="18"/>
              </w:rPr>
              <w:t>.272</w:t>
            </w:r>
          </w:p>
        </w:tc>
        <w:tc>
          <w:tcPr>
            <w:tcW w:w="737" w:type="dxa"/>
            <w:tcBorders>
              <w:top w:val="single" w:sz="4" w:space="0" w:color="auto"/>
              <w:left w:val="nil"/>
              <w:bottom w:val="nil"/>
              <w:right w:val="nil"/>
            </w:tcBorders>
            <w:shd w:val="clear" w:color="auto" w:fill="FFFFFF"/>
            <w:vAlign w:val="center"/>
          </w:tcPr>
          <w:p w14:paraId="6A7015CB" w14:textId="77777777" w:rsidR="001A6391" w:rsidRPr="00787196" w:rsidRDefault="001A6391" w:rsidP="001A6391">
            <w:pPr>
              <w:spacing w:before="0" w:after="0"/>
              <w:jc w:val="center"/>
              <w:rPr>
                <w:sz w:val="18"/>
                <w:szCs w:val="18"/>
              </w:rPr>
            </w:pPr>
            <w:r w:rsidRPr="00787196">
              <w:rPr>
                <w:sz w:val="18"/>
                <w:szCs w:val="18"/>
              </w:rPr>
              <w:t>.025</w:t>
            </w:r>
          </w:p>
        </w:tc>
        <w:tc>
          <w:tcPr>
            <w:tcW w:w="737" w:type="dxa"/>
            <w:tcBorders>
              <w:top w:val="single" w:sz="4" w:space="0" w:color="auto"/>
              <w:left w:val="nil"/>
              <w:bottom w:val="nil"/>
              <w:right w:val="nil"/>
            </w:tcBorders>
            <w:shd w:val="clear" w:color="auto" w:fill="2E74B5"/>
            <w:vAlign w:val="center"/>
          </w:tcPr>
          <w:p w14:paraId="6900FCC3" w14:textId="77777777" w:rsidR="001A6391" w:rsidRPr="00787196" w:rsidRDefault="001A6391" w:rsidP="001A6391">
            <w:pPr>
              <w:spacing w:before="0" w:after="0"/>
              <w:jc w:val="center"/>
              <w:rPr>
                <w:sz w:val="18"/>
                <w:szCs w:val="18"/>
              </w:rPr>
            </w:pPr>
            <w:r w:rsidRPr="00787196">
              <w:rPr>
                <w:sz w:val="18"/>
                <w:szCs w:val="18"/>
              </w:rPr>
              <w:t>.458</w:t>
            </w:r>
          </w:p>
        </w:tc>
        <w:tc>
          <w:tcPr>
            <w:tcW w:w="737" w:type="dxa"/>
            <w:tcBorders>
              <w:top w:val="single" w:sz="4" w:space="0" w:color="auto"/>
              <w:left w:val="nil"/>
              <w:bottom w:val="nil"/>
              <w:right w:val="nil"/>
            </w:tcBorders>
            <w:shd w:val="clear" w:color="auto" w:fill="FFFFFF"/>
            <w:vAlign w:val="center"/>
          </w:tcPr>
          <w:p w14:paraId="65EDB3E2" w14:textId="77777777" w:rsidR="001A6391" w:rsidRPr="00787196" w:rsidRDefault="001A6391" w:rsidP="001A6391">
            <w:pPr>
              <w:spacing w:before="0" w:after="0"/>
              <w:jc w:val="center"/>
              <w:rPr>
                <w:sz w:val="18"/>
                <w:szCs w:val="18"/>
              </w:rPr>
            </w:pPr>
            <w:r w:rsidRPr="00787196">
              <w:rPr>
                <w:sz w:val="18"/>
                <w:szCs w:val="18"/>
              </w:rPr>
              <w:t>.095</w:t>
            </w:r>
          </w:p>
        </w:tc>
        <w:tc>
          <w:tcPr>
            <w:tcW w:w="737" w:type="dxa"/>
            <w:tcBorders>
              <w:top w:val="single" w:sz="4" w:space="0" w:color="auto"/>
              <w:left w:val="nil"/>
              <w:bottom w:val="nil"/>
              <w:right w:val="nil"/>
            </w:tcBorders>
            <w:shd w:val="clear" w:color="auto" w:fill="2E74B5"/>
            <w:vAlign w:val="center"/>
          </w:tcPr>
          <w:p w14:paraId="6B1AC648" w14:textId="77777777" w:rsidR="001A6391" w:rsidRPr="00787196" w:rsidRDefault="001A6391" w:rsidP="001A6391">
            <w:pPr>
              <w:spacing w:before="0" w:after="0"/>
              <w:jc w:val="center"/>
              <w:rPr>
                <w:sz w:val="18"/>
                <w:szCs w:val="18"/>
              </w:rPr>
            </w:pPr>
            <w:r w:rsidRPr="00787196">
              <w:rPr>
                <w:sz w:val="18"/>
                <w:szCs w:val="18"/>
              </w:rPr>
              <w:t>.458</w:t>
            </w:r>
          </w:p>
        </w:tc>
        <w:tc>
          <w:tcPr>
            <w:tcW w:w="741" w:type="dxa"/>
            <w:tcBorders>
              <w:top w:val="single" w:sz="4" w:space="0" w:color="auto"/>
              <w:left w:val="nil"/>
              <w:bottom w:val="nil"/>
              <w:right w:val="nil"/>
            </w:tcBorders>
            <w:shd w:val="clear" w:color="auto" w:fill="FFFFFF"/>
            <w:vAlign w:val="center"/>
          </w:tcPr>
          <w:p w14:paraId="7D35A88C" w14:textId="77777777" w:rsidR="001A6391" w:rsidRPr="00787196" w:rsidRDefault="001A6391" w:rsidP="001A6391">
            <w:pPr>
              <w:spacing w:before="0" w:after="0"/>
              <w:jc w:val="center"/>
              <w:rPr>
                <w:sz w:val="18"/>
                <w:szCs w:val="18"/>
              </w:rPr>
            </w:pPr>
            <w:r w:rsidRPr="00787196">
              <w:rPr>
                <w:sz w:val="18"/>
                <w:szCs w:val="18"/>
              </w:rPr>
              <w:t>.037</w:t>
            </w:r>
          </w:p>
        </w:tc>
        <w:tc>
          <w:tcPr>
            <w:tcW w:w="739" w:type="dxa"/>
            <w:tcBorders>
              <w:top w:val="single" w:sz="4" w:space="0" w:color="auto"/>
              <w:left w:val="nil"/>
              <w:bottom w:val="nil"/>
              <w:right w:val="nil"/>
            </w:tcBorders>
            <w:shd w:val="clear" w:color="auto" w:fill="FFFFFF"/>
            <w:vAlign w:val="center"/>
          </w:tcPr>
          <w:p w14:paraId="0E8FEE63" w14:textId="77777777" w:rsidR="001A6391" w:rsidRPr="00787196" w:rsidRDefault="001A6391" w:rsidP="001A6391">
            <w:pPr>
              <w:spacing w:before="0" w:after="0"/>
              <w:jc w:val="center"/>
              <w:rPr>
                <w:sz w:val="18"/>
                <w:szCs w:val="18"/>
              </w:rPr>
            </w:pPr>
            <w:r w:rsidRPr="00787196">
              <w:rPr>
                <w:sz w:val="18"/>
                <w:szCs w:val="18"/>
              </w:rPr>
              <w:t>-.119</w:t>
            </w:r>
          </w:p>
        </w:tc>
      </w:tr>
      <w:tr w:rsidR="001A6391" w:rsidRPr="00787196" w14:paraId="197429D9" w14:textId="77777777" w:rsidTr="001A6391">
        <w:trPr>
          <w:gridAfter w:val="1"/>
          <w:wAfter w:w="6" w:type="dxa"/>
          <w:trHeight w:val="241"/>
        </w:trPr>
        <w:tc>
          <w:tcPr>
            <w:tcW w:w="1756" w:type="dxa"/>
            <w:vMerge/>
            <w:tcBorders>
              <w:top w:val="nil"/>
              <w:bottom w:val="single" w:sz="4" w:space="0" w:color="auto"/>
            </w:tcBorders>
            <w:shd w:val="clear" w:color="auto" w:fill="FFFFFF"/>
            <w:vAlign w:val="center"/>
          </w:tcPr>
          <w:p w14:paraId="4C327A7C"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4791BCD7"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24</w:t>
            </w:r>
          </w:p>
        </w:tc>
        <w:tc>
          <w:tcPr>
            <w:tcW w:w="720" w:type="dxa"/>
            <w:tcBorders>
              <w:top w:val="nil"/>
              <w:left w:val="nil"/>
              <w:bottom w:val="single" w:sz="4" w:space="0" w:color="auto"/>
              <w:right w:val="nil"/>
            </w:tcBorders>
            <w:shd w:val="clear" w:color="auto" w:fill="FFFFFF"/>
            <w:vAlign w:val="center"/>
          </w:tcPr>
          <w:p w14:paraId="3D065D1F" w14:textId="77777777" w:rsidR="001A6391" w:rsidRPr="00787196" w:rsidRDefault="001A6391" w:rsidP="001A6391">
            <w:pPr>
              <w:spacing w:before="0" w:after="0"/>
              <w:jc w:val="center"/>
              <w:rPr>
                <w:sz w:val="18"/>
                <w:szCs w:val="18"/>
              </w:rPr>
            </w:pPr>
            <w:r w:rsidRPr="00787196">
              <w:rPr>
                <w:sz w:val="18"/>
                <w:szCs w:val="18"/>
              </w:rPr>
              <w:t>-.081</w:t>
            </w:r>
          </w:p>
        </w:tc>
        <w:tc>
          <w:tcPr>
            <w:tcW w:w="818" w:type="dxa"/>
            <w:tcBorders>
              <w:top w:val="nil"/>
              <w:left w:val="nil"/>
              <w:bottom w:val="single" w:sz="4" w:space="0" w:color="auto"/>
              <w:right w:val="nil"/>
            </w:tcBorders>
            <w:shd w:val="clear" w:color="auto" w:fill="FFFFFF"/>
            <w:vAlign w:val="center"/>
          </w:tcPr>
          <w:p w14:paraId="382F4002" w14:textId="77777777" w:rsidR="001A6391" w:rsidRPr="00787196" w:rsidRDefault="001A6391" w:rsidP="001A6391">
            <w:pPr>
              <w:spacing w:before="0" w:after="0"/>
              <w:jc w:val="center"/>
              <w:rPr>
                <w:sz w:val="18"/>
                <w:szCs w:val="18"/>
              </w:rPr>
            </w:pPr>
            <w:r w:rsidRPr="00787196">
              <w:rPr>
                <w:sz w:val="18"/>
                <w:szCs w:val="18"/>
              </w:rPr>
              <w:t>.210</w:t>
            </w:r>
          </w:p>
        </w:tc>
        <w:tc>
          <w:tcPr>
            <w:tcW w:w="737" w:type="dxa"/>
            <w:tcBorders>
              <w:top w:val="nil"/>
              <w:left w:val="nil"/>
              <w:bottom w:val="single" w:sz="4" w:space="0" w:color="auto"/>
              <w:right w:val="nil"/>
            </w:tcBorders>
            <w:shd w:val="clear" w:color="auto" w:fill="FFFFFF"/>
            <w:vAlign w:val="center"/>
          </w:tcPr>
          <w:p w14:paraId="07B76D17" w14:textId="77777777" w:rsidR="001A6391" w:rsidRPr="00787196" w:rsidRDefault="001A6391" w:rsidP="001A6391">
            <w:pPr>
              <w:spacing w:before="0" w:after="0"/>
              <w:jc w:val="center"/>
              <w:rPr>
                <w:sz w:val="18"/>
                <w:szCs w:val="18"/>
              </w:rPr>
            </w:pPr>
            <w:r w:rsidRPr="00787196">
              <w:rPr>
                <w:sz w:val="18"/>
                <w:szCs w:val="18"/>
              </w:rPr>
              <w:t>.020</w:t>
            </w:r>
          </w:p>
        </w:tc>
        <w:tc>
          <w:tcPr>
            <w:tcW w:w="737" w:type="dxa"/>
            <w:tcBorders>
              <w:top w:val="nil"/>
              <w:left w:val="nil"/>
              <w:bottom w:val="single" w:sz="4" w:space="0" w:color="auto"/>
              <w:right w:val="nil"/>
            </w:tcBorders>
            <w:shd w:val="clear" w:color="auto" w:fill="2E74B5"/>
            <w:vAlign w:val="center"/>
          </w:tcPr>
          <w:p w14:paraId="22E0AF19" w14:textId="77777777" w:rsidR="001A6391" w:rsidRPr="00787196" w:rsidRDefault="001A6391" w:rsidP="001A6391">
            <w:pPr>
              <w:spacing w:before="0" w:after="0"/>
              <w:jc w:val="center"/>
              <w:rPr>
                <w:sz w:val="18"/>
                <w:szCs w:val="18"/>
              </w:rPr>
            </w:pPr>
            <w:r w:rsidRPr="00787196">
              <w:rPr>
                <w:sz w:val="18"/>
                <w:szCs w:val="18"/>
              </w:rPr>
              <w:t>.589</w:t>
            </w:r>
          </w:p>
        </w:tc>
        <w:tc>
          <w:tcPr>
            <w:tcW w:w="737" w:type="dxa"/>
            <w:tcBorders>
              <w:top w:val="nil"/>
              <w:left w:val="nil"/>
              <w:bottom w:val="single" w:sz="4" w:space="0" w:color="auto"/>
              <w:right w:val="nil"/>
            </w:tcBorders>
            <w:shd w:val="clear" w:color="auto" w:fill="FFFFFF"/>
            <w:vAlign w:val="center"/>
          </w:tcPr>
          <w:p w14:paraId="20AA1E36" w14:textId="77777777" w:rsidR="001A6391" w:rsidRPr="00787196" w:rsidRDefault="001A6391" w:rsidP="001A6391">
            <w:pPr>
              <w:spacing w:before="0" w:after="0"/>
              <w:jc w:val="center"/>
              <w:rPr>
                <w:sz w:val="18"/>
                <w:szCs w:val="18"/>
              </w:rPr>
            </w:pPr>
            <w:r w:rsidRPr="00787196">
              <w:rPr>
                <w:sz w:val="18"/>
                <w:szCs w:val="18"/>
              </w:rPr>
              <w:t>.096</w:t>
            </w:r>
          </w:p>
        </w:tc>
        <w:tc>
          <w:tcPr>
            <w:tcW w:w="737" w:type="dxa"/>
            <w:tcBorders>
              <w:top w:val="nil"/>
              <w:left w:val="nil"/>
              <w:bottom w:val="single" w:sz="4" w:space="0" w:color="auto"/>
              <w:right w:val="nil"/>
            </w:tcBorders>
            <w:shd w:val="clear" w:color="auto" w:fill="FFFFFF"/>
            <w:vAlign w:val="center"/>
          </w:tcPr>
          <w:p w14:paraId="3955C613" w14:textId="77777777" w:rsidR="001A6391" w:rsidRPr="00787196" w:rsidRDefault="001A6391" w:rsidP="001A6391">
            <w:pPr>
              <w:spacing w:before="0" w:after="0"/>
              <w:jc w:val="center"/>
              <w:rPr>
                <w:sz w:val="18"/>
                <w:szCs w:val="18"/>
              </w:rPr>
            </w:pPr>
            <w:r w:rsidRPr="00787196">
              <w:rPr>
                <w:sz w:val="18"/>
                <w:szCs w:val="18"/>
              </w:rPr>
              <w:t>.387</w:t>
            </w:r>
          </w:p>
        </w:tc>
        <w:tc>
          <w:tcPr>
            <w:tcW w:w="741" w:type="dxa"/>
            <w:tcBorders>
              <w:top w:val="nil"/>
              <w:left w:val="nil"/>
              <w:bottom w:val="single" w:sz="4" w:space="0" w:color="auto"/>
              <w:right w:val="nil"/>
            </w:tcBorders>
            <w:shd w:val="clear" w:color="auto" w:fill="FFFFFF"/>
            <w:vAlign w:val="center"/>
          </w:tcPr>
          <w:p w14:paraId="2A9C932E" w14:textId="77777777" w:rsidR="001A6391" w:rsidRPr="00787196" w:rsidRDefault="001A6391" w:rsidP="001A6391">
            <w:pPr>
              <w:spacing w:before="0" w:after="0"/>
              <w:jc w:val="center"/>
              <w:rPr>
                <w:sz w:val="18"/>
                <w:szCs w:val="18"/>
              </w:rPr>
            </w:pPr>
            <w:r w:rsidRPr="00787196">
              <w:rPr>
                <w:sz w:val="18"/>
                <w:szCs w:val="18"/>
              </w:rPr>
              <w:t>.068</w:t>
            </w:r>
          </w:p>
        </w:tc>
        <w:tc>
          <w:tcPr>
            <w:tcW w:w="739" w:type="dxa"/>
            <w:tcBorders>
              <w:top w:val="nil"/>
              <w:left w:val="nil"/>
              <w:bottom w:val="single" w:sz="4" w:space="0" w:color="auto"/>
              <w:right w:val="nil"/>
            </w:tcBorders>
            <w:shd w:val="clear" w:color="auto" w:fill="FFFFFF"/>
            <w:vAlign w:val="center"/>
          </w:tcPr>
          <w:p w14:paraId="53C7221A" w14:textId="77777777" w:rsidR="001A6391" w:rsidRPr="00787196" w:rsidRDefault="001A6391" w:rsidP="001A6391">
            <w:pPr>
              <w:spacing w:before="0" w:after="0"/>
              <w:jc w:val="center"/>
              <w:rPr>
                <w:sz w:val="18"/>
                <w:szCs w:val="18"/>
              </w:rPr>
            </w:pPr>
            <w:r w:rsidRPr="00787196">
              <w:rPr>
                <w:sz w:val="18"/>
                <w:szCs w:val="18"/>
              </w:rPr>
              <w:t>-.072</w:t>
            </w:r>
          </w:p>
        </w:tc>
      </w:tr>
      <w:tr w:rsidR="001A6391" w:rsidRPr="00787196" w14:paraId="27FD0BED" w14:textId="77777777" w:rsidTr="001A6391">
        <w:trPr>
          <w:gridAfter w:val="1"/>
          <w:wAfter w:w="6" w:type="dxa"/>
          <w:trHeight w:val="316"/>
        </w:trPr>
        <w:tc>
          <w:tcPr>
            <w:tcW w:w="1756" w:type="dxa"/>
            <w:vMerge w:val="restart"/>
            <w:tcBorders>
              <w:top w:val="single" w:sz="4" w:space="0" w:color="auto"/>
              <w:bottom w:val="nil"/>
            </w:tcBorders>
            <w:shd w:val="clear" w:color="auto" w:fill="FFFFFF"/>
            <w:vAlign w:val="center"/>
          </w:tcPr>
          <w:p w14:paraId="18761A9D"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Behavioural disengagement</w:t>
            </w:r>
          </w:p>
        </w:tc>
        <w:tc>
          <w:tcPr>
            <w:tcW w:w="455" w:type="dxa"/>
            <w:tcBorders>
              <w:top w:val="single" w:sz="4" w:space="0" w:color="auto"/>
              <w:bottom w:val="nil"/>
              <w:right w:val="nil"/>
            </w:tcBorders>
            <w:shd w:val="clear" w:color="auto" w:fill="FFFFFF"/>
            <w:vAlign w:val="center"/>
          </w:tcPr>
          <w:p w14:paraId="05E7B608"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25</w:t>
            </w:r>
          </w:p>
        </w:tc>
        <w:tc>
          <w:tcPr>
            <w:tcW w:w="720" w:type="dxa"/>
            <w:tcBorders>
              <w:top w:val="single" w:sz="4" w:space="0" w:color="auto"/>
              <w:left w:val="nil"/>
              <w:bottom w:val="nil"/>
              <w:right w:val="nil"/>
            </w:tcBorders>
            <w:shd w:val="clear" w:color="auto" w:fill="FFFFFF"/>
            <w:vAlign w:val="center"/>
          </w:tcPr>
          <w:p w14:paraId="253EFED7" w14:textId="77777777" w:rsidR="001A6391" w:rsidRPr="00787196" w:rsidRDefault="001A6391" w:rsidP="001A6391">
            <w:pPr>
              <w:spacing w:before="0" w:after="0"/>
              <w:jc w:val="center"/>
              <w:rPr>
                <w:sz w:val="18"/>
                <w:szCs w:val="18"/>
              </w:rPr>
            </w:pPr>
            <w:r w:rsidRPr="00787196">
              <w:rPr>
                <w:sz w:val="18"/>
                <w:szCs w:val="18"/>
              </w:rPr>
              <w:t>-.064</w:t>
            </w:r>
          </w:p>
        </w:tc>
        <w:tc>
          <w:tcPr>
            <w:tcW w:w="818" w:type="dxa"/>
            <w:tcBorders>
              <w:top w:val="single" w:sz="4" w:space="0" w:color="auto"/>
              <w:left w:val="nil"/>
              <w:bottom w:val="nil"/>
              <w:right w:val="nil"/>
            </w:tcBorders>
            <w:shd w:val="clear" w:color="auto" w:fill="FFFFFF"/>
            <w:vAlign w:val="center"/>
          </w:tcPr>
          <w:p w14:paraId="7CC33ED7" w14:textId="77777777" w:rsidR="001A6391" w:rsidRPr="00787196" w:rsidRDefault="001A6391" w:rsidP="001A6391">
            <w:pPr>
              <w:spacing w:before="0" w:after="0"/>
              <w:jc w:val="center"/>
              <w:rPr>
                <w:sz w:val="18"/>
                <w:szCs w:val="18"/>
              </w:rPr>
            </w:pPr>
            <w:r w:rsidRPr="00787196">
              <w:rPr>
                <w:sz w:val="18"/>
                <w:szCs w:val="18"/>
              </w:rPr>
              <w:t>.277</w:t>
            </w:r>
          </w:p>
        </w:tc>
        <w:tc>
          <w:tcPr>
            <w:tcW w:w="737" w:type="dxa"/>
            <w:tcBorders>
              <w:top w:val="single" w:sz="4" w:space="0" w:color="auto"/>
              <w:left w:val="nil"/>
              <w:bottom w:val="nil"/>
              <w:right w:val="nil"/>
            </w:tcBorders>
            <w:shd w:val="clear" w:color="auto" w:fill="FFFFFF"/>
            <w:vAlign w:val="center"/>
          </w:tcPr>
          <w:p w14:paraId="694EBBE8" w14:textId="77777777" w:rsidR="001A6391" w:rsidRPr="00787196" w:rsidRDefault="001A6391" w:rsidP="001A6391">
            <w:pPr>
              <w:spacing w:before="0" w:after="0"/>
              <w:jc w:val="center"/>
              <w:rPr>
                <w:sz w:val="18"/>
                <w:szCs w:val="18"/>
              </w:rPr>
            </w:pPr>
            <w:r w:rsidRPr="00787196">
              <w:rPr>
                <w:sz w:val="18"/>
                <w:szCs w:val="18"/>
              </w:rPr>
              <w:t>.068</w:t>
            </w:r>
          </w:p>
        </w:tc>
        <w:tc>
          <w:tcPr>
            <w:tcW w:w="737" w:type="dxa"/>
            <w:tcBorders>
              <w:top w:val="single" w:sz="4" w:space="0" w:color="auto"/>
              <w:left w:val="nil"/>
              <w:bottom w:val="nil"/>
              <w:right w:val="nil"/>
            </w:tcBorders>
            <w:shd w:val="clear" w:color="auto" w:fill="2E74B5"/>
            <w:vAlign w:val="center"/>
          </w:tcPr>
          <w:p w14:paraId="0C8BB296" w14:textId="77777777" w:rsidR="001A6391" w:rsidRPr="00787196" w:rsidRDefault="001A6391" w:rsidP="001A6391">
            <w:pPr>
              <w:spacing w:before="0" w:after="0"/>
              <w:jc w:val="center"/>
              <w:rPr>
                <w:sz w:val="18"/>
                <w:szCs w:val="18"/>
              </w:rPr>
            </w:pPr>
            <w:r w:rsidRPr="00787196">
              <w:rPr>
                <w:sz w:val="18"/>
                <w:szCs w:val="18"/>
              </w:rPr>
              <w:t>.852</w:t>
            </w:r>
          </w:p>
        </w:tc>
        <w:tc>
          <w:tcPr>
            <w:tcW w:w="737" w:type="dxa"/>
            <w:tcBorders>
              <w:top w:val="single" w:sz="4" w:space="0" w:color="auto"/>
              <w:left w:val="nil"/>
              <w:bottom w:val="nil"/>
              <w:right w:val="nil"/>
            </w:tcBorders>
            <w:shd w:val="clear" w:color="auto" w:fill="FFFFFF"/>
            <w:vAlign w:val="center"/>
          </w:tcPr>
          <w:p w14:paraId="664EEF45" w14:textId="77777777" w:rsidR="001A6391" w:rsidRPr="00787196" w:rsidRDefault="001A6391" w:rsidP="001A6391">
            <w:pPr>
              <w:spacing w:before="0" w:after="0"/>
              <w:jc w:val="center"/>
              <w:rPr>
                <w:sz w:val="18"/>
                <w:szCs w:val="18"/>
              </w:rPr>
            </w:pPr>
            <w:r w:rsidRPr="00787196">
              <w:rPr>
                <w:sz w:val="18"/>
                <w:szCs w:val="18"/>
              </w:rPr>
              <w:t>.098</w:t>
            </w:r>
          </w:p>
        </w:tc>
        <w:tc>
          <w:tcPr>
            <w:tcW w:w="737" w:type="dxa"/>
            <w:tcBorders>
              <w:top w:val="single" w:sz="4" w:space="0" w:color="auto"/>
              <w:left w:val="nil"/>
              <w:bottom w:val="nil"/>
              <w:right w:val="nil"/>
            </w:tcBorders>
            <w:shd w:val="clear" w:color="auto" w:fill="FFFFFF"/>
            <w:vAlign w:val="center"/>
          </w:tcPr>
          <w:p w14:paraId="7D3E0E8B" w14:textId="77777777" w:rsidR="001A6391" w:rsidRPr="00787196" w:rsidRDefault="001A6391" w:rsidP="001A6391">
            <w:pPr>
              <w:spacing w:before="0" w:after="0"/>
              <w:jc w:val="center"/>
              <w:rPr>
                <w:sz w:val="18"/>
                <w:szCs w:val="18"/>
              </w:rPr>
            </w:pPr>
            <w:r w:rsidRPr="00787196">
              <w:rPr>
                <w:sz w:val="18"/>
                <w:szCs w:val="18"/>
              </w:rPr>
              <w:t>.206</w:t>
            </w:r>
          </w:p>
        </w:tc>
        <w:tc>
          <w:tcPr>
            <w:tcW w:w="741" w:type="dxa"/>
            <w:tcBorders>
              <w:top w:val="single" w:sz="4" w:space="0" w:color="auto"/>
              <w:left w:val="nil"/>
              <w:bottom w:val="nil"/>
              <w:right w:val="nil"/>
            </w:tcBorders>
            <w:shd w:val="clear" w:color="auto" w:fill="FFFFFF"/>
            <w:vAlign w:val="center"/>
          </w:tcPr>
          <w:p w14:paraId="50C0DA97" w14:textId="77777777" w:rsidR="001A6391" w:rsidRPr="00787196" w:rsidRDefault="001A6391" w:rsidP="001A6391">
            <w:pPr>
              <w:spacing w:before="0" w:after="0"/>
              <w:jc w:val="center"/>
              <w:rPr>
                <w:sz w:val="18"/>
                <w:szCs w:val="18"/>
              </w:rPr>
            </w:pPr>
            <w:r w:rsidRPr="00787196">
              <w:rPr>
                <w:sz w:val="18"/>
                <w:szCs w:val="18"/>
              </w:rPr>
              <w:t>.094</w:t>
            </w:r>
          </w:p>
        </w:tc>
        <w:tc>
          <w:tcPr>
            <w:tcW w:w="739" w:type="dxa"/>
            <w:tcBorders>
              <w:top w:val="single" w:sz="4" w:space="0" w:color="auto"/>
              <w:left w:val="nil"/>
              <w:bottom w:val="nil"/>
              <w:right w:val="nil"/>
            </w:tcBorders>
            <w:shd w:val="clear" w:color="auto" w:fill="FFFFFF"/>
            <w:vAlign w:val="center"/>
          </w:tcPr>
          <w:p w14:paraId="118EA282" w14:textId="77777777" w:rsidR="001A6391" w:rsidRPr="00787196" w:rsidRDefault="001A6391" w:rsidP="001A6391">
            <w:pPr>
              <w:spacing w:before="0" w:after="0"/>
              <w:jc w:val="center"/>
              <w:rPr>
                <w:sz w:val="18"/>
                <w:szCs w:val="18"/>
              </w:rPr>
            </w:pPr>
            <w:r w:rsidRPr="00787196">
              <w:rPr>
                <w:sz w:val="18"/>
                <w:szCs w:val="18"/>
              </w:rPr>
              <w:t>-.051</w:t>
            </w:r>
          </w:p>
        </w:tc>
      </w:tr>
      <w:tr w:rsidR="001A6391" w:rsidRPr="00787196" w14:paraId="0C3337F9" w14:textId="77777777" w:rsidTr="001A6391">
        <w:trPr>
          <w:gridAfter w:val="1"/>
          <w:wAfter w:w="6" w:type="dxa"/>
          <w:trHeight w:val="284"/>
        </w:trPr>
        <w:tc>
          <w:tcPr>
            <w:tcW w:w="1756" w:type="dxa"/>
            <w:vMerge/>
            <w:tcBorders>
              <w:top w:val="nil"/>
              <w:bottom w:val="single" w:sz="4" w:space="0" w:color="auto"/>
            </w:tcBorders>
            <w:shd w:val="clear" w:color="auto" w:fill="FFFFFF"/>
            <w:vAlign w:val="center"/>
          </w:tcPr>
          <w:p w14:paraId="31BF4D81"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130D0F81"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26</w:t>
            </w:r>
          </w:p>
        </w:tc>
        <w:tc>
          <w:tcPr>
            <w:tcW w:w="720" w:type="dxa"/>
            <w:tcBorders>
              <w:top w:val="nil"/>
              <w:left w:val="nil"/>
              <w:bottom w:val="single" w:sz="4" w:space="0" w:color="auto"/>
              <w:right w:val="nil"/>
            </w:tcBorders>
            <w:shd w:val="clear" w:color="auto" w:fill="FFFFFF"/>
            <w:vAlign w:val="center"/>
          </w:tcPr>
          <w:p w14:paraId="77187FD5" w14:textId="77777777" w:rsidR="001A6391" w:rsidRPr="00787196" w:rsidRDefault="001A6391" w:rsidP="001A6391">
            <w:pPr>
              <w:spacing w:before="0" w:after="0"/>
              <w:jc w:val="center"/>
              <w:rPr>
                <w:sz w:val="18"/>
                <w:szCs w:val="18"/>
              </w:rPr>
            </w:pPr>
            <w:r w:rsidRPr="00787196">
              <w:rPr>
                <w:sz w:val="18"/>
                <w:szCs w:val="18"/>
              </w:rPr>
              <w:t>-.065</w:t>
            </w:r>
          </w:p>
        </w:tc>
        <w:tc>
          <w:tcPr>
            <w:tcW w:w="818" w:type="dxa"/>
            <w:tcBorders>
              <w:top w:val="nil"/>
              <w:left w:val="nil"/>
              <w:bottom w:val="single" w:sz="4" w:space="0" w:color="auto"/>
              <w:right w:val="nil"/>
            </w:tcBorders>
            <w:shd w:val="clear" w:color="auto" w:fill="FFFFFF"/>
            <w:vAlign w:val="center"/>
          </w:tcPr>
          <w:p w14:paraId="01ED0286" w14:textId="77777777" w:rsidR="001A6391" w:rsidRPr="00787196" w:rsidRDefault="001A6391" w:rsidP="001A6391">
            <w:pPr>
              <w:spacing w:before="0" w:after="0"/>
              <w:jc w:val="center"/>
              <w:rPr>
                <w:sz w:val="18"/>
                <w:szCs w:val="18"/>
              </w:rPr>
            </w:pPr>
            <w:r w:rsidRPr="00787196">
              <w:rPr>
                <w:sz w:val="18"/>
                <w:szCs w:val="18"/>
              </w:rPr>
              <w:t>.375</w:t>
            </w:r>
          </w:p>
        </w:tc>
        <w:tc>
          <w:tcPr>
            <w:tcW w:w="737" w:type="dxa"/>
            <w:tcBorders>
              <w:top w:val="nil"/>
              <w:left w:val="nil"/>
              <w:bottom w:val="single" w:sz="4" w:space="0" w:color="auto"/>
              <w:right w:val="nil"/>
            </w:tcBorders>
            <w:shd w:val="clear" w:color="auto" w:fill="FFFFFF"/>
            <w:vAlign w:val="center"/>
          </w:tcPr>
          <w:p w14:paraId="7C8670C5" w14:textId="77777777" w:rsidR="001A6391" w:rsidRPr="00787196" w:rsidRDefault="001A6391" w:rsidP="001A6391">
            <w:pPr>
              <w:spacing w:before="0" w:after="0"/>
              <w:jc w:val="center"/>
              <w:rPr>
                <w:sz w:val="18"/>
                <w:szCs w:val="18"/>
              </w:rPr>
            </w:pPr>
            <w:r w:rsidRPr="00787196">
              <w:rPr>
                <w:sz w:val="18"/>
                <w:szCs w:val="18"/>
              </w:rPr>
              <w:t>.139</w:t>
            </w:r>
          </w:p>
        </w:tc>
        <w:tc>
          <w:tcPr>
            <w:tcW w:w="737" w:type="dxa"/>
            <w:tcBorders>
              <w:top w:val="nil"/>
              <w:left w:val="nil"/>
              <w:bottom w:val="single" w:sz="4" w:space="0" w:color="auto"/>
              <w:right w:val="nil"/>
            </w:tcBorders>
            <w:shd w:val="clear" w:color="auto" w:fill="2E74B5"/>
            <w:vAlign w:val="center"/>
          </w:tcPr>
          <w:p w14:paraId="4CA12835" w14:textId="77777777" w:rsidR="001A6391" w:rsidRPr="00787196" w:rsidRDefault="001A6391" w:rsidP="001A6391">
            <w:pPr>
              <w:spacing w:before="0" w:after="0"/>
              <w:jc w:val="center"/>
              <w:rPr>
                <w:sz w:val="18"/>
                <w:szCs w:val="18"/>
              </w:rPr>
            </w:pPr>
            <w:r w:rsidRPr="00787196">
              <w:rPr>
                <w:sz w:val="18"/>
                <w:szCs w:val="18"/>
              </w:rPr>
              <w:t>.733</w:t>
            </w:r>
          </w:p>
        </w:tc>
        <w:tc>
          <w:tcPr>
            <w:tcW w:w="737" w:type="dxa"/>
            <w:tcBorders>
              <w:top w:val="nil"/>
              <w:left w:val="nil"/>
              <w:bottom w:val="single" w:sz="4" w:space="0" w:color="auto"/>
              <w:right w:val="nil"/>
            </w:tcBorders>
            <w:shd w:val="clear" w:color="auto" w:fill="FFFFFF"/>
            <w:vAlign w:val="center"/>
          </w:tcPr>
          <w:p w14:paraId="5D9066B9" w14:textId="77777777" w:rsidR="001A6391" w:rsidRPr="00787196" w:rsidRDefault="001A6391" w:rsidP="001A6391">
            <w:pPr>
              <w:spacing w:before="0" w:after="0"/>
              <w:jc w:val="center"/>
              <w:rPr>
                <w:sz w:val="18"/>
                <w:szCs w:val="18"/>
              </w:rPr>
            </w:pPr>
            <w:r w:rsidRPr="00787196">
              <w:rPr>
                <w:sz w:val="18"/>
                <w:szCs w:val="18"/>
              </w:rPr>
              <w:t>.106</w:t>
            </w:r>
          </w:p>
        </w:tc>
        <w:tc>
          <w:tcPr>
            <w:tcW w:w="737" w:type="dxa"/>
            <w:tcBorders>
              <w:top w:val="nil"/>
              <w:left w:val="nil"/>
              <w:bottom w:val="single" w:sz="4" w:space="0" w:color="auto"/>
              <w:right w:val="nil"/>
            </w:tcBorders>
            <w:shd w:val="clear" w:color="auto" w:fill="FFFFFF"/>
            <w:vAlign w:val="center"/>
          </w:tcPr>
          <w:p w14:paraId="07C1AF83" w14:textId="77777777" w:rsidR="001A6391" w:rsidRPr="00787196" w:rsidRDefault="001A6391" w:rsidP="001A6391">
            <w:pPr>
              <w:spacing w:before="0" w:after="0"/>
              <w:jc w:val="center"/>
              <w:rPr>
                <w:sz w:val="18"/>
                <w:szCs w:val="18"/>
              </w:rPr>
            </w:pPr>
            <w:r w:rsidRPr="00787196">
              <w:rPr>
                <w:sz w:val="18"/>
                <w:szCs w:val="18"/>
              </w:rPr>
              <w:t>.102</w:t>
            </w:r>
          </w:p>
        </w:tc>
        <w:tc>
          <w:tcPr>
            <w:tcW w:w="741" w:type="dxa"/>
            <w:tcBorders>
              <w:top w:val="nil"/>
              <w:left w:val="nil"/>
              <w:bottom w:val="single" w:sz="4" w:space="0" w:color="auto"/>
              <w:right w:val="nil"/>
            </w:tcBorders>
            <w:shd w:val="clear" w:color="auto" w:fill="FFFFFF"/>
            <w:vAlign w:val="center"/>
          </w:tcPr>
          <w:p w14:paraId="2C76E213" w14:textId="77777777" w:rsidR="001A6391" w:rsidRPr="00787196" w:rsidRDefault="001A6391" w:rsidP="001A6391">
            <w:pPr>
              <w:spacing w:before="0" w:after="0"/>
              <w:jc w:val="center"/>
              <w:rPr>
                <w:sz w:val="18"/>
                <w:szCs w:val="18"/>
              </w:rPr>
            </w:pPr>
            <w:r w:rsidRPr="00787196">
              <w:rPr>
                <w:sz w:val="18"/>
                <w:szCs w:val="18"/>
              </w:rPr>
              <w:t>.076</w:t>
            </w:r>
          </w:p>
        </w:tc>
        <w:tc>
          <w:tcPr>
            <w:tcW w:w="739" w:type="dxa"/>
            <w:tcBorders>
              <w:top w:val="nil"/>
              <w:left w:val="nil"/>
              <w:bottom w:val="single" w:sz="4" w:space="0" w:color="auto"/>
              <w:right w:val="nil"/>
            </w:tcBorders>
            <w:shd w:val="clear" w:color="auto" w:fill="FFFFFF"/>
            <w:vAlign w:val="center"/>
          </w:tcPr>
          <w:p w14:paraId="67CBB031" w14:textId="77777777" w:rsidR="001A6391" w:rsidRPr="00787196" w:rsidRDefault="001A6391" w:rsidP="001A6391">
            <w:pPr>
              <w:spacing w:before="0" w:after="0"/>
              <w:jc w:val="center"/>
              <w:rPr>
                <w:sz w:val="18"/>
                <w:szCs w:val="18"/>
              </w:rPr>
            </w:pPr>
            <w:r w:rsidRPr="00787196">
              <w:rPr>
                <w:sz w:val="18"/>
                <w:szCs w:val="18"/>
              </w:rPr>
              <w:t>.009</w:t>
            </w:r>
          </w:p>
        </w:tc>
      </w:tr>
      <w:tr w:rsidR="001A6391" w:rsidRPr="00787196" w14:paraId="38D79BF8" w14:textId="77777777" w:rsidTr="001A6391">
        <w:trPr>
          <w:gridAfter w:val="1"/>
          <w:wAfter w:w="6" w:type="dxa"/>
          <w:trHeight w:val="340"/>
        </w:trPr>
        <w:tc>
          <w:tcPr>
            <w:tcW w:w="1756" w:type="dxa"/>
            <w:vMerge w:val="restart"/>
            <w:tcBorders>
              <w:top w:val="single" w:sz="4" w:space="0" w:color="auto"/>
              <w:bottom w:val="nil"/>
            </w:tcBorders>
            <w:shd w:val="clear" w:color="auto" w:fill="FFFFFF"/>
            <w:vAlign w:val="center"/>
          </w:tcPr>
          <w:p w14:paraId="23F6FBB7" w14:textId="77777777" w:rsidR="001A6391" w:rsidRPr="00787196" w:rsidRDefault="001A6391" w:rsidP="001A6391">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Self-blame</w:t>
            </w:r>
          </w:p>
        </w:tc>
        <w:tc>
          <w:tcPr>
            <w:tcW w:w="455" w:type="dxa"/>
            <w:tcBorders>
              <w:top w:val="single" w:sz="4" w:space="0" w:color="auto"/>
              <w:bottom w:val="nil"/>
              <w:right w:val="nil"/>
            </w:tcBorders>
            <w:shd w:val="clear" w:color="auto" w:fill="FFFFFF"/>
            <w:vAlign w:val="center"/>
          </w:tcPr>
          <w:p w14:paraId="55234E0E"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27</w:t>
            </w:r>
          </w:p>
        </w:tc>
        <w:tc>
          <w:tcPr>
            <w:tcW w:w="720" w:type="dxa"/>
            <w:tcBorders>
              <w:top w:val="single" w:sz="4" w:space="0" w:color="auto"/>
              <w:left w:val="nil"/>
              <w:bottom w:val="nil"/>
              <w:right w:val="nil"/>
            </w:tcBorders>
            <w:shd w:val="clear" w:color="auto" w:fill="FFFFFF"/>
            <w:vAlign w:val="center"/>
          </w:tcPr>
          <w:p w14:paraId="4676603A" w14:textId="77777777" w:rsidR="001A6391" w:rsidRPr="00787196" w:rsidRDefault="001A6391" w:rsidP="001A6391">
            <w:pPr>
              <w:spacing w:before="0" w:after="0"/>
              <w:jc w:val="center"/>
              <w:rPr>
                <w:sz w:val="18"/>
                <w:szCs w:val="18"/>
              </w:rPr>
            </w:pPr>
            <w:r w:rsidRPr="00787196">
              <w:rPr>
                <w:sz w:val="18"/>
                <w:szCs w:val="18"/>
              </w:rPr>
              <w:t>.229</w:t>
            </w:r>
          </w:p>
        </w:tc>
        <w:tc>
          <w:tcPr>
            <w:tcW w:w="818" w:type="dxa"/>
            <w:tcBorders>
              <w:top w:val="single" w:sz="4" w:space="0" w:color="auto"/>
              <w:left w:val="nil"/>
              <w:bottom w:val="nil"/>
              <w:right w:val="nil"/>
            </w:tcBorders>
            <w:shd w:val="clear" w:color="auto" w:fill="FFFFFF"/>
            <w:vAlign w:val="center"/>
          </w:tcPr>
          <w:p w14:paraId="4656758D" w14:textId="77777777" w:rsidR="001A6391" w:rsidRPr="00787196" w:rsidRDefault="001A6391" w:rsidP="001A6391">
            <w:pPr>
              <w:spacing w:before="0" w:after="0"/>
              <w:jc w:val="center"/>
              <w:rPr>
                <w:sz w:val="18"/>
                <w:szCs w:val="18"/>
              </w:rPr>
            </w:pPr>
            <w:r w:rsidRPr="00787196">
              <w:rPr>
                <w:sz w:val="18"/>
                <w:szCs w:val="18"/>
              </w:rPr>
              <w:t>.088</w:t>
            </w:r>
          </w:p>
        </w:tc>
        <w:tc>
          <w:tcPr>
            <w:tcW w:w="737" w:type="dxa"/>
            <w:tcBorders>
              <w:top w:val="single" w:sz="4" w:space="0" w:color="auto"/>
              <w:left w:val="nil"/>
              <w:bottom w:val="nil"/>
              <w:right w:val="nil"/>
            </w:tcBorders>
            <w:shd w:val="clear" w:color="auto" w:fill="FFFFFF"/>
            <w:vAlign w:val="center"/>
          </w:tcPr>
          <w:p w14:paraId="7DE86BF3" w14:textId="77777777" w:rsidR="001A6391" w:rsidRPr="00787196" w:rsidRDefault="001A6391" w:rsidP="001A6391">
            <w:pPr>
              <w:spacing w:before="0" w:after="0"/>
              <w:jc w:val="center"/>
              <w:rPr>
                <w:sz w:val="18"/>
                <w:szCs w:val="18"/>
              </w:rPr>
            </w:pPr>
            <w:r w:rsidRPr="00787196">
              <w:rPr>
                <w:sz w:val="18"/>
                <w:szCs w:val="18"/>
              </w:rPr>
              <w:t>-.044</w:t>
            </w:r>
          </w:p>
        </w:tc>
        <w:tc>
          <w:tcPr>
            <w:tcW w:w="737" w:type="dxa"/>
            <w:tcBorders>
              <w:top w:val="single" w:sz="4" w:space="0" w:color="auto"/>
              <w:left w:val="nil"/>
              <w:bottom w:val="nil"/>
              <w:right w:val="nil"/>
            </w:tcBorders>
            <w:shd w:val="clear" w:color="auto" w:fill="FFFFFF"/>
            <w:vAlign w:val="center"/>
          </w:tcPr>
          <w:p w14:paraId="58823F4A" w14:textId="77777777" w:rsidR="001A6391" w:rsidRPr="00787196" w:rsidRDefault="001A6391" w:rsidP="001A6391">
            <w:pPr>
              <w:spacing w:before="0" w:after="0"/>
              <w:jc w:val="center"/>
              <w:rPr>
                <w:sz w:val="18"/>
                <w:szCs w:val="18"/>
              </w:rPr>
            </w:pPr>
            <w:r w:rsidRPr="00787196">
              <w:rPr>
                <w:sz w:val="18"/>
                <w:szCs w:val="18"/>
              </w:rPr>
              <w:t>.190</w:t>
            </w:r>
          </w:p>
        </w:tc>
        <w:tc>
          <w:tcPr>
            <w:tcW w:w="737" w:type="dxa"/>
            <w:tcBorders>
              <w:top w:val="single" w:sz="4" w:space="0" w:color="auto"/>
              <w:left w:val="nil"/>
              <w:bottom w:val="nil"/>
              <w:right w:val="nil"/>
            </w:tcBorders>
            <w:shd w:val="clear" w:color="auto" w:fill="2E74B5"/>
            <w:vAlign w:val="center"/>
          </w:tcPr>
          <w:p w14:paraId="17C2D705" w14:textId="77777777" w:rsidR="001A6391" w:rsidRPr="00787196" w:rsidRDefault="001A6391" w:rsidP="001A6391">
            <w:pPr>
              <w:spacing w:before="0" w:after="0"/>
              <w:jc w:val="center"/>
              <w:rPr>
                <w:sz w:val="18"/>
                <w:szCs w:val="18"/>
              </w:rPr>
            </w:pPr>
            <w:r w:rsidRPr="00787196">
              <w:rPr>
                <w:sz w:val="18"/>
                <w:szCs w:val="18"/>
              </w:rPr>
              <w:t>.909</w:t>
            </w:r>
          </w:p>
        </w:tc>
        <w:tc>
          <w:tcPr>
            <w:tcW w:w="737" w:type="dxa"/>
            <w:tcBorders>
              <w:top w:val="single" w:sz="4" w:space="0" w:color="auto"/>
              <w:left w:val="nil"/>
              <w:bottom w:val="nil"/>
              <w:right w:val="nil"/>
            </w:tcBorders>
            <w:shd w:val="clear" w:color="auto" w:fill="FFFFFF"/>
            <w:vAlign w:val="center"/>
          </w:tcPr>
          <w:p w14:paraId="28BFAC31" w14:textId="77777777" w:rsidR="001A6391" w:rsidRPr="00787196" w:rsidRDefault="001A6391" w:rsidP="001A6391">
            <w:pPr>
              <w:spacing w:before="0" w:after="0"/>
              <w:jc w:val="center"/>
              <w:rPr>
                <w:sz w:val="18"/>
                <w:szCs w:val="18"/>
              </w:rPr>
            </w:pPr>
            <w:r w:rsidRPr="00787196">
              <w:rPr>
                <w:sz w:val="18"/>
                <w:szCs w:val="18"/>
              </w:rPr>
              <w:t>.078</w:t>
            </w:r>
          </w:p>
        </w:tc>
        <w:tc>
          <w:tcPr>
            <w:tcW w:w="741" w:type="dxa"/>
            <w:tcBorders>
              <w:top w:val="single" w:sz="4" w:space="0" w:color="auto"/>
              <w:left w:val="nil"/>
              <w:bottom w:val="nil"/>
              <w:right w:val="nil"/>
            </w:tcBorders>
            <w:shd w:val="clear" w:color="auto" w:fill="FFFFFF"/>
            <w:vAlign w:val="center"/>
          </w:tcPr>
          <w:p w14:paraId="5C3D9151" w14:textId="77777777" w:rsidR="001A6391" w:rsidRPr="00787196" w:rsidRDefault="001A6391" w:rsidP="001A6391">
            <w:pPr>
              <w:spacing w:before="0" w:after="0"/>
              <w:jc w:val="center"/>
              <w:rPr>
                <w:sz w:val="18"/>
                <w:szCs w:val="18"/>
              </w:rPr>
            </w:pPr>
            <w:r w:rsidRPr="00787196">
              <w:rPr>
                <w:sz w:val="18"/>
                <w:szCs w:val="18"/>
              </w:rPr>
              <w:t>.137</w:t>
            </w:r>
          </w:p>
        </w:tc>
        <w:tc>
          <w:tcPr>
            <w:tcW w:w="739" w:type="dxa"/>
            <w:tcBorders>
              <w:top w:val="single" w:sz="4" w:space="0" w:color="auto"/>
              <w:left w:val="nil"/>
              <w:bottom w:val="nil"/>
              <w:right w:val="nil"/>
            </w:tcBorders>
            <w:shd w:val="clear" w:color="auto" w:fill="FFFFFF"/>
            <w:vAlign w:val="center"/>
          </w:tcPr>
          <w:p w14:paraId="40FCAF23" w14:textId="77777777" w:rsidR="001A6391" w:rsidRPr="00787196" w:rsidRDefault="001A6391" w:rsidP="001A6391">
            <w:pPr>
              <w:spacing w:before="0" w:after="0"/>
              <w:jc w:val="center"/>
              <w:rPr>
                <w:sz w:val="18"/>
                <w:szCs w:val="18"/>
              </w:rPr>
            </w:pPr>
            <w:r w:rsidRPr="00787196">
              <w:rPr>
                <w:sz w:val="18"/>
                <w:szCs w:val="18"/>
              </w:rPr>
              <w:t>-.036</w:t>
            </w:r>
          </w:p>
        </w:tc>
      </w:tr>
      <w:tr w:rsidR="001A6391" w:rsidRPr="00787196" w14:paraId="372BBCB2" w14:textId="77777777" w:rsidTr="001A6391">
        <w:trPr>
          <w:gridAfter w:val="1"/>
          <w:wAfter w:w="6" w:type="dxa"/>
          <w:trHeight w:val="284"/>
        </w:trPr>
        <w:tc>
          <w:tcPr>
            <w:tcW w:w="1756" w:type="dxa"/>
            <w:vMerge/>
            <w:tcBorders>
              <w:top w:val="nil"/>
              <w:bottom w:val="single" w:sz="4" w:space="0" w:color="auto"/>
            </w:tcBorders>
            <w:shd w:val="clear" w:color="auto" w:fill="FFFFFF"/>
          </w:tcPr>
          <w:p w14:paraId="42875328" w14:textId="77777777" w:rsidR="001A6391" w:rsidRPr="00787196" w:rsidRDefault="001A6391" w:rsidP="001A6391">
            <w:pPr>
              <w:autoSpaceDE w:val="0"/>
              <w:autoSpaceDN w:val="0"/>
              <w:adjustRightInd w:val="0"/>
              <w:spacing w:before="0" w:after="0" w:line="240" w:lineRule="auto"/>
              <w:ind w:left="142"/>
              <w:rPr>
                <w:rFonts w:cs="Arial"/>
                <w:color w:val="000000"/>
                <w:sz w:val="20"/>
                <w:szCs w:val="20"/>
              </w:rPr>
            </w:pPr>
          </w:p>
        </w:tc>
        <w:tc>
          <w:tcPr>
            <w:tcW w:w="455" w:type="dxa"/>
            <w:tcBorders>
              <w:top w:val="nil"/>
              <w:bottom w:val="single" w:sz="4" w:space="0" w:color="auto"/>
              <w:right w:val="nil"/>
            </w:tcBorders>
            <w:shd w:val="clear" w:color="auto" w:fill="FFFFFF"/>
            <w:vAlign w:val="center"/>
          </w:tcPr>
          <w:p w14:paraId="5C8E0C1B" w14:textId="77777777" w:rsidR="001A6391" w:rsidRPr="00787196" w:rsidRDefault="001A6391" w:rsidP="001A6391">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28</w:t>
            </w:r>
          </w:p>
        </w:tc>
        <w:tc>
          <w:tcPr>
            <w:tcW w:w="720" w:type="dxa"/>
            <w:tcBorders>
              <w:top w:val="nil"/>
              <w:left w:val="nil"/>
              <w:bottom w:val="single" w:sz="4" w:space="0" w:color="auto"/>
              <w:right w:val="nil"/>
            </w:tcBorders>
            <w:shd w:val="clear" w:color="auto" w:fill="FFFFFF"/>
            <w:vAlign w:val="center"/>
          </w:tcPr>
          <w:p w14:paraId="50735B33" w14:textId="77777777" w:rsidR="001A6391" w:rsidRPr="00787196" w:rsidRDefault="001A6391" w:rsidP="001A6391">
            <w:pPr>
              <w:spacing w:before="0" w:after="0"/>
              <w:jc w:val="center"/>
              <w:rPr>
                <w:sz w:val="18"/>
                <w:szCs w:val="18"/>
              </w:rPr>
            </w:pPr>
            <w:r w:rsidRPr="00787196">
              <w:rPr>
                <w:sz w:val="18"/>
                <w:szCs w:val="18"/>
              </w:rPr>
              <w:t>.261</w:t>
            </w:r>
          </w:p>
        </w:tc>
        <w:tc>
          <w:tcPr>
            <w:tcW w:w="818" w:type="dxa"/>
            <w:tcBorders>
              <w:top w:val="nil"/>
              <w:left w:val="nil"/>
              <w:bottom w:val="single" w:sz="4" w:space="0" w:color="auto"/>
              <w:right w:val="nil"/>
            </w:tcBorders>
            <w:shd w:val="clear" w:color="auto" w:fill="FFFFFF"/>
            <w:vAlign w:val="center"/>
          </w:tcPr>
          <w:p w14:paraId="747E82E0" w14:textId="77777777" w:rsidR="001A6391" w:rsidRPr="00787196" w:rsidRDefault="001A6391" w:rsidP="001A6391">
            <w:pPr>
              <w:spacing w:before="0" w:after="0"/>
              <w:jc w:val="center"/>
              <w:rPr>
                <w:sz w:val="18"/>
                <w:szCs w:val="18"/>
              </w:rPr>
            </w:pPr>
            <w:r w:rsidRPr="00787196">
              <w:rPr>
                <w:sz w:val="18"/>
                <w:szCs w:val="18"/>
              </w:rPr>
              <w:t>.093</w:t>
            </w:r>
          </w:p>
        </w:tc>
        <w:tc>
          <w:tcPr>
            <w:tcW w:w="737" w:type="dxa"/>
            <w:tcBorders>
              <w:top w:val="nil"/>
              <w:left w:val="nil"/>
              <w:bottom w:val="single" w:sz="4" w:space="0" w:color="auto"/>
              <w:right w:val="nil"/>
            </w:tcBorders>
            <w:shd w:val="clear" w:color="auto" w:fill="FFFFFF"/>
            <w:vAlign w:val="center"/>
          </w:tcPr>
          <w:p w14:paraId="346FB2ED" w14:textId="77777777" w:rsidR="001A6391" w:rsidRPr="00787196" w:rsidRDefault="001A6391" w:rsidP="001A6391">
            <w:pPr>
              <w:spacing w:before="0" w:after="0"/>
              <w:jc w:val="center"/>
              <w:rPr>
                <w:sz w:val="18"/>
                <w:szCs w:val="18"/>
              </w:rPr>
            </w:pPr>
            <w:r w:rsidRPr="00787196">
              <w:rPr>
                <w:sz w:val="18"/>
                <w:szCs w:val="18"/>
              </w:rPr>
              <w:t>.030</w:t>
            </w:r>
          </w:p>
        </w:tc>
        <w:tc>
          <w:tcPr>
            <w:tcW w:w="737" w:type="dxa"/>
            <w:tcBorders>
              <w:top w:val="nil"/>
              <w:left w:val="nil"/>
              <w:bottom w:val="single" w:sz="4" w:space="0" w:color="auto"/>
              <w:right w:val="nil"/>
            </w:tcBorders>
            <w:shd w:val="clear" w:color="auto" w:fill="FFFFFF"/>
            <w:vAlign w:val="center"/>
          </w:tcPr>
          <w:p w14:paraId="3C300923" w14:textId="77777777" w:rsidR="001A6391" w:rsidRPr="00787196" w:rsidRDefault="001A6391" w:rsidP="001A6391">
            <w:pPr>
              <w:spacing w:before="0" w:after="0"/>
              <w:jc w:val="center"/>
              <w:rPr>
                <w:sz w:val="18"/>
                <w:szCs w:val="18"/>
              </w:rPr>
            </w:pPr>
            <w:r w:rsidRPr="00787196">
              <w:rPr>
                <w:sz w:val="18"/>
                <w:szCs w:val="18"/>
              </w:rPr>
              <w:t>.078</w:t>
            </w:r>
          </w:p>
        </w:tc>
        <w:tc>
          <w:tcPr>
            <w:tcW w:w="737" w:type="dxa"/>
            <w:tcBorders>
              <w:top w:val="nil"/>
              <w:left w:val="nil"/>
              <w:bottom w:val="single" w:sz="4" w:space="0" w:color="auto"/>
              <w:right w:val="nil"/>
            </w:tcBorders>
            <w:shd w:val="clear" w:color="auto" w:fill="2E74B5"/>
            <w:vAlign w:val="center"/>
          </w:tcPr>
          <w:p w14:paraId="19DB51CB" w14:textId="77777777" w:rsidR="001A6391" w:rsidRPr="00787196" w:rsidRDefault="001A6391" w:rsidP="001A6391">
            <w:pPr>
              <w:spacing w:before="0" w:after="0"/>
              <w:jc w:val="center"/>
              <w:rPr>
                <w:sz w:val="18"/>
                <w:szCs w:val="18"/>
              </w:rPr>
            </w:pPr>
            <w:r w:rsidRPr="00787196">
              <w:rPr>
                <w:sz w:val="18"/>
                <w:szCs w:val="18"/>
              </w:rPr>
              <w:t>.906</w:t>
            </w:r>
          </w:p>
        </w:tc>
        <w:tc>
          <w:tcPr>
            <w:tcW w:w="737" w:type="dxa"/>
            <w:tcBorders>
              <w:top w:val="nil"/>
              <w:left w:val="nil"/>
              <w:bottom w:val="single" w:sz="4" w:space="0" w:color="auto"/>
              <w:right w:val="nil"/>
            </w:tcBorders>
            <w:shd w:val="clear" w:color="auto" w:fill="FFFFFF"/>
            <w:vAlign w:val="center"/>
          </w:tcPr>
          <w:p w14:paraId="0DDD9691" w14:textId="77777777" w:rsidR="001A6391" w:rsidRPr="00787196" w:rsidRDefault="001A6391" w:rsidP="001A6391">
            <w:pPr>
              <w:spacing w:before="0" w:after="0"/>
              <w:jc w:val="center"/>
              <w:rPr>
                <w:sz w:val="18"/>
                <w:szCs w:val="18"/>
              </w:rPr>
            </w:pPr>
            <w:r w:rsidRPr="00787196">
              <w:rPr>
                <w:sz w:val="18"/>
                <w:szCs w:val="18"/>
              </w:rPr>
              <w:t>.096</w:t>
            </w:r>
          </w:p>
        </w:tc>
        <w:tc>
          <w:tcPr>
            <w:tcW w:w="741" w:type="dxa"/>
            <w:tcBorders>
              <w:top w:val="nil"/>
              <w:left w:val="nil"/>
              <w:bottom w:val="single" w:sz="4" w:space="0" w:color="auto"/>
              <w:right w:val="nil"/>
            </w:tcBorders>
            <w:shd w:val="clear" w:color="auto" w:fill="FFFFFF"/>
            <w:vAlign w:val="center"/>
          </w:tcPr>
          <w:p w14:paraId="08E5E689" w14:textId="77777777" w:rsidR="001A6391" w:rsidRPr="00787196" w:rsidRDefault="001A6391" w:rsidP="001A6391">
            <w:pPr>
              <w:spacing w:before="0" w:after="0"/>
              <w:jc w:val="center"/>
              <w:rPr>
                <w:sz w:val="18"/>
                <w:szCs w:val="18"/>
              </w:rPr>
            </w:pPr>
            <w:r w:rsidRPr="00787196">
              <w:rPr>
                <w:sz w:val="18"/>
                <w:szCs w:val="18"/>
              </w:rPr>
              <w:t>.159</w:t>
            </w:r>
          </w:p>
        </w:tc>
        <w:tc>
          <w:tcPr>
            <w:tcW w:w="739" w:type="dxa"/>
            <w:tcBorders>
              <w:top w:val="nil"/>
              <w:left w:val="nil"/>
              <w:bottom w:val="single" w:sz="4" w:space="0" w:color="auto"/>
              <w:right w:val="nil"/>
            </w:tcBorders>
            <w:shd w:val="clear" w:color="auto" w:fill="FFFFFF"/>
            <w:vAlign w:val="center"/>
          </w:tcPr>
          <w:p w14:paraId="76C9CF89" w14:textId="77777777" w:rsidR="001A6391" w:rsidRPr="00787196" w:rsidRDefault="001A6391" w:rsidP="001A6391">
            <w:pPr>
              <w:spacing w:before="0" w:after="0"/>
              <w:jc w:val="center"/>
              <w:rPr>
                <w:sz w:val="18"/>
                <w:szCs w:val="18"/>
              </w:rPr>
            </w:pPr>
            <w:r w:rsidRPr="00787196">
              <w:rPr>
                <w:sz w:val="18"/>
                <w:szCs w:val="18"/>
              </w:rPr>
              <w:t>.043</w:t>
            </w:r>
          </w:p>
        </w:tc>
      </w:tr>
    </w:tbl>
    <w:p w14:paraId="608E5E4F" w14:textId="23F2D14E" w:rsidR="001A6391" w:rsidRPr="00787196" w:rsidRDefault="001A6391" w:rsidP="008D438B">
      <w:pPr>
        <w:spacing w:after="0"/>
        <w:rPr>
          <w:b/>
          <w:bCs/>
          <w:szCs w:val="24"/>
        </w:rPr>
      </w:pPr>
      <w:r w:rsidRPr="00787196">
        <w:rPr>
          <w:szCs w:val="24"/>
        </w:rPr>
        <w:t xml:space="preserve">              - Eigen values above 1</w:t>
      </w:r>
    </w:p>
    <w:p w14:paraId="35BC1A16" w14:textId="3D83872F" w:rsidR="005F31E9" w:rsidRPr="00787196" w:rsidRDefault="00181E2D" w:rsidP="00E5185A">
      <w:pPr>
        <w:pStyle w:val="Caption"/>
        <w:keepNext/>
        <w:spacing w:line="360" w:lineRule="auto"/>
        <w:rPr>
          <w:i w:val="0"/>
          <w:iCs w:val="0"/>
          <w:color w:val="auto"/>
          <w:sz w:val="24"/>
          <w:szCs w:val="24"/>
        </w:rPr>
      </w:pPr>
      <w:bookmarkStart w:id="241" w:name="_Ref426684431"/>
      <w:r w:rsidRPr="00787196">
        <w:rPr>
          <w:i w:val="0"/>
          <w:iCs w:val="0"/>
          <w:color w:val="auto"/>
          <w:sz w:val="24"/>
          <w:szCs w:val="24"/>
        </w:rPr>
        <w:lastRenderedPageBreak/>
        <w:t>Previous studies using</w:t>
      </w:r>
      <w:r w:rsidR="00E5185A" w:rsidRPr="00787196">
        <w:rPr>
          <w:i w:val="0"/>
          <w:iCs w:val="0"/>
          <w:color w:val="auto"/>
          <w:sz w:val="24"/>
          <w:szCs w:val="24"/>
        </w:rPr>
        <w:t xml:space="preserve"> Brief COPE and a visual t</w:t>
      </w:r>
      <w:r w:rsidRPr="00787196">
        <w:rPr>
          <w:i w:val="0"/>
          <w:iCs w:val="0"/>
          <w:color w:val="auto"/>
          <w:sz w:val="24"/>
          <w:szCs w:val="24"/>
        </w:rPr>
        <w:t>est of the scree plot (Figure 5-</w:t>
      </w:r>
      <w:r w:rsidR="00E5185A" w:rsidRPr="00787196">
        <w:rPr>
          <w:i w:val="0"/>
          <w:iCs w:val="0"/>
          <w:color w:val="auto"/>
          <w:sz w:val="24"/>
          <w:szCs w:val="24"/>
        </w:rPr>
        <w:t xml:space="preserve">1) for Brief COPE at T1 in this study suggested reduction and grouping </w:t>
      </w:r>
      <w:r w:rsidRPr="00787196">
        <w:rPr>
          <w:i w:val="0"/>
          <w:iCs w:val="0"/>
          <w:color w:val="auto"/>
          <w:sz w:val="24"/>
          <w:szCs w:val="24"/>
        </w:rPr>
        <w:t>of the data under four factors.</w:t>
      </w:r>
    </w:p>
    <w:p w14:paraId="3C0082D0" w14:textId="5B0AE6C2" w:rsidR="00E01527" w:rsidRPr="00787196" w:rsidRDefault="005F31E9" w:rsidP="00F8618A">
      <w:pPr>
        <w:pStyle w:val="Caption"/>
        <w:keepNext/>
        <w:jc w:val="center"/>
        <w:rPr>
          <w:b/>
          <w:bCs/>
          <w:i w:val="0"/>
          <w:iCs w:val="0"/>
          <w:color w:val="auto"/>
          <w:sz w:val="24"/>
          <w:szCs w:val="24"/>
        </w:rPr>
      </w:pPr>
      <w:bookmarkStart w:id="242" w:name="_Toc488655587"/>
      <w:r w:rsidRPr="00787196">
        <w:rPr>
          <w:b/>
          <w:bCs/>
          <w:i w:val="0"/>
          <w:iCs w:val="0"/>
          <w:color w:val="auto"/>
          <w:sz w:val="24"/>
          <w:szCs w:val="24"/>
        </w:rPr>
        <w:t xml:space="preserve">Figure </w:t>
      </w:r>
      <w:r w:rsidR="00786B0E" w:rsidRPr="00787196">
        <w:rPr>
          <w:b/>
          <w:bCs/>
          <w:i w:val="0"/>
          <w:iCs w:val="0"/>
          <w:color w:val="auto"/>
          <w:sz w:val="24"/>
          <w:szCs w:val="24"/>
        </w:rPr>
        <w:fldChar w:fldCharType="begin"/>
      </w:r>
      <w:r w:rsidR="00786B0E" w:rsidRPr="00787196">
        <w:rPr>
          <w:b/>
          <w:bCs/>
          <w:i w:val="0"/>
          <w:iCs w:val="0"/>
          <w:color w:val="auto"/>
          <w:sz w:val="24"/>
          <w:szCs w:val="24"/>
        </w:rPr>
        <w:instrText xml:space="preserve"> STYLEREF 1 \s </w:instrText>
      </w:r>
      <w:r w:rsidR="00786B0E" w:rsidRPr="00787196">
        <w:rPr>
          <w:b/>
          <w:bCs/>
          <w:i w:val="0"/>
          <w:iCs w:val="0"/>
          <w:color w:val="auto"/>
          <w:sz w:val="24"/>
          <w:szCs w:val="24"/>
        </w:rPr>
        <w:fldChar w:fldCharType="separate"/>
      </w:r>
      <w:r w:rsidR="00C069BC" w:rsidRPr="00787196">
        <w:rPr>
          <w:b/>
          <w:bCs/>
          <w:i w:val="0"/>
          <w:iCs w:val="0"/>
          <w:noProof/>
          <w:color w:val="auto"/>
          <w:sz w:val="24"/>
          <w:szCs w:val="24"/>
        </w:rPr>
        <w:t>5</w:t>
      </w:r>
      <w:r w:rsidR="00786B0E" w:rsidRPr="00787196">
        <w:rPr>
          <w:b/>
          <w:bCs/>
          <w:i w:val="0"/>
          <w:iCs w:val="0"/>
          <w:color w:val="auto"/>
          <w:sz w:val="24"/>
          <w:szCs w:val="24"/>
        </w:rPr>
        <w:fldChar w:fldCharType="end"/>
      </w:r>
      <w:r w:rsidR="00786B0E" w:rsidRPr="00787196">
        <w:rPr>
          <w:b/>
          <w:bCs/>
          <w:i w:val="0"/>
          <w:iCs w:val="0"/>
          <w:color w:val="auto"/>
          <w:sz w:val="24"/>
          <w:szCs w:val="24"/>
        </w:rPr>
        <w:noBreakHyphen/>
      </w:r>
      <w:r w:rsidR="00786B0E" w:rsidRPr="00787196">
        <w:rPr>
          <w:b/>
          <w:bCs/>
          <w:i w:val="0"/>
          <w:iCs w:val="0"/>
          <w:color w:val="auto"/>
          <w:sz w:val="24"/>
          <w:szCs w:val="24"/>
        </w:rPr>
        <w:fldChar w:fldCharType="begin"/>
      </w:r>
      <w:r w:rsidR="00786B0E" w:rsidRPr="00787196">
        <w:rPr>
          <w:b/>
          <w:bCs/>
          <w:i w:val="0"/>
          <w:iCs w:val="0"/>
          <w:color w:val="auto"/>
          <w:sz w:val="24"/>
          <w:szCs w:val="24"/>
        </w:rPr>
        <w:instrText xml:space="preserve"> SEQ Figure \* ARABIC \s 1 </w:instrText>
      </w:r>
      <w:r w:rsidR="00786B0E" w:rsidRPr="00787196">
        <w:rPr>
          <w:b/>
          <w:bCs/>
          <w:i w:val="0"/>
          <w:iCs w:val="0"/>
          <w:color w:val="auto"/>
          <w:sz w:val="24"/>
          <w:szCs w:val="24"/>
        </w:rPr>
        <w:fldChar w:fldCharType="separate"/>
      </w:r>
      <w:r w:rsidR="00C069BC" w:rsidRPr="00787196">
        <w:rPr>
          <w:b/>
          <w:bCs/>
          <w:i w:val="0"/>
          <w:iCs w:val="0"/>
          <w:noProof/>
          <w:color w:val="auto"/>
          <w:sz w:val="24"/>
          <w:szCs w:val="24"/>
        </w:rPr>
        <w:t>1</w:t>
      </w:r>
      <w:r w:rsidR="00786B0E" w:rsidRPr="00787196">
        <w:rPr>
          <w:b/>
          <w:bCs/>
          <w:i w:val="0"/>
          <w:iCs w:val="0"/>
          <w:color w:val="auto"/>
          <w:sz w:val="24"/>
          <w:szCs w:val="24"/>
        </w:rPr>
        <w:fldChar w:fldCharType="end"/>
      </w:r>
      <w:bookmarkEnd w:id="241"/>
      <w:r w:rsidR="001772B0" w:rsidRPr="00787196">
        <w:rPr>
          <w:b/>
          <w:bCs/>
          <w:i w:val="0"/>
          <w:iCs w:val="0"/>
          <w:color w:val="auto"/>
          <w:sz w:val="24"/>
          <w:szCs w:val="24"/>
        </w:rPr>
        <w:t>.</w:t>
      </w:r>
      <w:r w:rsidR="00005CFE" w:rsidRPr="00787196">
        <w:rPr>
          <w:b/>
          <w:bCs/>
          <w:i w:val="0"/>
          <w:iCs w:val="0"/>
          <w:color w:val="auto"/>
          <w:sz w:val="24"/>
          <w:szCs w:val="24"/>
        </w:rPr>
        <w:t xml:space="preserve"> </w:t>
      </w:r>
      <w:r w:rsidRPr="00787196">
        <w:rPr>
          <w:b/>
          <w:bCs/>
          <w:i w:val="0"/>
          <w:iCs w:val="0"/>
          <w:color w:val="auto"/>
          <w:sz w:val="24"/>
          <w:szCs w:val="24"/>
        </w:rPr>
        <w:t xml:space="preserve">Scree plot of Brief COPE scale </w:t>
      </w:r>
      <w:r w:rsidR="00DD0A54" w:rsidRPr="00787196">
        <w:rPr>
          <w:b/>
          <w:bCs/>
          <w:i w:val="0"/>
          <w:iCs w:val="0"/>
          <w:color w:val="auto"/>
          <w:sz w:val="24"/>
          <w:szCs w:val="24"/>
        </w:rPr>
        <w:t xml:space="preserve">scores </w:t>
      </w:r>
      <w:r w:rsidRPr="00787196">
        <w:rPr>
          <w:b/>
          <w:bCs/>
          <w:i w:val="0"/>
          <w:iCs w:val="0"/>
          <w:color w:val="auto"/>
          <w:sz w:val="24"/>
          <w:szCs w:val="24"/>
        </w:rPr>
        <w:t>at T1</w:t>
      </w:r>
      <w:bookmarkEnd w:id="242"/>
    </w:p>
    <w:p w14:paraId="4B39BA40" w14:textId="7AA74A6A" w:rsidR="005F31E9" w:rsidRPr="00787196" w:rsidRDefault="005F31E9" w:rsidP="00F8618A">
      <w:pPr>
        <w:pStyle w:val="Caption"/>
        <w:keepNext/>
        <w:jc w:val="center"/>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655592D4" wp14:editId="3A0DF407">
            <wp:extent cx="4872251" cy="3895212"/>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3006" cy="3911805"/>
                    </a:xfrm>
                    <a:prstGeom prst="rect">
                      <a:avLst/>
                    </a:prstGeom>
                    <a:noFill/>
                    <a:ln>
                      <a:noFill/>
                    </a:ln>
                  </pic:spPr>
                </pic:pic>
              </a:graphicData>
            </a:graphic>
          </wp:inline>
        </w:drawing>
      </w:r>
    </w:p>
    <w:p w14:paraId="1949921B" w14:textId="515CA00E" w:rsidR="00B569DB" w:rsidRPr="00787196" w:rsidRDefault="00E01527" w:rsidP="00EB5F2C">
      <w:pPr>
        <w:keepNext/>
      </w:pPr>
      <w:r w:rsidRPr="00787196">
        <w:t>T</w:t>
      </w:r>
      <w:r w:rsidR="005D387A" w:rsidRPr="00787196">
        <w:t>he factor analysis was</w:t>
      </w:r>
      <w:r w:rsidRPr="00787196">
        <w:t xml:space="preserve"> hence</w:t>
      </w:r>
      <w:r w:rsidR="005D387A" w:rsidRPr="00787196">
        <w:t xml:space="preserve"> rerun to reduce </w:t>
      </w:r>
      <w:r w:rsidR="00590ADC" w:rsidRPr="00787196">
        <w:t xml:space="preserve">to force the items </w:t>
      </w:r>
      <w:r w:rsidR="005D387A" w:rsidRPr="00787196">
        <w:t xml:space="preserve">into 4 factors </w:t>
      </w:r>
      <w:r w:rsidR="00590ADC" w:rsidRPr="00787196">
        <w:t>only. The</w:t>
      </w:r>
      <w:r w:rsidR="000720F4" w:rsidRPr="00787196">
        <w:t xml:space="preserve"> factor structure matrix after reduction is shown in (Table 5-9). The first factor comprised the items of subscales</w:t>
      </w:r>
      <w:r w:rsidR="00192505" w:rsidRPr="00787196">
        <w:t xml:space="preserve"> for</w:t>
      </w:r>
      <w:r w:rsidR="000720F4" w:rsidRPr="00787196">
        <w:t xml:space="preserve"> Self-distraction, Substance Misuse, Behavioural Disengagement and Humour. The loadings were significant, ranging from (r= 0.402 – 0.67</w:t>
      </w:r>
      <w:r w:rsidR="000720F4" w:rsidRPr="00787196">
        <w:rPr>
          <w:szCs w:val="24"/>
        </w:rPr>
        <w:t>5)</w:t>
      </w:r>
      <w:r w:rsidR="000720F4" w:rsidRPr="00787196">
        <w:t>. Based on past studies these items were labelled as Avoidant/ Negative coping strategies. The second factor comprised Active Coping, Planning, Positive Reframing and Acceptance.</w:t>
      </w:r>
      <w:bookmarkStart w:id="243" w:name="_Ref426687297"/>
      <w:r w:rsidR="00192505" w:rsidRPr="00787196">
        <w:t xml:space="preserve"> </w:t>
      </w:r>
      <w:r w:rsidR="004E7627" w:rsidRPr="00787196">
        <w:t xml:space="preserve">The loadings varied within significant levels (r= 0.447- 0.887). </w:t>
      </w:r>
      <w:r w:rsidR="00F8618A" w:rsidRPr="00787196">
        <w:t>It</w:t>
      </w:r>
      <w:r w:rsidR="004E7627" w:rsidRPr="00787196">
        <w:t xml:space="preserve"> was labelled as Positive/Adequate coping in keeping with Heydecke and colleagues (2004)</w:t>
      </w:r>
      <w:r w:rsidR="00C26B0A" w:rsidRPr="00787196">
        <w:t xml:space="preserve"> study</w:t>
      </w:r>
      <w:r w:rsidR="004E7627" w:rsidRPr="00787196">
        <w:t xml:space="preserve">. The third factor had Self-Blame </w:t>
      </w:r>
      <w:r w:rsidR="00590ADC" w:rsidRPr="00787196">
        <w:t xml:space="preserve">items </w:t>
      </w:r>
      <w:r w:rsidR="000051A2" w:rsidRPr="00787196">
        <w:t xml:space="preserve">alone </w:t>
      </w:r>
      <w:r w:rsidR="004E7627" w:rsidRPr="00787196">
        <w:t xml:space="preserve">with a highly significant loading (r= 0.849 and 0.945). </w:t>
      </w:r>
      <w:bookmarkStart w:id="244" w:name="_Toc461641234"/>
      <w:r w:rsidR="00B569DB" w:rsidRPr="00787196">
        <w:br w:type="page"/>
      </w:r>
    </w:p>
    <w:p w14:paraId="7269A951" w14:textId="55A5C9EC" w:rsidR="005F31E9" w:rsidRPr="00787196" w:rsidRDefault="005F31E9" w:rsidP="00E5185A">
      <w:pPr>
        <w:spacing w:before="0" w:line="240" w:lineRule="auto"/>
        <w:jc w:val="center"/>
        <w:rPr>
          <w:b/>
          <w:bCs/>
          <w:szCs w:val="24"/>
        </w:rPr>
      </w:pPr>
      <w:bookmarkStart w:id="245" w:name="_Toc488655538"/>
      <w:r w:rsidRPr="00787196">
        <w:rPr>
          <w:b/>
          <w:bCs/>
          <w:szCs w:val="24"/>
        </w:rPr>
        <w:lastRenderedPageBreak/>
        <w:t xml:space="preserve">Table </w:t>
      </w:r>
      <w:r w:rsidR="000332A1" w:rsidRPr="00787196">
        <w:rPr>
          <w:b/>
          <w:bCs/>
          <w:szCs w:val="24"/>
        </w:rPr>
        <w:fldChar w:fldCharType="begin"/>
      </w:r>
      <w:r w:rsidR="000332A1" w:rsidRPr="00787196">
        <w:rPr>
          <w:b/>
          <w:bCs/>
          <w:szCs w:val="24"/>
        </w:rPr>
        <w:instrText xml:space="preserve"> STYLEREF 1 \s </w:instrText>
      </w:r>
      <w:r w:rsidR="000332A1" w:rsidRPr="00787196">
        <w:rPr>
          <w:b/>
          <w:bCs/>
          <w:szCs w:val="24"/>
        </w:rPr>
        <w:fldChar w:fldCharType="separate"/>
      </w:r>
      <w:r w:rsidR="00C069BC" w:rsidRPr="00787196">
        <w:rPr>
          <w:b/>
          <w:bCs/>
          <w:noProof/>
          <w:szCs w:val="24"/>
        </w:rPr>
        <w:t>5</w:t>
      </w:r>
      <w:r w:rsidR="000332A1" w:rsidRPr="00787196">
        <w:rPr>
          <w:b/>
          <w:bCs/>
          <w:szCs w:val="24"/>
        </w:rPr>
        <w:fldChar w:fldCharType="end"/>
      </w:r>
      <w:r w:rsidR="000332A1" w:rsidRPr="00787196">
        <w:rPr>
          <w:b/>
          <w:bCs/>
          <w:szCs w:val="24"/>
        </w:rPr>
        <w:noBreakHyphen/>
      </w:r>
      <w:r w:rsidR="000332A1" w:rsidRPr="00787196">
        <w:rPr>
          <w:b/>
          <w:bCs/>
          <w:szCs w:val="24"/>
        </w:rPr>
        <w:fldChar w:fldCharType="begin"/>
      </w:r>
      <w:r w:rsidR="000332A1" w:rsidRPr="00787196">
        <w:rPr>
          <w:b/>
          <w:bCs/>
          <w:szCs w:val="24"/>
        </w:rPr>
        <w:instrText xml:space="preserve"> SEQ Table \* ARABIC \s 1 </w:instrText>
      </w:r>
      <w:r w:rsidR="000332A1" w:rsidRPr="00787196">
        <w:rPr>
          <w:b/>
          <w:bCs/>
          <w:szCs w:val="24"/>
        </w:rPr>
        <w:fldChar w:fldCharType="separate"/>
      </w:r>
      <w:r w:rsidR="00C069BC" w:rsidRPr="00787196">
        <w:rPr>
          <w:b/>
          <w:bCs/>
          <w:noProof/>
          <w:szCs w:val="24"/>
        </w:rPr>
        <w:t>9</w:t>
      </w:r>
      <w:r w:rsidR="000332A1" w:rsidRPr="00787196">
        <w:rPr>
          <w:b/>
          <w:bCs/>
          <w:szCs w:val="24"/>
        </w:rPr>
        <w:fldChar w:fldCharType="end"/>
      </w:r>
      <w:bookmarkEnd w:id="243"/>
      <w:r w:rsidR="00B81751" w:rsidRPr="00787196">
        <w:rPr>
          <w:b/>
          <w:bCs/>
          <w:szCs w:val="24"/>
        </w:rPr>
        <w:t>.</w:t>
      </w:r>
      <w:r w:rsidRPr="00787196">
        <w:rPr>
          <w:b/>
          <w:bCs/>
          <w:szCs w:val="24"/>
        </w:rPr>
        <w:t xml:space="preserve"> Factor structure of Brief COPE at T1 after factor reduction</w:t>
      </w:r>
      <w:bookmarkEnd w:id="244"/>
      <w:bookmarkEnd w:id="245"/>
    </w:p>
    <w:tbl>
      <w:tblPr>
        <w:tblW w:w="7924" w:type="dxa"/>
        <w:jc w:val="center"/>
        <w:tblBorders>
          <w:top w:val="single" w:sz="8" w:space="0" w:color="000000"/>
          <w:bottom w:val="single" w:sz="8" w:space="0" w:color="000000"/>
        </w:tblBorders>
        <w:tblLook w:val="04A0" w:firstRow="1" w:lastRow="0" w:firstColumn="1" w:lastColumn="0" w:noHBand="0" w:noVBand="1"/>
      </w:tblPr>
      <w:tblGrid>
        <w:gridCol w:w="2140"/>
        <w:gridCol w:w="514"/>
        <w:gridCol w:w="1332"/>
        <w:gridCol w:w="1417"/>
        <w:gridCol w:w="1101"/>
        <w:gridCol w:w="1420"/>
      </w:tblGrid>
      <w:tr w:rsidR="005F31E9" w:rsidRPr="00787196" w14:paraId="0CBCEA34" w14:textId="77777777" w:rsidTr="00F8618A">
        <w:trPr>
          <w:trHeight w:val="345"/>
          <w:jc w:val="center"/>
        </w:trPr>
        <w:tc>
          <w:tcPr>
            <w:tcW w:w="2654" w:type="dxa"/>
            <w:gridSpan w:val="2"/>
            <w:vMerge w:val="restart"/>
            <w:tcBorders>
              <w:top w:val="single" w:sz="8" w:space="0" w:color="000000"/>
              <w:right w:val="nil"/>
            </w:tcBorders>
            <w:shd w:val="clear" w:color="auto" w:fill="FFFFFF"/>
            <w:vAlign w:val="center"/>
          </w:tcPr>
          <w:p w14:paraId="5A918B40" w14:textId="77777777" w:rsidR="005F31E9" w:rsidRPr="00787196" w:rsidRDefault="005F31E9" w:rsidP="00000044">
            <w:pPr>
              <w:autoSpaceDE w:val="0"/>
              <w:autoSpaceDN w:val="0"/>
              <w:adjustRightInd w:val="0"/>
              <w:spacing w:before="0" w:after="0" w:line="240" w:lineRule="auto"/>
              <w:jc w:val="left"/>
              <w:rPr>
                <w:rFonts w:cs="Arial"/>
                <w:b/>
                <w:bCs/>
                <w:color w:val="000000"/>
                <w:sz w:val="22"/>
              </w:rPr>
            </w:pPr>
            <w:r w:rsidRPr="00787196">
              <w:rPr>
                <w:rFonts w:cs="Arial"/>
                <w:b/>
                <w:bCs/>
                <w:color w:val="000000"/>
                <w:sz w:val="20"/>
                <w:szCs w:val="20"/>
              </w:rPr>
              <w:t>Coping strategies/ item no.</w:t>
            </w:r>
          </w:p>
        </w:tc>
        <w:tc>
          <w:tcPr>
            <w:tcW w:w="5270" w:type="dxa"/>
            <w:gridSpan w:val="4"/>
            <w:tcBorders>
              <w:top w:val="single" w:sz="8" w:space="0" w:color="000000"/>
              <w:left w:val="nil"/>
              <w:bottom w:val="single" w:sz="8" w:space="0" w:color="000000"/>
            </w:tcBorders>
            <w:shd w:val="clear" w:color="auto" w:fill="FFFFFF"/>
            <w:vAlign w:val="center"/>
          </w:tcPr>
          <w:p w14:paraId="1C97F5C9" w14:textId="77777777" w:rsidR="005F31E9" w:rsidRPr="00787196" w:rsidRDefault="005F31E9" w:rsidP="005F31E9">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Factor</w:t>
            </w:r>
          </w:p>
        </w:tc>
      </w:tr>
      <w:tr w:rsidR="005F31E9" w:rsidRPr="00787196" w14:paraId="18A54E87" w14:textId="77777777" w:rsidTr="00F8618A">
        <w:trPr>
          <w:trHeight w:val="316"/>
          <w:jc w:val="center"/>
        </w:trPr>
        <w:tc>
          <w:tcPr>
            <w:tcW w:w="2654" w:type="dxa"/>
            <w:gridSpan w:val="2"/>
            <w:vMerge/>
            <w:tcBorders>
              <w:bottom w:val="single" w:sz="4" w:space="0" w:color="auto"/>
              <w:right w:val="nil"/>
            </w:tcBorders>
            <w:shd w:val="clear" w:color="auto" w:fill="FFFFFF"/>
            <w:vAlign w:val="center"/>
          </w:tcPr>
          <w:p w14:paraId="4671799F" w14:textId="77777777" w:rsidR="005F31E9" w:rsidRPr="00787196" w:rsidRDefault="005F31E9" w:rsidP="007472EB">
            <w:pPr>
              <w:autoSpaceDE w:val="0"/>
              <w:autoSpaceDN w:val="0"/>
              <w:adjustRightInd w:val="0"/>
              <w:spacing w:before="0" w:after="0" w:line="240" w:lineRule="auto"/>
              <w:rPr>
                <w:rFonts w:cs="Arial"/>
                <w:color w:val="000000"/>
                <w:sz w:val="20"/>
                <w:szCs w:val="20"/>
              </w:rPr>
            </w:pPr>
          </w:p>
        </w:tc>
        <w:tc>
          <w:tcPr>
            <w:tcW w:w="1332" w:type="dxa"/>
            <w:tcBorders>
              <w:top w:val="single" w:sz="8" w:space="0" w:color="000000"/>
              <w:left w:val="nil"/>
              <w:bottom w:val="single" w:sz="4" w:space="0" w:color="auto"/>
              <w:right w:val="nil"/>
            </w:tcBorders>
            <w:shd w:val="clear" w:color="auto" w:fill="FFFFFF"/>
            <w:vAlign w:val="center"/>
          </w:tcPr>
          <w:p w14:paraId="0A53B377" w14:textId="77777777" w:rsidR="005F31E9" w:rsidRPr="00787196" w:rsidRDefault="005F31E9" w:rsidP="007472E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p>
        </w:tc>
        <w:tc>
          <w:tcPr>
            <w:tcW w:w="1417" w:type="dxa"/>
            <w:tcBorders>
              <w:top w:val="single" w:sz="8" w:space="0" w:color="000000"/>
              <w:left w:val="nil"/>
              <w:bottom w:val="single" w:sz="4" w:space="0" w:color="auto"/>
              <w:right w:val="nil"/>
            </w:tcBorders>
            <w:shd w:val="clear" w:color="auto" w:fill="FFFFFF"/>
            <w:vAlign w:val="center"/>
          </w:tcPr>
          <w:p w14:paraId="48188285" w14:textId="77777777" w:rsidR="005F31E9" w:rsidRPr="00787196" w:rsidRDefault="005F31E9" w:rsidP="007472E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w:t>
            </w:r>
          </w:p>
        </w:tc>
        <w:tc>
          <w:tcPr>
            <w:tcW w:w="1101" w:type="dxa"/>
            <w:tcBorders>
              <w:top w:val="single" w:sz="8" w:space="0" w:color="000000"/>
              <w:left w:val="nil"/>
              <w:bottom w:val="single" w:sz="4" w:space="0" w:color="auto"/>
              <w:right w:val="nil"/>
            </w:tcBorders>
            <w:shd w:val="clear" w:color="auto" w:fill="FFFFFF"/>
            <w:vAlign w:val="center"/>
          </w:tcPr>
          <w:p w14:paraId="6F53FB2F" w14:textId="77777777" w:rsidR="005F31E9" w:rsidRPr="00787196" w:rsidRDefault="005F31E9" w:rsidP="007472E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w:t>
            </w:r>
          </w:p>
        </w:tc>
        <w:tc>
          <w:tcPr>
            <w:tcW w:w="1419" w:type="dxa"/>
            <w:tcBorders>
              <w:top w:val="single" w:sz="8" w:space="0" w:color="000000"/>
              <w:left w:val="nil"/>
              <w:bottom w:val="single" w:sz="4" w:space="0" w:color="auto"/>
              <w:right w:val="nil"/>
            </w:tcBorders>
            <w:shd w:val="clear" w:color="auto" w:fill="FFFFFF"/>
            <w:vAlign w:val="center"/>
          </w:tcPr>
          <w:p w14:paraId="03D8363C" w14:textId="77777777" w:rsidR="005F31E9" w:rsidRPr="00787196" w:rsidRDefault="005F31E9" w:rsidP="007472E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w:t>
            </w:r>
          </w:p>
        </w:tc>
      </w:tr>
      <w:tr w:rsidR="005F31E9" w:rsidRPr="00787196" w14:paraId="42389137" w14:textId="77777777" w:rsidTr="00F8618A">
        <w:trPr>
          <w:trHeight w:val="272"/>
          <w:jc w:val="center"/>
        </w:trPr>
        <w:tc>
          <w:tcPr>
            <w:tcW w:w="2140" w:type="dxa"/>
            <w:vMerge w:val="restart"/>
            <w:tcBorders>
              <w:top w:val="single" w:sz="4" w:space="0" w:color="auto"/>
              <w:bottom w:val="nil"/>
              <w:right w:val="nil"/>
            </w:tcBorders>
            <w:shd w:val="clear" w:color="auto" w:fill="FFFFFF"/>
            <w:vAlign w:val="center"/>
          </w:tcPr>
          <w:p w14:paraId="18C24366"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Active coping</w:t>
            </w:r>
          </w:p>
        </w:tc>
        <w:tc>
          <w:tcPr>
            <w:tcW w:w="514" w:type="dxa"/>
            <w:tcBorders>
              <w:top w:val="single" w:sz="4" w:space="0" w:color="auto"/>
              <w:left w:val="nil"/>
              <w:bottom w:val="nil"/>
              <w:right w:val="nil"/>
            </w:tcBorders>
            <w:shd w:val="clear" w:color="auto" w:fill="FFFFFF"/>
            <w:vAlign w:val="center"/>
          </w:tcPr>
          <w:p w14:paraId="6FA055ED"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w:t>
            </w:r>
          </w:p>
        </w:tc>
        <w:tc>
          <w:tcPr>
            <w:tcW w:w="1332" w:type="dxa"/>
            <w:tcBorders>
              <w:top w:val="single" w:sz="4" w:space="0" w:color="auto"/>
              <w:left w:val="nil"/>
              <w:bottom w:val="nil"/>
              <w:right w:val="nil"/>
            </w:tcBorders>
            <w:shd w:val="clear" w:color="auto" w:fill="FFFFFF"/>
            <w:vAlign w:val="center"/>
          </w:tcPr>
          <w:p w14:paraId="750D55F0" w14:textId="77777777" w:rsidR="005F31E9" w:rsidRPr="00787196" w:rsidRDefault="005F31E9" w:rsidP="007472EB">
            <w:pPr>
              <w:spacing w:before="0" w:after="0" w:line="240" w:lineRule="auto"/>
              <w:jc w:val="center"/>
              <w:rPr>
                <w:sz w:val="18"/>
                <w:szCs w:val="18"/>
              </w:rPr>
            </w:pPr>
            <w:r w:rsidRPr="00787196">
              <w:rPr>
                <w:sz w:val="18"/>
                <w:szCs w:val="18"/>
              </w:rPr>
              <w:t>-.189</w:t>
            </w:r>
          </w:p>
        </w:tc>
        <w:tc>
          <w:tcPr>
            <w:tcW w:w="1417" w:type="dxa"/>
            <w:tcBorders>
              <w:top w:val="single" w:sz="4" w:space="0" w:color="auto"/>
              <w:left w:val="nil"/>
              <w:bottom w:val="nil"/>
              <w:right w:val="nil"/>
            </w:tcBorders>
            <w:shd w:val="clear" w:color="auto" w:fill="5B9BD5"/>
            <w:vAlign w:val="center"/>
          </w:tcPr>
          <w:p w14:paraId="1BA6C74F" w14:textId="77777777" w:rsidR="005F31E9" w:rsidRPr="00787196" w:rsidRDefault="005F31E9" w:rsidP="007472EB">
            <w:pPr>
              <w:spacing w:before="0" w:after="0"/>
              <w:jc w:val="center"/>
              <w:rPr>
                <w:b/>
                <w:bCs/>
                <w:sz w:val="18"/>
                <w:szCs w:val="18"/>
              </w:rPr>
            </w:pPr>
            <w:r w:rsidRPr="00787196">
              <w:rPr>
                <w:b/>
                <w:bCs/>
                <w:sz w:val="18"/>
                <w:szCs w:val="18"/>
              </w:rPr>
              <w:t>.554</w:t>
            </w:r>
          </w:p>
        </w:tc>
        <w:tc>
          <w:tcPr>
            <w:tcW w:w="1101" w:type="dxa"/>
            <w:tcBorders>
              <w:top w:val="single" w:sz="4" w:space="0" w:color="auto"/>
              <w:left w:val="nil"/>
              <w:bottom w:val="nil"/>
              <w:right w:val="nil"/>
            </w:tcBorders>
            <w:shd w:val="clear" w:color="auto" w:fill="FFFFFF"/>
            <w:vAlign w:val="center"/>
          </w:tcPr>
          <w:p w14:paraId="6838E38F" w14:textId="77777777" w:rsidR="005F31E9" w:rsidRPr="00787196" w:rsidRDefault="005F31E9" w:rsidP="007472EB">
            <w:pPr>
              <w:spacing w:before="0" w:after="0"/>
              <w:jc w:val="center"/>
              <w:rPr>
                <w:sz w:val="18"/>
                <w:szCs w:val="18"/>
              </w:rPr>
            </w:pPr>
            <w:r w:rsidRPr="00787196">
              <w:rPr>
                <w:sz w:val="18"/>
                <w:szCs w:val="18"/>
              </w:rPr>
              <w:t>.321</w:t>
            </w:r>
          </w:p>
        </w:tc>
        <w:tc>
          <w:tcPr>
            <w:tcW w:w="1419" w:type="dxa"/>
            <w:tcBorders>
              <w:top w:val="single" w:sz="4" w:space="0" w:color="auto"/>
              <w:left w:val="nil"/>
              <w:bottom w:val="nil"/>
              <w:right w:val="nil"/>
            </w:tcBorders>
            <w:shd w:val="clear" w:color="auto" w:fill="FFFFFF"/>
            <w:vAlign w:val="center"/>
          </w:tcPr>
          <w:p w14:paraId="697ED830" w14:textId="77777777" w:rsidR="005F31E9" w:rsidRPr="00787196" w:rsidRDefault="005F31E9" w:rsidP="007472EB">
            <w:pPr>
              <w:spacing w:before="0" w:after="0"/>
              <w:jc w:val="center"/>
              <w:rPr>
                <w:sz w:val="18"/>
                <w:szCs w:val="18"/>
              </w:rPr>
            </w:pPr>
            <w:r w:rsidRPr="00787196">
              <w:rPr>
                <w:sz w:val="18"/>
                <w:szCs w:val="18"/>
              </w:rPr>
              <w:t>.147</w:t>
            </w:r>
          </w:p>
        </w:tc>
      </w:tr>
      <w:tr w:rsidR="005F31E9" w:rsidRPr="00787196" w14:paraId="64336D14" w14:textId="77777777" w:rsidTr="00F8618A">
        <w:trPr>
          <w:trHeight w:val="233"/>
          <w:jc w:val="center"/>
        </w:trPr>
        <w:tc>
          <w:tcPr>
            <w:tcW w:w="2140" w:type="dxa"/>
            <w:vMerge/>
            <w:tcBorders>
              <w:top w:val="nil"/>
              <w:bottom w:val="single" w:sz="4" w:space="0" w:color="auto"/>
              <w:right w:val="nil"/>
            </w:tcBorders>
            <w:shd w:val="clear" w:color="auto" w:fill="FFFFFF"/>
            <w:vAlign w:val="center"/>
          </w:tcPr>
          <w:p w14:paraId="0F27B46A"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left w:val="nil"/>
              <w:bottom w:val="single" w:sz="4" w:space="0" w:color="auto"/>
              <w:right w:val="nil"/>
            </w:tcBorders>
            <w:shd w:val="clear" w:color="auto" w:fill="FFFFFF"/>
            <w:vAlign w:val="center"/>
          </w:tcPr>
          <w:p w14:paraId="0140FA4A"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w:t>
            </w:r>
          </w:p>
        </w:tc>
        <w:tc>
          <w:tcPr>
            <w:tcW w:w="1332" w:type="dxa"/>
            <w:tcBorders>
              <w:top w:val="nil"/>
              <w:left w:val="nil"/>
              <w:bottom w:val="single" w:sz="4" w:space="0" w:color="auto"/>
              <w:right w:val="nil"/>
            </w:tcBorders>
            <w:shd w:val="clear" w:color="auto" w:fill="FFFFFF"/>
            <w:vAlign w:val="center"/>
          </w:tcPr>
          <w:p w14:paraId="34CE89B4" w14:textId="77777777" w:rsidR="005F31E9" w:rsidRPr="00787196" w:rsidRDefault="005F31E9" w:rsidP="007472EB">
            <w:pPr>
              <w:spacing w:before="0" w:after="0" w:line="240" w:lineRule="auto"/>
              <w:jc w:val="center"/>
              <w:rPr>
                <w:sz w:val="18"/>
                <w:szCs w:val="18"/>
              </w:rPr>
            </w:pPr>
            <w:r w:rsidRPr="00787196">
              <w:rPr>
                <w:sz w:val="18"/>
                <w:szCs w:val="18"/>
              </w:rPr>
              <w:t>-.108</w:t>
            </w:r>
          </w:p>
        </w:tc>
        <w:tc>
          <w:tcPr>
            <w:tcW w:w="1417" w:type="dxa"/>
            <w:tcBorders>
              <w:top w:val="nil"/>
              <w:left w:val="nil"/>
              <w:bottom w:val="single" w:sz="4" w:space="0" w:color="auto"/>
              <w:right w:val="nil"/>
            </w:tcBorders>
            <w:shd w:val="clear" w:color="auto" w:fill="5B9BD5"/>
            <w:vAlign w:val="center"/>
          </w:tcPr>
          <w:p w14:paraId="7285874B" w14:textId="77777777" w:rsidR="005F31E9" w:rsidRPr="00787196" w:rsidRDefault="005F31E9" w:rsidP="007472EB">
            <w:pPr>
              <w:spacing w:before="0" w:after="0"/>
              <w:jc w:val="center"/>
              <w:rPr>
                <w:b/>
                <w:bCs/>
                <w:sz w:val="18"/>
                <w:szCs w:val="18"/>
              </w:rPr>
            </w:pPr>
            <w:r w:rsidRPr="00787196">
              <w:rPr>
                <w:b/>
                <w:bCs/>
                <w:sz w:val="18"/>
                <w:szCs w:val="18"/>
              </w:rPr>
              <w:t>.678</w:t>
            </w:r>
          </w:p>
        </w:tc>
        <w:tc>
          <w:tcPr>
            <w:tcW w:w="1101" w:type="dxa"/>
            <w:tcBorders>
              <w:top w:val="nil"/>
              <w:left w:val="nil"/>
              <w:bottom w:val="single" w:sz="4" w:space="0" w:color="auto"/>
              <w:right w:val="nil"/>
            </w:tcBorders>
            <w:shd w:val="clear" w:color="auto" w:fill="FFFFFF"/>
            <w:vAlign w:val="center"/>
          </w:tcPr>
          <w:p w14:paraId="07A449D7" w14:textId="77777777" w:rsidR="005F31E9" w:rsidRPr="00787196" w:rsidRDefault="005F31E9" w:rsidP="007472EB">
            <w:pPr>
              <w:spacing w:before="0" w:after="0"/>
              <w:jc w:val="center"/>
              <w:rPr>
                <w:sz w:val="18"/>
                <w:szCs w:val="18"/>
              </w:rPr>
            </w:pPr>
            <w:r w:rsidRPr="00787196">
              <w:rPr>
                <w:sz w:val="18"/>
                <w:szCs w:val="18"/>
              </w:rPr>
              <w:t>.121</w:t>
            </w:r>
          </w:p>
        </w:tc>
        <w:tc>
          <w:tcPr>
            <w:tcW w:w="1419" w:type="dxa"/>
            <w:tcBorders>
              <w:top w:val="nil"/>
              <w:left w:val="nil"/>
              <w:bottom w:val="single" w:sz="4" w:space="0" w:color="auto"/>
              <w:right w:val="nil"/>
            </w:tcBorders>
            <w:shd w:val="clear" w:color="auto" w:fill="FFFFFF"/>
            <w:vAlign w:val="center"/>
          </w:tcPr>
          <w:p w14:paraId="44B16318" w14:textId="77777777" w:rsidR="005F31E9" w:rsidRPr="00787196" w:rsidRDefault="005F31E9" w:rsidP="007472EB">
            <w:pPr>
              <w:spacing w:before="0" w:after="0"/>
              <w:jc w:val="center"/>
              <w:rPr>
                <w:sz w:val="18"/>
                <w:szCs w:val="18"/>
              </w:rPr>
            </w:pPr>
            <w:r w:rsidRPr="00787196">
              <w:rPr>
                <w:sz w:val="18"/>
                <w:szCs w:val="18"/>
              </w:rPr>
              <w:t>.165</w:t>
            </w:r>
          </w:p>
        </w:tc>
      </w:tr>
      <w:tr w:rsidR="005F31E9" w:rsidRPr="00787196" w14:paraId="661BB685" w14:textId="77777777" w:rsidTr="00F8618A">
        <w:trPr>
          <w:trHeight w:val="288"/>
          <w:jc w:val="center"/>
        </w:trPr>
        <w:tc>
          <w:tcPr>
            <w:tcW w:w="2140" w:type="dxa"/>
            <w:vMerge w:val="restart"/>
            <w:tcBorders>
              <w:top w:val="single" w:sz="4" w:space="0" w:color="auto"/>
              <w:bottom w:val="nil"/>
            </w:tcBorders>
            <w:shd w:val="clear" w:color="auto" w:fill="FFFFFF"/>
            <w:vAlign w:val="center"/>
          </w:tcPr>
          <w:p w14:paraId="23EC7E8B"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Planning</w:t>
            </w:r>
          </w:p>
        </w:tc>
        <w:tc>
          <w:tcPr>
            <w:tcW w:w="514" w:type="dxa"/>
            <w:tcBorders>
              <w:top w:val="single" w:sz="4" w:space="0" w:color="auto"/>
              <w:bottom w:val="nil"/>
              <w:right w:val="nil"/>
            </w:tcBorders>
            <w:shd w:val="clear" w:color="auto" w:fill="FFFFFF"/>
            <w:vAlign w:val="center"/>
          </w:tcPr>
          <w:p w14:paraId="42BF7203"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3</w:t>
            </w:r>
          </w:p>
        </w:tc>
        <w:tc>
          <w:tcPr>
            <w:tcW w:w="1332" w:type="dxa"/>
            <w:tcBorders>
              <w:top w:val="single" w:sz="4" w:space="0" w:color="auto"/>
              <w:left w:val="nil"/>
              <w:bottom w:val="nil"/>
              <w:right w:val="nil"/>
            </w:tcBorders>
            <w:shd w:val="clear" w:color="auto" w:fill="FFFFFF"/>
            <w:vAlign w:val="center"/>
          </w:tcPr>
          <w:p w14:paraId="4585BCEC" w14:textId="77777777" w:rsidR="005F31E9" w:rsidRPr="00787196" w:rsidRDefault="005F31E9" w:rsidP="007472EB">
            <w:pPr>
              <w:spacing w:before="0" w:after="0" w:line="240" w:lineRule="auto"/>
              <w:jc w:val="center"/>
              <w:rPr>
                <w:sz w:val="18"/>
                <w:szCs w:val="18"/>
              </w:rPr>
            </w:pPr>
            <w:r w:rsidRPr="00787196">
              <w:rPr>
                <w:sz w:val="18"/>
                <w:szCs w:val="18"/>
              </w:rPr>
              <w:t>-.010</w:t>
            </w:r>
          </w:p>
        </w:tc>
        <w:tc>
          <w:tcPr>
            <w:tcW w:w="1417" w:type="dxa"/>
            <w:tcBorders>
              <w:top w:val="single" w:sz="4" w:space="0" w:color="auto"/>
              <w:left w:val="nil"/>
              <w:bottom w:val="nil"/>
              <w:right w:val="nil"/>
            </w:tcBorders>
            <w:shd w:val="clear" w:color="auto" w:fill="5B9BD5"/>
            <w:vAlign w:val="center"/>
          </w:tcPr>
          <w:p w14:paraId="36AD8FCA" w14:textId="77777777" w:rsidR="005F31E9" w:rsidRPr="00787196" w:rsidRDefault="005F31E9" w:rsidP="007472EB">
            <w:pPr>
              <w:spacing w:before="0" w:after="0"/>
              <w:jc w:val="center"/>
              <w:rPr>
                <w:b/>
                <w:bCs/>
                <w:sz w:val="18"/>
                <w:szCs w:val="18"/>
              </w:rPr>
            </w:pPr>
            <w:r w:rsidRPr="00787196">
              <w:rPr>
                <w:b/>
                <w:bCs/>
                <w:sz w:val="18"/>
                <w:szCs w:val="18"/>
              </w:rPr>
              <w:t>.718</w:t>
            </w:r>
          </w:p>
        </w:tc>
        <w:tc>
          <w:tcPr>
            <w:tcW w:w="1101" w:type="dxa"/>
            <w:tcBorders>
              <w:top w:val="single" w:sz="4" w:space="0" w:color="auto"/>
              <w:left w:val="nil"/>
              <w:bottom w:val="nil"/>
              <w:right w:val="nil"/>
            </w:tcBorders>
            <w:shd w:val="clear" w:color="auto" w:fill="FFFFFF"/>
            <w:vAlign w:val="center"/>
          </w:tcPr>
          <w:p w14:paraId="3B71FAFF" w14:textId="77777777" w:rsidR="005F31E9" w:rsidRPr="00787196" w:rsidRDefault="005F31E9" w:rsidP="007472EB">
            <w:pPr>
              <w:spacing w:before="0" w:after="0"/>
              <w:jc w:val="center"/>
              <w:rPr>
                <w:sz w:val="18"/>
                <w:szCs w:val="18"/>
              </w:rPr>
            </w:pPr>
            <w:r w:rsidRPr="00787196">
              <w:rPr>
                <w:sz w:val="18"/>
                <w:szCs w:val="18"/>
              </w:rPr>
              <w:t>.160</w:t>
            </w:r>
          </w:p>
        </w:tc>
        <w:tc>
          <w:tcPr>
            <w:tcW w:w="1419" w:type="dxa"/>
            <w:tcBorders>
              <w:top w:val="single" w:sz="4" w:space="0" w:color="auto"/>
              <w:left w:val="nil"/>
              <w:bottom w:val="nil"/>
              <w:right w:val="nil"/>
            </w:tcBorders>
            <w:shd w:val="clear" w:color="auto" w:fill="FFFFFF"/>
            <w:vAlign w:val="center"/>
          </w:tcPr>
          <w:p w14:paraId="1EB6CE79" w14:textId="77777777" w:rsidR="005F31E9" w:rsidRPr="00787196" w:rsidRDefault="005F31E9" w:rsidP="007472EB">
            <w:pPr>
              <w:spacing w:before="0" w:after="0"/>
              <w:jc w:val="center"/>
              <w:rPr>
                <w:sz w:val="18"/>
                <w:szCs w:val="18"/>
              </w:rPr>
            </w:pPr>
            <w:r w:rsidRPr="00787196">
              <w:rPr>
                <w:sz w:val="18"/>
                <w:szCs w:val="18"/>
              </w:rPr>
              <w:t>.168</w:t>
            </w:r>
          </w:p>
        </w:tc>
      </w:tr>
      <w:tr w:rsidR="005F31E9" w:rsidRPr="00787196" w14:paraId="27AC8299" w14:textId="77777777" w:rsidTr="00F8618A">
        <w:trPr>
          <w:trHeight w:val="192"/>
          <w:jc w:val="center"/>
        </w:trPr>
        <w:tc>
          <w:tcPr>
            <w:tcW w:w="2140" w:type="dxa"/>
            <w:vMerge/>
            <w:tcBorders>
              <w:top w:val="nil"/>
              <w:bottom w:val="single" w:sz="4" w:space="0" w:color="auto"/>
            </w:tcBorders>
            <w:shd w:val="clear" w:color="auto" w:fill="FFFFFF"/>
            <w:vAlign w:val="center"/>
          </w:tcPr>
          <w:p w14:paraId="5035FFDB"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42A551D8"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4</w:t>
            </w:r>
          </w:p>
        </w:tc>
        <w:tc>
          <w:tcPr>
            <w:tcW w:w="1332" w:type="dxa"/>
            <w:tcBorders>
              <w:top w:val="nil"/>
              <w:left w:val="nil"/>
              <w:bottom w:val="single" w:sz="4" w:space="0" w:color="auto"/>
              <w:right w:val="nil"/>
            </w:tcBorders>
            <w:shd w:val="clear" w:color="auto" w:fill="FFFFFF"/>
            <w:vAlign w:val="center"/>
          </w:tcPr>
          <w:p w14:paraId="5B41AAC7" w14:textId="77777777" w:rsidR="005F31E9" w:rsidRPr="00787196" w:rsidRDefault="005F31E9" w:rsidP="007472EB">
            <w:pPr>
              <w:spacing w:before="0" w:after="0" w:line="240" w:lineRule="auto"/>
              <w:jc w:val="center"/>
              <w:rPr>
                <w:sz w:val="18"/>
                <w:szCs w:val="18"/>
              </w:rPr>
            </w:pPr>
            <w:r w:rsidRPr="00787196">
              <w:rPr>
                <w:sz w:val="18"/>
                <w:szCs w:val="18"/>
              </w:rPr>
              <w:t>.126</w:t>
            </w:r>
          </w:p>
        </w:tc>
        <w:tc>
          <w:tcPr>
            <w:tcW w:w="1417" w:type="dxa"/>
            <w:tcBorders>
              <w:top w:val="nil"/>
              <w:left w:val="nil"/>
              <w:bottom w:val="single" w:sz="4" w:space="0" w:color="auto"/>
              <w:right w:val="nil"/>
            </w:tcBorders>
            <w:shd w:val="clear" w:color="auto" w:fill="5B9BD5"/>
            <w:vAlign w:val="center"/>
          </w:tcPr>
          <w:p w14:paraId="01416FEF" w14:textId="77777777" w:rsidR="005F31E9" w:rsidRPr="00787196" w:rsidRDefault="005F31E9" w:rsidP="007472EB">
            <w:pPr>
              <w:spacing w:before="0" w:after="0"/>
              <w:jc w:val="center"/>
              <w:rPr>
                <w:b/>
                <w:bCs/>
                <w:sz w:val="18"/>
                <w:szCs w:val="18"/>
              </w:rPr>
            </w:pPr>
            <w:r w:rsidRPr="00787196">
              <w:rPr>
                <w:b/>
                <w:bCs/>
                <w:sz w:val="18"/>
                <w:szCs w:val="18"/>
              </w:rPr>
              <w:t>.697</w:t>
            </w:r>
          </w:p>
        </w:tc>
        <w:tc>
          <w:tcPr>
            <w:tcW w:w="1101" w:type="dxa"/>
            <w:tcBorders>
              <w:top w:val="nil"/>
              <w:left w:val="nil"/>
              <w:bottom w:val="single" w:sz="4" w:space="0" w:color="auto"/>
              <w:right w:val="nil"/>
            </w:tcBorders>
            <w:shd w:val="clear" w:color="auto" w:fill="FFFFFF"/>
            <w:vAlign w:val="center"/>
          </w:tcPr>
          <w:p w14:paraId="466FDCEB" w14:textId="77777777" w:rsidR="005F31E9" w:rsidRPr="00787196" w:rsidRDefault="005F31E9" w:rsidP="007472EB">
            <w:pPr>
              <w:spacing w:before="0" w:after="0"/>
              <w:jc w:val="center"/>
              <w:rPr>
                <w:sz w:val="18"/>
                <w:szCs w:val="18"/>
              </w:rPr>
            </w:pPr>
            <w:r w:rsidRPr="00787196">
              <w:rPr>
                <w:sz w:val="18"/>
                <w:szCs w:val="18"/>
              </w:rPr>
              <w:t>.137</w:t>
            </w:r>
          </w:p>
        </w:tc>
        <w:tc>
          <w:tcPr>
            <w:tcW w:w="1419" w:type="dxa"/>
            <w:tcBorders>
              <w:top w:val="nil"/>
              <w:left w:val="nil"/>
              <w:bottom w:val="single" w:sz="4" w:space="0" w:color="auto"/>
              <w:right w:val="nil"/>
            </w:tcBorders>
            <w:shd w:val="clear" w:color="auto" w:fill="FFFFFF"/>
            <w:vAlign w:val="center"/>
          </w:tcPr>
          <w:p w14:paraId="4C7B0CF2" w14:textId="77777777" w:rsidR="005F31E9" w:rsidRPr="00787196" w:rsidRDefault="005F31E9" w:rsidP="007472EB">
            <w:pPr>
              <w:spacing w:before="0" w:after="0"/>
              <w:jc w:val="center"/>
              <w:rPr>
                <w:sz w:val="18"/>
                <w:szCs w:val="18"/>
              </w:rPr>
            </w:pPr>
            <w:r w:rsidRPr="00787196">
              <w:rPr>
                <w:sz w:val="18"/>
                <w:szCs w:val="18"/>
              </w:rPr>
              <w:t>.213</w:t>
            </w:r>
          </w:p>
        </w:tc>
      </w:tr>
      <w:tr w:rsidR="005F31E9" w:rsidRPr="00787196" w14:paraId="37626E2A" w14:textId="77777777" w:rsidTr="00F8618A">
        <w:trPr>
          <w:trHeight w:val="285"/>
          <w:jc w:val="center"/>
        </w:trPr>
        <w:tc>
          <w:tcPr>
            <w:tcW w:w="2140" w:type="dxa"/>
            <w:vMerge w:val="restart"/>
            <w:tcBorders>
              <w:top w:val="single" w:sz="4" w:space="0" w:color="auto"/>
              <w:bottom w:val="nil"/>
            </w:tcBorders>
            <w:shd w:val="clear" w:color="auto" w:fill="FFFFFF"/>
            <w:vAlign w:val="center"/>
          </w:tcPr>
          <w:p w14:paraId="201AE387"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Positive Reframing</w:t>
            </w:r>
          </w:p>
        </w:tc>
        <w:tc>
          <w:tcPr>
            <w:tcW w:w="514" w:type="dxa"/>
            <w:tcBorders>
              <w:top w:val="single" w:sz="4" w:space="0" w:color="auto"/>
              <w:bottom w:val="nil"/>
              <w:right w:val="nil"/>
            </w:tcBorders>
            <w:shd w:val="clear" w:color="auto" w:fill="FFFFFF"/>
            <w:vAlign w:val="center"/>
          </w:tcPr>
          <w:p w14:paraId="42977182"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5</w:t>
            </w:r>
          </w:p>
        </w:tc>
        <w:tc>
          <w:tcPr>
            <w:tcW w:w="1332" w:type="dxa"/>
            <w:tcBorders>
              <w:top w:val="single" w:sz="4" w:space="0" w:color="auto"/>
              <w:left w:val="nil"/>
              <w:bottom w:val="nil"/>
              <w:right w:val="nil"/>
            </w:tcBorders>
            <w:shd w:val="clear" w:color="auto" w:fill="FFFFFF"/>
            <w:vAlign w:val="center"/>
          </w:tcPr>
          <w:p w14:paraId="46EA5C4C" w14:textId="77777777" w:rsidR="005F31E9" w:rsidRPr="00787196" w:rsidRDefault="005F31E9" w:rsidP="007472EB">
            <w:pPr>
              <w:spacing w:before="0" w:after="0" w:line="240" w:lineRule="auto"/>
              <w:jc w:val="center"/>
              <w:rPr>
                <w:sz w:val="18"/>
                <w:szCs w:val="18"/>
              </w:rPr>
            </w:pPr>
            <w:r w:rsidRPr="00787196">
              <w:rPr>
                <w:sz w:val="18"/>
                <w:szCs w:val="18"/>
              </w:rPr>
              <w:t>-.012</w:t>
            </w:r>
          </w:p>
        </w:tc>
        <w:tc>
          <w:tcPr>
            <w:tcW w:w="1417" w:type="dxa"/>
            <w:tcBorders>
              <w:top w:val="single" w:sz="4" w:space="0" w:color="auto"/>
              <w:left w:val="nil"/>
              <w:bottom w:val="nil"/>
              <w:right w:val="nil"/>
            </w:tcBorders>
            <w:shd w:val="clear" w:color="auto" w:fill="5B9BD5"/>
            <w:vAlign w:val="center"/>
          </w:tcPr>
          <w:p w14:paraId="27E3A1CF" w14:textId="77777777" w:rsidR="005F31E9" w:rsidRPr="00787196" w:rsidRDefault="005F31E9" w:rsidP="007472EB">
            <w:pPr>
              <w:spacing w:before="0" w:after="0"/>
              <w:jc w:val="center"/>
              <w:rPr>
                <w:b/>
                <w:bCs/>
                <w:sz w:val="18"/>
                <w:szCs w:val="18"/>
              </w:rPr>
            </w:pPr>
            <w:r w:rsidRPr="00787196">
              <w:rPr>
                <w:b/>
                <w:bCs/>
                <w:sz w:val="18"/>
                <w:szCs w:val="18"/>
              </w:rPr>
              <w:t>.554</w:t>
            </w:r>
          </w:p>
        </w:tc>
        <w:tc>
          <w:tcPr>
            <w:tcW w:w="1101" w:type="dxa"/>
            <w:tcBorders>
              <w:top w:val="single" w:sz="4" w:space="0" w:color="auto"/>
              <w:left w:val="nil"/>
              <w:bottom w:val="nil"/>
              <w:right w:val="nil"/>
            </w:tcBorders>
            <w:shd w:val="clear" w:color="auto" w:fill="FFFFFF"/>
            <w:vAlign w:val="center"/>
          </w:tcPr>
          <w:p w14:paraId="62C33FA3" w14:textId="77777777" w:rsidR="005F31E9" w:rsidRPr="00787196" w:rsidRDefault="005F31E9" w:rsidP="007472EB">
            <w:pPr>
              <w:spacing w:before="0" w:after="0"/>
              <w:jc w:val="center"/>
              <w:rPr>
                <w:sz w:val="18"/>
                <w:szCs w:val="18"/>
              </w:rPr>
            </w:pPr>
            <w:r w:rsidRPr="00787196">
              <w:rPr>
                <w:sz w:val="18"/>
                <w:szCs w:val="18"/>
              </w:rPr>
              <w:t>.236</w:t>
            </w:r>
          </w:p>
        </w:tc>
        <w:tc>
          <w:tcPr>
            <w:tcW w:w="1419" w:type="dxa"/>
            <w:tcBorders>
              <w:top w:val="single" w:sz="4" w:space="0" w:color="auto"/>
              <w:left w:val="nil"/>
              <w:bottom w:val="nil"/>
              <w:right w:val="nil"/>
            </w:tcBorders>
            <w:shd w:val="clear" w:color="auto" w:fill="FFFFFF"/>
            <w:vAlign w:val="center"/>
          </w:tcPr>
          <w:p w14:paraId="776D4E51" w14:textId="77777777" w:rsidR="005F31E9" w:rsidRPr="00787196" w:rsidRDefault="005F31E9" w:rsidP="007472EB">
            <w:pPr>
              <w:spacing w:before="0" w:after="0"/>
              <w:jc w:val="center"/>
              <w:rPr>
                <w:sz w:val="18"/>
                <w:szCs w:val="18"/>
              </w:rPr>
            </w:pPr>
            <w:r w:rsidRPr="00787196">
              <w:rPr>
                <w:sz w:val="18"/>
                <w:szCs w:val="18"/>
              </w:rPr>
              <w:t>.167</w:t>
            </w:r>
          </w:p>
        </w:tc>
      </w:tr>
      <w:tr w:rsidR="005F31E9" w:rsidRPr="00787196" w14:paraId="2C8088D5" w14:textId="77777777" w:rsidTr="00F8618A">
        <w:trPr>
          <w:trHeight w:val="215"/>
          <w:jc w:val="center"/>
        </w:trPr>
        <w:tc>
          <w:tcPr>
            <w:tcW w:w="2140" w:type="dxa"/>
            <w:vMerge/>
            <w:tcBorders>
              <w:top w:val="nil"/>
              <w:bottom w:val="single" w:sz="4" w:space="0" w:color="auto"/>
            </w:tcBorders>
            <w:shd w:val="clear" w:color="auto" w:fill="FFFFFF"/>
            <w:vAlign w:val="center"/>
          </w:tcPr>
          <w:p w14:paraId="56291B19"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02015FC2"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6</w:t>
            </w:r>
          </w:p>
        </w:tc>
        <w:tc>
          <w:tcPr>
            <w:tcW w:w="1332" w:type="dxa"/>
            <w:tcBorders>
              <w:top w:val="nil"/>
              <w:left w:val="nil"/>
              <w:bottom w:val="single" w:sz="4" w:space="0" w:color="auto"/>
              <w:right w:val="nil"/>
            </w:tcBorders>
            <w:shd w:val="clear" w:color="auto" w:fill="FFFFFF"/>
            <w:vAlign w:val="center"/>
          </w:tcPr>
          <w:p w14:paraId="09C34882" w14:textId="77777777" w:rsidR="005F31E9" w:rsidRPr="00787196" w:rsidRDefault="005F31E9" w:rsidP="007472EB">
            <w:pPr>
              <w:spacing w:before="0" w:after="0" w:line="240" w:lineRule="auto"/>
              <w:jc w:val="center"/>
              <w:rPr>
                <w:sz w:val="18"/>
                <w:szCs w:val="18"/>
              </w:rPr>
            </w:pPr>
            <w:r w:rsidRPr="00787196">
              <w:rPr>
                <w:sz w:val="18"/>
                <w:szCs w:val="18"/>
              </w:rPr>
              <w:t>.088</w:t>
            </w:r>
          </w:p>
        </w:tc>
        <w:tc>
          <w:tcPr>
            <w:tcW w:w="1417" w:type="dxa"/>
            <w:tcBorders>
              <w:top w:val="nil"/>
              <w:left w:val="nil"/>
              <w:bottom w:val="single" w:sz="4" w:space="0" w:color="auto"/>
              <w:right w:val="nil"/>
            </w:tcBorders>
            <w:shd w:val="clear" w:color="auto" w:fill="5B9BD5"/>
            <w:vAlign w:val="center"/>
          </w:tcPr>
          <w:p w14:paraId="23C14B18" w14:textId="77777777" w:rsidR="005F31E9" w:rsidRPr="00787196" w:rsidRDefault="005F31E9" w:rsidP="007472EB">
            <w:pPr>
              <w:spacing w:before="0" w:after="0"/>
              <w:jc w:val="center"/>
              <w:rPr>
                <w:b/>
                <w:bCs/>
                <w:sz w:val="18"/>
                <w:szCs w:val="18"/>
              </w:rPr>
            </w:pPr>
            <w:r w:rsidRPr="00787196">
              <w:rPr>
                <w:b/>
                <w:bCs/>
                <w:sz w:val="18"/>
                <w:szCs w:val="18"/>
              </w:rPr>
              <w:t>.462</w:t>
            </w:r>
          </w:p>
        </w:tc>
        <w:tc>
          <w:tcPr>
            <w:tcW w:w="1101" w:type="dxa"/>
            <w:tcBorders>
              <w:top w:val="nil"/>
              <w:left w:val="nil"/>
              <w:bottom w:val="single" w:sz="4" w:space="0" w:color="auto"/>
              <w:right w:val="nil"/>
            </w:tcBorders>
            <w:shd w:val="clear" w:color="auto" w:fill="FFFFFF"/>
            <w:vAlign w:val="center"/>
          </w:tcPr>
          <w:p w14:paraId="496A941A" w14:textId="77777777" w:rsidR="005F31E9" w:rsidRPr="00787196" w:rsidRDefault="005F31E9" w:rsidP="007472EB">
            <w:pPr>
              <w:spacing w:before="0" w:after="0"/>
              <w:jc w:val="center"/>
              <w:rPr>
                <w:sz w:val="18"/>
                <w:szCs w:val="18"/>
              </w:rPr>
            </w:pPr>
            <w:r w:rsidRPr="00787196">
              <w:rPr>
                <w:sz w:val="18"/>
                <w:szCs w:val="18"/>
              </w:rPr>
              <w:t>.142</w:t>
            </w:r>
          </w:p>
        </w:tc>
        <w:tc>
          <w:tcPr>
            <w:tcW w:w="1419" w:type="dxa"/>
            <w:tcBorders>
              <w:top w:val="nil"/>
              <w:left w:val="nil"/>
              <w:bottom w:val="single" w:sz="4" w:space="0" w:color="auto"/>
              <w:right w:val="nil"/>
            </w:tcBorders>
            <w:shd w:val="clear" w:color="auto" w:fill="FFFFFF"/>
            <w:vAlign w:val="center"/>
          </w:tcPr>
          <w:p w14:paraId="18C08379" w14:textId="77777777" w:rsidR="005F31E9" w:rsidRPr="00787196" w:rsidRDefault="005F31E9" w:rsidP="007472EB">
            <w:pPr>
              <w:spacing w:before="0" w:after="0"/>
              <w:jc w:val="center"/>
              <w:rPr>
                <w:sz w:val="18"/>
                <w:szCs w:val="18"/>
              </w:rPr>
            </w:pPr>
            <w:r w:rsidRPr="00787196">
              <w:rPr>
                <w:sz w:val="18"/>
                <w:szCs w:val="18"/>
              </w:rPr>
              <w:t>.177</w:t>
            </w:r>
          </w:p>
        </w:tc>
      </w:tr>
      <w:tr w:rsidR="005F31E9" w:rsidRPr="00787196" w14:paraId="32370F9D" w14:textId="77777777" w:rsidTr="00F8618A">
        <w:trPr>
          <w:trHeight w:val="254"/>
          <w:jc w:val="center"/>
        </w:trPr>
        <w:tc>
          <w:tcPr>
            <w:tcW w:w="2140" w:type="dxa"/>
            <w:vMerge w:val="restart"/>
            <w:tcBorders>
              <w:top w:val="single" w:sz="4" w:space="0" w:color="auto"/>
              <w:bottom w:val="nil"/>
            </w:tcBorders>
            <w:shd w:val="clear" w:color="auto" w:fill="FFFFFF"/>
            <w:vAlign w:val="center"/>
          </w:tcPr>
          <w:p w14:paraId="5A0E1EFB"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Acceptance</w:t>
            </w:r>
          </w:p>
        </w:tc>
        <w:tc>
          <w:tcPr>
            <w:tcW w:w="514" w:type="dxa"/>
            <w:tcBorders>
              <w:top w:val="single" w:sz="4" w:space="0" w:color="auto"/>
              <w:bottom w:val="nil"/>
              <w:right w:val="nil"/>
            </w:tcBorders>
            <w:shd w:val="clear" w:color="auto" w:fill="FFFFFF"/>
            <w:vAlign w:val="center"/>
          </w:tcPr>
          <w:p w14:paraId="6AC76796"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7</w:t>
            </w:r>
          </w:p>
        </w:tc>
        <w:tc>
          <w:tcPr>
            <w:tcW w:w="1332" w:type="dxa"/>
            <w:tcBorders>
              <w:top w:val="single" w:sz="4" w:space="0" w:color="auto"/>
              <w:left w:val="nil"/>
              <w:bottom w:val="nil"/>
              <w:right w:val="nil"/>
            </w:tcBorders>
            <w:shd w:val="clear" w:color="auto" w:fill="FFFFFF"/>
            <w:vAlign w:val="center"/>
          </w:tcPr>
          <w:p w14:paraId="7EDDCE9D" w14:textId="77777777" w:rsidR="005F31E9" w:rsidRPr="00787196" w:rsidRDefault="005F31E9" w:rsidP="007472EB">
            <w:pPr>
              <w:spacing w:before="0" w:after="0" w:line="240" w:lineRule="auto"/>
              <w:jc w:val="center"/>
              <w:rPr>
                <w:sz w:val="18"/>
                <w:szCs w:val="18"/>
              </w:rPr>
            </w:pPr>
            <w:r w:rsidRPr="00787196">
              <w:rPr>
                <w:sz w:val="18"/>
                <w:szCs w:val="18"/>
              </w:rPr>
              <w:t>.079</w:t>
            </w:r>
          </w:p>
        </w:tc>
        <w:tc>
          <w:tcPr>
            <w:tcW w:w="1417" w:type="dxa"/>
            <w:tcBorders>
              <w:top w:val="single" w:sz="4" w:space="0" w:color="auto"/>
              <w:left w:val="nil"/>
              <w:bottom w:val="nil"/>
              <w:right w:val="nil"/>
            </w:tcBorders>
            <w:shd w:val="clear" w:color="auto" w:fill="5B9BD5"/>
            <w:vAlign w:val="center"/>
          </w:tcPr>
          <w:p w14:paraId="1E4C573F" w14:textId="77777777" w:rsidR="005F31E9" w:rsidRPr="00787196" w:rsidRDefault="005F31E9" w:rsidP="007472EB">
            <w:pPr>
              <w:spacing w:before="0" w:after="0"/>
              <w:jc w:val="center"/>
              <w:rPr>
                <w:b/>
                <w:bCs/>
                <w:sz w:val="18"/>
                <w:szCs w:val="18"/>
              </w:rPr>
            </w:pPr>
            <w:r w:rsidRPr="00787196">
              <w:rPr>
                <w:b/>
                <w:bCs/>
                <w:sz w:val="18"/>
                <w:szCs w:val="18"/>
              </w:rPr>
              <w:t>.473</w:t>
            </w:r>
          </w:p>
        </w:tc>
        <w:tc>
          <w:tcPr>
            <w:tcW w:w="1101" w:type="dxa"/>
            <w:tcBorders>
              <w:top w:val="single" w:sz="4" w:space="0" w:color="auto"/>
              <w:left w:val="nil"/>
              <w:bottom w:val="nil"/>
              <w:right w:val="nil"/>
            </w:tcBorders>
            <w:shd w:val="clear" w:color="auto" w:fill="FFFFFF"/>
            <w:vAlign w:val="center"/>
          </w:tcPr>
          <w:p w14:paraId="71BBC940" w14:textId="77777777" w:rsidR="005F31E9" w:rsidRPr="00787196" w:rsidRDefault="005F31E9" w:rsidP="007472EB">
            <w:pPr>
              <w:spacing w:before="0" w:after="0"/>
              <w:jc w:val="center"/>
              <w:rPr>
                <w:sz w:val="18"/>
                <w:szCs w:val="18"/>
              </w:rPr>
            </w:pPr>
            <w:r w:rsidRPr="00787196">
              <w:rPr>
                <w:sz w:val="18"/>
                <w:szCs w:val="18"/>
              </w:rPr>
              <w:t>.004</w:t>
            </w:r>
          </w:p>
        </w:tc>
        <w:tc>
          <w:tcPr>
            <w:tcW w:w="1419" w:type="dxa"/>
            <w:tcBorders>
              <w:top w:val="single" w:sz="4" w:space="0" w:color="auto"/>
              <w:left w:val="nil"/>
              <w:bottom w:val="nil"/>
              <w:right w:val="nil"/>
            </w:tcBorders>
            <w:shd w:val="clear" w:color="auto" w:fill="FFFFFF"/>
            <w:vAlign w:val="center"/>
          </w:tcPr>
          <w:p w14:paraId="4C249363" w14:textId="77777777" w:rsidR="005F31E9" w:rsidRPr="00787196" w:rsidRDefault="005F31E9" w:rsidP="007472EB">
            <w:pPr>
              <w:spacing w:before="0" w:after="0"/>
              <w:jc w:val="center"/>
              <w:rPr>
                <w:sz w:val="18"/>
                <w:szCs w:val="18"/>
              </w:rPr>
            </w:pPr>
            <w:r w:rsidRPr="00787196">
              <w:rPr>
                <w:sz w:val="18"/>
                <w:szCs w:val="18"/>
              </w:rPr>
              <w:t>.089</w:t>
            </w:r>
          </w:p>
        </w:tc>
      </w:tr>
      <w:tr w:rsidR="005F31E9" w:rsidRPr="00787196" w14:paraId="379DC5C3" w14:textId="77777777" w:rsidTr="00F8618A">
        <w:trPr>
          <w:trHeight w:val="238"/>
          <w:jc w:val="center"/>
        </w:trPr>
        <w:tc>
          <w:tcPr>
            <w:tcW w:w="2140" w:type="dxa"/>
            <w:vMerge/>
            <w:tcBorders>
              <w:top w:val="nil"/>
              <w:bottom w:val="single" w:sz="4" w:space="0" w:color="auto"/>
            </w:tcBorders>
            <w:shd w:val="clear" w:color="auto" w:fill="FFFFFF"/>
            <w:vAlign w:val="center"/>
          </w:tcPr>
          <w:p w14:paraId="055EBAED"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1E35D51D"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8</w:t>
            </w:r>
          </w:p>
        </w:tc>
        <w:tc>
          <w:tcPr>
            <w:tcW w:w="1332" w:type="dxa"/>
            <w:tcBorders>
              <w:top w:val="nil"/>
              <w:left w:val="nil"/>
              <w:bottom w:val="single" w:sz="4" w:space="0" w:color="auto"/>
              <w:right w:val="nil"/>
            </w:tcBorders>
            <w:shd w:val="clear" w:color="auto" w:fill="FFFFFF"/>
            <w:vAlign w:val="center"/>
          </w:tcPr>
          <w:p w14:paraId="123D8A29" w14:textId="77777777" w:rsidR="005F31E9" w:rsidRPr="00787196" w:rsidRDefault="005F31E9" w:rsidP="007472EB">
            <w:pPr>
              <w:spacing w:before="0" w:after="0" w:line="240" w:lineRule="auto"/>
              <w:jc w:val="center"/>
              <w:rPr>
                <w:sz w:val="18"/>
                <w:szCs w:val="18"/>
              </w:rPr>
            </w:pPr>
            <w:r w:rsidRPr="00787196">
              <w:rPr>
                <w:sz w:val="18"/>
                <w:szCs w:val="18"/>
              </w:rPr>
              <w:t>.096</w:t>
            </w:r>
          </w:p>
        </w:tc>
        <w:tc>
          <w:tcPr>
            <w:tcW w:w="1417" w:type="dxa"/>
            <w:tcBorders>
              <w:top w:val="nil"/>
              <w:left w:val="nil"/>
              <w:bottom w:val="single" w:sz="4" w:space="0" w:color="auto"/>
              <w:right w:val="nil"/>
            </w:tcBorders>
            <w:shd w:val="clear" w:color="auto" w:fill="5B9BD5"/>
            <w:vAlign w:val="center"/>
          </w:tcPr>
          <w:p w14:paraId="5DEA0B74" w14:textId="77777777" w:rsidR="005F31E9" w:rsidRPr="00787196" w:rsidRDefault="005F31E9" w:rsidP="007472EB">
            <w:pPr>
              <w:spacing w:before="0" w:after="0"/>
              <w:jc w:val="center"/>
              <w:rPr>
                <w:b/>
                <w:bCs/>
                <w:sz w:val="18"/>
                <w:szCs w:val="18"/>
              </w:rPr>
            </w:pPr>
            <w:r w:rsidRPr="00787196">
              <w:rPr>
                <w:b/>
                <w:bCs/>
                <w:sz w:val="18"/>
                <w:szCs w:val="18"/>
              </w:rPr>
              <w:t>.447</w:t>
            </w:r>
          </w:p>
        </w:tc>
        <w:tc>
          <w:tcPr>
            <w:tcW w:w="1101" w:type="dxa"/>
            <w:tcBorders>
              <w:top w:val="nil"/>
              <w:left w:val="nil"/>
              <w:bottom w:val="single" w:sz="4" w:space="0" w:color="auto"/>
              <w:right w:val="nil"/>
            </w:tcBorders>
            <w:shd w:val="clear" w:color="auto" w:fill="FFFFFF"/>
            <w:vAlign w:val="center"/>
          </w:tcPr>
          <w:p w14:paraId="76C642B2" w14:textId="77777777" w:rsidR="005F31E9" w:rsidRPr="00787196" w:rsidRDefault="005F31E9" w:rsidP="007472EB">
            <w:pPr>
              <w:spacing w:before="0" w:after="0"/>
              <w:jc w:val="center"/>
              <w:rPr>
                <w:sz w:val="18"/>
                <w:szCs w:val="18"/>
              </w:rPr>
            </w:pPr>
            <w:r w:rsidRPr="00787196">
              <w:rPr>
                <w:sz w:val="18"/>
                <w:szCs w:val="18"/>
              </w:rPr>
              <w:t>-.132</w:t>
            </w:r>
          </w:p>
        </w:tc>
        <w:tc>
          <w:tcPr>
            <w:tcW w:w="1419" w:type="dxa"/>
            <w:tcBorders>
              <w:top w:val="nil"/>
              <w:left w:val="nil"/>
              <w:bottom w:val="single" w:sz="4" w:space="0" w:color="auto"/>
              <w:right w:val="nil"/>
            </w:tcBorders>
            <w:shd w:val="clear" w:color="auto" w:fill="FFFFFF"/>
            <w:vAlign w:val="center"/>
          </w:tcPr>
          <w:p w14:paraId="2EF99389" w14:textId="77777777" w:rsidR="005F31E9" w:rsidRPr="00787196" w:rsidRDefault="005F31E9" w:rsidP="007472EB">
            <w:pPr>
              <w:spacing w:before="0" w:after="0"/>
              <w:jc w:val="center"/>
              <w:rPr>
                <w:sz w:val="18"/>
                <w:szCs w:val="18"/>
              </w:rPr>
            </w:pPr>
            <w:r w:rsidRPr="00787196">
              <w:rPr>
                <w:sz w:val="18"/>
                <w:szCs w:val="18"/>
              </w:rPr>
              <w:t>.077</w:t>
            </w:r>
          </w:p>
        </w:tc>
      </w:tr>
      <w:tr w:rsidR="005F31E9" w:rsidRPr="00787196" w14:paraId="40761B33" w14:textId="77777777" w:rsidTr="00F8618A">
        <w:trPr>
          <w:trHeight w:val="282"/>
          <w:jc w:val="center"/>
        </w:trPr>
        <w:tc>
          <w:tcPr>
            <w:tcW w:w="2140" w:type="dxa"/>
            <w:vMerge w:val="restart"/>
            <w:tcBorders>
              <w:top w:val="single" w:sz="4" w:space="0" w:color="auto"/>
              <w:bottom w:val="nil"/>
            </w:tcBorders>
            <w:shd w:val="clear" w:color="auto" w:fill="FFFFFF"/>
            <w:vAlign w:val="center"/>
          </w:tcPr>
          <w:p w14:paraId="3AB89F42"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Humour</w:t>
            </w:r>
          </w:p>
        </w:tc>
        <w:tc>
          <w:tcPr>
            <w:tcW w:w="514" w:type="dxa"/>
            <w:tcBorders>
              <w:top w:val="single" w:sz="4" w:space="0" w:color="auto"/>
              <w:bottom w:val="nil"/>
              <w:right w:val="nil"/>
            </w:tcBorders>
            <w:shd w:val="clear" w:color="auto" w:fill="FFFFFF"/>
            <w:vAlign w:val="center"/>
          </w:tcPr>
          <w:p w14:paraId="57C28383"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9</w:t>
            </w:r>
          </w:p>
        </w:tc>
        <w:tc>
          <w:tcPr>
            <w:tcW w:w="1332" w:type="dxa"/>
            <w:tcBorders>
              <w:top w:val="single" w:sz="4" w:space="0" w:color="auto"/>
              <w:left w:val="nil"/>
              <w:bottom w:val="nil"/>
              <w:right w:val="nil"/>
            </w:tcBorders>
            <w:shd w:val="clear" w:color="auto" w:fill="5B9BD5"/>
            <w:vAlign w:val="center"/>
          </w:tcPr>
          <w:p w14:paraId="5C3C1EF1" w14:textId="77777777" w:rsidR="005F31E9" w:rsidRPr="00787196" w:rsidRDefault="005F31E9" w:rsidP="007472EB">
            <w:pPr>
              <w:spacing w:before="0" w:after="0" w:line="240" w:lineRule="auto"/>
              <w:jc w:val="center"/>
              <w:rPr>
                <w:b/>
                <w:bCs/>
                <w:sz w:val="18"/>
                <w:szCs w:val="18"/>
              </w:rPr>
            </w:pPr>
            <w:r w:rsidRPr="00787196">
              <w:rPr>
                <w:b/>
                <w:bCs/>
                <w:sz w:val="18"/>
                <w:szCs w:val="18"/>
              </w:rPr>
              <w:t>.402</w:t>
            </w:r>
          </w:p>
        </w:tc>
        <w:tc>
          <w:tcPr>
            <w:tcW w:w="1417" w:type="dxa"/>
            <w:tcBorders>
              <w:top w:val="single" w:sz="4" w:space="0" w:color="auto"/>
              <w:left w:val="nil"/>
              <w:bottom w:val="nil"/>
              <w:right w:val="nil"/>
            </w:tcBorders>
            <w:shd w:val="clear" w:color="auto" w:fill="FFFFFF"/>
            <w:vAlign w:val="center"/>
          </w:tcPr>
          <w:p w14:paraId="097BE20A" w14:textId="77777777" w:rsidR="005F31E9" w:rsidRPr="00787196" w:rsidRDefault="005F31E9" w:rsidP="007472EB">
            <w:pPr>
              <w:spacing w:before="0" w:after="0"/>
              <w:jc w:val="center"/>
              <w:rPr>
                <w:sz w:val="18"/>
                <w:szCs w:val="18"/>
              </w:rPr>
            </w:pPr>
            <w:r w:rsidRPr="00787196">
              <w:rPr>
                <w:sz w:val="18"/>
                <w:szCs w:val="18"/>
              </w:rPr>
              <w:t>.036</w:t>
            </w:r>
          </w:p>
        </w:tc>
        <w:tc>
          <w:tcPr>
            <w:tcW w:w="1101" w:type="dxa"/>
            <w:tcBorders>
              <w:top w:val="single" w:sz="4" w:space="0" w:color="auto"/>
              <w:left w:val="nil"/>
              <w:bottom w:val="nil"/>
              <w:right w:val="nil"/>
            </w:tcBorders>
            <w:shd w:val="clear" w:color="auto" w:fill="FFFFFF"/>
            <w:vAlign w:val="center"/>
          </w:tcPr>
          <w:p w14:paraId="709B4EFB" w14:textId="77777777" w:rsidR="005F31E9" w:rsidRPr="00787196" w:rsidRDefault="005F31E9" w:rsidP="007472EB">
            <w:pPr>
              <w:spacing w:before="0" w:after="0"/>
              <w:jc w:val="center"/>
              <w:rPr>
                <w:sz w:val="18"/>
                <w:szCs w:val="18"/>
              </w:rPr>
            </w:pPr>
            <w:r w:rsidRPr="00787196">
              <w:rPr>
                <w:sz w:val="18"/>
                <w:szCs w:val="18"/>
              </w:rPr>
              <w:t>.019</w:t>
            </w:r>
          </w:p>
        </w:tc>
        <w:tc>
          <w:tcPr>
            <w:tcW w:w="1419" w:type="dxa"/>
            <w:tcBorders>
              <w:top w:val="single" w:sz="4" w:space="0" w:color="auto"/>
              <w:left w:val="nil"/>
              <w:bottom w:val="nil"/>
              <w:right w:val="nil"/>
            </w:tcBorders>
            <w:shd w:val="clear" w:color="auto" w:fill="FFFFFF"/>
            <w:vAlign w:val="center"/>
          </w:tcPr>
          <w:p w14:paraId="1131D99D" w14:textId="77777777" w:rsidR="005F31E9" w:rsidRPr="00787196" w:rsidRDefault="005F31E9" w:rsidP="007472EB">
            <w:pPr>
              <w:spacing w:before="0" w:after="0"/>
              <w:jc w:val="center"/>
              <w:rPr>
                <w:sz w:val="18"/>
                <w:szCs w:val="18"/>
              </w:rPr>
            </w:pPr>
            <w:r w:rsidRPr="00787196">
              <w:rPr>
                <w:sz w:val="18"/>
                <w:szCs w:val="18"/>
              </w:rPr>
              <w:t>.087</w:t>
            </w:r>
          </w:p>
        </w:tc>
      </w:tr>
      <w:tr w:rsidR="005F31E9" w:rsidRPr="00787196" w14:paraId="0C764029" w14:textId="77777777" w:rsidTr="00F8618A">
        <w:trPr>
          <w:trHeight w:val="289"/>
          <w:jc w:val="center"/>
        </w:trPr>
        <w:tc>
          <w:tcPr>
            <w:tcW w:w="2140" w:type="dxa"/>
            <w:vMerge/>
            <w:tcBorders>
              <w:top w:val="nil"/>
              <w:bottom w:val="single" w:sz="4" w:space="0" w:color="auto"/>
            </w:tcBorders>
            <w:shd w:val="clear" w:color="auto" w:fill="FFFFFF"/>
            <w:vAlign w:val="center"/>
          </w:tcPr>
          <w:p w14:paraId="0DFE5217"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709FF8AC"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10</w:t>
            </w:r>
          </w:p>
        </w:tc>
        <w:tc>
          <w:tcPr>
            <w:tcW w:w="1332" w:type="dxa"/>
            <w:tcBorders>
              <w:top w:val="nil"/>
              <w:left w:val="nil"/>
              <w:bottom w:val="single" w:sz="4" w:space="0" w:color="auto"/>
              <w:right w:val="nil"/>
            </w:tcBorders>
            <w:shd w:val="clear" w:color="auto" w:fill="5B9BD5"/>
            <w:vAlign w:val="center"/>
          </w:tcPr>
          <w:p w14:paraId="4413C0CA" w14:textId="77777777" w:rsidR="005F31E9" w:rsidRPr="00787196" w:rsidRDefault="005F31E9" w:rsidP="007472EB">
            <w:pPr>
              <w:spacing w:before="0" w:after="0"/>
              <w:jc w:val="center"/>
              <w:rPr>
                <w:b/>
                <w:bCs/>
                <w:sz w:val="18"/>
                <w:szCs w:val="18"/>
              </w:rPr>
            </w:pPr>
            <w:r w:rsidRPr="00787196">
              <w:rPr>
                <w:b/>
                <w:bCs/>
                <w:sz w:val="18"/>
                <w:szCs w:val="18"/>
              </w:rPr>
              <w:t>.409</w:t>
            </w:r>
          </w:p>
        </w:tc>
        <w:tc>
          <w:tcPr>
            <w:tcW w:w="1417" w:type="dxa"/>
            <w:tcBorders>
              <w:top w:val="nil"/>
              <w:left w:val="nil"/>
              <w:bottom w:val="single" w:sz="4" w:space="0" w:color="auto"/>
              <w:right w:val="nil"/>
            </w:tcBorders>
            <w:shd w:val="clear" w:color="auto" w:fill="FFFFFF"/>
            <w:vAlign w:val="center"/>
          </w:tcPr>
          <w:p w14:paraId="44D7EB36" w14:textId="77777777" w:rsidR="005F31E9" w:rsidRPr="00787196" w:rsidRDefault="005F31E9" w:rsidP="007472EB">
            <w:pPr>
              <w:spacing w:before="0" w:after="0"/>
              <w:jc w:val="center"/>
              <w:rPr>
                <w:sz w:val="18"/>
                <w:szCs w:val="18"/>
              </w:rPr>
            </w:pPr>
            <w:r w:rsidRPr="00787196">
              <w:rPr>
                <w:sz w:val="18"/>
                <w:szCs w:val="18"/>
              </w:rPr>
              <w:t>.046</w:t>
            </w:r>
          </w:p>
        </w:tc>
        <w:tc>
          <w:tcPr>
            <w:tcW w:w="1101" w:type="dxa"/>
            <w:tcBorders>
              <w:top w:val="nil"/>
              <w:left w:val="nil"/>
              <w:bottom w:val="single" w:sz="4" w:space="0" w:color="auto"/>
              <w:right w:val="nil"/>
            </w:tcBorders>
            <w:shd w:val="clear" w:color="auto" w:fill="FFFFFF"/>
            <w:vAlign w:val="center"/>
          </w:tcPr>
          <w:p w14:paraId="2A674AB0" w14:textId="77777777" w:rsidR="005F31E9" w:rsidRPr="00787196" w:rsidRDefault="005F31E9" w:rsidP="007472EB">
            <w:pPr>
              <w:spacing w:before="0" w:after="0"/>
              <w:jc w:val="center"/>
              <w:rPr>
                <w:sz w:val="18"/>
                <w:szCs w:val="18"/>
              </w:rPr>
            </w:pPr>
            <w:r w:rsidRPr="00787196">
              <w:rPr>
                <w:sz w:val="18"/>
                <w:szCs w:val="18"/>
              </w:rPr>
              <w:t>.046</w:t>
            </w:r>
          </w:p>
        </w:tc>
        <w:tc>
          <w:tcPr>
            <w:tcW w:w="1419" w:type="dxa"/>
            <w:tcBorders>
              <w:top w:val="nil"/>
              <w:left w:val="nil"/>
              <w:bottom w:val="single" w:sz="4" w:space="0" w:color="auto"/>
              <w:right w:val="nil"/>
            </w:tcBorders>
            <w:shd w:val="clear" w:color="auto" w:fill="FFFFFF"/>
            <w:vAlign w:val="center"/>
          </w:tcPr>
          <w:p w14:paraId="57A91422" w14:textId="77777777" w:rsidR="005F31E9" w:rsidRPr="00787196" w:rsidRDefault="005F31E9" w:rsidP="007472EB">
            <w:pPr>
              <w:spacing w:before="0" w:after="0"/>
              <w:jc w:val="center"/>
              <w:rPr>
                <w:sz w:val="18"/>
                <w:szCs w:val="18"/>
              </w:rPr>
            </w:pPr>
            <w:r w:rsidRPr="00787196">
              <w:rPr>
                <w:sz w:val="18"/>
                <w:szCs w:val="18"/>
              </w:rPr>
              <w:t>.078</w:t>
            </w:r>
          </w:p>
        </w:tc>
      </w:tr>
      <w:tr w:rsidR="005F31E9" w:rsidRPr="00787196" w14:paraId="4B009533" w14:textId="77777777" w:rsidTr="00F8618A">
        <w:trPr>
          <w:trHeight w:val="289"/>
          <w:jc w:val="center"/>
        </w:trPr>
        <w:tc>
          <w:tcPr>
            <w:tcW w:w="2140" w:type="dxa"/>
            <w:vMerge w:val="restart"/>
            <w:tcBorders>
              <w:top w:val="single" w:sz="4" w:space="0" w:color="auto"/>
              <w:bottom w:val="nil"/>
            </w:tcBorders>
            <w:shd w:val="clear" w:color="auto" w:fill="FFFFFF"/>
            <w:vAlign w:val="center"/>
          </w:tcPr>
          <w:p w14:paraId="2F881646"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Religion</w:t>
            </w:r>
          </w:p>
        </w:tc>
        <w:tc>
          <w:tcPr>
            <w:tcW w:w="514" w:type="dxa"/>
            <w:tcBorders>
              <w:top w:val="single" w:sz="4" w:space="0" w:color="auto"/>
              <w:bottom w:val="nil"/>
              <w:right w:val="nil"/>
            </w:tcBorders>
            <w:shd w:val="clear" w:color="auto" w:fill="FFFFFF"/>
            <w:vAlign w:val="center"/>
          </w:tcPr>
          <w:p w14:paraId="12CB49CF"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11</w:t>
            </w:r>
          </w:p>
        </w:tc>
        <w:tc>
          <w:tcPr>
            <w:tcW w:w="1332" w:type="dxa"/>
            <w:tcBorders>
              <w:top w:val="single" w:sz="4" w:space="0" w:color="auto"/>
              <w:left w:val="nil"/>
              <w:bottom w:val="nil"/>
              <w:right w:val="nil"/>
            </w:tcBorders>
            <w:shd w:val="clear" w:color="auto" w:fill="FFFFFF"/>
            <w:vAlign w:val="center"/>
          </w:tcPr>
          <w:p w14:paraId="1BDB3D87" w14:textId="77777777" w:rsidR="005F31E9" w:rsidRPr="00787196" w:rsidRDefault="005F31E9" w:rsidP="007472EB">
            <w:pPr>
              <w:spacing w:before="0" w:after="0"/>
              <w:jc w:val="center"/>
              <w:rPr>
                <w:sz w:val="18"/>
                <w:szCs w:val="18"/>
              </w:rPr>
            </w:pPr>
            <w:r w:rsidRPr="00787196">
              <w:rPr>
                <w:sz w:val="18"/>
                <w:szCs w:val="18"/>
              </w:rPr>
              <w:t>.214</w:t>
            </w:r>
          </w:p>
        </w:tc>
        <w:tc>
          <w:tcPr>
            <w:tcW w:w="1417" w:type="dxa"/>
            <w:tcBorders>
              <w:top w:val="single" w:sz="4" w:space="0" w:color="auto"/>
              <w:left w:val="nil"/>
              <w:bottom w:val="nil"/>
              <w:right w:val="nil"/>
            </w:tcBorders>
            <w:shd w:val="clear" w:color="auto" w:fill="FFFFFF"/>
            <w:vAlign w:val="center"/>
          </w:tcPr>
          <w:p w14:paraId="44D427C7" w14:textId="77777777" w:rsidR="005F31E9" w:rsidRPr="00787196" w:rsidRDefault="005F31E9" w:rsidP="007472EB">
            <w:pPr>
              <w:spacing w:before="0" w:after="0"/>
              <w:jc w:val="center"/>
              <w:rPr>
                <w:sz w:val="18"/>
                <w:szCs w:val="18"/>
              </w:rPr>
            </w:pPr>
            <w:r w:rsidRPr="00787196">
              <w:rPr>
                <w:sz w:val="18"/>
                <w:szCs w:val="18"/>
              </w:rPr>
              <w:t>.221</w:t>
            </w:r>
          </w:p>
        </w:tc>
        <w:tc>
          <w:tcPr>
            <w:tcW w:w="1101" w:type="dxa"/>
            <w:tcBorders>
              <w:top w:val="single" w:sz="4" w:space="0" w:color="auto"/>
              <w:left w:val="nil"/>
              <w:bottom w:val="nil"/>
              <w:right w:val="nil"/>
            </w:tcBorders>
            <w:shd w:val="clear" w:color="auto" w:fill="FFFFFF"/>
            <w:vAlign w:val="center"/>
          </w:tcPr>
          <w:p w14:paraId="1A06DEED" w14:textId="77777777" w:rsidR="005F31E9" w:rsidRPr="00787196" w:rsidRDefault="005F31E9" w:rsidP="007472EB">
            <w:pPr>
              <w:spacing w:before="0" w:after="0"/>
              <w:jc w:val="center"/>
              <w:rPr>
                <w:sz w:val="18"/>
                <w:szCs w:val="18"/>
              </w:rPr>
            </w:pPr>
            <w:r w:rsidRPr="00787196">
              <w:rPr>
                <w:sz w:val="18"/>
                <w:szCs w:val="18"/>
              </w:rPr>
              <w:t>.126</w:t>
            </w:r>
          </w:p>
        </w:tc>
        <w:tc>
          <w:tcPr>
            <w:tcW w:w="1419" w:type="dxa"/>
            <w:tcBorders>
              <w:top w:val="single" w:sz="4" w:space="0" w:color="auto"/>
              <w:left w:val="nil"/>
              <w:bottom w:val="nil"/>
              <w:right w:val="nil"/>
            </w:tcBorders>
            <w:shd w:val="clear" w:color="auto" w:fill="5B9BD5"/>
            <w:vAlign w:val="center"/>
          </w:tcPr>
          <w:p w14:paraId="14A2F794" w14:textId="77777777" w:rsidR="005F31E9" w:rsidRPr="00787196" w:rsidRDefault="005F31E9" w:rsidP="007472EB">
            <w:pPr>
              <w:spacing w:before="0" w:after="0"/>
              <w:jc w:val="center"/>
              <w:rPr>
                <w:b/>
                <w:bCs/>
                <w:sz w:val="18"/>
                <w:szCs w:val="18"/>
              </w:rPr>
            </w:pPr>
            <w:r w:rsidRPr="00787196">
              <w:rPr>
                <w:b/>
                <w:bCs/>
                <w:sz w:val="18"/>
                <w:szCs w:val="18"/>
              </w:rPr>
              <w:t>.861</w:t>
            </w:r>
          </w:p>
        </w:tc>
      </w:tr>
      <w:tr w:rsidR="005F31E9" w:rsidRPr="00787196" w14:paraId="385FC94B" w14:textId="77777777" w:rsidTr="00F8618A">
        <w:trPr>
          <w:trHeight w:val="289"/>
          <w:jc w:val="center"/>
        </w:trPr>
        <w:tc>
          <w:tcPr>
            <w:tcW w:w="2140" w:type="dxa"/>
            <w:vMerge/>
            <w:tcBorders>
              <w:top w:val="nil"/>
              <w:bottom w:val="single" w:sz="4" w:space="0" w:color="auto"/>
            </w:tcBorders>
            <w:shd w:val="clear" w:color="auto" w:fill="FFFFFF"/>
            <w:vAlign w:val="center"/>
          </w:tcPr>
          <w:p w14:paraId="70689459"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77101DD4"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12</w:t>
            </w:r>
          </w:p>
        </w:tc>
        <w:tc>
          <w:tcPr>
            <w:tcW w:w="1332" w:type="dxa"/>
            <w:tcBorders>
              <w:top w:val="nil"/>
              <w:left w:val="nil"/>
              <w:bottom w:val="single" w:sz="4" w:space="0" w:color="auto"/>
              <w:right w:val="nil"/>
            </w:tcBorders>
            <w:shd w:val="clear" w:color="auto" w:fill="FFFFFF"/>
            <w:vAlign w:val="center"/>
          </w:tcPr>
          <w:p w14:paraId="405545D4" w14:textId="77777777" w:rsidR="005F31E9" w:rsidRPr="00787196" w:rsidRDefault="005F31E9" w:rsidP="007472EB">
            <w:pPr>
              <w:spacing w:before="0" w:after="0"/>
              <w:jc w:val="center"/>
              <w:rPr>
                <w:sz w:val="18"/>
                <w:szCs w:val="18"/>
              </w:rPr>
            </w:pPr>
            <w:r w:rsidRPr="00787196">
              <w:rPr>
                <w:sz w:val="18"/>
                <w:szCs w:val="18"/>
              </w:rPr>
              <w:t>.292</w:t>
            </w:r>
          </w:p>
        </w:tc>
        <w:tc>
          <w:tcPr>
            <w:tcW w:w="1417" w:type="dxa"/>
            <w:tcBorders>
              <w:top w:val="nil"/>
              <w:left w:val="nil"/>
              <w:bottom w:val="single" w:sz="4" w:space="0" w:color="auto"/>
              <w:right w:val="nil"/>
            </w:tcBorders>
            <w:shd w:val="clear" w:color="auto" w:fill="FFFFFF"/>
            <w:vAlign w:val="center"/>
          </w:tcPr>
          <w:p w14:paraId="22649A94" w14:textId="77777777" w:rsidR="005F31E9" w:rsidRPr="00787196" w:rsidRDefault="005F31E9" w:rsidP="007472EB">
            <w:pPr>
              <w:spacing w:before="0" w:after="0"/>
              <w:jc w:val="center"/>
              <w:rPr>
                <w:sz w:val="18"/>
                <w:szCs w:val="18"/>
              </w:rPr>
            </w:pPr>
            <w:r w:rsidRPr="00787196">
              <w:rPr>
                <w:sz w:val="18"/>
                <w:szCs w:val="18"/>
              </w:rPr>
              <w:t>.222</w:t>
            </w:r>
          </w:p>
        </w:tc>
        <w:tc>
          <w:tcPr>
            <w:tcW w:w="1101" w:type="dxa"/>
            <w:tcBorders>
              <w:top w:val="nil"/>
              <w:left w:val="nil"/>
              <w:bottom w:val="single" w:sz="4" w:space="0" w:color="auto"/>
              <w:right w:val="nil"/>
            </w:tcBorders>
            <w:shd w:val="clear" w:color="auto" w:fill="FFFFFF"/>
            <w:vAlign w:val="center"/>
          </w:tcPr>
          <w:p w14:paraId="088ADAF6" w14:textId="77777777" w:rsidR="005F31E9" w:rsidRPr="00787196" w:rsidRDefault="005F31E9" w:rsidP="007472EB">
            <w:pPr>
              <w:spacing w:before="0" w:after="0"/>
              <w:jc w:val="center"/>
              <w:rPr>
                <w:sz w:val="18"/>
                <w:szCs w:val="18"/>
              </w:rPr>
            </w:pPr>
            <w:r w:rsidRPr="00787196">
              <w:rPr>
                <w:sz w:val="18"/>
                <w:szCs w:val="18"/>
              </w:rPr>
              <w:t>.082</w:t>
            </w:r>
          </w:p>
        </w:tc>
        <w:tc>
          <w:tcPr>
            <w:tcW w:w="1419" w:type="dxa"/>
            <w:tcBorders>
              <w:top w:val="nil"/>
              <w:left w:val="nil"/>
              <w:bottom w:val="single" w:sz="4" w:space="0" w:color="auto"/>
              <w:right w:val="nil"/>
            </w:tcBorders>
            <w:shd w:val="clear" w:color="auto" w:fill="5B9BD5"/>
            <w:vAlign w:val="center"/>
          </w:tcPr>
          <w:p w14:paraId="51FED5E0" w14:textId="77777777" w:rsidR="005F31E9" w:rsidRPr="00787196" w:rsidRDefault="005F31E9" w:rsidP="007472EB">
            <w:pPr>
              <w:spacing w:before="0" w:after="0"/>
              <w:jc w:val="center"/>
              <w:rPr>
                <w:b/>
                <w:bCs/>
                <w:sz w:val="18"/>
                <w:szCs w:val="18"/>
              </w:rPr>
            </w:pPr>
            <w:r w:rsidRPr="00787196">
              <w:rPr>
                <w:b/>
                <w:bCs/>
                <w:sz w:val="18"/>
                <w:szCs w:val="18"/>
              </w:rPr>
              <w:t>.956</w:t>
            </w:r>
          </w:p>
        </w:tc>
      </w:tr>
      <w:tr w:rsidR="005F31E9" w:rsidRPr="00787196" w14:paraId="0839DF1F" w14:textId="77777777" w:rsidTr="00F8618A">
        <w:trPr>
          <w:trHeight w:val="289"/>
          <w:jc w:val="center"/>
        </w:trPr>
        <w:tc>
          <w:tcPr>
            <w:tcW w:w="2140" w:type="dxa"/>
            <w:vMerge w:val="restart"/>
            <w:tcBorders>
              <w:top w:val="single" w:sz="4" w:space="0" w:color="auto"/>
              <w:bottom w:val="nil"/>
            </w:tcBorders>
            <w:shd w:val="clear" w:color="auto" w:fill="FFFFFF"/>
            <w:vAlign w:val="center"/>
          </w:tcPr>
          <w:p w14:paraId="4DBA10B2"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Emotional</w:t>
            </w:r>
          </w:p>
        </w:tc>
        <w:tc>
          <w:tcPr>
            <w:tcW w:w="514" w:type="dxa"/>
            <w:tcBorders>
              <w:top w:val="single" w:sz="4" w:space="0" w:color="auto"/>
              <w:bottom w:val="nil"/>
              <w:right w:val="nil"/>
            </w:tcBorders>
            <w:shd w:val="clear" w:color="auto" w:fill="FFFFFF"/>
            <w:vAlign w:val="center"/>
          </w:tcPr>
          <w:p w14:paraId="761F5D52"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13</w:t>
            </w:r>
          </w:p>
        </w:tc>
        <w:tc>
          <w:tcPr>
            <w:tcW w:w="1332" w:type="dxa"/>
            <w:tcBorders>
              <w:top w:val="single" w:sz="4" w:space="0" w:color="auto"/>
              <w:left w:val="nil"/>
              <w:bottom w:val="nil"/>
              <w:right w:val="nil"/>
            </w:tcBorders>
            <w:shd w:val="clear" w:color="auto" w:fill="FFFFFF"/>
            <w:vAlign w:val="center"/>
          </w:tcPr>
          <w:p w14:paraId="2C4BF8C5" w14:textId="77777777" w:rsidR="005F31E9" w:rsidRPr="00787196" w:rsidRDefault="005F31E9" w:rsidP="007472EB">
            <w:pPr>
              <w:spacing w:before="0" w:after="0"/>
              <w:jc w:val="center"/>
              <w:rPr>
                <w:sz w:val="18"/>
                <w:szCs w:val="18"/>
              </w:rPr>
            </w:pPr>
            <w:r w:rsidRPr="00787196">
              <w:rPr>
                <w:sz w:val="18"/>
                <w:szCs w:val="18"/>
              </w:rPr>
              <w:t>.288</w:t>
            </w:r>
          </w:p>
        </w:tc>
        <w:tc>
          <w:tcPr>
            <w:tcW w:w="1417" w:type="dxa"/>
            <w:tcBorders>
              <w:top w:val="single" w:sz="4" w:space="0" w:color="auto"/>
              <w:left w:val="nil"/>
              <w:bottom w:val="nil"/>
              <w:right w:val="nil"/>
            </w:tcBorders>
            <w:shd w:val="clear" w:color="auto" w:fill="FFFFFF"/>
            <w:vAlign w:val="center"/>
          </w:tcPr>
          <w:p w14:paraId="79935948" w14:textId="77777777" w:rsidR="005F31E9" w:rsidRPr="00787196" w:rsidRDefault="005F31E9" w:rsidP="007472EB">
            <w:pPr>
              <w:spacing w:before="0" w:after="0"/>
              <w:jc w:val="center"/>
              <w:rPr>
                <w:sz w:val="18"/>
                <w:szCs w:val="18"/>
              </w:rPr>
            </w:pPr>
            <w:r w:rsidRPr="00787196">
              <w:rPr>
                <w:sz w:val="18"/>
                <w:szCs w:val="18"/>
              </w:rPr>
              <w:t>.292</w:t>
            </w:r>
          </w:p>
        </w:tc>
        <w:tc>
          <w:tcPr>
            <w:tcW w:w="1101" w:type="dxa"/>
            <w:tcBorders>
              <w:top w:val="single" w:sz="4" w:space="0" w:color="auto"/>
              <w:left w:val="nil"/>
              <w:bottom w:val="nil"/>
              <w:right w:val="nil"/>
            </w:tcBorders>
            <w:shd w:val="clear" w:color="auto" w:fill="FFFFFF"/>
            <w:vAlign w:val="center"/>
          </w:tcPr>
          <w:p w14:paraId="24D51672" w14:textId="77777777" w:rsidR="005F31E9" w:rsidRPr="00787196" w:rsidRDefault="005F31E9" w:rsidP="007472EB">
            <w:pPr>
              <w:spacing w:before="0" w:after="0"/>
              <w:jc w:val="center"/>
              <w:rPr>
                <w:sz w:val="18"/>
                <w:szCs w:val="18"/>
              </w:rPr>
            </w:pPr>
            <w:r w:rsidRPr="00787196">
              <w:rPr>
                <w:sz w:val="18"/>
                <w:szCs w:val="18"/>
              </w:rPr>
              <w:t>-.096</w:t>
            </w:r>
          </w:p>
        </w:tc>
        <w:tc>
          <w:tcPr>
            <w:tcW w:w="1419" w:type="dxa"/>
            <w:tcBorders>
              <w:top w:val="single" w:sz="4" w:space="0" w:color="auto"/>
              <w:left w:val="nil"/>
              <w:bottom w:val="nil"/>
              <w:right w:val="nil"/>
            </w:tcBorders>
            <w:shd w:val="clear" w:color="auto" w:fill="FFFFFF"/>
            <w:vAlign w:val="center"/>
          </w:tcPr>
          <w:p w14:paraId="1DCACD7C" w14:textId="77777777" w:rsidR="005F31E9" w:rsidRPr="00787196" w:rsidRDefault="005F31E9" w:rsidP="007472EB">
            <w:pPr>
              <w:spacing w:before="0" w:after="0"/>
              <w:jc w:val="center"/>
              <w:rPr>
                <w:sz w:val="18"/>
                <w:szCs w:val="18"/>
              </w:rPr>
            </w:pPr>
            <w:r w:rsidRPr="00787196">
              <w:rPr>
                <w:sz w:val="18"/>
                <w:szCs w:val="18"/>
              </w:rPr>
              <w:t>.310</w:t>
            </w:r>
          </w:p>
        </w:tc>
      </w:tr>
      <w:tr w:rsidR="005F31E9" w:rsidRPr="00787196" w14:paraId="40220BCE" w14:textId="77777777" w:rsidTr="00F8618A">
        <w:trPr>
          <w:trHeight w:val="295"/>
          <w:jc w:val="center"/>
        </w:trPr>
        <w:tc>
          <w:tcPr>
            <w:tcW w:w="2140" w:type="dxa"/>
            <w:vMerge/>
            <w:tcBorders>
              <w:top w:val="nil"/>
              <w:bottom w:val="single" w:sz="4" w:space="0" w:color="auto"/>
            </w:tcBorders>
            <w:shd w:val="clear" w:color="auto" w:fill="FFFFFF"/>
            <w:vAlign w:val="center"/>
          </w:tcPr>
          <w:p w14:paraId="2F317045"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16ACCFE6"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14</w:t>
            </w:r>
          </w:p>
        </w:tc>
        <w:tc>
          <w:tcPr>
            <w:tcW w:w="1332" w:type="dxa"/>
            <w:tcBorders>
              <w:top w:val="nil"/>
              <w:left w:val="nil"/>
              <w:bottom w:val="single" w:sz="4" w:space="0" w:color="auto"/>
              <w:right w:val="nil"/>
            </w:tcBorders>
            <w:shd w:val="clear" w:color="auto" w:fill="FFFFFF"/>
            <w:vAlign w:val="center"/>
          </w:tcPr>
          <w:p w14:paraId="7EB0734E" w14:textId="77777777" w:rsidR="005F31E9" w:rsidRPr="00787196" w:rsidRDefault="005F31E9" w:rsidP="007472EB">
            <w:pPr>
              <w:spacing w:before="0" w:after="0"/>
              <w:jc w:val="center"/>
              <w:rPr>
                <w:sz w:val="18"/>
                <w:szCs w:val="18"/>
              </w:rPr>
            </w:pPr>
            <w:r w:rsidRPr="00787196">
              <w:rPr>
                <w:sz w:val="18"/>
                <w:szCs w:val="18"/>
              </w:rPr>
              <w:t>.267</w:t>
            </w:r>
          </w:p>
        </w:tc>
        <w:tc>
          <w:tcPr>
            <w:tcW w:w="1417" w:type="dxa"/>
            <w:tcBorders>
              <w:top w:val="nil"/>
              <w:left w:val="nil"/>
              <w:bottom w:val="single" w:sz="4" w:space="0" w:color="auto"/>
              <w:right w:val="nil"/>
            </w:tcBorders>
            <w:shd w:val="clear" w:color="auto" w:fill="FFFFFF"/>
            <w:vAlign w:val="center"/>
          </w:tcPr>
          <w:p w14:paraId="524485D9" w14:textId="77777777" w:rsidR="005F31E9" w:rsidRPr="00787196" w:rsidRDefault="005F31E9" w:rsidP="007472EB">
            <w:pPr>
              <w:spacing w:before="0" w:after="0"/>
              <w:jc w:val="center"/>
              <w:rPr>
                <w:sz w:val="18"/>
                <w:szCs w:val="18"/>
              </w:rPr>
            </w:pPr>
            <w:r w:rsidRPr="00787196">
              <w:rPr>
                <w:sz w:val="18"/>
                <w:szCs w:val="18"/>
              </w:rPr>
              <w:t>.296</w:t>
            </w:r>
          </w:p>
        </w:tc>
        <w:tc>
          <w:tcPr>
            <w:tcW w:w="1101" w:type="dxa"/>
            <w:tcBorders>
              <w:top w:val="nil"/>
              <w:left w:val="nil"/>
              <w:bottom w:val="single" w:sz="4" w:space="0" w:color="auto"/>
              <w:right w:val="nil"/>
            </w:tcBorders>
            <w:shd w:val="clear" w:color="auto" w:fill="FFFFFF"/>
            <w:vAlign w:val="center"/>
          </w:tcPr>
          <w:p w14:paraId="29CFC241" w14:textId="77777777" w:rsidR="005F31E9" w:rsidRPr="00787196" w:rsidRDefault="005F31E9" w:rsidP="007472EB">
            <w:pPr>
              <w:spacing w:before="0" w:after="0"/>
              <w:jc w:val="center"/>
              <w:rPr>
                <w:sz w:val="18"/>
                <w:szCs w:val="18"/>
              </w:rPr>
            </w:pPr>
            <w:r w:rsidRPr="00787196">
              <w:rPr>
                <w:sz w:val="18"/>
                <w:szCs w:val="18"/>
              </w:rPr>
              <w:t>-.200</w:t>
            </w:r>
          </w:p>
        </w:tc>
        <w:tc>
          <w:tcPr>
            <w:tcW w:w="1419" w:type="dxa"/>
            <w:tcBorders>
              <w:top w:val="nil"/>
              <w:left w:val="nil"/>
              <w:bottom w:val="single" w:sz="4" w:space="0" w:color="auto"/>
              <w:right w:val="nil"/>
            </w:tcBorders>
            <w:shd w:val="clear" w:color="auto" w:fill="FFFFFF"/>
            <w:vAlign w:val="center"/>
          </w:tcPr>
          <w:p w14:paraId="225C0B16" w14:textId="77777777" w:rsidR="005F31E9" w:rsidRPr="00787196" w:rsidRDefault="005F31E9" w:rsidP="007472EB">
            <w:pPr>
              <w:spacing w:before="0" w:after="0"/>
              <w:jc w:val="center"/>
              <w:rPr>
                <w:sz w:val="18"/>
                <w:szCs w:val="18"/>
              </w:rPr>
            </w:pPr>
            <w:r w:rsidRPr="00787196">
              <w:rPr>
                <w:sz w:val="18"/>
                <w:szCs w:val="18"/>
              </w:rPr>
              <w:t>.237</w:t>
            </w:r>
          </w:p>
        </w:tc>
      </w:tr>
      <w:tr w:rsidR="005F31E9" w:rsidRPr="00787196" w14:paraId="45C828EE" w14:textId="77777777" w:rsidTr="00F8618A">
        <w:trPr>
          <w:trHeight w:val="237"/>
          <w:jc w:val="center"/>
        </w:trPr>
        <w:tc>
          <w:tcPr>
            <w:tcW w:w="2140" w:type="dxa"/>
            <w:vMerge w:val="restart"/>
            <w:tcBorders>
              <w:top w:val="single" w:sz="4" w:space="0" w:color="auto"/>
              <w:bottom w:val="nil"/>
            </w:tcBorders>
            <w:shd w:val="clear" w:color="auto" w:fill="FFFFFF"/>
            <w:vAlign w:val="center"/>
          </w:tcPr>
          <w:p w14:paraId="752BBC3E"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Instrumental</w:t>
            </w:r>
          </w:p>
        </w:tc>
        <w:tc>
          <w:tcPr>
            <w:tcW w:w="514" w:type="dxa"/>
            <w:tcBorders>
              <w:top w:val="single" w:sz="4" w:space="0" w:color="auto"/>
              <w:bottom w:val="nil"/>
              <w:right w:val="nil"/>
            </w:tcBorders>
            <w:shd w:val="clear" w:color="auto" w:fill="FFFFFF"/>
            <w:vAlign w:val="center"/>
          </w:tcPr>
          <w:p w14:paraId="29E191A2"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15</w:t>
            </w:r>
          </w:p>
        </w:tc>
        <w:tc>
          <w:tcPr>
            <w:tcW w:w="1332" w:type="dxa"/>
            <w:tcBorders>
              <w:top w:val="single" w:sz="4" w:space="0" w:color="auto"/>
              <w:left w:val="nil"/>
              <w:bottom w:val="nil"/>
              <w:right w:val="nil"/>
            </w:tcBorders>
            <w:shd w:val="clear" w:color="auto" w:fill="FFFFFF"/>
            <w:vAlign w:val="center"/>
          </w:tcPr>
          <w:p w14:paraId="4D9CB81C" w14:textId="77777777" w:rsidR="005F31E9" w:rsidRPr="00787196" w:rsidRDefault="005F31E9" w:rsidP="007472EB">
            <w:pPr>
              <w:spacing w:before="0" w:after="0"/>
              <w:jc w:val="center"/>
              <w:rPr>
                <w:sz w:val="18"/>
                <w:szCs w:val="18"/>
              </w:rPr>
            </w:pPr>
            <w:r w:rsidRPr="00787196">
              <w:rPr>
                <w:sz w:val="18"/>
                <w:szCs w:val="18"/>
              </w:rPr>
              <w:t>.354</w:t>
            </w:r>
          </w:p>
        </w:tc>
        <w:tc>
          <w:tcPr>
            <w:tcW w:w="1417" w:type="dxa"/>
            <w:tcBorders>
              <w:top w:val="single" w:sz="4" w:space="0" w:color="auto"/>
              <w:left w:val="nil"/>
              <w:bottom w:val="nil"/>
              <w:right w:val="nil"/>
            </w:tcBorders>
            <w:shd w:val="clear" w:color="auto" w:fill="FFFFFF"/>
            <w:vAlign w:val="center"/>
          </w:tcPr>
          <w:p w14:paraId="104FF639" w14:textId="77777777" w:rsidR="005F31E9" w:rsidRPr="00787196" w:rsidRDefault="005F31E9" w:rsidP="007472EB">
            <w:pPr>
              <w:spacing w:before="0" w:after="0"/>
              <w:jc w:val="center"/>
              <w:rPr>
                <w:sz w:val="18"/>
                <w:szCs w:val="18"/>
              </w:rPr>
            </w:pPr>
            <w:r w:rsidRPr="00787196">
              <w:rPr>
                <w:sz w:val="18"/>
                <w:szCs w:val="18"/>
              </w:rPr>
              <w:t>.291</w:t>
            </w:r>
          </w:p>
        </w:tc>
        <w:tc>
          <w:tcPr>
            <w:tcW w:w="1101" w:type="dxa"/>
            <w:tcBorders>
              <w:top w:val="single" w:sz="4" w:space="0" w:color="auto"/>
              <w:left w:val="nil"/>
              <w:bottom w:val="nil"/>
              <w:right w:val="nil"/>
            </w:tcBorders>
            <w:shd w:val="clear" w:color="auto" w:fill="FFFFFF"/>
            <w:vAlign w:val="center"/>
          </w:tcPr>
          <w:p w14:paraId="66A59955" w14:textId="77777777" w:rsidR="005F31E9" w:rsidRPr="00787196" w:rsidRDefault="005F31E9" w:rsidP="007472EB">
            <w:pPr>
              <w:spacing w:before="0" w:after="0"/>
              <w:jc w:val="center"/>
              <w:rPr>
                <w:sz w:val="18"/>
                <w:szCs w:val="18"/>
              </w:rPr>
            </w:pPr>
            <w:r w:rsidRPr="00787196">
              <w:rPr>
                <w:sz w:val="18"/>
                <w:szCs w:val="18"/>
              </w:rPr>
              <w:t>-.074</w:t>
            </w:r>
          </w:p>
        </w:tc>
        <w:tc>
          <w:tcPr>
            <w:tcW w:w="1419" w:type="dxa"/>
            <w:tcBorders>
              <w:top w:val="single" w:sz="4" w:space="0" w:color="auto"/>
              <w:left w:val="nil"/>
              <w:bottom w:val="nil"/>
              <w:right w:val="nil"/>
            </w:tcBorders>
            <w:shd w:val="clear" w:color="auto" w:fill="FFFFFF"/>
            <w:vAlign w:val="center"/>
          </w:tcPr>
          <w:p w14:paraId="79F84DA8" w14:textId="77777777" w:rsidR="005F31E9" w:rsidRPr="00787196" w:rsidRDefault="005F31E9" w:rsidP="007472EB">
            <w:pPr>
              <w:spacing w:before="0" w:after="0"/>
              <w:jc w:val="center"/>
              <w:rPr>
                <w:sz w:val="18"/>
                <w:szCs w:val="18"/>
              </w:rPr>
            </w:pPr>
            <w:r w:rsidRPr="00787196">
              <w:rPr>
                <w:sz w:val="18"/>
                <w:szCs w:val="18"/>
              </w:rPr>
              <w:t>.151</w:t>
            </w:r>
          </w:p>
        </w:tc>
      </w:tr>
      <w:tr w:rsidR="005F31E9" w:rsidRPr="00787196" w14:paraId="1A70E5B7" w14:textId="77777777" w:rsidTr="00F8618A">
        <w:trPr>
          <w:trHeight w:val="185"/>
          <w:jc w:val="center"/>
        </w:trPr>
        <w:tc>
          <w:tcPr>
            <w:tcW w:w="2140" w:type="dxa"/>
            <w:vMerge/>
            <w:tcBorders>
              <w:top w:val="nil"/>
              <w:bottom w:val="single" w:sz="4" w:space="0" w:color="auto"/>
            </w:tcBorders>
            <w:shd w:val="clear" w:color="auto" w:fill="FFFFFF"/>
            <w:vAlign w:val="center"/>
          </w:tcPr>
          <w:p w14:paraId="2AD718E4"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18E2A1EC"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16</w:t>
            </w:r>
          </w:p>
        </w:tc>
        <w:tc>
          <w:tcPr>
            <w:tcW w:w="1332" w:type="dxa"/>
            <w:tcBorders>
              <w:top w:val="nil"/>
              <w:left w:val="nil"/>
              <w:bottom w:val="single" w:sz="4" w:space="0" w:color="auto"/>
              <w:right w:val="nil"/>
            </w:tcBorders>
            <w:shd w:val="clear" w:color="auto" w:fill="FFFFFF"/>
            <w:vAlign w:val="center"/>
          </w:tcPr>
          <w:p w14:paraId="496A8BF6" w14:textId="77777777" w:rsidR="005F31E9" w:rsidRPr="00787196" w:rsidRDefault="005F31E9" w:rsidP="007472EB">
            <w:pPr>
              <w:spacing w:before="0" w:after="0"/>
              <w:jc w:val="center"/>
              <w:rPr>
                <w:sz w:val="18"/>
                <w:szCs w:val="18"/>
              </w:rPr>
            </w:pPr>
            <w:r w:rsidRPr="00787196">
              <w:rPr>
                <w:sz w:val="18"/>
                <w:szCs w:val="18"/>
              </w:rPr>
              <w:t>.370</w:t>
            </w:r>
          </w:p>
        </w:tc>
        <w:tc>
          <w:tcPr>
            <w:tcW w:w="1417" w:type="dxa"/>
            <w:tcBorders>
              <w:top w:val="nil"/>
              <w:left w:val="nil"/>
              <w:bottom w:val="single" w:sz="4" w:space="0" w:color="auto"/>
              <w:right w:val="nil"/>
            </w:tcBorders>
            <w:shd w:val="clear" w:color="auto" w:fill="FFFFFF"/>
            <w:vAlign w:val="center"/>
          </w:tcPr>
          <w:p w14:paraId="1788432C" w14:textId="77777777" w:rsidR="005F31E9" w:rsidRPr="00787196" w:rsidRDefault="005F31E9" w:rsidP="007472EB">
            <w:pPr>
              <w:spacing w:before="0" w:after="0"/>
              <w:jc w:val="center"/>
              <w:rPr>
                <w:sz w:val="18"/>
                <w:szCs w:val="18"/>
              </w:rPr>
            </w:pPr>
            <w:r w:rsidRPr="00787196">
              <w:rPr>
                <w:sz w:val="18"/>
                <w:szCs w:val="18"/>
              </w:rPr>
              <w:t>.217</w:t>
            </w:r>
          </w:p>
        </w:tc>
        <w:tc>
          <w:tcPr>
            <w:tcW w:w="1101" w:type="dxa"/>
            <w:tcBorders>
              <w:top w:val="nil"/>
              <w:left w:val="nil"/>
              <w:bottom w:val="single" w:sz="4" w:space="0" w:color="auto"/>
              <w:right w:val="nil"/>
            </w:tcBorders>
            <w:shd w:val="clear" w:color="auto" w:fill="FFFFFF"/>
            <w:vAlign w:val="center"/>
          </w:tcPr>
          <w:p w14:paraId="6185AA8D" w14:textId="77777777" w:rsidR="005F31E9" w:rsidRPr="00787196" w:rsidRDefault="005F31E9" w:rsidP="007472EB">
            <w:pPr>
              <w:spacing w:before="0" w:after="0"/>
              <w:jc w:val="center"/>
              <w:rPr>
                <w:sz w:val="18"/>
                <w:szCs w:val="18"/>
              </w:rPr>
            </w:pPr>
            <w:r w:rsidRPr="00787196">
              <w:rPr>
                <w:sz w:val="18"/>
                <w:szCs w:val="18"/>
              </w:rPr>
              <w:t>.027</w:t>
            </w:r>
          </w:p>
        </w:tc>
        <w:tc>
          <w:tcPr>
            <w:tcW w:w="1419" w:type="dxa"/>
            <w:tcBorders>
              <w:top w:val="nil"/>
              <w:left w:val="nil"/>
              <w:bottom w:val="single" w:sz="4" w:space="0" w:color="auto"/>
              <w:right w:val="nil"/>
            </w:tcBorders>
            <w:shd w:val="clear" w:color="auto" w:fill="FFFFFF"/>
            <w:vAlign w:val="center"/>
          </w:tcPr>
          <w:p w14:paraId="5FECCC92" w14:textId="77777777" w:rsidR="005F31E9" w:rsidRPr="00787196" w:rsidRDefault="005F31E9" w:rsidP="007472EB">
            <w:pPr>
              <w:spacing w:before="0" w:after="0"/>
              <w:jc w:val="center"/>
              <w:rPr>
                <w:sz w:val="18"/>
                <w:szCs w:val="18"/>
              </w:rPr>
            </w:pPr>
            <w:r w:rsidRPr="00787196">
              <w:rPr>
                <w:sz w:val="18"/>
                <w:szCs w:val="18"/>
              </w:rPr>
              <w:t>.165</w:t>
            </w:r>
          </w:p>
        </w:tc>
      </w:tr>
      <w:tr w:rsidR="005F31E9" w:rsidRPr="00787196" w14:paraId="65C1D301" w14:textId="77777777" w:rsidTr="00F8618A">
        <w:trPr>
          <w:trHeight w:val="282"/>
          <w:jc w:val="center"/>
        </w:trPr>
        <w:tc>
          <w:tcPr>
            <w:tcW w:w="2140" w:type="dxa"/>
            <w:vMerge w:val="restart"/>
            <w:tcBorders>
              <w:top w:val="single" w:sz="4" w:space="0" w:color="auto"/>
              <w:bottom w:val="nil"/>
            </w:tcBorders>
            <w:shd w:val="clear" w:color="auto" w:fill="FFFFFF"/>
            <w:vAlign w:val="center"/>
          </w:tcPr>
          <w:p w14:paraId="78296DCD"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Self-distraction</w:t>
            </w:r>
          </w:p>
        </w:tc>
        <w:tc>
          <w:tcPr>
            <w:tcW w:w="514" w:type="dxa"/>
            <w:tcBorders>
              <w:top w:val="single" w:sz="4" w:space="0" w:color="auto"/>
              <w:bottom w:val="nil"/>
              <w:right w:val="nil"/>
            </w:tcBorders>
            <w:shd w:val="clear" w:color="auto" w:fill="FFFFFF"/>
            <w:vAlign w:val="center"/>
          </w:tcPr>
          <w:p w14:paraId="686646E2"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17</w:t>
            </w:r>
          </w:p>
        </w:tc>
        <w:tc>
          <w:tcPr>
            <w:tcW w:w="1332" w:type="dxa"/>
            <w:tcBorders>
              <w:top w:val="single" w:sz="4" w:space="0" w:color="auto"/>
              <w:left w:val="nil"/>
              <w:bottom w:val="nil"/>
              <w:right w:val="nil"/>
            </w:tcBorders>
            <w:shd w:val="clear" w:color="auto" w:fill="5B9BD5"/>
            <w:vAlign w:val="center"/>
          </w:tcPr>
          <w:p w14:paraId="36BA3E38" w14:textId="77777777" w:rsidR="005F31E9" w:rsidRPr="00787196" w:rsidRDefault="005F31E9" w:rsidP="007472EB">
            <w:pPr>
              <w:spacing w:before="0" w:after="0"/>
              <w:jc w:val="center"/>
              <w:rPr>
                <w:b/>
                <w:bCs/>
                <w:sz w:val="18"/>
                <w:szCs w:val="18"/>
              </w:rPr>
            </w:pPr>
            <w:r w:rsidRPr="00787196">
              <w:rPr>
                <w:b/>
                <w:bCs/>
                <w:sz w:val="18"/>
                <w:szCs w:val="18"/>
              </w:rPr>
              <w:t>.454</w:t>
            </w:r>
          </w:p>
        </w:tc>
        <w:tc>
          <w:tcPr>
            <w:tcW w:w="1417" w:type="dxa"/>
            <w:tcBorders>
              <w:top w:val="single" w:sz="4" w:space="0" w:color="auto"/>
              <w:left w:val="nil"/>
              <w:bottom w:val="nil"/>
              <w:right w:val="nil"/>
            </w:tcBorders>
            <w:shd w:val="clear" w:color="auto" w:fill="FFFFFF"/>
            <w:vAlign w:val="center"/>
          </w:tcPr>
          <w:p w14:paraId="21F1B653" w14:textId="77777777" w:rsidR="005F31E9" w:rsidRPr="00787196" w:rsidRDefault="005F31E9" w:rsidP="007472EB">
            <w:pPr>
              <w:spacing w:before="0" w:after="0"/>
              <w:jc w:val="center"/>
              <w:rPr>
                <w:sz w:val="18"/>
                <w:szCs w:val="18"/>
              </w:rPr>
            </w:pPr>
            <w:r w:rsidRPr="00787196">
              <w:rPr>
                <w:sz w:val="18"/>
                <w:szCs w:val="18"/>
              </w:rPr>
              <w:t>.221</w:t>
            </w:r>
          </w:p>
        </w:tc>
        <w:tc>
          <w:tcPr>
            <w:tcW w:w="1101" w:type="dxa"/>
            <w:tcBorders>
              <w:top w:val="single" w:sz="4" w:space="0" w:color="auto"/>
              <w:left w:val="nil"/>
              <w:bottom w:val="nil"/>
              <w:right w:val="nil"/>
            </w:tcBorders>
            <w:shd w:val="clear" w:color="auto" w:fill="FFFFFF"/>
            <w:vAlign w:val="center"/>
          </w:tcPr>
          <w:p w14:paraId="50EC48AC" w14:textId="77777777" w:rsidR="005F31E9" w:rsidRPr="00787196" w:rsidRDefault="005F31E9" w:rsidP="007472EB">
            <w:pPr>
              <w:spacing w:before="0" w:after="0"/>
              <w:jc w:val="center"/>
              <w:rPr>
                <w:sz w:val="18"/>
                <w:szCs w:val="18"/>
              </w:rPr>
            </w:pPr>
            <w:r w:rsidRPr="00787196">
              <w:rPr>
                <w:sz w:val="18"/>
                <w:szCs w:val="18"/>
              </w:rPr>
              <w:t>.068</w:t>
            </w:r>
          </w:p>
        </w:tc>
        <w:tc>
          <w:tcPr>
            <w:tcW w:w="1419" w:type="dxa"/>
            <w:tcBorders>
              <w:top w:val="single" w:sz="4" w:space="0" w:color="auto"/>
              <w:left w:val="nil"/>
              <w:bottom w:val="nil"/>
              <w:right w:val="nil"/>
            </w:tcBorders>
            <w:shd w:val="clear" w:color="auto" w:fill="FFFFFF"/>
            <w:vAlign w:val="center"/>
          </w:tcPr>
          <w:p w14:paraId="13ACC302" w14:textId="77777777" w:rsidR="005F31E9" w:rsidRPr="00787196" w:rsidRDefault="005F31E9" w:rsidP="007472EB">
            <w:pPr>
              <w:spacing w:before="0" w:after="0"/>
              <w:jc w:val="center"/>
              <w:rPr>
                <w:sz w:val="18"/>
                <w:szCs w:val="18"/>
              </w:rPr>
            </w:pPr>
            <w:r w:rsidRPr="00787196">
              <w:rPr>
                <w:sz w:val="18"/>
                <w:szCs w:val="18"/>
              </w:rPr>
              <w:t>.245</w:t>
            </w:r>
          </w:p>
        </w:tc>
      </w:tr>
      <w:tr w:rsidR="005F31E9" w:rsidRPr="00787196" w14:paraId="06D20CFB" w14:textId="77777777" w:rsidTr="00F8618A">
        <w:trPr>
          <w:trHeight w:val="289"/>
          <w:jc w:val="center"/>
        </w:trPr>
        <w:tc>
          <w:tcPr>
            <w:tcW w:w="2140" w:type="dxa"/>
            <w:vMerge/>
            <w:tcBorders>
              <w:top w:val="nil"/>
              <w:bottom w:val="single" w:sz="4" w:space="0" w:color="auto"/>
            </w:tcBorders>
            <w:shd w:val="clear" w:color="auto" w:fill="FFFFFF"/>
            <w:vAlign w:val="center"/>
          </w:tcPr>
          <w:p w14:paraId="57C8BECE"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4B4CBED3"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18</w:t>
            </w:r>
          </w:p>
        </w:tc>
        <w:tc>
          <w:tcPr>
            <w:tcW w:w="1332" w:type="dxa"/>
            <w:tcBorders>
              <w:top w:val="nil"/>
              <w:left w:val="nil"/>
              <w:bottom w:val="single" w:sz="4" w:space="0" w:color="auto"/>
              <w:right w:val="nil"/>
            </w:tcBorders>
            <w:shd w:val="clear" w:color="auto" w:fill="5B9BD5"/>
            <w:vAlign w:val="center"/>
          </w:tcPr>
          <w:p w14:paraId="5A418442" w14:textId="77777777" w:rsidR="005F31E9" w:rsidRPr="00787196" w:rsidRDefault="005F31E9" w:rsidP="007472EB">
            <w:pPr>
              <w:spacing w:before="0" w:after="0"/>
              <w:jc w:val="center"/>
              <w:rPr>
                <w:b/>
                <w:bCs/>
                <w:sz w:val="18"/>
                <w:szCs w:val="18"/>
              </w:rPr>
            </w:pPr>
            <w:r w:rsidRPr="00787196">
              <w:rPr>
                <w:b/>
                <w:bCs/>
                <w:sz w:val="18"/>
                <w:szCs w:val="18"/>
              </w:rPr>
              <w:t>.508</w:t>
            </w:r>
          </w:p>
        </w:tc>
        <w:tc>
          <w:tcPr>
            <w:tcW w:w="1417" w:type="dxa"/>
            <w:tcBorders>
              <w:top w:val="nil"/>
              <w:left w:val="nil"/>
              <w:bottom w:val="single" w:sz="4" w:space="0" w:color="auto"/>
              <w:right w:val="nil"/>
            </w:tcBorders>
            <w:shd w:val="clear" w:color="auto" w:fill="FFFFFF"/>
            <w:vAlign w:val="center"/>
          </w:tcPr>
          <w:p w14:paraId="1E7BCF7D" w14:textId="77777777" w:rsidR="005F31E9" w:rsidRPr="00787196" w:rsidRDefault="005F31E9" w:rsidP="007472EB">
            <w:pPr>
              <w:spacing w:before="0" w:after="0"/>
              <w:jc w:val="center"/>
              <w:rPr>
                <w:sz w:val="18"/>
                <w:szCs w:val="18"/>
              </w:rPr>
            </w:pPr>
            <w:r w:rsidRPr="00787196">
              <w:rPr>
                <w:sz w:val="18"/>
                <w:szCs w:val="18"/>
              </w:rPr>
              <w:t>.178</w:t>
            </w:r>
          </w:p>
        </w:tc>
        <w:tc>
          <w:tcPr>
            <w:tcW w:w="1101" w:type="dxa"/>
            <w:tcBorders>
              <w:top w:val="nil"/>
              <w:left w:val="nil"/>
              <w:bottom w:val="single" w:sz="4" w:space="0" w:color="auto"/>
              <w:right w:val="nil"/>
            </w:tcBorders>
            <w:shd w:val="clear" w:color="auto" w:fill="FFFFFF"/>
            <w:vAlign w:val="center"/>
          </w:tcPr>
          <w:p w14:paraId="0ED3BD63" w14:textId="77777777" w:rsidR="005F31E9" w:rsidRPr="00787196" w:rsidRDefault="005F31E9" w:rsidP="007472EB">
            <w:pPr>
              <w:spacing w:before="0" w:after="0"/>
              <w:jc w:val="center"/>
              <w:rPr>
                <w:sz w:val="18"/>
                <w:szCs w:val="18"/>
              </w:rPr>
            </w:pPr>
            <w:r w:rsidRPr="00787196">
              <w:rPr>
                <w:sz w:val="18"/>
                <w:szCs w:val="18"/>
              </w:rPr>
              <w:t>.124</w:t>
            </w:r>
          </w:p>
        </w:tc>
        <w:tc>
          <w:tcPr>
            <w:tcW w:w="1419" w:type="dxa"/>
            <w:tcBorders>
              <w:top w:val="nil"/>
              <w:left w:val="nil"/>
              <w:bottom w:val="single" w:sz="4" w:space="0" w:color="auto"/>
              <w:right w:val="nil"/>
            </w:tcBorders>
            <w:shd w:val="clear" w:color="auto" w:fill="FFFFFF"/>
            <w:vAlign w:val="center"/>
          </w:tcPr>
          <w:p w14:paraId="6C1543AC" w14:textId="77777777" w:rsidR="005F31E9" w:rsidRPr="00787196" w:rsidRDefault="005F31E9" w:rsidP="007472EB">
            <w:pPr>
              <w:spacing w:before="0" w:after="0"/>
              <w:jc w:val="center"/>
              <w:rPr>
                <w:sz w:val="18"/>
                <w:szCs w:val="18"/>
              </w:rPr>
            </w:pPr>
            <w:r w:rsidRPr="00787196">
              <w:rPr>
                <w:sz w:val="18"/>
                <w:szCs w:val="18"/>
              </w:rPr>
              <w:t>.388</w:t>
            </w:r>
          </w:p>
        </w:tc>
      </w:tr>
      <w:tr w:rsidR="005F31E9" w:rsidRPr="00787196" w14:paraId="65AE4AFD" w14:textId="77777777" w:rsidTr="00F8618A">
        <w:trPr>
          <w:trHeight w:val="289"/>
          <w:jc w:val="center"/>
        </w:trPr>
        <w:tc>
          <w:tcPr>
            <w:tcW w:w="2140" w:type="dxa"/>
            <w:vMerge w:val="restart"/>
            <w:tcBorders>
              <w:top w:val="single" w:sz="4" w:space="0" w:color="auto"/>
              <w:bottom w:val="nil"/>
            </w:tcBorders>
            <w:shd w:val="clear" w:color="auto" w:fill="FFFFFF"/>
            <w:vAlign w:val="center"/>
          </w:tcPr>
          <w:p w14:paraId="4348B773"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Denial</w:t>
            </w:r>
          </w:p>
        </w:tc>
        <w:tc>
          <w:tcPr>
            <w:tcW w:w="514" w:type="dxa"/>
            <w:tcBorders>
              <w:top w:val="single" w:sz="4" w:space="0" w:color="auto"/>
              <w:bottom w:val="nil"/>
              <w:right w:val="nil"/>
            </w:tcBorders>
            <w:shd w:val="clear" w:color="auto" w:fill="FFFFFF"/>
            <w:vAlign w:val="center"/>
          </w:tcPr>
          <w:p w14:paraId="57B28E71"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19</w:t>
            </w:r>
          </w:p>
        </w:tc>
        <w:tc>
          <w:tcPr>
            <w:tcW w:w="1332" w:type="dxa"/>
            <w:tcBorders>
              <w:top w:val="single" w:sz="4" w:space="0" w:color="auto"/>
              <w:left w:val="nil"/>
              <w:bottom w:val="nil"/>
              <w:right w:val="nil"/>
            </w:tcBorders>
            <w:shd w:val="clear" w:color="auto" w:fill="5B9BD5"/>
            <w:vAlign w:val="center"/>
          </w:tcPr>
          <w:p w14:paraId="780F72D1" w14:textId="77777777" w:rsidR="005F31E9" w:rsidRPr="00787196" w:rsidRDefault="005F31E9" w:rsidP="007472EB">
            <w:pPr>
              <w:spacing w:before="0" w:after="0"/>
              <w:jc w:val="center"/>
              <w:rPr>
                <w:b/>
                <w:bCs/>
                <w:sz w:val="18"/>
                <w:szCs w:val="18"/>
              </w:rPr>
            </w:pPr>
            <w:r w:rsidRPr="00787196">
              <w:rPr>
                <w:b/>
                <w:bCs/>
                <w:sz w:val="18"/>
                <w:szCs w:val="18"/>
              </w:rPr>
              <w:t>.657</w:t>
            </w:r>
          </w:p>
        </w:tc>
        <w:tc>
          <w:tcPr>
            <w:tcW w:w="1417" w:type="dxa"/>
            <w:tcBorders>
              <w:top w:val="single" w:sz="4" w:space="0" w:color="auto"/>
              <w:left w:val="nil"/>
              <w:bottom w:val="nil"/>
              <w:right w:val="nil"/>
            </w:tcBorders>
            <w:shd w:val="clear" w:color="auto" w:fill="FFFFFF"/>
            <w:vAlign w:val="center"/>
          </w:tcPr>
          <w:p w14:paraId="03B4C01A" w14:textId="77777777" w:rsidR="005F31E9" w:rsidRPr="00787196" w:rsidRDefault="005F31E9" w:rsidP="007472EB">
            <w:pPr>
              <w:spacing w:before="0" w:after="0"/>
              <w:jc w:val="center"/>
              <w:rPr>
                <w:sz w:val="18"/>
                <w:szCs w:val="18"/>
              </w:rPr>
            </w:pPr>
            <w:r w:rsidRPr="00787196">
              <w:rPr>
                <w:sz w:val="18"/>
                <w:szCs w:val="18"/>
              </w:rPr>
              <w:t>.063</w:t>
            </w:r>
          </w:p>
        </w:tc>
        <w:tc>
          <w:tcPr>
            <w:tcW w:w="1101" w:type="dxa"/>
            <w:tcBorders>
              <w:top w:val="single" w:sz="4" w:space="0" w:color="auto"/>
              <w:left w:val="nil"/>
              <w:bottom w:val="nil"/>
              <w:right w:val="nil"/>
            </w:tcBorders>
            <w:shd w:val="clear" w:color="auto" w:fill="FFFFFF"/>
            <w:vAlign w:val="center"/>
          </w:tcPr>
          <w:p w14:paraId="483A68CE" w14:textId="77777777" w:rsidR="005F31E9" w:rsidRPr="00787196" w:rsidRDefault="005F31E9" w:rsidP="007472EB">
            <w:pPr>
              <w:spacing w:before="0" w:after="0"/>
              <w:jc w:val="center"/>
              <w:rPr>
                <w:sz w:val="18"/>
                <w:szCs w:val="18"/>
              </w:rPr>
            </w:pPr>
            <w:r w:rsidRPr="00787196">
              <w:rPr>
                <w:sz w:val="18"/>
                <w:szCs w:val="18"/>
              </w:rPr>
              <w:t>-.052</w:t>
            </w:r>
          </w:p>
        </w:tc>
        <w:tc>
          <w:tcPr>
            <w:tcW w:w="1419" w:type="dxa"/>
            <w:tcBorders>
              <w:top w:val="single" w:sz="4" w:space="0" w:color="auto"/>
              <w:left w:val="nil"/>
              <w:bottom w:val="nil"/>
              <w:right w:val="nil"/>
            </w:tcBorders>
            <w:shd w:val="clear" w:color="auto" w:fill="FFFFFF"/>
            <w:vAlign w:val="center"/>
          </w:tcPr>
          <w:p w14:paraId="03D38BFE" w14:textId="77777777" w:rsidR="005F31E9" w:rsidRPr="00787196" w:rsidRDefault="005F31E9" w:rsidP="007472EB">
            <w:pPr>
              <w:spacing w:before="0" w:after="0"/>
              <w:jc w:val="center"/>
              <w:rPr>
                <w:sz w:val="18"/>
                <w:szCs w:val="18"/>
              </w:rPr>
            </w:pPr>
            <w:r w:rsidRPr="00787196">
              <w:rPr>
                <w:sz w:val="18"/>
                <w:szCs w:val="18"/>
              </w:rPr>
              <w:t>.274</w:t>
            </w:r>
          </w:p>
        </w:tc>
      </w:tr>
      <w:tr w:rsidR="005F31E9" w:rsidRPr="00787196" w14:paraId="589134B2" w14:textId="77777777" w:rsidTr="00F8618A">
        <w:trPr>
          <w:trHeight w:val="289"/>
          <w:jc w:val="center"/>
        </w:trPr>
        <w:tc>
          <w:tcPr>
            <w:tcW w:w="2140" w:type="dxa"/>
            <w:vMerge/>
            <w:tcBorders>
              <w:top w:val="nil"/>
              <w:bottom w:val="single" w:sz="4" w:space="0" w:color="auto"/>
            </w:tcBorders>
            <w:shd w:val="clear" w:color="auto" w:fill="FFFFFF"/>
            <w:vAlign w:val="center"/>
          </w:tcPr>
          <w:p w14:paraId="6A7FC332"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42703599"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20</w:t>
            </w:r>
          </w:p>
        </w:tc>
        <w:tc>
          <w:tcPr>
            <w:tcW w:w="1332" w:type="dxa"/>
            <w:tcBorders>
              <w:top w:val="nil"/>
              <w:left w:val="nil"/>
              <w:bottom w:val="single" w:sz="4" w:space="0" w:color="auto"/>
              <w:right w:val="nil"/>
            </w:tcBorders>
            <w:shd w:val="clear" w:color="auto" w:fill="5B9BD5"/>
            <w:vAlign w:val="center"/>
          </w:tcPr>
          <w:p w14:paraId="65C4FFA7" w14:textId="77777777" w:rsidR="005F31E9" w:rsidRPr="00787196" w:rsidRDefault="005F31E9" w:rsidP="007472EB">
            <w:pPr>
              <w:spacing w:before="0" w:after="0"/>
              <w:jc w:val="center"/>
              <w:rPr>
                <w:b/>
                <w:bCs/>
                <w:sz w:val="18"/>
                <w:szCs w:val="18"/>
              </w:rPr>
            </w:pPr>
            <w:r w:rsidRPr="00787196">
              <w:rPr>
                <w:b/>
                <w:bCs/>
                <w:sz w:val="18"/>
                <w:szCs w:val="18"/>
              </w:rPr>
              <w:t>.675</w:t>
            </w:r>
          </w:p>
        </w:tc>
        <w:tc>
          <w:tcPr>
            <w:tcW w:w="1417" w:type="dxa"/>
            <w:tcBorders>
              <w:top w:val="nil"/>
              <w:left w:val="nil"/>
              <w:bottom w:val="single" w:sz="4" w:space="0" w:color="auto"/>
              <w:right w:val="nil"/>
            </w:tcBorders>
            <w:shd w:val="clear" w:color="auto" w:fill="FFFFFF"/>
            <w:vAlign w:val="center"/>
          </w:tcPr>
          <w:p w14:paraId="51909809" w14:textId="77777777" w:rsidR="005F31E9" w:rsidRPr="00787196" w:rsidRDefault="005F31E9" w:rsidP="007472EB">
            <w:pPr>
              <w:spacing w:before="0" w:after="0"/>
              <w:jc w:val="center"/>
              <w:rPr>
                <w:sz w:val="18"/>
                <w:szCs w:val="18"/>
              </w:rPr>
            </w:pPr>
            <w:r w:rsidRPr="00787196">
              <w:rPr>
                <w:sz w:val="18"/>
                <w:szCs w:val="18"/>
              </w:rPr>
              <w:t>.094</w:t>
            </w:r>
          </w:p>
        </w:tc>
        <w:tc>
          <w:tcPr>
            <w:tcW w:w="1101" w:type="dxa"/>
            <w:tcBorders>
              <w:top w:val="nil"/>
              <w:left w:val="nil"/>
              <w:bottom w:val="single" w:sz="4" w:space="0" w:color="auto"/>
              <w:right w:val="nil"/>
            </w:tcBorders>
            <w:shd w:val="clear" w:color="auto" w:fill="FFFFFF"/>
            <w:vAlign w:val="center"/>
          </w:tcPr>
          <w:p w14:paraId="33258077" w14:textId="77777777" w:rsidR="005F31E9" w:rsidRPr="00787196" w:rsidRDefault="005F31E9" w:rsidP="007472EB">
            <w:pPr>
              <w:spacing w:before="0" w:after="0"/>
              <w:jc w:val="center"/>
              <w:rPr>
                <w:sz w:val="18"/>
                <w:szCs w:val="18"/>
              </w:rPr>
            </w:pPr>
            <w:r w:rsidRPr="00787196">
              <w:rPr>
                <w:sz w:val="18"/>
                <w:szCs w:val="18"/>
              </w:rPr>
              <w:t>-.040</w:t>
            </w:r>
          </w:p>
        </w:tc>
        <w:tc>
          <w:tcPr>
            <w:tcW w:w="1419" w:type="dxa"/>
            <w:tcBorders>
              <w:top w:val="nil"/>
              <w:left w:val="nil"/>
              <w:bottom w:val="single" w:sz="4" w:space="0" w:color="auto"/>
              <w:right w:val="nil"/>
            </w:tcBorders>
            <w:shd w:val="clear" w:color="auto" w:fill="FFFFFF"/>
            <w:vAlign w:val="center"/>
          </w:tcPr>
          <w:p w14:paraId="40BE1DFC" w14:textId="77777777" w:rsidR="005F31E9" w:rsidRPr="00787196" w:rsidRDefault="005F31E9" w:rsidP="007472EB">
            <w:pPr>
              <w:spacing w:before="0" w:after="0"/>
              <w:jc w:val="center"/>
              <w:rPr>
                <w:sz w:val="18"/>
                <w:szCs w:val="18"/>
              </w:rPr>
            </w:pPr>
            <w:r w:rsidRPr="00787196">
              <w:rPr>
                <w:sz w:val="18"/>
                <w:szCs w:val="18"/>
              </w:rPr>
              <w:t>.261</w:t>
            </w:r>
          </w:p>
        </w:tc>
      </w:tr>
      <w:tr w:rsidR="005F31E9" w:rsidRPr="00787196" w14:paraId="75E2E4D6" w14:textId="77777777" w:rsidTr="00F8618A">
        <w:trPr>
          <w:trHeight w:val="295"/>
          <w:jc w:val="center"/>
        </w:trPr>
        <w:tc>
          <w:tcPr>
            <w:tcW w:w="2140" w:type="dxa"/>
            <w:vMerge w:val="restart"/>
            <w:tcBorders>
              <w:top w:val="single" w:sz="4" w:space="0" w:color="auto"/>
              <w:bottom w:val="nil"/>
            </w:tcBorders>
            <w:shd w:val="clear" w:color="auto" w:fill="FFFFFF"/>
            <w:vAlign w:val="center"/>
          </w:tcPr>
          <w:p w14:paraId="559F7CEF"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Venting</w:t>
            </w:r>
          </w:p>
        </w:tc>
        <w:tc>
          <w:tcPr>
            <w:tcW w:w="514" w:type="dxa"/>
            <w:tcBorders>
              <w:top w:val="single" w:sz="4" w:space="0" w:color="auto"/>
              <w:bottom w:val="nil"/>
              <w:right w:val="nil"/>
            </w:tcBorders>
            <w:shd w:val="clear" w:color="auto" w:fill="FFFFFF"/>
            <w:vAlign w:val="center"/>
          </w:tcPr>
          <w:p w14:paraId="6288C8B8"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21</w:t>
            </w:r>
          </w:p>
        </w:tc>
        <w:tc>
          <w:tcPr>
            <w:tcW w:w="1332" w:type="dxa"/>
            <w:tcBorders>
              <w:top w:val="single" w:sz="4" w:space="0" w:color="auto"/>
              <w:left w:val="nil"/>
              <w:bottom w:val="nil"/>
              <w:right w:val="nil"/>
            </w:tcBorders>
            <w:shd w:val="clear" w:color="auto" w:fill="auto"/>
            <w:vAlign w:val="center"/>
          </w:tcPr>
          <w:p w14:paraId="34892A43" w14:textId="77777777" w:rsidR="005F31E9" w:rsidRPr="00787196" w:rsidRDefault="005F31E9" w:rsidP="007472EB">
            <w:pPr>
              <w:spacing w:before="0" w:after="0"/>
              <w:jc w:val="center"/>
              <w:rPr>
                <w:b/>
                <w:bCs/>
                <w:sz w:val="18"/>
                <w:szCs w:val="18"/>
              </w:rPr>
            </w:pPr>
            <w:r w:rsidRPr="00787196">
              <w:rPr>
                <w:b/>
                <w:bCs/>
                <w:sz w:val="18"/>
                <w:szCs w:val="18"/>
              </w:rPr>
              <w:t>.128</w:t>
            </w:r>
          </w:p>
        </w:tc>
        <w:tc>
          <w:tcPr>
            <w:tcW w:w="1417" w:type="dxa"/>
            <w:tcBorders>
              <w:top w:val="single" w:sz="4" w:space="0" w:color="auto"/>
              <w:left w:val="nil"/>
              <w:bottom w:val="nil"/>
              <w:right w:val="nil"/>
            </w:tcBorders>
            <w:shd w:val="clear" w:color="auto" w:fill="FFFFFF"/>
            <w:vAlign w:val="center"/>
          </w:tcPr>
          <w:p w14:paraId="0D272A01" w14:textId="77777777" w:rsidR="005F31E9" w:rsidRPr="00787196" w:rsidRDefault="005F31E9" w:rsidP="007472EB">
            <w:pPr>
              <w:spacing w:before="0" w:after="0"/>
              <w:jc w:val="center"/>
              <w:rPr>
                <w:sz w:val="18"/>
                <w:szCs w:val="18"/>
              </w:rPr>
            </w:pPr>
            <w:r w:rsidRPr="00787196">
              <w:rPr>
                <w:sz w:val="18"/>
                <w:szCs w:val="18"/>
              </w:rPr>
              <w:t>.225</w:t>
            </w:r>
          </w:p>
        </w:tc>
        <w:tc>
          <w:tcPr>
            <w:tcW w:w="1101" w:type="dxa"/>
            <w:tcBorders>
              <w:top w:val="single" w:sz="4" w:space="0" w:color="auto"/>
              <w:left w:val="nil"/>
              <w:bottom w:val="nil"/>
              <w:right w:val="nil"/>
            </w:tcBorders>
            <w:shd w:val="clear" w:color="auto" w:fill="FFFFFF"/>
            <w:vAlign w:val="center"/>
          </w:tcPr>
          <w:p w14:paraId="32831DCA" w14:textId="77777777" w:rsidR="005F31E9" w:rsidRPr="00787196" w:rsidRDefault="005F31E9" w:rsidP="007472EB">
            <w:pPr>
              <w:spacing w:before="0" w:after="0"/>
              <w:jc w:val="center"/>
              <w:rPr>
                <w:sz w:val="18"/>
                <w:szCs w:val="18"/>
              </w:rPr>
            </w:pPr>
            <w:r w:rsidRPr="00787196">
              <w:rPr>
                <w:sz w:val="18"/>
                <w:szCs w:val="18"/>
              </w:rPr>
              <w:t>.331</w:t>
            </w:r>
          </w:p>
        </w:tc>
        <w:tc>
          <w:tcPr>
            <w:tcW w:w="1419" w:type="dxa"/>
            <w:tcBorders>
              <w:top w:val="single" w:sz="4" w:space="0" w:color="auto"/>
              <w:left w:val="nil"/>
              <w:bottom w:val="nil"/>
              <w:right w:val="nil"/>
            </w:tcBorders>
            <w:shd w:val="clear" w:color="auto" w:fill="FFFFFF"/>
            <w:vAlign w:val="center"/>
          </w:tcPr>
          <w:p w14:paraId="6B1A956A" w14:textId="77777777" w:rsidR="005F31E9" w:rsidRPr="00787196" w:rsidRDefault="005F31E9" w:rsidP="007472EB">
            <w:pPr>
              <w:spacing w:before="0" w:after="0"/>
              <w:jc w:val="center"/>
              <w:rPr>
                <w:sz w:val="18"/>
                <w:szCs w:val="18"/>
              </w:rPr>
            </w:pPr>
            <w:r w:rsidRPr="00787196">
              <w:rPr>
                <w:sz w:val="18"/>
                <w:szCs w:val="18"/>
              </w:rPr>
              <w:t>.270</w:t>
            </w:r>
          </w:p>
        </w:tc>
      </w:tr>
      <w:tr w:rsidR="005F31E9" w:rsidRPr="00787196" w14:paraId="0AF55C28" w14:textId="77777777" w:rsidTr="00F8618A">
        <w:trPr>
          <w:trHeight w:val="164"/>
          <w:jc w:val="center"/>
        </w:trPr>
        <w:tc>
          <w:tcPr>
            <w:tcW w:w="2140" w:type="dxa"/>
            <w:vMerge/>
            <w:tcBorders>
              <w:top w:val="nil"/>
              <w:bottom w:val="single" w:sz="4" w:space="0" w:color="auto"/>
            </w:tcBorders>
            <w:shd w:val="clear" w:color="auto" w:fill="FFFFFF"/>
            <w:vAlign w:val="center"/>
          </w:tcPr>
          <w:p w14:paraId="1C71E426"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584A49C3"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22</w:t>
            </w:r>
          </w:p>
        </w:tc>
        <w:tc>
          <w:tcPr>
            <w:tcW w:w="1332" w:type="dxa"/>
            <w:tcBorders>
              <w:top w:val="nil"/>
              <w:left w:val="nil"/>
              <w:bottom w:val="single" w:sz="4" w:space="0" w:color="auto"/>
              <w:right w:val="nil"/>
            </w:tcBorders>
            <w:shd w:val="clear" w:color="auto" w:fill="auto"/>
            <w:vAlign w:val="center"/>
          </w:tcPr>
          <w:p w14:paraId="34FCB461" w14:textId="77777777" w:rsidR="005F31E9" w:rsidRPr="00787196" w:rsidRDefault="005F31E9" w:rsidP="007472EB">
            <w:pPr>
              <w:spacing w:before="0" w:after="0"/>
              <w:jc w:val="center"/>
              <w:rPr>
                <w:b/>
                <w:bCs/>
                <w:sz w:val="18"/>
                <w:szCs w:val="18"/>
              </w:rPr>
            </w:pPr>
            <w:r w:rsidRPr="00787196">
              <w:rPr>
                <w:b/>
                <w:bCs/>
                <w:sz w:val="18"/>
                <w:szCs w:val="18"/>
              </w:rPr>
              <w:t>.603</w:t>
            </w:r>
          </w:p>
        </w:tc>
        <w:tc>
          <w:tcPr>
            <w:tcW w:w="1417" w:type="dxa"/>
            <w:tcBorders>
              <w:top w:val="nil"/>
              <w:left w:val="nil"/>
              <w:bottom w:val="single" w:sz="4" w:space="0" w:color="auto"/>
              <w:right w:val="nil"/>
            </w:tcBorders>
            <w:shd w:val="clear" w:color="auto" w:fill="FFFFFF"/>
            <w:vAlign w:val="center"/>
          </w:tcPr>
          <w:p w14:paraId="5DA0AE59" w14:textId="77777777" w:rsidR="005F31E9" w:rsidRPr="00787196" w:rsidRDefault="005F31E9" w:rsidP="007472EB">
            <w:pPr>
              <w:spacing w:before="0" w:after="0"/>
              <w:jc w:val="center"/>
              <w:rPr>
                <w:sz w:val="18"/>
                <w:szCs w:val="18"/>
              </w:rPr>
            </w:pPr>
            <w:r w:rsidRPr="00787196">
              <w:rPr>
                <w:sz w:val="18"/>
                <w:szCs w:val="18"/>
              </w:rPr>
              <w:t>.091</w:t>
            </w:r>
          </w:p>
        </w:tc>
        <w:tc>
          <w:tcPr>
            <w:tcW w:w="1101" w:type="dxa"/>
            <w:tcBorders>
              <w:top w:val="nil"/>
              <w:left w:val="nil"/>
              <w:bottom w:val="single" w:sz="4" w:space="0" w:color="auto"/>
              <w:right w:val="nil"/>
            </w:tcBorders>
            <w:shd w:val="clear" w:color="auto" w:fill="FFFFFF"/>
            <w:vAlign w:val="center"/>
          </w:tcPr>
          <w:p w14:paraId="784D869D" w14:textId="77777777" w:rsidR="005F31E9" w:rsidRPr="00787196" w:rsidRDefault="005F31E9" w:rsidP="007472EB">
            <w:pPr>
              <w:spacing w:before="0" w:after="0"/>
              <w:jc w:val="center"/>
              <w:rPr>
                <w:sz w:val="18"/>
                <w:szCs w:val="18"/>
              </w:rPr>
            </w:pPr>
            <w:r w:rsidRPr="00787196">
              <w:rPr>
                <w:sz w:val="18"/>
                <w:szCs w:val="18"/>
              </w:rPr>
              <w:t>-.007</w:t>
            </w:r>
          </w:p>
        </w:tc>
        <w:tc>
          <w:tcPr>
            <w:tcW w:w="1419" w:type="dxa"/>
            <w:tcBorders>
              <w:top w:val="nil"/>
              <w:left w:val="nil"/>
              <w:bottom w:val="single" w:sz="4" w:space="0" w:color="auto"/>
              <w:right w:val="nil"/>
            </w:tcBorders>
            <w:shd w:val="clear" w:color="auto" w:fill="FFFFFF"/>
            <w:vAlign w:val="center"/>
          </w:tcPr>
          <w:p w14:paraId="51321FA8" w14:textId="77777777" w:rsidR="005F31E9" w:rsidRPr="00787196" w:rsidRDefault="005F31E9" w:rsidP="007472EB">
            <w:pPr>
              <w:spacing w:before="0" w:after="0"/>
              <w:jc w:val="center"/>
              <w:rPr>
                <w:sz w:val="18"/>
                <w:szCs w:val="18"/>
              </w:rPr>
            </w:pPr>
            <w:r w:rsidRPr="00787196">
              <w:rPr>
                <w:sz w:val="18"/>
                <w:szCs w:val="18"/>
              </w:rPr>
              <w:t>.238</w:t>
            </w:r>
          </w:p>
        </w:tc>
      </w:tr>
      <w:tr w:rsidR="005F31E9" w:rsidRPr="00787196" w14:paraId="17D00D30" w14:textId="77777777" w:rsidTr="00F8618A">
        <w:trPr>
          <w:trHeight w:val="304"/>
          <w:jc w:val="center"/>
        </w:trPr>
        <w:tc>
          <w:tcPr>
            <w:tcW w:w="2140" w:type="dxa"/>
            <w:vMerge w:val="restart"/>
            <w:tcBorders>
              <w:top w:val="single" w:sz="4" w:space="0" w:color="auto"/>
              <w:bottom w:val="nil"/>
            </w:tcBorders>
            <w:shd w:val="clear" w:color="auto" w:fill="FFFFFF"/>
            <w:vAlign w:val="center"/>
          </w:tcPr>
          <w:p w14:paraId="01DD2222"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Substance misuse</w:t>
            </w:r>
          </w:p>
        </w:tc>
        <w:tc>
          <w:tcPr>
            <w:tcW w:w="514" w:type="dxa"/>
            <w:tcBorders>
              <w:top w:val="single" w:sz="4" w:space="0" w:color="auto"/>
              <w:bottom w:val="nil"/>
              <w:right w:val="nil"/>
            </w:tcBorders>
            <w:shd w:val="clear" w:color="auto" w:fill="FFFFFF"/>
            <w:vAlign w:val="center"/>
          </w:tcPr>
          <w:p w14:paraId="1B731D4A"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23</w:t>
            </w:r>
          </w:p>
        </w:tc>
        <w:tc>
          <w:tcPr>
            <w:tcW w:w="1332" w:type="dxa"/>
            <w:tcBorders>
              <w:top w:val="single" w:sz="4" w:space="0" w:color="auto"/>
              <w:left w:val="nil"/>
              <w:bottom w:val="nil"/>
              <w:right w:val="nil"/>
            </w:tcBorders>
            <w:shd w:val="clear" w:color="auto" w:fill="5B9BD5"/>
            <w:vAlign w:val="center"/>
          </w:tcPr>
          <w:p w14:paraId="2A37566F" w14:textId="77777777" w:rsidR="005F31E9" w:rsidRPr="00787196" w:rsidRDefault="005F31E9" w:rsidP="007472EB">
            <w:pPr>
              <w:spacing w:before="0" w:after="0"/>
              <w:jc w:val="center"/>
              <w:rPr>
                <w:b/>
                <w:bCs/>
                <w:sz w:val="18"/>
                <w:szCs w:val="18"/>
              </w:rPr>
            </w:pPr>
            <w:r w:rsidRPr="00787196">
              <w:rPr>
                <w:b/>
                <w:bCs/>
                <w:sz w:val="18"/>
                <w:szCs w:val="18"/>
              </w:rPr>
              <w:t>.470</w:t>
            </w:r>
          </w:p>
        </w:tc>
        <w:tc>
          <w:tcPr>
            <w:tcW w:w="1417" w:type="dxa"/>
            <w:tcBorders>
              <w:top w:val="single" w:sz="4" w:space="0" w:color="auto"/>
              <w:left w:val="nil"/>
              <w:bottom w:val="nil"/>
              <w:right w:val="nil"/>
            </w:tcBorders>
            <w:shd w:val="clear" w:color="auto" w:fill="FFFFFF"/>
            <w:vAlign w:val="center"/>
          </w:tcPr>
          <w:p w14:paraId="27FBB3CC" w14:textId="77777777" w:rsidR="005F31E9" w:rsidRPr="00787196" w:rsidRDefault="005F31E9" w:rsidP="007472EB">
            <w:pPr>
              <w:spacing w:before="0" w:after="0"/>
              <w:jc w:val="center"/>
              <w:rPr>
                <w:sz w:val="18"/>
                <w:szCs w:val="18"/>
              </w:rPr>
            </w:pPr>
            <w:r w:rsidRPr="00787196">
              <w:rPr>
                <w:sz w:val="18"/>
                <w:szCs w:val="18"/>
              </w:rPr>
              <w:t>-.058</w:t>
            </w:r>
          </w:p>
        </w:tc>
        <w:tc>
          <w:tcPr>
            <w:tcW w:w="1101" w:type="dxa"/>
            <w:tcBorders>
              <w:top w:val="single" w:sz="4" w:space="0" w:color="auto"/>
              <w:left w:val="nil"/>
              <w:bottom w:val="nil"/>
              <w:right w:val="nil"/>
            </w:tcBorders>
            <w:shd w:val="clear" w:color="auto" w:fill="FFFFFF"/>
            <w:vAlign w:val="center"/>
          </w:tcPr>
          <w:p w14:paraId="7E2D59EB" w14:textId="77777777" w:rsidR="005F31E9" w:rsidRPr="00787196" w:rsidRDefault="005F31E9" w:rsidP="007472EB">
            <w:pPr>
              <w:spacing w:before="0" w:after="0"/>
              <w:jc w:val="center"/>
              <w:rPr>
                <w:sz w:val="18"/>
                <w:szCs w:val="18"/>
              </w:rPr>
            </w:pPr>
            <w:r w:rsidRPr="00787196">
              <w:rPr>
                <w:sz w:val="18"/>
                <w:szCs w:val="18"/>
              </w:rPr>
              <w:t>.080</w:t>
            </w:r>
          </w:p>
        </w:tc>
        <w:tc>
          <w:tcPr>
            <w:tcW w:w="1419" w:type="dxa"/>
            <w:tcBorders>
              <w:top w:val="single" w:sz="4" w:space="0" w:color="auto"/>
              <w:left w:val="nil"/>
              <w:bottom w:val="nil"/>
              <w:right w:val="nil"/>
            </w:tcBorders>
            <w:shd w:val="clear" w:color="auto" w:fill="FFFFFF"/>
            <w:vAlign w:val="center"/>
          </w:tcPr>
          <w:p w14:paraId="2CDF9125" w14:textId="77777777" w:rsidR="005F31E9" w:rsidRPr="00787196" w:rsidRDefault="005F31E9" w:rsidP="007472EB">
            <w:pPr>
              <w:spacing w:before="0" w:after="0"/>
              <w:jc w:val="center"/>
              <w:rPr>
                <w:sz w:val="18"/>
                <w:szCs w:val="18"/>
              </w:rPr>
            </w:pPr>
            <w:r w:rsidRPr="00787196">
              <w:rPr>
                <w:sz w:val="18"/>
                <w:szCs w:val="18"/>
              </w:rPr>
              <w:t>.046</w:t>
            </w:r>
          </w:p>
        </w:tc>
      </w:tr>
      <w:tr w:rsidR="005F31E9" w:rsidRPr="00787196" w14:paraId="2DC2606F" w14:textId="77777777" w:rsidTr="00F8618A">
        <w:trPr>
          <w:trHeight w:val="164"/>
          <w:jc w:val="center"/>
        </w:trPr>
        <w:tc>
          <w:tcPr>
            <w:tcW w:w="2140" w:type="dxa"/>
            <w:vMerge/>
            <w:tcBorders>
              <w:top w:val="nil"/>
              <w:bottom w:val="single" w:sz="4" w:space="0" w:color="auto"/>
            </w:tcBorders>
            <w:shd w:val="clear" w:color="auto" w:fill="FFFFFF"/>
            <w:vAlign w:val="center"/>
          </w:tcPr>
          <w:p w14:paraId="2396AEA0"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66B5EED7"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24</w:t>
            </w:r>
          </w:p>
        </w:tc>
        <w:tc>
          <w:tcPr>
            <w:tcW w:w="1332" w:type="dxa"/>
            <w:tcBorders>
              <w:top w:val="nil"/>
              <w:left w:val="nil"/>
              <w:bottom w:val="single" w:sz="4" w:space="0" w:color="auto"/>
              <w:right w:val="nil"/>
            </w:tcBorders>
            <w:shd w:val="clear" w:color="auto" w:fill="5B9BD5"/>
            <w:vAlign w:val="center"/>
          </w:tcPr>
          <w:p w14:paraId="6C988937" w14:textId="77777777" w:rsidR="005F31E9" w:rsidRPr="00787196" w:rsidRDefault="005F31E9" w:rsidP="007472EB">
            <w:pPr>
              <w:spacing w:before="0" w:after="0"/>
              <w:jc w:val="center"/>
              <w:rPr>
                <w:b/>
                <w:bCs/>
                <w:sz w:val="18"/>
                <w:szCs w:val="18"/>
              </w:rPr>
            </w:pPr>
            <w:r w:rsidRPr="00787196">
              <w:rPr>
                <w:b/>
                <w:bCs/>
                <w:sz w:val="18"/>
                <w:szCs w:val="18"/>
              </w:rPr>
              <w:t>.462</w:t>
            </w:r>
          </w:p>
        </w:tc>
        <w:tc>
          <w:tcPr>
            <w:tcW w:w="1417" w:type="dxa"/>
            <w:tcBorders>
              <w:top w:val="nil"/>
              <w:left w:val="nil"/>
              <w:bottom w:val="single" w:sz="4" w:space="0" w:color="auto"/>
              <w:right w:val="nil"/>
            </w:tcBorders>
            <w:shd w:val="clear" w:color="auto" w:fill="FFFFFF"/>
            <w:vAlign w:val="center"/>
          </w:tcPr>
          <w:p w14:paraId="32D4FE63" w14:textId="77777777" w:rsidR="005F31E9" w:rsidRPr="00787196" w:rsidRDefault="005F31E9" w:rsidP="007472EB">
            <w:pPr>
              <w:spacing w:before="0" w:after="0"/>
              <w:jc w:val="center"/>
              <w:rPr>
                <w:sz w:val="18"/>
                <w:szCs w:val="18"/>
              </w:rPr>
            </w:pPr>
            <w:r w:rsidRPr="00787196">
              <w:rPr>
                <w:sz w:val="18"/>
                <w:szCs w:val="18"/>
              </w:rPr>
              <w:t>-.133</w:t>
            </w:r>
          </w:p>
        </w:tc>
        <w:tc>
          <w:tcPr>
            <w:tcW w:w="1101" w:type="dxa"/>
            <w:tcBorders>
              <w:top w:val="nil"/>
              <w:left w:val="nil"/>
              <w:bottom w:val="single" w:sz="4" w:space="0" w:color="auto"/>
              <w:right w:val="nil"/>
            </w:tcBorders>
            <w:shd w:val="clear" w:color="auto" w:fill="FFFFFF"/>
            <w:vAlign w:val="center"/>
          </w:tcPr>
          <w:p w14:paraId="302FFC19" w14:textId="77777777" w:rsidR="005F31E9" w:rsidRPr="00787196" w:rsidRDefault="005F31E9" w:rsidP="007472EB">
            <w:pPr>
              <w:spacing w:before="0" w:after="0"/>
              <w:jc w:val="center"/>
              <w:rPr>
                <w:sz w:val="18"/>
                <w:szCs w:val="18"/>
              </w:rPr>
            </w:pPr>
            <w:r w:rsidRPr="00787196">
              <w:rPr>
                <w:sz w:val="18"/>
                <w:szCs w:val="18"/>
              </w:rPr>
              <w:t>.092</w:t>
            </w:r>
          </w:p>
        </w:tc>
        <w:tc>
          <w:tcPr>
            <w:tcW w:w="1419" w:type="dxa"/>
            <w:tcBorders>
              <w:top w:val="nil"/>
              <w:left w:val="nil"/>
              <w:bottom w:val="single" w:sz="4" w:space="0" w:color="auto"/>
              <w:right w:val="nil"/>
            </w:tcBorders>
            <w:shd w:val="clear" w:color="auto" w:fill="FFFFFF"/>
            <w:vAlign w:val="center"/>
          </w:tcPr>
          <w:p w14:paraId="3BE726A5" w14:textId="77777777" w:rsidR="005F31E9" w:rsidRPr="00787196" w:rsidRDefault="005F31E9" w:rsidP="007472EB">
            <w:pPr>
              <w:spacing w:before="0" w:after="0"/>
              <w:jc w:val="center"/>
              <w:rPr>
                <w:sz w:val="18"/>
                <w:szCs w:val="18"/>
              </w:rPr>
            </w:pPr>
            <w:r w:rsidRPr="00787196">
              <w:rPr>
                <w:sz w:val="18"/>
                <w:szCs w:val="18"/>
              </w:rPr>
              <w:t>.061</w:t>
            </w:r>
          </w:p>
        </w:tc>
      </w:tr>
      <w:tr w:rsidR="005F31E9" w:rsidRPr="00787196" w14:paraId="3BF4C232" w14:textId="77777777" w:rsidTr="00F8618A">
        <w:trPr>
          <w:trHeight w:val="215"/>
          <w:jc w:val="center"/>
        </w:trPr>
        <w:tc>
          <w:tcPr>
            <w:tcW w:w="2140" w:type="dxa"/>
            <w:vMerge w:val="restart"/>
            <w:tcBorders>
              <w:top w:val="single" w:sz="4" w:space="0" w:color="auto"/>
              <w:bottom w:val="nil"/>
            </w:tcBorders>
            <w:shd w:val="clear" w:color="auto" w:fill="FFFFFF"/>
            <w:vAlign w:val="center"/>
          </w:tcPr>
          <w:p w14:paraId="14FA49A9"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Behavioural disengagement</w:t>
            </w:r>
          </w:p>
        </w:tc>
        <w:tc>
          <w:tcPr>
            <w:tcW w:w="514" w:type="dxa"/>
            <w:tcBorders>
              <w:top w:val="single" w:sz="4" w:space="0" w:color="auto"/>
              <w:bottom w:val="nil"/>
              <w:right w:val="nil"/>
            </w:tcBorders>
            <w:shd w:val="clear" w:color="auto" w:fill="FFFFFF"/>
            <w:vAlign w:val="center"/>
          </w:tcPr>
          <w:p w14:paraId="60E888DF"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25</w:t>
            </w:r>
          </w:p>
        </w:tc>
        <w:tc>
          <w:tcPr>
            <w:tcW w:w="1332" w:type="dxa"/>
            <w:tcBorders>
              <w:top w:val="single" w:sz="4" w:space="0" w:color="auto"/>
              <w:left w:val="nil"/>
              <w:bottom w:val="nil"/>
              <w:right w:val="nil"/>
            </w:tcBorders>
            <w:shd w:val="clear" w:color="auto" w:fill="5B9BD5"/>
            <w:vAlign w:val="center"/>
          </w:tcPr>
          <w:p w14:paraId="53D7C0DB" w14:textId="77777777" w:rsidR="005F31E9" w:rsidRPr="00787196" w:rsidRDefault="005F31E9" w:rsidP="007472EB">
            <w:pPr>
              <w:spacing w:before="0" w:after="0"/>
              <w:jc w:val="center"/>
              <w:rPr>
                <w:b/>
                <w:bCs/>
                <w:sz w:val="18"/>
                <w:szCs w:val="18"/>
              </w:rPr>
            </w:pPr>
            <w:r w:rsidRPr="00787196">
              <w:rPr>
                <w:b/>
                <w:bCs/>
                <w:sz w:val="18"/>
                <w:szCs w:val="18"/>
              </w:rPr>
              <w:t>.499</w:t>
            </w:r>
          </w:p>
        </w:tc>
        <w:tc>
          <w:tcPr>
            <w:tcW w:w="1417" w:type="dxa"/>
            <w:tcBorders>
              <w:top w:val="single" w:sz="4" w:space="0" w:color="auto"/>
              <w:left w:val="nil"/>
              <w:bottom w:val="nil"/>
              <w:right w:val="nil"/>
            </w:tcBorders>
            <w:shd w:val="clear" w:color="auto" w:fill="FFFFFF"/>
            <w:vAlign w:val="center"/>
          </w:tcPr>
          <w:p w14:paraId="170E7657" w14:textId="77777777" w:rsidR="005F31E9" w:rsidRPr="00787196" w:rsidRDefault="005F31E9" w:rsidP="007472EB">
            <w:pPr>
              <w:spacing w:before="0" w:after="0"/>
              <w:jc w:val="center"/>
              <w:rPr>
                <w:sz w:val="18"/>
                <w:szCs w:val="18"/>
              </w:rPr>
            </w:pPr>
            <w:r w:rsidRPr="00787196">
              <w:rPr>
                <w:sz w:val="18"/>
                <w:szCs w:val="18"/>
              </w:rPr>
              <w:t>-.107</w:t>
            </w:r>
          </w:p>
        </w:tc>
        <w:tc>
          <w:tcPr>
            <w:tcW w:w="1101" w:type="dxa"/>
            <w:tcBorders>
              <w:top w:val="single" w:sz="4" w:space="0" w:color="auto"/>
              <w:left w:val="nil"/>
              <w:bottom w:val="nil"/>
              <w:right w:val="nil"/>
            </w:tcBorders>
            <w:shd w:val="clear" w:color="auto" w:fill="FFFFFF"/>
            <w:vAlign w:val="center"/>
          </w:tcPr>
          <w:p w14:paraId="20DEA6D9" w14:textId="77777777" w:rsidR="005F31E9" w:rsidRPr="00787196" w:rsidRDefault="005F31E9" w:rsidP="007472EB">
            <w:pPr>
              <w:spacing w:before="0" w:after="0"/>
              <w:jc w:val="center"/>
              <w:rPr>
                <w:sz w:val="18"/>
                <w:szCs w:val="18"/>
              </w:rPr>
            </w:pPr>
            <w:r w:rsidRPr="00787196">
              <w:rPr>
                <w:sz w:val="18"/>
                <w:szCs w:val="18"/>
              </w:rPr>
              <w:t>.095</w:t>
            </w:r>
          </w:p>
        </w:tc>
        <w:tc>
          <w:tcPr>
            <w:tcW w:w="1419" w:type="dxa"/>
            <w:tcBorders>
              <w:top w:val="single" w:sz="4" w:space="0" w:color="auto"/>
              <w:left w:val="nil"/>
              <w:bottom w:val="nil"/>
              <w:right w:val="nil"/>
            </w:tcBorders>
            <w:shd w:val="clear" w:color="auto" w:fill="FFFFFF"/>
            <w:vAlign w:val="center"/>
          </w:tcPr>
          <w:p w14:paraId="18B39200" w14:textId="77777777" w:rsidR="005F31E9" w:rsidRPr="00787196" w:rsidRDefault="005F31E9" w:rsidP="007472EB">
            <w:pPr>
              <w:spacing w:before="0" w:after="0"/>
              <w:jc w:val="center"/>
              <w:rPr>
                <w:sz w:val="18"/>
                <w:szCs w:val="18"/>
              </w:rPr>
            </w:pPr>
            <w:r w:rsidRPr="00787196">
              <w:rPr>
                <w:sz w:val="18"/>
                <w:szCs w:val="18"/>
              </w:rPr>
              <w:t>.105</w:t>
            </w:r>
          </w:p>
        </w:tc>
      </w:tr>
      <w:tr w:rsidR="005F31E9" w:rsidRPr="00787196" w14:paraId="0EA43CC6" w14:textId="77777777" w:rsidTr="00F8618A">
        <w:trPr>
          <w:trHeight w:val="194"/>
          <w:jc w:val="center"/>
        </w:trPr>
        <w:tc>
          <w:tcPr>
            <w:tcW w:w="2140" w:type="dxa"/>
            <w:vMerge/>
            <w:tcBorders>
              <w:top w:val="nil"/>
              <w:bottom w:val="single" w:sz="4" w:space="0" w:color="auto"/>
            </w:tcBorders>
            <w:shd w:val="clear" w:color="auto" w:fill="FFFFFF"/>
            <w:vAlign w:val="center"/>
          </w:tcPr>
          <w:p w14:paraId="37CADAD8"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7C3A72C5"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26</w:t>
            </w:r>
          </w:p>
        </w:tc>
        <w:tc>
          <w:tcPr>
            <w:tcW w:w="1332" w:type="dxa"/>
            <w:tcBorders>
              <w:top w:val="nil"/>
              <w:left w:val="nil"/>
              <w:bottom w:val="single" w:sz="4" w:space="0" w:color="auto"/>
              <w:right w:val="nil"/>
            </w:tcBorders>
            <w:shd w:val="clear" w:color="auto" w:fill="5B9BD5"/>
            <w:vAlign w:val="center"/>
          </w:tcPr>
          <w:p w14:paraId="6951FBC1" w14:textId="77777777" w:rsidR="005F31E9" w:rsidRPr="00787196" w:rsidRDefault="005F31E9" w:rsidP="007472EB">
            <w:pPr>
              <w:spacing w:before="0" w:after="0"/>
              <w:jc w:val="center"/>
              <w:rPr>
                <w:b/>
                <w:bCs/>
                <w:sz w:val="18"/>
                <w:szCs w:val="18"/>
              </w:rPr>
            </w:pPr>
            <w:r w:rsidRPr="00787196">
              <w:rPr>
                <w:b/>
                <w:bCs/>
                <w:sz w:val="18"/>
                <w:szCs w:val="18"/>
              </w:rPr>
              <w:t>.527</w:t>
            </w:r>
          </w:p>
        </w:tc>
        <w:tc>
          <w:tcPr>
            <w:tcW w:w="1417" w:type="dxa"/>
            <w:tcBorders>
              <w:top w:val="nil"/>
              <w:left w:val="nil"/>
              <w:bottom w:val="single" w:sz="4" w:space="0" w:color="auto"/>
              <w:right w:val="nil"/>
            </w:tcBorders>
            <w:shd w:val="clear" w:color="auto" w:fill="FFFFFF"/>
            <w:vAlign w:val="center"/>
          </w:tcPr>
          <w:p w14:paraId="093415A0" w14:textId="77777777" w:rsidR="005F31E9" w:rsidRPr="00787196" w:rsidRDefault="005F31E9" w:rsidP="007472EB">
            <w:pPr>
              <w:spacing w:before="0" w:after="0"/>
              <w:jc w:val="center"/>
              <w:rPr>
                <w:sz w:val="18"/>
                <w:szCs w:val="18"/>
              </w:rPr>
            </w:pPr>
            <w:r w:rsidRPr="00787196">
              <w:rPr>
                <w:sz w:val="18"/>
                <w:szCs w:val="18"/>
              </w:rPr>
              <w:t>-.072</w:t>
            </w:r>
          </w:p>
        </w:tc>
        <w:tc>
          <w:tcPr>
            <w:tcW w:w="1101" w:type="dxa"/>
            <w:tcBorders>
              <w:top w:val="nil"/>
              <w:left w:val="nil"/>
              <w:bottom w:val="single" w:sz="4" w:space="0" w:color="auto"/>
              <w:right w:val="nil"/>
            </w:tcBorders>
            <w:shd w:val="clear" w:color="auto" w:fill="FFFFFF"/>
            <w:vAlign w:val="center"/>
          </w:tcPr>
          <w:p w14:paraId="2E2E4DEE" w14:textId="77777777" w:rsidR="005F31E9" w:rsidRPr="00787196" w:rsidRDefault="005F31E9" w:rsidP="007472EB">
            <w:pPr>
              <w:spacing w:before="0" w:after="0"/>
              <w:jc w:val="center"/>
              <w:rPr>
                <w:sz w:val="18"/>
                <w:szCs w:val="18"/>
              </w:rPr>
            </w:pPr>
            <w:r w:rsidRPr="00787196">
              <w:rPr>
                <w:sz w:val="18"/>
                <w:szCs w:val="18"/>
              </w:rPr>
              <w:t>.074</w:t>
            </w:r>
          </w:p>
        </w:tc>
        <w:tc>
          <w:tcPr>
            <w:tcW w:w="1419" w:type="dxa"/>
            <w:tcBorders>
              <w:top w:val="nil"/>
              <w:left w:val="nil"/>
              <w:bottom w:val="single" w:sz="4" w:space="0" w:color="auto"/>
              <w:right w:val="nil"/>
            </w:tcBorders>
            <w:shd w:val="clear" w:color="auto" w:fill="FFFFFF"/>
            <w:vAlign w:val="center"/>
          </w:tcPr>
          <w:p w14:paraId="41705CC8" w14:textId="77777777" w:rsidR="005F31E9" w:rsidRPr="00787196" w:rsidRDefault="005F31E9" w:rsidP="007472EB">
            <w:pPr>
              <w:spacing w:before="0" w:after="0"/>
              <w:jc w:val="center"/>
              <w:rPr>
                <w:sz w:val="18"/>
                <w:szCs w:val="18"/>
              </w:rPr>
            </w:pPr>
            <w:r w:rsidRPr="00787196">
              <w:rPr>
                <w:sz w:val="18"/>
                <w:szCs w:val="18"/>
              </w:rPr>
              <w:t>.115</w:t>
            </w:r>
          </w:p>
        </w:tc>
      </w:tr>
      <w:tr w:rsidR="005F31E9" w:rsidRPr="00787196" w14:paraId="14C9F598" w14:textId="77777777" w:rsidTr="00F8618A">
        <w:trPr>
          <w:trHeight w:val="232"/>
          <w:jc w:val="center"/>
        </w:trPr>
        <w:tc>
          <w:tcPr>
            <w:tcW w:w="2140" w:type="dxa"/>
            <w:vMerge w:val="restart"/>
            <w:tcBorders>
              <w:top w:val="single" w:sz="4" w:space="0" w:color="auto"/>
              <w:bottom w:val="nil"/>
            </w:tcBorders>
            <w:shd w:val="clear" w:color="auto" w:fill="FFFFFF"/>
            <w:vAlign w:val="center"/>
          </w:tcPr>
          <w:p w14:paraId="4DBC42C8" w14:textId="77777777" w:rsidR="005F31E9" w:rsidRPr="00787196" w:rsidRDefault="005F31E9" w:rsidP="00F8618A">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Self-blame</w:t>
            </w:r>
          </w:p>
        </w:tc>
        <w:tc>
          <w:tcPr>
            <w:tcW w:w="514" w:type="dxa"/>
            <w:tcBorders>
              <w:top w:val="single" w:sz="4" w:space="0" w:color="auto"/>
              <w:bottom w:val="nil"/>
              <w:right w:val="nil"/>
            </w:tcBorders>
            <w:shd w:val="clear" w:color="auto" w:fill="FFFFFF"/>
            <w:vAlign w:val="center"/>
          </w:tcPr>
          <w:p w14:paraId="4A5ADE1A"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27</w:t>
            </w:r>
          </w:p>
        </w:tc>
        <w:tc>
          <w:tcPr>
            <w:tcW w:w="1332" w:type="dxa"/>
            <w:tcBorders>
              <w:top w:val="single" w:sz="4" w:space="0" w:color="auto"/>
              <w:left w:val="nil"/>
              <w:bottom w:val="nil"/>
              <w:right w:val="nil"/>
            </w:tcBorders>
            <w:shd w:val="clear" w:color="auto" w:fill="FFFFFF"/>
            <w:vAlign w:val="center"/>
          </w:tcPr>
          <w:p w14:paraId="1B07776B" w14:textId="77777777" w:rsidR="005F31E9" w:rsidRPr="00787196" w:rsidRDefault="005F31E9" w:rsidP="007472EB">
            <w:pPr>
              <w:spacing w:before="0" w:after="0"/>
              <w:jc w:val="center"/>
              <w:rPr>
                <w:sz w:val="18"/>
                <w:szCs w:val="18"/>
              </w:rPr>
            </w:pPr>
            <w:r w:rsidRPr="00787196">
              <w:rPr>
                <w:sz w:val="18"/>
                <w:szCs w:val="18"/>
              </w:rPr>
              <w:t>.124</w:t>
            </w:r>
          </w:p>
        </w:tc>
        <w:tc>
          <w:tcPr>
            <w:tcW w:w="1417" w:type="dxa"/>
            <w:tcBorders>
              <w:top w:val="single" w:sz="4" w:space="0" w:color="auto"/>
              <w:left w:val="nil"/>
              <w:bottom w:val="nil"/>
              <w:right w:val="nil"/>
            </w:tcBorders>
            <w:shd w:val="clear" w:color="auto" w:fill="FFFFFF"/>
            <w:vAlign w:val="center"/>
          </w:tcPr>
          <w:p w14:paraId="087D13E6" w14:textId="77777777" w:rsidR="005F31E9" w:rsidRPr="00787196" w:rsidRDefault="005F31E9" w:rsidP="007472EB">
            <w:pPr>
              <w:spacing w:before="0" w:after="0"/>
              <w:jc w:val="center"/>
              <w:rPr>
                <w:sz w:val="18"/>
                <w:szCs w:val="18"/>
              </w:rPr>
            </w:pPr>
            <w:r w:rsidRPr="00787196">
              <w:rPr>
                <w:sz w:val="18"/>
                <w:szCs w:val="18"/>
              </w:rPr>
              <w:t>.137</w:t>
            </w:r>
          </w:p>
        </w:tc>
        <w:tc>
          <w:tcPr>
            <w:tcW w:w="1101" w:type="dxa"/>
            <w:tcBorders>
              <w:top w:val="single" w:sz="4" w:space="0" w:color="auto"/>
              <w:left w:val="nil"/>
              <w:bottom w:val="nil"/>
              <w:right w:val="nil"/>
            </w:tcBorders>
            <w:shd w:val="clear" w:color="auto" w:fill="5B9BD5"/>
            <w:vAlign w:val="center"/>
          </w:tcPr>
          <w:p w14:paraId="417111BB" w14:textId="77777777" w:rsidR="005F31E9" w:rsidRPr="00787196" w:rsidRDefault="005F31E9" w:rsidP="007472EB">
            <w:pPr>
              <w:spacing w:before="0" w:after="0"/>
              <w:jc w:val="center"/>
              <w:rPr>
                <w:b/>
                <w:bCs/>
                <w:sz w:val="18"/>
                <w:szCs w:val="18"/>
              </w:rPr>
            </w:pPr>
            <w:r w:rsidRPr="00787196">
              <w:rPr>
                <w:b/>
                <w:bCs/>
                <w:sz w:val="18"/>
                <w:szCs w:val="18"/>
              </w:rPr>
              <w:t>.945</w:t>
            </w:r>
          </w:p>
        </w:tc>
        <w:tc>
          <w:tcPr>
            <w:tcW w:w="1419" w:type="dxa"/>
            <w:tcBorders>
              <w:top w:val="single" w:sz="4" w:space="0" w:color="auto"/>
              <w:left w:val="nil"/>
              <w:bottom w:val="nil"/>
              <w:right w:val="nil"/>
            </w:tcBorders>
            <w:shd w:val="clear" w:color="auto" w:fill="FFFFFF"/>
            <w:vAlign w:val="center"/>
          </w:tcPr>
          <w:p w14:paraId="29C20F19" w14:textId="77777777" w:rsidR="005F31E9" w:rsidRPr="00787196" w:rsidRDefault="005F31E9" w:rsidP="007472EB">
            <w:pPr>
              <w:spacing w:before="0" w:after="0"/>
              <w:jc w:val="center"/>
              <w:rPr>
                <w:sz w:val="18"/>
                <w:szCs w:val="18"/>
              </w:rPr>
            </w:pPr>
            <w:r w:rsidRPr="00787196">
              <w:rPr>
                <w:sz w:val="18"/>
                <w:szCs w:val="18"/>
              </w:rPr>
              <w:t>.122</w:t>
            </w:r>
          </w:p>
        </w:tc>
      </w:tr>
      <w:tr w:rsidR="005F31E9" w:rsidRPr="00787196" w14:paraId="508A5116" w14:textId="77777777" w:rsidTr="00F8618A">
        <w:trPr>
          <w:trHeight w:val="194"/>
          <w:jc w:val="center"/>
        </w:trPr>
        <w:tc>
          <w:tcPr>
            <w:tcW w:w="2140" w:type="dxa"/>
            <w:vMerge/>
            <w:tcBorders>
              <w:top w:val="nil"/>
              <w:bottom w:val="single" w:sz="4" w:space="0" w:color="auto"/>
            </w:tcBorders>
            <w:shd w:val="clear" w:color="auto" w:fill="FFFFFF"/>
          </w:tcPr>
          <w:p w14:paraId="22DF94F3" w14:textId="77777777" w:rsidR="005F31E9" w:rsidRPr="00787196" w:rsidRDefault="005F31E9" w:rsidP="007472EB">
            <w:pPr>
              <w:autoSpaceDE w:val="0"/>
              <w:autoSpaceDN w:val="0"/>
              <w:adjustRightInd w:val="0"/>
              <w:spacing w:before="0" w:after="0" w:line="240" w:lineRule="auto"/>
              <w:ind w:left="142"/>
              <w:rPr>
                <w:rFonts w:cs="Arial"/>
                <w:color w:val="000000"/>
                <w:sz w:val="20"/>
                <w:szCs w:val="20"/>
              </w:rPr>
            </w:pPr>
          </w:p>
        </w:tc>
        <w:tc>
          <w:tcPr>
            <w:tcW w:w="514" w:type="dxa"/>
            <w:tcBorders>
              <w:top w:val="nil"/>
              <w:bottom w:val="single" w:sz="4" w:space="0" w:color="auto"/>
              <w:right w:val="nil"/>
            </w:tcBorders>
            <w:shd w:val="clear" w:color="auto" w:fill="FFFFFF"/>
            <w:vAlign w:val="center"/>
          </w:tcPr>
          <w:p w14:paraId="7661E1C0" w14:textId="77777777" w:rsidR="005F31E9" w:rsidRPr="00787196" w:rsidRDefault="005F31E9" w:rsidP="007472EB">
            <w:pPr>
              <w:autoSpaceDE w:val="0"/>
              <w:autoSpaceDN w:val="0"/>
              <w:adjustRightInd w:val="0"/>
              <w:spacing w:before="0" w:after="0" w:line="240" w:lineRule="auto"/>
              <w:rPr>
                <w:rFonts w:cs="Arial"/>
                <w:color w:val="000000"/>
                <w:sz w:val="18"/>
                <w:szCs w:val="18"/>
              </w:rPr>
            </w:pPr>
            <w:r w:rsidRPr="00787196">
              <w:rPr>
                <w:rFonts w:cs="Arial"/>
                <w:color w:val="000000"/>
                <w:sz w:val="18"/>
                <w:szCs w:val="18"/>
              </w:rPr>
              <w:t>28</w:t>
            </w:r>
          </w:p>
        </w:tc>
        <w:tc>
          <w:tcPr>
            <w:tcW w:w="1332" w:type="dxa"/>
            <w:tcBorders>
              <w:top w:val="nil"/>
              <w:left w:val="nil"/>
              <w:bottom w:val="single" w:sz="4" w:space="0" w:color="auto"/>
              <w:right w:val="nil"/>
            </w:tcBorders>
            <w:shd w:val="clear" w:color="auto" w:fill="FFFFFF"/>
            <w:vAlign w:val="center"/>
          </w:tcPr>
          <w:p w14:paraId="241E7ACA" w14:textId="77777777" w:rsidR="005F31E9" w:rsidRPr="00787196" w:rsidRDefault="005F31E9" w:rsidP="007472EB">
            <w:pPr>
              <w:spacing w:before="0" w:after="0"/>
              <w:jc w:val="center"/>
              <w:rPr>
                <w:sz w:val="18"/>
                <w:szCs w:val="18"/>
              </w:rPr>
            </w:pPr>
            <w:r w:rsidRPr="00787196">
              <w:rPr>
                <w:sz w:val="18"/>
                <w:szCs w:val="18"/>
              </w:rPr>
              <w:t>.105</w:t>
            </w:r>
          </w:p>
        </w:tc>
        <w:tc>
          <w:tcPr>
            <w:tcW w:w="1417" w:type="dxa"/>
            <w:tcBorders>
              <w:top w:val="nil"/>
              <w:left w:val="nil"/>
              <w:bottom w:val="single" w:sz="4" w:space="0" w:color="auto"/>
              <w:right w:val="nil"/>
            </w:tcBorders>
            <w:shd w:val="clear" w:color="auto" w:fill="FFFFFF"/>
            <w:vAlign w:val="center"/>
          </w:tcPr>
          <w:p w14:paraId="40594A8F" w14:textId="77777777" w:rsidR="005F31E9" w:rsidRPr="00787196" w:rsidRDefault="005F31E9" w:rsidP="007472EB">
            <w:pPr>
              <w:spacing w:before="0" w:after="0"/>
              <w:jc w:val="center"/>
              <w:rPr>
                <w:sz w:val="18"/>
                <w:szCs w:val="18"/>
              </w:rPr>
            </w:pPr>
            <w:r w:rsidRPr="00787196">
              <w:rPr>
                <w:sz w:val="18"/>
                <w:szCs w:val="18"/>
              </w:rPr>
              <w:t>.211</w:t>
            </w:r>
          </w:p>
        </w:tc>
        <w:tc>
          <w:tcPr>
            <w:tcW w:w="1101" w:type="dxa"/>
            <w:tcBorders>
              <w:top w:val="nil"/>
              <w:left w:val="nil"/>
              <w:bottom w:val="single" w:sz="4" w:space="0" w:color="auto"/>
              <w:right w:val="nil"/>
            </w:tcBorders>
            <w:shd w:val="clear" w:color="auto" w:fill="5B9BD5"/>
            <w:vAlign w:val="center"/>
          </w:tcPr>
          <w:p w14:paraId="3C8E2C1D" w14:textId="77777777" w:rsidR="005F31E9" w:rsidRPr="00787196" w:rsidRDefault="005F31E9" w:rsidP="007472EB">
            <w:pPr>
              <w:spacing w:before="0" w:after="0"/>
              <w:jc w:val="center"/>
              <w:rPr>
                <w:b/>
                <w:bCs/>
                <w:sz w:val="18"/>
                <w:szCs w:val="18"/>
              </w:rPr>
            </w:pPr>
            <w:r w:rsidRPr="00787196">
              <w:rPr>
                <w:b/>
                <w:bCs/>
                <w:sz w:val="18"/>
                <w:szCs w:val="18"/>
              </w:rPr>
              <w:t>.849</w:t>
            </w:r>
          </w:p>
        </w:tc>
        <w:tc>
          <w:tcPr>
            <w:tcW w:w="1419" w:type="dxa"/>
            <w:tcBorders>
              <w:top w:val="nil"/>
              <w:left w:val="nil"/>
              <w:bottom w:val="single" w:sz="4" w:space="0" w:color="auto"/>
              <w:right w:val="nil"/>
            </w:tcBorders>
            <w:shd w:val="clear" w:color="auto" w:fill="FFFFFF"/>
            <w:vAlign w:val="center"/>
          </w:tcPr>
          <w:p w14:paraId="353F180C" w14:textId="77777777" w:rsidR="005F31E9" w:rsidRPr="00787196" w:rsidRDefault="005F31E9" w:rsidP="007472EB">
            <w:pPr>
              <w:spacing w:before="0" w:after="0"/>
              <w:jc w:val="center"/>
              <w:rPr>
                <w:b/>
                <w:bCs/>
                <w:sz w:val="18"/>
                <w:szCs w:val="18"/>
              </w:rPr>
            </w:pPr>
            <w:r w:rsidRPr="00787196">
              <w:rPr>
                <w:b/>
                <w:bCs/>
                <w:sz w:val="18"/>
                <w:szCs w:val="18"/>
              </w:rPr>
              <w:t>.14</w:t>
            </w:r>
            <w:r w:rsidRPr="00787196">
              <w:rPr>
                <w:sz w:val="18"/>
                <w:szCs w:val="18"/>
              </w:rPr>
              <w:t>5</w:t>
            </w:r>
          </w:p>
        </w:tc>
      </w:tr>
    </w:tbl>
    <w:p w14:paraId="75300C8E" w14:textId="77777777" w:rsidR="000720F4" w:rsidRPr="00787196" w:rsidRDefault="000720F4" w:rsidP="00E5185A">
      <w:pPr>
        <w:spacing w:before="0" w:after="0"/>
      </w:pPr>
    </w:p>
    <w:p w14:paraId="5ED3820A" w14:textId="54FB1FE0" w:rsidR="00996B9F" w:rsidRPr="00787196" w:rsidRDefault="00996B9F" w:rsidP="00996B9F">
      <w:pPr>
        <w:spacing w:after="0"/>
        <w:rPr>
          <w:szCs w:val="24"/>
        </w:rPr>
      </w:pPr>
      <w:r w:rsidRPr="00787196">
        <w:rPr>
          <w:noProof/>
        </w:rPr>
        <mc:AlternateContent>
          <mc:Choice Requires="wps">
            <w:drawing>
              <wp:anchor distT="0" distB="0" distL="114300" distR="114300" simplePos="0" relativeHeight="251658752" behindDoc="0" locked="0" layoutInCell="1" allowOverlap="1" wp14:anchorId="6A72BF36" wp14:editId="44578B6E">
                <wp:simplePos x="0" y="0"/>
                <wp:positionH relativeFrom="column">
                  <wp:posOffset>74930</wp:posOffset>
                </wp:positionH>
                <wp:positionV relativeFrom="paragraph">
                  <wp:posOffset>7439660</wp:posOffset>
                </wp:positionV>
                <wp:extent cx="436880" cy="313690"/>
                <wp:effectExtent l="0" t="0" r="20320" b="10160"/>
                <wp:wrapNone/>
                <wp:docPr id="245" name="Rectangle 245"/>
                <wp:cNvGraphicFramePr/>
                <a:graphic xmlns:a="http://schemas.openxmlformats.org/drawingml/2006/main">
                  <a:graphicData uri="http://schemas.microsoft.com/office/word/2010/wordprocessingShape">
                    <wps:wsp>
                      <wps:cNvSpPr/>
                      <wps:spPr>
                        <a:xfrm>
                          <a:off x="0" y="0"/>
                          <a:ext cx="436245" cy="31369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6B12" id="Rectangle 245" o:spid="_x0000_s1026" style="position:absolute;margin-left:5.9pt;margin-top:585.8pt;width:34.4pt;height:2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" fillcolor="#2e74b5 [2404]" strokecolor="#1f4d78 [1604]" strokeweight="1pt"/>
            </w:pict>
          </mc:Fallback>
        </mc:AlternateContent>
      </w:r>
      <w:r w:rsidRPr="00787196">
        <w:rPr>
          <w:b/>
          <w:bCs/>
          <w:szCs w:val="24"/>
        </w:rPr>
        <w:t xml:space="preserve">      </w:t>
      </w:r>
      <w:r w:rsidRPr="00787196">
        <w:rPr>
          <w:noProof/>
        </w:rPr>
        <mc:AlternateContent>
          <mc:Choice Requires="wps">
            <w:drawing>
              <wp:anchor distT="0" distB="0" distL="114300" distR="114300" simplePos="0" relativeHeight="251660800" behindDoc="0" locked="0" layoutInCell="1" allowOverlap="1" wp14:anchorId="4F1E774C" wp14:editId="6D8CE176">
                <wp:simplePos x="0" y="0"/>
                <wp:positionH relativeFrom="column">
                  <wp:posOffset>0</wp:posOffset>
                </wp:positionH>
                <wp:positionV relativeFrom="paragraph">
                  <wp:posOffset>0</wp:posOffset>
                </wp:positionV>
                <wp:extent cx="436880" cy="313690"/>
                <wp:effectExtent l="0" t="0" r="20320" b="10160"/>
                <wp:wrapNone/>
                <wp:docPr id="252" name="Rectangle 252"/>
                <wp:cNvGraphicFramePr/>
                <a:graphic xmlns:a="http://schemas.openxmlformats.org/drawingml/2006/main">
                  <a:graphicData uri="http://schemas.microsoft.com/office/word/2010/wordprocessingShape">
                    <wps:wsp>
                      <wps:cNvSpPr/>
                      <wps:spPr>
                        <a:xfrm>
                          <a:off x="0" y="0"/>
                          <a:ext cx="436245" cy="31369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CECD4" id="Rectangle 252" o:spid="_x0000_s1026" style="position:absolute;margin-left:0;margin-top:0;width:34.4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" fillcolor="#2e74b5 [2404]" strokecolor="#1f4d78 [1604]" strokeweight="1pt"/>
            </w:pict>
          </mc:Fallback>
        </mc:AlternateContent>
      </w:r>
      <w:r w:rsidRPr="00787196">
        <w:rPr>
          <w:b/>
          <w:bCs/>
          <w:szCs w:val="24"/>
        </w:rPr>
        <w:t xml:space="preserve">     </w:t>
      </w:r>
      <w:r w:rsidRPr="00787196">
        <w:rPr>
          <w:szCs w:val="24"/>
        </w:rPr>
        <w:t>- Eigen values above 1</w:t>
      </w:r>
    </w:p>
    <w:p w14:paraId="4F5E9E2B" w14:textId="77777777" w:rsidR="000720F4" w:rsidRPr="00787196" w:rsidRDefault="000720F4" w:rsidP="00E5185A">
      <w:pPr>
        <w:spacing w:before="0" w:after="0"/>
      </w:pPr>
    </w:p>
    <w:p w14:paraId="5D2442AD" w14:textId="77777777" w:rsidR="000720F4" w:rsidRPr="00787196" w:rsidRDefault="000720F4">
      <w:pPr>
        <w:spacing w:before="0" w:after="0" w:line="240" w:lineRule="auto"/>
        <w:jc w:val="left"/>
      </w:pPr>
      <w:r w:rsidRPr="00787196">
        <w:br w:type="page"/>
      </w:r>
    </w:p>
    <w:p w14:paraId="05439545" w14:textId="4AC35078" w:rsidR="00590ADC" w:rsidRPr="00787196" w:rsidRDefault="00590ADC" w:rsidP="00590ADC">
      <w:pPr>
        <w:keepNext/>
      </w:pPr>
      <w:r w:rsidRPr="00787196">
        <w:lastRenderedPageBreak/>
        <w:t xml:space="preserve">The fourth factor had items from the Religion </w:t>
      </w:r>
      <w:r w:rsidR="000051A2" w:rsidRPr="00787196">
        <w:t>sub-</w:t>
      </w:r>
      <w:r w:rsidRPr="00787196">
        <w:t>scale alone with high significant loadings (r= 0.861 and 0.956).</w:t>
      </w:r>
      <w:r w:rsidR="000051A2" w:rsidRPr="00787196">
        <w:t xml:space="preserve"> With these 4 factors reduced, the other sub-scales </w:t>
      </w:r>
      <w:r w:rsidR="00AA2E9C" w:rsidRPr="00787196">
        <w:t xml:space="preserve">(Emotional </w:t>
      </w:r>
      <w:r w:rsidR="00EB5F2C" w:rsidRPr="00787196">
        <w:t>coping</w:t>
      </w:r>
      <w:r w:rsidR="00AA2E9C" w:rsidRPr="00787196">
        <w:t xml:space="preserve">, Instrumental support and Venting) </w:t>
      </w:r>
      <w:r w:rsidR="000051A2" w:rsidRPr="00787196">
        <w:t>within Brief COPE scale were dropped from further analysis.</w:t>
      </w:r>
      <w:r w:rsidRPr="00787196">
        <w:t xml:space="preserve"> </w:t>
      </w:r>
    </w:p>
    <w:p w14:paraId="531EBF7D" w14:textId="6C917329" w:rsidR="000720F4" w:rsidRPr="00787196" w:rsidRDefault="007F2237" w:rsidP="00B569DB">
      <w:pPr>
        <w:spacing w:before="0"/>
        <w:rPr>
          <w:i/>
          <w:iCs/>
          <w:szCs w:val="24"/>
        </w:rPr>
      </w:pPr>
      <w:r w:rsidRPr="00787196">
        <w:t xml:space="preserve">The </w:t>
      </w:r>
      <w:r w:rsidR="000051A2" w:rsidRPr="00787196">
        <w:t xml:space="preserve">mean </w:t>
      </w:r>
      <w:r w:rsidRPr="00787196">
        <w:t>scores</w:t>
      </w:r>
      <w:r w:rsidR="000051A2" w:rsidRPr="00787196">
        <w:t xml:space="preserve"> of the 4 extracted reduced factors</w:t>
      </w:r>
      <w:r w:rsidRPr="00787196">
        <w:t xml:space="preserve"> are summarised in</w:t>
      </w:r>
      <w:r w:rsidR="000051A2" w:rsidRPr="00787196">
        <w:t xml:space="preserve"> </w:t>
      </w:r>
      <w:r w:rsidR="00B569DB" w:rsidRPr="00787196">
        <w:t>Table 5-10.</w:t>
      </w:r>
      <w:r w:rsidR="00C26B0A" w:rsidRPr="00787196">
        <w:t xml:space="preserve"> </w:t>
      </w:r>
      <w:r w:rsidR="006F0039" w:rsidRPr="00787196">
        <w:t xml:space="preserve">It may </w:t>
      </w:r>
      <w:r w:rsidR="00372925" w:rsidRPr="00787196">
        <w:t xml:space="preserve">be </w:t>
      </w:r>
      <w:r w:rsidR="006F0039" w:rsidRPr="00787196">
        <w:t>noticed that all coping strategies decreased at follow-up. Especially, positive coping reduced by almost 4 points at follow-up.</w:t>
      </w:r>
      <w:r w:rsidR="000051A2" w:rsidRPr="00787196">
        <w:t xml:space="preserve"> However,</w:t>
      </w:r>
      <w:r w:rsidR="006F0039" w:rsidRPr="00787196">
        <w:t xml:space="preserve"> in terms of the range, positive coping strategies were more on the higher side </w:t>
      </w:r>
      <w:r w:rsidR="000051A2" w:rsidRPr="00787196">
        <w:t>in comparison</w:t>
      </w:r>
      <w:r w:rsidR="00675998" w:rsidRPr="00787196">
        <w:t xml:space="preserve"> to </w:t>
      </w:r>
      <w:r w:rsidR="000051A2" w:rsidRPr="00787196">
        <w:t xml:space="preserve">the </w:t>
      </w:r>
      <w:r w:rsidR="00675998" w:rsidRPr="00787196">
        <w:t>other strategies</w:t>
      </w:r>
      <w:r w:rsidR="006F0039" w:rsidRPr="00787196">
        <w:t>.</w:t>
      </w:r>
      <w:r w:rsidR="00773CEB" w:rsidRPr="00787196">
        <w:t xml:space="preserve"> </w:t>
      </w:r>
      <w:bookmarkStart w:id="246" w:name="_Ref430906338"/>
      <w:bookmarkStart w:id="247" w:name="_Toc461641235"/>
    </w:p>
    <w:tbl>
      <w:tblPr>
        <w:tblpPr w:leftFromText="180" w:rightFromText="180" w:vertAnchor="text" w:horzAnchor="margin" w:tblpY="555"/>
        <w:tblW w:w="8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366"/>
        <w:gridCol w:w="1707"/>
        <w:gridCol w:w="1196"/>
        <w:gridCol w:w="1931"/>
        <w:gridCol w:w="1926"/>
      </w:tblGrid>
      <w:tr w:rsidR="00B569DB" w:rsidRPr="00787196" w14:paraId="52B51305" w14:textId="77777777" w:rsidTr="00000044">
        <w:trPr>
          <w:trHeight w:val="456"/>
        </w:trPr>
        <w:tc>
          <w:tcPr>
            <w:tcW w:w="1250" w:type="dxa"/>
            <w:vMerge w:val="restart"/>
            <w:tcBorders>
              <w:left w:val="nil"/>
              <w:right w:val="nil"/>
            </w:tcBorders>
            <w:shd w:val="clear" w:color="auto" w:fill="FFFFFF"/>
            <w:vAlign w:val="center"/>
          </w:tcPr>
          <w:p w14:paraId="6C917FD9" w14:textId="77777777" w:rsidR="00B569DB" w:rsidRPr="00787196" w:rsidRDefault="00B569DB" w:rsidP="00B569DB">
            <w:pPr>
              <w:autoSpaceDE w:val="0"/>
              <w:autoSpaceDN w:val="0"/>
              <w:adjustRightInd w:val="0"/>
              <w:spacing w:before="0" w:after="0" w:line="240" w:lineRule="auto"/>
              <w:rPr>
                <w:rFonts w:cs="Arial"/>
                <w:b/>
                <w:bCs/>
                <w:color w:val="000000"/>
                <w:szCs w:val="24"/>
              </w:rPr>
            </w:pPr>
            <w:r w:rsidRPr="00787196">
              <w:rPr>
                <w:rFonts w:cs="Arial"/>
                <w:b/>
                <w:bCs/>
                <w:color w:val="000000"/>
                <w:szCs w:val="24"/>
              </w:rPr>
              <w:t>Factors</w:t>
            </w:r>
          </w:p>
        </w:tc>
        <w:tc>
          <w:tcPr>
            <w:tcW w:w="1723" w:type="dxa"/>
            <w:vMerge w:val="restart"/>
            <w:tcBorders>
              <w:left w:val="nil"/>
              <w:right w:val="nil"/>
            </w:tcBorders>
            <w:shd w:val="clear" w:color="auto" w:fill="FFFFFF"/>
            <w:vAlign w:val="center"/>
          </w:tcPr>
          <w:p w14:paraId="24E29827" w14:textId="77777777" w:rsidR="00B569DB" w:rsidRPr="00787196" w:rsidRDefault="00B569DB" w:rsidP="00B569DB">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Coping strategies</w:t>
            </w:r>
          </w:p>
        </w:tc>
        <w:tc>
          <w:tcPr>
            <w:tcW w:w="1213" w:type="dxa"/>
            <w:vMerge w:val="restart"/>
            <w:tcBorders>
              <w:left w:val="nil"/>
              <w:right w:val="nil"/>
            </w:tcBorders>
            <w:shd w:val="clear" w:color="auto" w:fill="FFFFFF"/>
            <w:vAlign w:val="center"/>
          </w:tcPr>
          <w:p w14:paraId="23F3CE6F" w14:textId="77777777" w:rsidR="00B569DB" w:rsidRPr="00787196" w:rsidRDefault="00B569DB" w:rsidP="00B569D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Score range </w:t>
            </w:r>
          </w:p>
          <w:p w14:paraId="5B434FFD" w14:textId="77777777" w:rsidR="00B569DB" w:rsidRPr="00787196" w:rsidRDefault="00B569DB" w:rsidP="00B569D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(min –max)</w:t>
            </w:r>
          </w:p>
        </w:tc>
        <w:tc>
          <w:tcPr>
            <w:tcW w:w="3940" w:type="dxa"/>
            <w:gridSpan w:val="2"/>
            <w:tcBorders>
              <w:left w:val="nil"/>
              <w:bottom w:val="nil"/>
              <w:right w:val="nil"/>
            </w:tcBorders>
            <w:shd w:val="clear" w:color="auto" w:fill="FFFFFF"/>
            <w:vAlign w:val="center"/>
          </w:tcPr>
          <w:p w14:paraId="40608AAE" w14:textId="77777777" w:rsidR="00B569DB" w:rsidRPr="00787196" w:rsidRDefault="00B569DB" w:rsidP="00B569D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tc>
      </w:tr>
      <w:tr w:rsidR="00B569DB" w:rsidRPr="00787196" w14:paraId="04C8D8C8" w14:textId="77777777" w:rsidTr="00000044">
        <w:trPr>
          <w:trHeight w:val="275"/>
        </w:trPr>
        <w:tc>
          <w:tcPr>
            <w:tcW w:w="1250" w:type="dxa"/>
            <w:vMerge/>
            <w:tcBorders>
              <w:left w:val="nil"/>
              <w:bottom w:val="single" w:sz="8" w:space="0" w:color="000000"/>
              <w:right w:val="nil"/>
            </w:tcBorders>
            <w:shd w:val="clear" w:color="auto" w:fill="FFFFFF"/>
            <w:vAlign w:val="center"/>
          </w:tcPr>
          <w:p w14:paraId="07A7908B" w14:textId="77777777" w:rsidR="00B569DB" w:rsidRPr="00787196" w:rsidRDefault="00B569DB" w:rsidP="00B569DB">
            <w:pPr>
              <w:autoSpaceDE w:val="0"/>
              <w:autoSpaceDN w:val="0"/>
              <w:adjustRightInd w:val="0"/>
              <w:spacing w:before="0" w:after="0" w:line="240" w:lineRule="auto"/>
              <w:rPr>
                <w:rFonts w:cs="Arial"/>
                <w:b/>
                <w:bCs/>
                <w:color w:val="000000"/>
                <w:szCs w:val="24"/>
              </w:rPr>
            </w:pPr>
          </w:p>
        </w:tc>
        <w:tc>
          <w:tcPr>
            <w:tcW w:w="1723" w:type="dxa"/>
            <w:vMerge/>
            <w:tcBorders>
              <w:left w:val="nil"/>
              <w:bottom w:val="single" w:sz="8" w:space="0" w:color="000000"/>
              <w:right w:val="nil"/>
            </w:tcBorders>
            <w:shd w:val="clear" w:color="auto" w:fill="FFFFFF"/>
          </w:tcPr>
          <w:p w14:paraId="4260E349" w14:textId="77777777" w:rsidR="00B569DB" w:rsidRPr="00787196" w:rsidRDefault="00B569DB" w:rsidP="00B569DB">
            <w:pPr>
              <w:autoSpaceDE w:val="0"/>
              <w:autoSpaceDN w:val="0"/>
              <w:adjustRightInd w:val="0"/>
              <w:spacing w:before="0" w:after="0" w:line="240" w:lineRule="auto"/>
              <w:rPr>
                <w:rFonts w:cs="Arial"/>
                <w:b/>
                <w:bCs/>
                <w:color w:val="000000"/>
                <w:sz w:val="18"/>
                <w:szCs w:val="18"/>
              </w:rPr>
            </w:pPr>
          </w:p>
        </w:tc>
        <w:tc>
          <w:tcPr>
            <w:tcW w:w="1213" w:type="dxa"/>
            <w:vMerge/>
            <w:tcBorders>
              <w:left w:val="nil"/>
              <w:bottom w:val="single" w:sz="8" w:space="0" w:color="000000"/>
              <w:right w:val="nil"/>
            </w:tcBorders>
            <w:shd w:val="clear" w:color="auto" w:fill="FFFFFF"/>
            <w:vAlign w:val="center"/>
          </w:tcPr>
          <w:p w14:paraId="19FC499A" w14:textId="77777777" w:rsidR="00B569DB" w:rsidRPr="00787196" w:rsidRDefault="00B569DB" w:rsidP="00B569DB">
            <w:pPr>
              <w:autoSpaceDE w:val="0"/>
              <w:autoSpaceDN w:val="0"/>
              <w:adjustRightInd w:val="0"/>
              <w:spacing w:before="0" w:after="0" w:line="240" w:lineRule="auto"/>
              <w:jc w:val="center"/>
              <w:rPr>
                <w:rFonts w:cs="Arial"/>
                <w:b/>
                <w:bCs/>
                <w:color w:val="000000"/>
                <w:sz w:val="18"/>
                <w:szCs w:val="18"/>
              </w:rPr>
            </w:pPr>
          </w:p>
        </w:tc>
        <w:tc>
          <w:tcPr>
            <w:tcW w:w="1970" w:type="dxa"/>
            <w:tcBorders>
              <w:top w:val="nil"/>
              <w:left w:val="nil"/>
              <w:bottom w:val="single" w:sz="8" w:space="0" w:color="000000"/>
              <w:right w:val="nil"/>
            </w:tcBorders>
            <w:shd w:val="clear" w:color="auto" w:fill="FFFFFF"/>
            <w:vAlign w:val="center"/>
          </w:tcPr>
          <w:p w14:paraId="7EA069DD" w14:textId="77777777" w:rsidR="00B569DB" w:rsidRPr="00787196" w:rsidRDefault="00B569DB" w:rsidP="00B569DB">
            <w:pPr>
              <w:autoSpaceDE w:val="0"/>
              <w:autoSpaceDN w:val="0"/>
              <w:adjustRightInd w:val="0"/>
              <w:spacing w:before="0" w:after="0" w:line="240" w:lineRule="auto"/>
              <w:jc w:val="center"/>
              <w:rPr>
                <w:rFonts w:cs="Arial"/>
                <w:color w:val="000000"/>
                <w:sz w:val="18"/>
                <w:szCs w:val="18"/>
              </w:rPr>
            </w:pPr>
            <w:r w:rsidRPr="00787196">
              <w:rPr>
                <w:rFonts w:cs="Arial"/>
                <w:b/>
                <w:bCs/>
                <w:color w:val="000000"/>
                <w:sz w:val="18"/>
                <w:szCs w:val="18"/>
              </w:rPr>
              <w:t>Baseline (T1)</w:t>
            </w:r>
          </w:p>
        </w:tc>
        <w:tc>
          <w:tcPr>
            <w:tcW w:w="1970" w:type="dxa"/>
            <w:tcBorders>
              <w:top w:val="nil"/>
              <w:left w:val="nil"/>
              <w:bottom w:val="single" w:sz="8" w:space="0" w:color="000000"/>
              <w:right w:val="nil"/>
            </w:tcBorders>
            <w:shd w:val="clear" w:color="auto" w:fill="FFFFFF"/>
            <w:vAlign w:val="center"/>
          </w:tcPr>
          <w:p w14:paraId="6B0A4A14" w14:textId="77777777" w:rsidR="00B569DB" w:rsidRPr="00787196" w:rsidRDefault="00B569DB" w:rsidP="00B569DB">
            <w:pPr>
              <w:autoSpaceDE w:val="0"/>
              <w:autoSpaceDN w:val="0"/>
              <w:adjustRightInd w:val="0"/>
              <w:spacing w:before="0" w:after="0" w:line="240" w:lineRule="auto"/>
              <w:jc w:val="center"/>
              <w:rPr>
                <w:rFonts w:cs="Arial"/>
                <w:color w:val="000000"/>
                <w:sz w:val="18"/>
                <w:szCs w:val="18"/>
              </w:rPr>
            </w:pPr>
            <w:r w:rsidRPr="00787196">
              <w:rPr>
                <w:rFonts w:cs="Arial"/>
                <w:b/>
                <w:bCs/>
                <w:color w:val="000000"/>
                <w:sz w:val="18"/>
                <w:szCs w:val="18"/>
              </w:rPr>
              <w:t>Follow-up (T2)</w:t>
            </w:r>
          </w:p>
        </w:tc>
      </w:tr>
      <w:tr w:rsidR="00B569DB" w:rsidRPr="00787196" w14:paraId="0F4027D9" w14:textId="77777777" w:rsidTr="00000044">
        <w:trPr>
          <w:trHeight w:val="751"/>
        </w:trPr>
        <w:tc>
          <w:tcPr>
            <w:tcW w:w="1250" w:type="dxa"/>
            <w:tcBorders>
              <w:top w:val="single" w:sz="8" w:space="0" w:color="000000"/>
              <w:left w:val="nil"/>
              <w:bottom w:val="nil"/>
              <w:right w:val="nil"/>
            </w:tcBorders>
            <w:shd w:val="clear" w:color="auto" w:fill="FFFFFF"/>
            <w:vAlign w:val="center"/>
          </w:tcPr>
          <w:p w14:paraId="28311958" w14:textId="77777777" w:rsidR="00B569DB" w:rsidRPr="00787196" w:rsidRDefault="00B569DB" w:rsidP="00000044">
            <w:pPr>
              <w:autoSpaceDE w:val="0"/>
              <w:autoSpaceDN w:val="0"/>
              <w:adjustRightInd w:val="0"/>
              <w:spacing w:before="0" w:after="0" w:line="240" w:lineRule="auto"/>
              <w:jc w:val="left"/>
              <w:rPr>
                <w:rFonts w:cs="Arial"/>
                <w:color w:val="000000"/>
                <w:sz w:val="22"/>
              </w:rPr>
            </w:pPr>
            <w:r w:rsidRPr="00787196">
              <w:rPr>
                <w:sz w:val="22"/>
              </w:rPr>
              <w:t>Negative/ inadequate/ avoidance</w:t>
            </w:r>
          </w:p>
        </w:tc>
        <w:tc>
          <w:tcPr>
            <w:tcW w:w="1723" w:type="dxa"/>
            <w:tcBorders>
              <w:top w:val="single" w:sz="8" w:space="0" w:color="000000"/>
              <w:left w:val="nil"/>
              <w:bottom w:val="nil"/>
              <w:right w:val="nil"/>
            </w:tcBorders>
            <w:shd w:val="clear" w:color="auto" w:fill="FFFFFF"/>
            <w:vAlign w:val="center"/>
          </w:tcPr>
          <w:p w14:paraId="7EA610A5" w14:textId="77777777" w:rsidR="00B569DB" w:rsidRPr="00787196" w:rsidRDefault="00B569DB" w:rsidP="00000044">
            <w:pPr>
              <w:autoSpaceDE w:val="0"/>
              <w:autoSpaceDN w:val="0"/>
              <w:adjustRightInd w:val="0"/>
              <w:spacing w:before="0" w:after="0" w:line="240" w:lineRule="auto"/>
              <w:jc w:val="left"/>
              <w:rPr>
                <w:rFonts w:cs="Arial"/>
                <w:color w:val="000000"/>
                <w:sz w:val="16"/>
                <w:szCs w:val="16"/>
              </w:rPr>
            </w:pPr>
            <w:r w:rsidRPr="00787196">
              <w:rPr>
                <w:sz w:val="16"/>
                <w:szCs w:val="16"/>
              </w:rPr>
              <w:t>Self-distraction, Denial, Venting, Substance misuse, Behavioural disengagement and Humour</w:t>
            </w:r>
          </w:p>
        </w:tc>
        <w:tc>
          <w:tcPr>
            <w:tcW w:w="1213" w:type="dxa"/>
            <w:tcBorders>
              <w:top w:val="single" w:sz="8" w:space="0" w:color="000000"/>
              <w:left w:val="nil"/>
              <w:bottom w:val="nil"/>
              <w:right w:val="nil"/>
            </w:tcBorders>
            <w:shd w:val="clear" w:color="auto" w:fill="FFFFFF"/>
            <w:vAlign w:val="center"/>
          </w:tcPr>
          <w:p w14:paraId="43D97550"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12-48</w:t>
            </w:r>
          </w:p>
        </w:tc>
        <w:tc>
          <w:tcPr>
            <w:tcW w:w="1970" w:type="dxa"/>
            <w:tcBorders>
              <w:top w:val="single" w:sz="8" w:space="0" w:color="000000"/>
              <w:left w:val="nil"/>
              <w:bottom w:val="nil"/>
              <w:right w:val="nil"/>
            </w:tcBorders>
            <w:shd w:val="clear" w:color="auto" w:fill="FFFFFF"/>
            <w:vAlign w:val="center"/>
          </w:tcPr>
          <w:p w14:paraId="08766325"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17.50 (5.06)</w:t>
            </w:r>
          </w:p>
        </w:tc>
        <w:tc>
          <w:tcPr>
            <w:tcW w:w="1970" w:type="dxa"/>
            <w:tcBorders>
              <w:top w:val="single" w:sz="8" w:space="0" w:color="000000"/>
              <w:left w:val="nil"/>
              <w:bottom w:val="nil"/>
              <w:right w:val="nil"/>
            </w:tcBorders>
            <w:shd w:val="clear" w:color="auto" w:fill="FFFFFF"/>
            <w:vAlign w:val="center"/>
          </w:tcPr>
          <w:p w14:paraId="40C63731"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16.02 (3.48)</w:t>
            </w:r>
          </w:p>
        </w:tc>
      </w:tr>
      <w:tr w:rsidR="00B569DB" w:rsidRPr="00787196" w14:paraId="69637A3F" w14:textId="77777777" w:rsidTr="00000044">
        <w:trPr>
          <w:trHeight w:val="438"/>
        </w:trPr>
        <w:tc>
          <w:tcPr>
            <w:tcW w:w="1250" w:type="dxa"/>
            <w:tcBorders>
              <w:top w:val="nil"/>
              <w:left w:val="nil"/>
              <w:bottom w:val="nil"/>
              <w:right w:val="nil"/>
            </w:tcBorders>
            <w:shd w:val="clear" w:color="auto" w:fill="FFFFFF"/>
            <w:vAlign w:val="center"/>
          </w:tcPr>
          <w:p w14:paraId="2B456987" w14:textId="77777777" w:rsidR="00B569DB" w:rsidRPr="00787196" w:rsidRDefault="00B569DB" w:rsidP="00000044">
            <w:pPr>
              <w:autoSpaceDE w:val="0"/>
              <w:autoSpaceDN w:val="0"/>
              <w:adjustRightInd w:val="0"/>
              <w:spacing w:before="0" w:after="0" w:line="240" w:lineRule="auto"/>
              <w:jc w:val="left"/>
              <w:rPr>
                <w:rFonts w:cs="Arial"/>
                <w:color w:val="000000"/>
                <w:sz w:val="22"/>
              </w:rPr>
            </w:pPr>
            <w:r w:rsidRPr="00787196">
              <w:rPr>
                <w:sz w:val="22"/>
              </w:rPr>
              <w:t>Positive/ adequate</w:t>
            </w:r>
          </w:p>
        </w:tc>
        <w:tc>
          <w:tcPr>
            <w:tcW w:w="1723" w:type="dxa"/>
            <w:tcBorders>
              <w:top w:val="nil"/>
              <w:left w:val="nil"/>
              <w:bottom w:val="nil"/>
              <w:right w:val="nil"/>
            </w:tcBorders>
            <w:shd w:val="clear" w:color="auto" w:fill="FFFFFF"/>
            <w:vAlign w:val="center"/>
          </w:tcPr>
          <w:p w14:paraId="20EE34A4" w14:textId="77777777" w:rsidR="00B569DB" w:rsidRPr="00787196" w:rsidRDefault="00B569DB" w:rsidP="00000044">
            <w:pPr>
              <w:autoSpaceDE w:val="0"/>
              <w:autoSpaceDN w:val="0"/>
              <w:adjustRightInd w:val="0"/>
              <w:spacing w:before="0" w:after="0" w:line="240" w:lineRule="auto"/>
              <w:jc w:val="left"/>
              <w:rPr>
                <w:rFonts w:cs="Arial"/>
                <w:color w:val="000000"/>
                <w:sz w:val="16"/>
                <w:szCs w:val="16"/>
              </w:rPr>
            </w:pPr>
            <w:r w:rsidRPr="00787196">
              <w:rPr>
                <w:sz w:val="16"/>
                <w:szCs w:val="16"/>
              </w:rPr>
              <w:t>Active coping, planning, Positive reframing and Acceptance.</w:t>
            </w:r>
          </w:p>
        </w:tc>
        <w:tc>
          <w:tcPr>
            <w:tcW w:w="1213" w:type="dxa"/>
            <w:tcBorders>
              <w:top w:val="nil"/>
              <w:left w:val="nil"/>
              <w:bottom w:val="nil"/>
              <w:right w:val="nil"/>
            </w:tcBorders>
            <w:shd w:val="clear" w:color="auto" w:fill="FFFFFF"/>
            <w:vAlign w:val="center"/>
          </w:tcPr>
          <w:p w14:paraId="6D662DD3"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8-32</w:t>
            </w:r>
          </w:p>
        </w:tc>
        <w:tc>
          <w:tcPr>
            <w:tcW w:w="1970" w:type="dxa"/>
            <w:tcBorders>
              <w:top w:val="nil"/>
              <w:left w:val="nil"/>
              <w:bottom w:val="nil"/>
              <w:right w:val="nil"/>
            </w:tcBorders>
            <w:shd w:val="clear" w:color="auto" w:fill="FFFFFF"/>
            <w:vAlign w:val="center"/>
          </w:tcPr>
          <w:p w14:paraId="03F8E4FA"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24.23 (5.25)</w:t>
            </w:r>
          </w:p>
        </w:tc>
        <w:tc>
          <w:tcPr>
            <w:tcW w:w="1970" w:type="dxa"/>
            <w:tcBorders>
              <w:top w:val="nil"/>
              <w:left w:val="nil"/>
              <w:bottom w:val="nil"/>
              <w:right w:val="nil"/>
            </w:tcBorders>
            <w:shd w:val="clear" w:color="auto" w:fill="FFFFFF"/>
            <w:vAlign w:val="center"/>
          </w:tcPr>
          <w:p w14:paraId="7E74FEE4"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19.60 (4.57)</w:t>
            </w:r>
          </w:p>
        </w:tc>
      </w:tr>
      <w:tr w:rsidR="00B569DB" w:rsidRPr="00787196" w14:paraId="6CC64EEA" w14:textId="77777777" w:rsidTr="00000044">
        <w:trPr>
          <w:trHeight w:val="438"/>
        </w:trPr>
        <w:tc>
          <w:tcPr>
            <w:tcW w:w="1250" w:type="dxa"/>
            <w:tcBorders>
              <w:top w:val="nil"/>
              <w:left w:val="nil"/>
              <w:bottom w:val="nil"/>
              <w:right w:val="nil"/>
            </w:tcBorders>
            <w:shd w:val="clear" w:color="auto" w:fill="FFFFFF"/>
            <w:vAlign w:val="center"/>
          </w:tcPr>
          <w:p w14:paraId="2855A1AC" w14:textId="77777777" w:rsidR="00B569DB" w:rsidRPr="00787196" w:rsidRDefault="00B569DB" w:rsidP="00000044">
            <w:pPr>
              <w:autoSpaceDE w:val="0"/>
              <w:autoSpaceDN w:val="0"/>
              <w:adjustRightInd w:val="0"/>
              <w:spacing w:before="0" w:after="0" w:line="240" w:lineRule="auto"/>
              <w:jc w:val="left"/>
              <w:rPr>
                <w:rFonts w:cs="Arial"/>
                <w:color w:val="000000"/>
                <w:sz w:val="22"/>
              </w:rPr>
            </w:pPr>
            <w:r w:rsidRPr="00787196">
              <w:rPr>
                <w:sz w:val="22"/>
              </w:rPr>
              <w:t>Self-blame</w:t>
            </w:r>
          </w:p>
        </w:tc>
        <w:tc>
          <w:tcPr>
            <w:tcW w:w="1723" w:type="dxa"/>
            <w:tcBorders>
              <w:top w:val="nil"/>
              <w:left w:val="nil"/>
              <w:bottom w:val="nil"/>
              <w:right w:val="nil"/>
            </w:tcBorders>
            <w:shd w:val="clear" w:color="auto" w:fill="FFFFFF"/>
            <w:vAlign w:val="center"/>
          </w:tcPr>
          <w:p w14:paraId="782814B4" w14:textId="77777777" w:rsidR="00B569DB" w:rsidRPr="00787196" w:rsidRDefault="00B569DB" w:rsidP="00000044">
            <w:pPr>
              <w:autoSpaceDE w:val="0"/>
              <w:autoSpaceDN w:val="0"/>
              <w:adjustRightInd w:val="0"/>
              <w:spacing w:before="0" w:after="0" w:line="240" w:lineRule="auto"/>
              <w:jc w:val="left"/>
              <w:rPr>
                <w:rFonts w:cs="Arial"/>
                <w:color w:val="000000"/>
                <w:sz w:val="16"/>
                <w:szCs w:val="16"/>
              </w:rPr>
            </w:pPr>
            <w:r w:rsidRPr="00787196">
              <w:rPr>
                <w:sz w:val="16"/>
                <w:szCs w:val="16"/>
              </w:rPr>
              <w:t>Self-blame</w:t>
            </w:r>
          </w:p>
        </w:tc>
        <w:tc>
          <w:tcPr>
            <w:tcW w:w="1213" w:type="dxa"/>
            <w:tcBorders>
              <w:top w:val="nil"/>
              <w:left w:val="nil"/>
              <w:bottom w:val="nil"/>
              <w:right w:val="nil"/>
            </w:tcBorders>
            <w:shd w:val="clear" w:color="auto" w:fill="FFFFFF"/>
            <w:vAlign w:val="center"/>
          </w:tcPr>
          <w:p w14:paraId="34AF39B3"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2-8</w:t>
            </w:r>
          </w:p>
        </w:tc>
        <w:tc>
          <w:tcPr>
            <w:tcW w:w="1970" w:type="dxa"/>
            <w:tcBorders>
              <w:top w:val="nil"/>
              <w:left w:val="nil"/>
              <w:bottom w:val="nil"/>
              <w:right w:val="nil"/>
            </w:tcBorders>
            <w:shd w:val="clear" w:color="auto" w:fill="FFFFFF"/>
            <w:vAlign w:val="center"/>
          </w:tcPr>
          <w:p w14:paraId="414548B1"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3.79 (2.16)</w:t>
            </w:r>
          </w:p>
        </w:tc>
        <w:tc>
          <w:tcPr>
            <w:tcW w:w="1970" w:type="dxa"/>
            <w:tcBorders>
              <w:top w:val="nil"/>
              <w:left w:val="nil"/>
              <w:bottom w:val="nil"/>
              <w:right w:val="nil"/>
            </w:tcBorders>
            <w:shd w:val="clear" w:color="auto" w:fill="FFFFFF"/>
            <w:vAlign w:val="center"/>
          </w:tcPr>
          <w:p w14:paraId="1A027EC7"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2.96 (1.21)</w:t>
            </w:r>
          </w:p>
        </w:tc>
      </w:tr>
      <w:tr w:rsidR="00B569DB" w:rsidRPr="00787196" w14:paraId="738104F8" w14:textId="77777777" w:rsidTr="00000044">
        <w:trPr>
          <w:trHeight w:val="438"/>
        </w:trPr>
        <w:tc>
          <w:tcPr>
            <w:tcW w:w="1250" w:type="dxa"/>
            <w:tcBorders>
              <w:top w:val="nil"/>
              <w:left w:val="nil"/>
              <w:bottom w:val="single" w:sz="8" w:space="0" w:color="000000"/>
              <w:right w:val="nil"/>
            </w:tcBorders>
            <w:shd w:val="clear" w:color="auto" w:fill="FFFFFF"/>
            <w:vAlign w:val="center"/>
          </w:tcPr>
          <w:p w14:paraId="0ECE50CF" w14:textId="77777777" w:rsidR="00B569DB" w:rsidRPr="00787196" w:rsidRDefault="00B569DB" w:rsidP="00000044">
            <w:pPr>
              <w:autoSpaceDE w:val="0"/>
              <w:autoSpaceDN w:val="0"/>
              <w:adjustRightInd w:val="0"/>
              <w:spacing w:before="0" w:after="0" w:line="240" w:lineRule="auto"/>
              <w:jc w:val="left"/>
              <w:rPr>
                <w:rFonts w:cs="Arial"/>
                <w:color w:val="000000"/>
                <w:sz w:val="22"/>
              </w:rPr>
            </w:pPr>
            <w:r w:rsidRPr="00787196">
              <w:rPr>
                <w:rFonts w:cs="Arial"/>
                <w:color w:val="000000"/>
                <w:sz w:val="22"/>
              </w:rPr>
              <w:t>Religion</w:t>
            </w:r>
          </w:p>
        </w:tc>
        <w:tc>
          <w:tcPr>
            <w:tcW w:w="1723" w:type="dxa"/>
            <w:tcBorders>
              <w:top w:val="nil"/>
              <w:left w:val="nil"/>
              <w:bottom w:val="single" w:sz="8" w:space="0" w:color="000000"/>
              <w:right w:val="nil"/>
            </w:tcBorders>
            <w:shd w:val="clear" w:color="auto" w:fill="FFFFFF"/>
            <w:vAlign w:val="center"/>
          </w:tcPr>
          <w:p w14:paraId="1BFEDAF6" w14:textId="77777777" w:rsidR="00B569DB" w:rsidRPr="00787196" w:rsidRDefault="00B569DB" w:rsidP="00000044">
            <w:pPr>
              <w:autoSpaceDE w:val="0"/>
              <w:autoSpaceDN w:val="0"/>
              <w:adjustRightInd w:val="0"/>
              <w:spacing w:before="0" w:after="0" w:line="240" w:lineRule="auto"/>
              <w:jc w:val="left"/>
              <w:rPr>
                <w:rFonts w:cs="Arial"/>
                <w:color w:val="000000"/>
                <w:sz w:val="16"/>
                <w:szCs w:val="16"/>
              </w:rPr>
            </w:pPr>
            <w:r w:rsidRPr="00787196">
              <w:rPr>
                <w:sz w:val="16"/>
                <w:szCs w:val="16"/>
              </w:rPr>
              <w:t>Religion</w:t>
            </w:r>
          </w:p>
        </w:tc>
        <w:tc>
          <w:tcPr>
            <w:tcW w:w="1213" w:type="dxa"/>
            <w:tcBorders>
              <w:top w:val="nil"/>
              <w:left w:val="nil"/>
              <w:bottom w:val="single" w:sz="8" w:space="0" w:color="000000"/>
              <w:right w:val="nil"/>
            </w:tcBorders>
            <w:shd w:val="clear" w:color="auto" w:fill="FFFFFF"/>
            <w:vAlign w:val="center"/>
          </w:tcPr>
          <w:p w14:paraId="1B22C6F7"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2-8</w:t>
            </w:r>
          </w:p>
        </w:tc>
        <w:tc>
          <w:tcPr>
            <w:tcW w:w="1970" w:type="dxa"/>
            <w:tcBorders>
              <w:top w:val="nil"/>
              <w:left w:val="nil"/>
              <w:bottom w:val="single" w:sz="8" w:space="0" w:color="000000"/>
              <w:right w:val="nil"/>
            </w:tcBorders>
            <w:shd w:val="clear" w:color="auto" w:fill="FFFFFF"/>
            <w:vAlign w:val="center"/>
          </w:tcPr>
          <w:p w14:paraId="2037C308"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5.07 (2.38)</w:t>
            </w:r>
          </w:p>
        </w:tc>
        <w:tc>
          <w:tcPr>
            <w:tcW w:w="1970" w:type="dxa"/>
            <w:tcBorders>
              <w:top w:val="nil"/>
              <w:left w:val="nil"/>
              <w:bottom w:val="single" w:sz="8" w:space="0" w:color="000000"/>
              <w:right w:val="nil"/>
            </w:tcBorders>
            <w:shd w:val="clear" w:color="auto" w:fill="FFFFFF"/>
            <w:vAlign w:val="center"/>
          </w:tcPr>
          <w:p w14:paraId="1641C075" w14:textId="77777777" w:rsidR="00B569DB" w:rsidRPr="00787196" w:rsidRDefault="00B569DB" w:rsidP="00B569D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4.60 (2.05)</w:t>
            </w:r>
          </w:p>
        </w:tc>
      </w:tr>
    </w:tbl>
    <w:p w14:paraId="102D5B4F" w14:textId="0EC54916" w:rsidR="00EB1D1C" w:rsidRPr="00787196" w:rsidRDefault="00B569DB" w:rsidP="000720F4">
      <w:pPr>
        <w:pStyle w:val="Caption"/>
        <w:keepNext/>
        <w:spacing w:after="0"/>
        <w:jc w:val="center"/>
        <w:rPr>
          <w:b/>
          <w:bCs/>
          <w:i w:val="0"/>
          <w:iCs w:val="0"/>
          <w:color w:val="auto"/>
          <w:sz w:val="24"/>
          <w:szCs w:val="24"/>
        </w:rPr>
      </w:pPr>
      <w:r w:rsidRPr="00787196">
        <w:rPr>
          <w:i w:val="0"/>
          <w:iCs w:val="0"/>
          <w:color w:val="auto"/>
          <w:sz w:val="24"/>
          <w:szCs w:val="24"/>
        </w:rPr>
        <w:t xml:space="preserve"> </w:t>
      </w:r>
      <w:bookmarkStart w:id="248" w:name="_Toc488655539"/>
      <w:r w:rsidR="00EB1D1C"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10</w:t>
      </w:r>
      <w:r w:rsidR="000332A1" w:rsidRPr="00787196">
        <w:rPr>
          <w:b/>
          <w:bCs/>
          <w:i w:val="0"/>
          <w:iCs w:val="0"/>
          <w:color w:val="auto"/>
          <w:sz w:val="24"/>
          <w:szCs w:val="24"/>
        </w:rPr>
        <w:fldChar w:fldCharType="end"/>
      </w:r>
      <w:bookmarkEnd w:id="246"/>
      <w:r w:rsidR="00103EEF" w:rsidRPr="00787196">
        <w:rPr>
          <w:b/>
          <w:bCs/>
          <w:i w:val="0"/>
          <w:iCs w:val="0"/>
          <w:color w:val="auto"/>
          <w:sz w:val="24"/>
          <w:szCs w:val="24"/>
        </w:rPr>
        <w:t>.</w:t>
      </w:r>
      <w:r w:rsidR="00EB1D1C" w:rsidRPr="00787196">
        <w:rPr>
          <w:b/>
          <w:bCs/>
          <w:i w:val="0"/>
          <w:iCs w:val="0"/>
          <w:color w:val="auto"/>
          <w:sz w:val="24"/>
          <w:szCs w:val="24"/>
        </w:rPr>
        <w:t xml:space="preserve"> Mean scores of extracted </w:t>
      </w:r>
      <w:r w:rsidR="00996B9F" w:rsidRPr="00787196">
        <w:rPr>
          <w:b/>
          <w:bCs/>
          <w:i w:val="0"/>
          <w:iCs w:val="0"/>
          <w:color w:val="auto"/>
          <w:sz w:val="24"/>
          <w:szCs w:val="24"/>
        </w:rPr>
        <w:t xml:space="preserve">Brief COPE </w:t>
      </w:r>
      <w:r w:rsidR="00EB1D1C" w:rsidRPr="00787196">
        <w:rPr>
          <w:b/>
          <w:bCs/>
          <w:i w:val="0"/>
          <w:iCs w:val="0"/>
          <w:color w:val="auto"/>
          <w:sz w:val="24"/>
          <w:szCs w:val="24"/>
        </w:rPr>
        <w:t>factors</w:t>
      </w:r>
      <w:r w:rsidR="00533B6E" w:rsidRPr="00787196">
        <w:rPr>
          <w:b/>
          <w:bCs/>
          <w:i w:val="0"/>
          <w:iCs w:val="0"/>
          <w:color w:val="auto"/>
          <w:sz w:val="24"/>
          <w:szCs w:val="24"/>
        </w:rPr>
        <w:t xml:space="preserve"> at both stages</w:t>
      </w:r>
      <w:bookmarkEnd w:id="247"/>
      <w:bookmarkEnd w:id="248"/>
    </w:p>
    <w:p w14:paraId="0568EE26" w14:textId="682F62E5" w:rsidR="007F2237" w:rsidRPr="00787196" w:rsidRDefault="007F2237" w:rsidP="00755F46"/>
    <w:p w14:paraId="2B21EE81" w14:textId="09AF5F3A" w:rsidR="007F2237" w:rsidRPr="00787196" w:rsidRDefault="00222302" w:rsidP="00D9694A">
      <w:pPr>
        <w:pStyle w:val="Heading3"/>
      </w:pPr>
      <w:r w:rsidRPr="00787196">
        <w:t xml:space="preserve"> </w:t>
      </w:r>
      <w:bookmarkStart w:id="249" w:name="_Toc456211181"/>
      <w:bookmarkStart w:id="250" w:name="_Toc488655665"/>
      <w:r w:rsidR="007F2237" w:rsidRPr="00787196">
        <w:t>Individual factors</w:t>
      </w:r>
      <w:bookmarkEnd w:id="249"/>
      <w:bookmarkEnd w:id="250"/>
    </w:p>
    <w:p w14:paraId="4FC79FAE" w14:textId="77777777" w:rsidR="007F2237" w:rsidRPr="00787196" w:rsidRDefault="007F2237" w:rsidP="00226A04">
      <w:pPr>
        <w:pStyle w:val="Heading4"/>
      </w:pPr>
      <w:r w:rsidRPr="00787196">
        <w:t xml:space="preserve"> Subjective SES</w:t>
      </w:r>
    </w:p>
    <w:p w14:paraId="07816342" w14:textId="3CB07599" w:rsidR="00AB3116" w:rsidRPr="00787196" w:rsidRDefault="007F2237" w:rsidP="00AB3116">
      <w:r w:rsidRPr="00787196">
        <w:t>The MacArthur Scale of Subjective Social Status was used to measure subjective SES</w:t>
      </w:r>
      <w:r w:rsidR="00EF1692" w:rsidRPr="00787196">
        <w:t xml:space="preserve"> </w:t>
      </w:r>
      <w:r w:rsidR="00EF1692" w:rsidRPr="00787196">
        <w:fldChar w:fldCharType="begin"/>
      </w:r>
      <w:r w:rsidR="00EF1692" w:rsidRPr="00787196">
        <w:instrText xml:space="preserve"> ADDIN EN.CITE &lt;EndNote&gt;&lt;Cite&gt;&lt;Author&gt;Adler&lt;/Author&gt;&lt;Year&gt;2007&lt;/Year&gt;&lt;RecNum&gt;0&lt;/RecNum&gt;&lt;IDText&gt;The MacArthur scale of subjective social status&lt;/IDText&gt;&lt;DisplayText&gt;(Adler and Stewart, 2007)&lt;/DisplayText&gt;&lt;record&gt;&lt;titles&gt;&lt;title&gt;The MacArthur scale of subjective social status&lt;/title&gt;&lt;secondary-title&gt;Psychosocial Notebook. Psychosocial Working Group&lt;/secondary-title&gt;&lt;/titles&gt;&lt;contributors&gt;&lt;authors&gt;&lt;author&gt;Adler, Nancy&lt;/author&gt;&lt;author&gt;Stewart, Judith&lt;/author&gt;&lt;/authors&gt;&lt;/contributors&gt;&lt;added-date format="utc"&gt;1463734325&lt;/added-date&gt;&lt;ref-type name="Journal Article"&gt;17&lt;/ref-type&gt;&lt;dates&gt;&lt;year&gt;2007&lt;/year&gt;&lt;/dates&gt;&lt;rec-number&gt;2028&lt;/rec-number&gt;&lt;last-updated-date format="utc"&gt;1463734325&lt;/last-updated-date&gt;&lt;/record&gt;&lt;/Cite&gt;&lt;/EndNote&gt;</w:instrText>
      </w:r>
      <w:r w:rsidR="00EF1692" w:rsidRPr="00787196">
        <w:fldChar w:fldCharType="separate"/>
      </w:r>
      <w:r w:rsidR="00EF1692" w:rsidRPr="00787196">
        <w:t>(Adler and Stewart, 2007)</w:t>
      </w:r>
      <w:r w:rsidR="00EF1692" w:rsidRPr="00787196">
        <w:fldChar w:fldCharType="end"/>
      </w:r>
      <w:r w:rsidR="00EF1692" w:rsidRPr="00787196">
        <w:t>.</w:t>
      </w:r>
      <w:r w:rsidRPr="00787196">
        <w:t xml:space="preserve"> </w:t>
      </w:r>
      <w:r w:rsidR="00EF1692" w:rsidRPr="00787196">
        <w:t>P</w:t>
      </w:r>
      <w:r w:rsidRPr="00787196">
        <w:t xml:space="preserve">articipants </w:t>
      </w:r>
      <w:r w:rsidR="00EF1692" w:rsidRPr="00787196">
        <w:t xml:space="preserve">were required to </w:t>
      </w:r>
      <w:r w:rsidRPr="00787196">
        <w:t xml:space="preserve">mark on one of the ten rungs of a pictorial ladder. </w:t>
      </w:r>
      <w:r w:rsidR="00187509" w:rsidRPr="00787196">
        <w:t>As Adler and Stewart (2007) outlined, t</w:t>
      </w:r>
      <w:r w:rsidRPr="00787196">
        <w:t xml:space="preserve">he first four rungs from the bottom were assigned with </w:t>
      </w:r>
      <w:r w:rsidR="005B4999" w:rsidRPr="00787196">
        <w:t>a</w:t>
      </w:r>
      <w:r w:rsidRPr="00787196">
        <w:t xml:space="preserve"> value </w:t>
      </w:r>
      <w:r w:rsidR="005B4999" w:rsidRPr="00787196">
        <w:t xml:space="preserve">of </w:t>
      </w:r>
      <w:r w:rsidRPr="00787196">
        <w:t xml:space="preserve">1 </w:t>
      </w:r>
      <w:r w:rsidR="00393C8E" w:rsidRPr="00787196">
        <w:t>(indicating the lowest status)</w:t>
      </w:r>
      <w:r w:rsidRPr="00787196">
        <w:t xml:space="preserve">; rung five was assigned a value of 2; rung six with 3; rung seven with value 4 and the scores for rungs eight to ten were assigned with </w:t>
      </w:r>
      <w:r w:rsidR="004927B4" w:rsidRPr="00787196">
        <w:t xml:space="preserve">a </w:t>
      </w:r>
      <w:r w:rsidRPr="00787196">
        <w:t>value 5 (highest subjective social status).</w:t>
      </w:r>
      <w:r w:rsidR="00AB3116" w:rsidRPr="00787196">
        <w:br w:type="page"/>
      </w:r>
    </w:p>
    <w:p w14:paraId="3845C7BA" w14:textId="4B164121" w:rsidR="007F2237" w:rsidRPr="00787196" w:rsidRDefault="007F2237" w:rsidP="00D34772">
      <w:pPr>
        <w:rPr>
          <w:szCs w:val="24"/>
        </w:rPr>
      </w:pPr>
      <w:r w:rsidRPr="00787196">
        <w:lastRenderedPageBreak/>
        <w:t xml:space="preserve">Almost half (49.3 %) of the participants perceived themselves to be of the lowest social status; almost a fifth (19%) in a low moderate status; little less than a quarter (21%) in a moderate social status. </w:t>
      </w:r>
      <w:r w:rsidR="00D34772" w:rsidRPr="00787196">
        <w:t>Slightly</w:t>
      </w:r>
      <w:r w:rsidR="00E16BFA" w:rsidRPr="00787196">
        <w:t xml:space="preserve"> more than one</w:t>
      </w:r>
      <w:r w:rsidRPr="00787196">
        <w:t xml:space="preserve"> tenth of participants perceived themselves </w:t>
      </w:r>
      <w:r w:rsidR="00D34772" w:rsidRPr="00787196">
        <w:t>as of</w:t>
      </w:r>
      <w:r w:rsidRPr="00787196">
        <w:t xml:space="preserve"> high</w:t>
      </w:r>
      <w:r w:rsidR="005B4999" w:rsidRPr="00787196">
        <w:t>-</w:t>
      </w:r>
      <w:r w:rsidRPr="00787196">
        <w:t>moderate (6.5%) an</w:t>
      </w:r>
      <w:r w:rsidR="00E5185A" w:rsidRPr="00787196">
        <w:t>d high social status (4.5%</w:t>
      </w:r>
      <w:r w:rsidR="000720F4" w:rsidRPr="00787196">
        <w:t>).</w:t>
      </w:r>
    </w:p>
    <w:p w14:paraId="51490C83" w14:textId="72F7D687" w:rsidR="00675998" w:rsidRPr="00787196" w:rsidRDefault="00675998" w:rsidP="00000044">
      <w:pPr>
        <w:pStyle w:val="Caption"/>
        <w:keepNext/>
        <w:spacing w:before="0" w:after="0"/>
        <w:jc w:val="left"/>
        <w:rPr>
          <w:b/>
          <w:bCs/>
          <w:i w:val="0"/>
          <w:iCs w:val="0"/>
          <w:color w:val="auto"/>
          <w:sz w:val="24"/>
          <w:szCs w:val="24"/>
        </w:rPr>
      </w:pPr>
      <w:bookmarkStart w:id="251" w:name="_Toc461641236"/>
      <w:bookmarkStart w:id="252" w:name="_Toc488655540"/>
      <w:r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11</w:t>
      </w:r>
      <w:r w:rsidR="000332A1" w:rsidRPr="00787196">
        <w:rPr>
          <w:b/>
          <w:bCs/>
          <w:i w:val="0"/>
          <w:iCs w:val="0"/>
          <w:color w:val="auto"/>
          <w:sz w:val="24"/>
          <w:szCs w:val="24"/>
        </w:rPr>
        <w:fldChar w:fldCharType="end"/>
      </w:r>
      <w:r w:rsidR="00C67FF2" w:rsidRPr="00787196">
        <w:rPr>
          <w:b/>
          <w:bCs/>
          <w:i w:val="0"/>
          <w:iCs w:val="0"/>
          <w:color w:val="auto"/>
          <w:sz w:val="24"/>
          <w:szCs w:val="24"/>
        </w:rPr>
        <w:t>.</w:t>
      </w:r>
      <w:r w:rsidRPr="00787196">
        <w:rPr>
          <w:b/>
          <w:bCs/>
          <w:i w:val="0"/>
          <w:iCs w:val="0"/>
          <w:color w:val="auto"/>
          <w:sz w:val="24"/>
          <w:szCs w:val="24"/>
        </w:rPr>
        <w:t xml:space="preserve"> </w:t>
      </w:r>
      <w:r w:rsidR="009867E3" w:rsidRPr="00787196">
        <w:rPr>
          <w:b/>
          <w:bCs/>
          <w:i w:val="0"/>
          <w:iCs w:val="0"/>
          <w:color w:val="auto"/>
          <w:sz w:val="24"/>
          <w:szCs w:val="24"/>
        </w:rPr>
        <w:t>O</w:t>
      </w:r>
      <w:r w:rsidRPr="00787196">
        <w:rPr>
          <w:b/>
          <w:bCs/>
          <w:i w:val="0"/>
          <w:iCs w:val="0"/>
          <w:color w:val="auto"/>
          <w:sz w:val="24"/>
          <w:szCs w:val="24"/>
        </w:rPr>
        <w:t>utcome variable scores at baseline (T1) and follow-up (T2)</w:t>
      </w:r>
      <w:bookmarkEnd w:id="251"/>
      <w:bookmarkEnd w:id="252"/>
    </w:p>
    <w:tbl>
      <w:tblPr>
        <w:tblpPr w:leftFromText="180" w:rightFromText="180" w:vertAnchor="text" w:horzAnchor="margin" w:tblpY="294"/>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03"/>
        <w:gridCol w:w="389"/>
        <w:gridCol w:w="1314"/>
        <w:gridCol w:w="226"/>
        <w:gridCol w:w="1277"/>
        <w:gridCol w:w="1374"/>
        <w:gridCol w:w="280"/>
        <w:gridCol w:w="966"/>
      </w:tblGrid>
      <w:tr w:rsidR="00000044" w:rsidRPr="00787196" w14:paraId="677F3B57" w14:textId="77777777" w:rsidTr="00C26B0A">
        <w:trPr>
          <w:trHeight w:val="260"/>
        </w:trPr>
        <w:tc>
          <w:tcPr>
            <w:tcW w:w="2408" w:type="dxa"/>
            <w:tcBorders>
              <w:left w:val="nil"/>
              <w:bottom w:val="single" w:sz="8" w:space="0" w:color="000000"/>
              <w:right w:val="nil"/>
            </w:tcBorders>
            <w:shd w:val="clear" w:color="auto" w:fill="FFFFFF"/>
            <w:vAlign w:val="center"/>
          </w:tcPr>
          <w:p w14:paraId="74266DBD" w14:textId="77777777" w:rsidR="00000044" w:rsidRPr="00787196" w:rsidRDefault="00000044" w:rsidP="00C26B0A">
            <w:pPr>
              <w:autoSpaceDE w:val="0"/>
              <w:autoSpaceDN w:val="0"/>
              <w:adjustRightInd w:val="0"/>
              <w:spacing w:before="0" w:after="0" w:line="240" w:lineRule="auto"/>
              <w:jc w:val="left"/>
              <w:rPr>
                <w:rFonts w:cs="Arial"/>
                <w:b/>
                <w:bCs/>
                <w:color w:val="000000"/>
                <w:szCs w:val="24"/>
              </w:rPr>
            </w:pPr>
            <w:r w:rsidRPr="00787196">
              <w:rPr>
                <w:rFonts w:cs="Arial"/>
                <w:b/>
                <w:bCs/>
                <w:color w:val="000000"/>
                <w:szCs w:val="24"/>
              </w:rPr>
              <w:t xml:space="preserve">Variables </w:t>
            </w:r>
          </w:p>
        </w:tc>
        <w:tc>
          <w:tcPr>
            <w:tcW w:w="1709" w:type="dxa"/>
            <w:gridSpan w:val="2"/>
            <w:tcBorders>
              <w:left w:val="nil"/>
              <w:bottom w:val="single" w:sz="8" w:space="0" w:color="000000"/>
              <w:right w:val="nil"/>
            </w:tcBorders>
            <w:shd w:val="clear" w:color="auto" w:fill="FFFFFF"/>
            <w:vAlign w:val="center"/>
          </w:tcPr>
          <w:p w14:paraId="014CE99E"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Score range</w:t>
            </w:r>
          </w:p>
          <w:p w14:paraId="7EAB12E8"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(min-max)</w:t>
            </w:r>
          </w:p>
        </w:tc>
        <w:tc>
          <w:tcPr>
            <w:tcW w:w="1505" w:type="dxa"/>
            <w:gridSpan w:val="2"/>
            <w:tcBorders>
              <w:left w:val="nil"/>
              <w:bottom w:val="single" w:sz="8" w:space="0" w:color="000000"/>
              <w:right w:val="nil"/>
            </w:tcBorders>
            <w:shd w:val="clear" w:color="auto" w:fill="FFFFFF"/>
            <w:vAlign w:val="center"/>
          </w:tcPr>
          <w:p w14:paraId="04015D8D"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Measures</w:t>
            </w:r>
          </w:p>
        </w:tc>
        <w:tc>
          <w:tcPr>
            <w:tcW w:w="1375" w:type="dxa"/>
            <w:tcBorders>
              <w:left w:val="nil"/>
              <w:bottom w:val="single" w:sz="8" w:space="0" w:color="000000"/>
              <w:right w:val="nil"/>
            </w:tcBorders>
            <w:shd w:val="clear" w:color="auto" w:fill="FFFFFF"/>
          </w:tcPr>
          <w:p w14:paraId="436E8E43"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p w14:paraId="03548858"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Baseline</w:t>
            </w:r>
          </w:p>
          <w:p w14:paraId="5CFF4FF0"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n=201</w:t>
            </w:r>
          </w:p>
        </w:tc>
        <w:tc>
          <w:tcPr>
            <w:tcW w:w="1232" w:type="dxa"/>
            <w:gridSpan w:val="2"/>
            <w:tcBorders>
              <w:left w:val="nil"/>
              <w:bottom w:val="single" w:sz="8" w:space="0" w:color="000000"/>
              <w:right w:val="nil"/>
            </w:tcBorders>
            <w:shd w:val="clear" w:color="auto" w:fill="FFFFFF"/>
          </w:tcPr>
          <w:p w14:paraId="49AA9E54"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p w14:paraId="3188DBD3" w14:textId="77777777" w:rsidR="00000044" w:rsidRPr="00787196" w:rsidRDefault="00000044" w:rsidP="0000004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Follow-up</w:t>
            </w:r>
          </w:p>
          <w:p w14:paraId="6A66094A" w14:textId="77777777" w:rsidR="00000044" w:rsidRPr="00787196" w:rsidRDefault="00000044" w:rsidP="00000044">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N=191</w:t>
            </w:r>
          </w:p>
        </w:tc>
      </w:tr>
      <w:tr w:rsidR="00000044" w:rsidRPr="00787196" w14:paraId="0716E2E6" w14:textId="77777777" w:rsidTr="00C26B0A">
        <w:trPr>
          <w:trHeight w:val="250"/>
        </w:trPr>
        <w:tc>
          <w:tcPr>
            <w:tcW w:w="2408" w:type="dxa"/>
            <w:tcBorders>
              <w:left w:val="nil"/>
              <w:bottom w:val="nil"/>
              <w:right w:val="nil"/>
            </w:tcBorders>
            <w:shd w:val="clear" w:color="auto" w:fill="FFFFFF"/>
            <w:vAlign w:val="center"/>
          </w:tcPr>
          <w:p w14:paraId="1714622F" w14:textId="77777777" w:rsidR="00000044" w:rsidRPr="00787196" w:rsidRDefault="00000044" w:rsidP="00C26B0A">
            <w:pPr>
              <w:autoSpaceDE w:val="0"/>
              <w:autoSpaceDN w:val="0"/>
              <w:adjustRightInd w:val="0"/>
              <w:spacing w:before="0" w:after="0" w:line="240" w:lineRule="auto"/>
              <w:ind w:left="142"/>
              <w:jc w:val="left"/>
              <w:rPr>
                <w:rFonts w:cs="Arial"/>
                <w:b/>
                <w:bCs/>
                <w:color w:val="000000"/>
                <w:szCs w:val="24"/>
              </w:rPr>
            </w:pPr>
          </w:p>
        </w:tc>
        <w:tc>
          <w:tcPr>
            <w:tcW w:w="1709" w:type="dxa"/>
            <w:gridSpan w:val="2"/>
            <w:tcBorders>
              <w:left w:val="nil"/>
              <w:bottom w:val="nil"/>
              <w:right w:val="nil"/>
            </w:tcBorders>
            <w:shd w:val="clear" w:color="auto" w:fill="FFFFFF"/>
            <w:vAlign w:val="center"/>
          </w:tcPr>
          <w:p w14:paraId="040755EE"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505" w:type="dxa"/>
            <w:gridSpan w:val="2"/>
            <w:tcBorders>
              <w:left w:val="nil"/>
              <w:bottom w:val="nil"/>
              <w:right w:val="nil"/>
            </w:tcBorders>
            <w:shd w:val="clear" w:color="auto" w:fill="FFFFFF"/>
          </w:tcPr>
          <w:p w14:paraId="28784F6C"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375" w:type="dxa"/>
            <w:tcBorders>
              <w:left w:val="nil"/>
              <w:bottom w:val="nil"/>
              <w:right w:val="nil"/>
            </w:tcBorders>
            <w:shd w:val="clear" w:color="auto" w:fill="FFFFFF"/>
          </w:tcPr>
          <w:p w14:paraId="2A8BB269"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232" w:type="dxa"/>
            <w:gridSpan w:val="2"/>
            <w:tcBorders>
              <w:left w:val="nil"/>
              <w:bottom w:val="nil"/>
              <w:right w:val="nil"/>
            </w:tcBorders>
            <w:shd w:val="clear" w:color="auto" w:fill="FFFFFF"/>
          </w:tcPr>
          <w:p w14:paraId="4C482742"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r>
      <w:tr w:rsidR="00000044" w:rsidRPr="00787196" w14:paraId="7F674873" w14:textId="77777777" w:rsidTr="00C26B0A">
        <w:trPr>
          <w:trHeight w:val="250"/>
        </w:trPr>
        <w:tc>
          <w:tcPr>
            <w:tcW w:w="2408" w:type="dxa"/>
            <w:tcBorders>
              <w:top w:val="nil"/>
              <w:left w:val="nil"/>
              <w:bottom w:val="nil"/>
              <w:right w:val="nil"/>
            </w:tcBorders>
            <w:shd w:val="clear" w:color="auto" w:fill="FFFFFF"/>
            <w:vAlign w:val="center"/>
          </w:tcPr>
          <w:p w14:paraId="140B55D1"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Subjective SES</w:t>
            </w:r>
          </w:p>
        </w:tc>
        <w:tc>
          <w:tcPr>
            <w:tcW w:w="1709" w:type="dxa"/>
            <w:gridSpan w:val="2"/>
            <w:tcBorders>
              <w:top w:val="nil"/>
              <w:left w:val="nil"/>
              <w:bottom w:val="nil"/>
              <w:right w:val="nil"/>
            </w:tcBorders>
            <w:shd w:val="clear" w:color="auto" w:fill="FFFFFF"/>
            <w:vAlign w:val="center"/>
          </w:tcPr>
          <w:p w14:paraId="11E7F89D"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1-5</w:t>
            </w:r>
          </w:p>
        </w:tc>
        <w:tc>
          <w:tcPr>
            <w:tcW w:w="1505" w:type="dxa"/>
            <w:gridSpan w:val="2"/>
            <w:tcBorders>
              <w:top w:val="nil"/>
              <w:left w:val="nil"/>
              <w:bottom w:val="nil"/>
              <w:right w:val="nil"/>
            </w:tcBorders>
            <w:shd w:val="clear" w:color="auto" w:fill="FFFFFF"/>
          </w:tcPr>
          <w:p w14:paraId="0B394FAB"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Macarthur ladder</w:t>
            </w:r>
          </w:p>
        </w:tc>
        <w:tc>
          <w:tcPr>
            <w:tcW w:w="1375" w:type="dxa"/>
            <w:tcBorders>
              <w:top w:val="nil"/>
              <w:left w:val="nil"/>
              <w:bottom w:val="nil"/>
              <w:right w:val="nil"/>
            </w:tcBorders>
            <w:shd w:val="clear" w:color="auto" w:fill="FFFFFF"/>
          </w:tcPr>
          <w:p w14:paraId="30B2022D"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4.02 (1.17)</w:t>
            </w:r>
          </w:p>
        </w:tc>
        <w:tc>
          <w:tcPr>
            <w:tcW w:w="1232" w:type="dxa"/>
            <w:gridSpan w:val="2"/>
            <w:tcBorders>
              <w:top w:val="nil"/>
              <w:left w:val="nil"/>
              <w:bottom w:val="nil"/>
              <w:right w:val="nil"/>
            </w:tcBorders>
            <w:shd w:val="clear" w:color="auto" w:fill="FFFFFF"/>
          </w:tcPr>
          <w:p w14:paraId="380A54E3"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-NA-</w:t>
            </w:r>
          </w:p>
        </w:tc>
      </w:tr>
      <w:tr w:rsidR="00000044" w:rsidRPr="00787196" w14:paraId="7EFAE417" w14:textId="77777777" w:rsidTr="00C26B0A">
        <w:trPr>
          <w:trHeight w:val="250"/>
        </w:trPr>
        <w:tc>
          <w:tcPr>
            <w:tcW w:w="2408" w:type="dxa"/>
            <w:tcBorders>
              <w:top w:val="nil"/>
              <w:left w:val="nil"/>
              <w:bottom w:val="nil"/>
              <w:right w:val="nil"/>
            </w:tcBorders>
            <w:shd w:val="clear" w:color="auto" w:fill="FFFFFF"/>
            <w:vAlign w:val="center"/>
          </w:tcPr>
          <w:p w14:paraId="385368A0"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Concern about oral health</w:t>
            </w:r>
          </w:p>
        </w:tc>
        <w:tc>
          <w:tcPr>
            <w:tcW w:w="1709" w:type="dxa"/>
            <w:gridSpan w:val="2"/>
            <w:tcBorders>
              <w:top w:val="nil"/>
              <w:left w:val="nil"/>
              <w:bottom w:val="nil"/>
              <w:right w:val="nil"/>
            </w:tcBorders>
            <w:shd w:val="clear" w:color="auto" w:fill="FFFFFF"/>
            <w:vAlign w:val="center"/>
          </w:tcPr>
          <w:p w14:paraId="72E19DE9" w14:textId="283593D2" w:rsidR="00000044" w:rsidRPr="00787196" w:rsidRDefault="00BD28AA" w:rsidP="00BD28A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w:t>
            </w:r>
            <w:r w:rsidR="00000044" w:rsidRPr="00787196">
              <w:rPr>
                <w:rFonts w:cs="Arial"/>
                <w:color w:val="000000"/>
                <w:sz w:val="20"/>
                <w:szCs w:val="20"/>
              </w:rPr>
              <w:t>-</w:t>
            </w:r>
            <w:r w:rsidRPr="00787196">
              <w:rPr>
                <w:rFonts w:cs="Arial"/>
                <w:color w:val="000000"/>
                <w:sz w:val="20"/>
                <w:szCs w:val="20"/>
              </w:rPr>
              <w:t>30</w:t>
            </w:r>
          </w:p>
        </w:tc>
        <w:tc>
          <w:tcPr>
            <w:tcW w:w="1505" w:type="dxa"/>
            <w:gridSpan w:val="2"/>
            <w:tcBorders>
              <w:top w:val="nil"/>
              <w:left w:val="nil"/>
              <w:bottom w:val="nil"/>
              <w:right w:val="nil"/>
            </w:tcBorders>
            <w:shd w:val="clear" w:color="auto" w:fill="FFFFFF"/>
          </w:tcPr>
          <w:p w14:paraId="5473E10A"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Maslow’s needs</w:t>
            </w:r>
          </w:p>
        </w:tc>
        <w:tc>
          <w:tcPr>
            <w:tcW w:w="1375" w:type="dxa"/>
            <w:tcBorders>
              <w:top w:val="nil"/>
              <w:left w:val="nil"/>
              <w:bottom w:val="nil"/>
              <w:right w:val="nil"/>
            </w:tcBorders>
            <w:shd w:val="clear" w:color="auto" w:fill="FFFFFF"/>
          </w:tcPr>
          <w:p w14:paraId="7C8D1DF6"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13.53(4.22)</w:t>
            </w:r>
          </w:p>
        </w:tc>
        <w:tc>
          <w:tcPr>
            <w:tcW w:w="1232" w:type="dxa"/>
            <w:gridSpan w:val="2"/>
            <w:tcBorders>
              <w:top w:val="nil"/>
              <w:left w:val="nil"/>
              <w:bottom w:val="nil"/>
              <w:right w:val="nil"/>
            </w:tcBorders>
            <w:shd w:val="clear" w:color="auto" w:fill="FFFFFF"/>
          </w:tcPr>
          <w:p w14:paraId="4CC364B2"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14.29 (3.78)</w:t>
            </w:r>
          </w:p>
        </w:tc>
      </w:tr>
      <w:tr w:rsidR="00000044" w:rsidRPr="00787196" w14:paraId="4FCE418E" w14:textId="77777777" w:rsidTr="00C26B0A">
        <w:trPr>
          <w:trHeight w:val="250"/>
        </w:trPr>
        <w:tc>
          <w:tcPr>
            <w:tcW w:w="2408" w:type="dxa"/>
            <w:tcBorders>
              <w:top w:val="nil"/>
              <w:left w:val="nil"/>
              <w:bottom w:val="nil"/>
              <w:right w:val="nil"/>
            </w:tcBorders>
            <w:shd w:val="clear" w:color="auto" w:fill="FFFFFF"/>
            <w:vAlign w:val="center"/>
          </w:tcPr>
          <w:p w14:paraId="7A0D47FA"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Ageing expectations</w:t>
            </w:r>
          </w:p>
        </w:tc>
        <w:tc>
          <w:tcPr>
            <w:tcW w:w="1709" w:type="dxa"/>
            <w:gridSpan w:val="2"/>
            <w:tcBorders>
              <w:top w:val="nil"/>
              <w:left w:val="nil"/>
              <w:bottom w:val="nil"/>
              <w:right w:val="nil"/>
            </w:tcBorders>
            <w:shd w:val="clear" w:color="auto" w:fill="FFFFFF"/>
            <w:vAlign w:val="center"/>
          </w:tcPr>
          <w:p w14:paraId="6A8F4B50" w14:textId="50A35BEA" w:rsidR="00000044" w:rsidRPr="00787196" w:rsidRDefault="00F67538" w:rsidP="00BD28A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w:t>
            </w:r>
            <w:r w:rsidR="00BD28AA" w:rsidRPr="00787196">
              <w:rPr>
                <w:rFonts w:cs="Arial"/>
                <w:color w:val="000000"/>
                <w:sz w:val="20"/>
                <w:szCs w:val="20"/>
              </w:rPr>
              <w:t>2-48</w:t>
            </w:r>
          </w:p>
        </w:tc>
        <w:tc>
          <w:tcPr>
            <w:tcW w:w="1505" w:type="dxa"/>
            <w:gridSpan w:val="2"/>
            <w:tcBorders>
              <w:top w:val="nil"/>
              <w:left w:val="nil"/>
              <w:bottom w:val="nil"/>
              <w:right w:val="nil"/>
            </w:tcBorders>
            <w:shd w:val="clear" w:color="auto" w:fill="FFFFFF"/>
          </w:tcPr>
          <w:p w14:paraId="164921E5"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ERA-12</w:t>
            </w:r>
          </w:p>
        </w:tc>
        <w:tc>
          <w:tcPr>
            <w:tcW w:w="1375" w:type="dxa"/>
            <w:tcBorders>
              <w:top w:val="nil"/>
              <w:left w:val="nil"/>
              <w:bottom w:val="nil"/>
              <w:right w:val="nil"/>
            </w:tcBorders>
            <w:shd w:val="clear" w:color="auto" w:fill="FFFFFF"/>
          </w:tcPr>
          <w:p w14:paraId="0EA5FBE7"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40.86(5.94)</w:t>
            </w:r>
          </w:p>
        </w:tc>
        <w:tc>
          <w:tcPr>
            <w:tcW w:w="1232" w:type="dxa"/>
            <w:gridSpan w:val="2"/>
            <w:tcBorders>
              <w:top w:val="nil"/>
              <w:left w:val="nil"/>
              <w:bottom w:val="nil"/>
              <w:right w:val="nil"/>
            </w:tcBorders>
            <w:shd w:val="clear" w:color="auto" w:fill="FFFFFF"/>
          </w:tcPr>
          <w:p w14:paraId="10BD78C1"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37.46 (5.93)</w:t>
            </w:r>
          </w:p>
        </w:tc>
      </w:tr>
      <w:tr w:rsidR="00000044" w:rsidRPr="00787196" w14:paraId="19A2646E" w14:textId="77777777" w:rsidTr="00C26B0A">
        <w:trPr>
          <w:trHeight w:val="250"/>
        </w:trPr>
        <w:tc>
          <w:tcPr>
            <w:tcW w:w="2408" w:type="dxa"/>
            <w:tcBorders>
              <w:top w:val="nil"/>
              <w:left w:val="nil"/>
              <w:bottom w:val="nil"/>
              <w:right w:val="nil"/>
            </w:tcBorders>
            <w:shd w:val="clear" w:color="auto" w:fill="FFFFFF"/>
            <w:vAlign w:val="center"/>
          </w:tcPr>
          <w:p w14:paraId="36B5BC54"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Perceived stress</w:t>
            </w:r>
          </w:p>
        </w:tc>
        <w:tc>
          <w:tcPr>
            <w:tcW w:w="1709" w:type="dxa"/>
            <w:gridSpan w:val="2"/>
            <w:tcBorders>
              <w:top w:val="nil"/>
              <w:left w:val="nil"/>
              <w:bottom w:val="nil"/>
              <w:right w:val="nil"/>
            </w:tcBorders>
            <w:shd w:val="clear" w:color="auto" w:fill="FFFFFF"/>
            <w:vAlign w:val="center"/>
          </w:tcPr>
          <w:p w14:paraId="7506B0E3"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4-20</w:t>
            </w:r>
          </w:p>
        </w:tc>
        <w:tc>
          <w:tcPr>
            <w:tcW w:w="1505" w:type="dxa"/>
            <w:gridSpan w:val="2"/>
            <w:tcBorders>
              <w:top w:val="nil"/>
              <w:left w:val="nil"/>
              <w:bottom w:val="nil"/>
              <w:right w:val="nil"/>
            </w:tcBorders>
            <w:shd w:val="clear" w:color="auto" w:fill="FFFFFF"/>
          </w:tcPr>
          <w:p w14:paraId="1CBCF485"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PSS-4</w:t>
            </w:r>
          </w:p>
        </w:tc>
        <w:tc>
          <w:tcPr>
            <w:tcW w:w="1375" w:type="dxa"/>
            <w:tcBorders>
              <w:top w:val="nil"/>
              <w:left w:val="nil"/>
              <w:bottom w:val="nil"/>
              <w:right w:val="nil"/>
            </w:tcBorders>
            <w:shd w:val="clear" w:color="auto" w:fill="FFFFFF"/>
          </w:tcPr>
          <w:p w14:paraId="17FD5621"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12.17 (3.25)</w:t>
            </w:r>
          </w:p>
        </w:tc>
        <w:tc>
          <w:tcPr>
            <w:tcW w:w="1232" w:type="dxa"/>
            <w:gridSpan w:val="2"/>
            <w:tcBorders>
              <w:top w:val="nil"/>
              <w:left w:val="nil"/>
              <w:bottom w:val="nil"/>
              <w:right w:val="nil"/>
            </w:tcBorders>
            <w:shd w:val="clear" w:color="auto" w:fill="FFFFFF"/>
          </w:tcPr>
          <w:p w14:paraId="6CDDF239"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12.77(2.42)</w:t>
            </w:r>
          </w:p>
        </w:tc>
      </w:tr>
      <w:tr w:rsidR="00000044" w:rsidRPr="00787196" w14:paraId="174BE3EE" w14:textId="77777777" w:rsidTr="00C26B0A">
        <w:trPr>
          <w:trHeight w:val="250"/>
        </w:trPr>
        <w:tc>
          <w:tcPr>
            <w:tcW w:w="2408" w:type="dxa"/>
            <w:tcBorders>
              <w:top w:val="nil"/>
              <w:left w:val="nil"/>
              <w:bottom w:val="nil"/>
              <w:right w:val="nil"/>
            </w:tcBorders>
            <w:shd w:val="clear" w:color="auto" w:fill="FFFFFF"/>
            <w:vAlign w:val="center"/>
          </w:tcPr>
          <w:p w14:paraId="05F37CD9" w14:textId="77777777" w:rsidR="00000044" w:rsidRPr="00787196" w:rsidRDefault="00000044" w:rsidP="00C26B0A">
            <w:pPr>
              <w:autoSpaceDE w:val="0"/>
              <w:autoSpaceDN w:val="0"/>
              <w:adjustRightInd w:val="0"/>
              <w:spacing w:before="0" w:after="0" w:line="240" w:lineRule="auto"/>
              <w:jc w:val="left"/>
              <w:rPr>
                <w:rFonts w:cs="Arial"/>
                <w:color w:val="000000"/>
                <w:szCs w:val="24"/>
              </w:rPr>
            </w:pPr>
          </w:p>
        </w:tc>
        <w:tc>
          <w:tcPr>
            <w:tcW w:w="1709" w:type="dxa"/>
            <w:gridSpan w:val="2"/>
            <w:tcBorders>
              <w:top w:val="nil"/>
              <w:left w:val="nil"/>
              <w:bottom w:val="nil"/>
              <w:right w:val="nil"/>
            </w:tcBorders>
            <w:shd w:val="clear" w:color="auto" w:fill="FFFFFF"/>
            <w:vAlign w:val="center"/>
          </w:tcPr>
          <w:p w14:paraId="69093CBD"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505" w:type="dxa"/>
            <w:gridSpan w:val="2"/>
            <w:tcBorders>
              <w:top w:val="nil"/>
              <w:left w:val="nil"/>
              <w:bottom w:val="nil"/>
              <w:right w:val="nil"/>
            </w:tcBorders>
            <w:shd w:val="clear" w:color="auto" w:fill="FFFFFF"/>
          </w:tcPr>
          <w:p w14:paraId="226C096F"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375" w:type="dxa"/>
            <w:tcBorders>
              <w:top w:val="nil"/>
              <w:left w:val="nil"/>
              <w:bottom w:val="nil"/>
              <w:right w:val="nil"/>
            </w:tcBorders>
            <w:shd w:val="clear" w:color="auto" w:fill="FFFFFF"/>
          </w:tcPr>
          <w:p w14:paraId="25B2BAF2"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232" w:type="dxa"/>
            <w:gridSpan w:val="2"/>
            <w:tcBorders>
              <w:top w:val="nil"/>
              <w:left w:val="nil"/>
              <w:bottom w:val="nil"/>
              <w:right w:val="nil"/>
            </w:tcBorders>
            <w:shd w:val="clear" w:color="auto" w:fill="FFFFFF"/>
          </w:tcPr>
          <w:p w14:paraId="54BAA4AA"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r>
      <w:tr w:rsidR="00000044" w:rsidRPr="00787196" w14:paraId="4DED2E9F" w14:textId="77777777" w:rsidTr="00C26B0A">
        <w:trPr>
          <w:trHeight w:val="151"/>
        </w:trPr>
        <w:tc>
          <w:tcPr>
            <w:tcW w:w="2408" w:type="dxa"/>
            <w:tcBorders>
              <w:top w:val="nil"/>
              <w:left w:val="nil"/>
              <w:bottom w:val="nil"/>
              <w:right w:val="nil"/>
            </w:tcBorders>
            <w:shd w:val="clear" w:color="auto" w:fill="FFFFFF"/>
            <w:vAlign w:val="center"/>
          </w:tcPr>
          <w:p w14:paraId="5573D097" w14:textId="77777777" w:rsidR="00000044" w:rsidRPr="00787196" w:rsidRDefault="00000044" w:rsidP="00C26B0A">
            <w:pPr>
              <w:autoSpaceDE w:val="0"/>
              <w:autoSpaceDN w:val="0"/>
              <w:adjustRightInd w:val="0"/>
              <w:spacing w:before="0" w:after="0" w:line="240" w:lineRule="auto"/>
              <w:jc w:val="left"/>
              <w:rPr>
                <w:rFonts w:cs="Arial"/>
                <w:b/>
                <w:bCs/>
                <w:color w:val="000000"/>
                <w:szCs w:val="24"/>
              </w:rPr>
            </w:pPr>
            <w:r w:rsidRPr="00787196">
              <w:rPr>
                <w:rFonts w:cs="Arial"/>
                <w:b/>
                <w:bCs/>
                <w:color w:val="000000"/>
                <w:szCs w:val="24"/>
              </w:rPr>
              <w:t>Outcome variables</w:t>
            </w:r>
          </w:p>
        </w:tc>
        <w:tc>
          <w:tcPr>
            <w:tcW w:w="1709" w:type="dxa"/>
            <w:gridSpan w:val="2"/>
            <w:tcBorders>
              <w:top w:val="nil"/>
              <w:left w:val="nil"/>
              <w:bottom w:val="nil"/>
              <w:right w:val="nil"/>
            </w:tcBorders>
            <w:shd w:val="clear" w:color="auto" w:fill="FFFFFF"/>
            <w:vAlign w:val="center"/>
          </w:tcPr>
          <w:p w14:paraId="5716145C"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505" w:type="dxa"/>
            <w:gridSpan w:val="2"/>
            <w:tcBorders>
              <w:top w:val="nil"/>
              <w:left w:val="nil"/>
              <w:bottom w:val="nil"/>
              <w:right w:val="nil"/>
            </w:tcBorders>
            <w:shd w:val="clear" w:color="auto" w:fill="FFFFFF"/>
          </w:tcPr>
          <w:p w14:paraId="0517EFA8"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375" w:type="dxa"/>
            <w:tcBorders>
              <w:top w:val="nil"/>
              <w:left w:val="nil"/>
              <w:bottom w:val="nil"/>
              <w:right w:val="nil"/>
            </w:tcBorders>
            <w:shd w:val="clear" w:color="auto" w:fill="FFFFFF"/>
          </w:tcPr>
          <w:p w14:paraId="0251B888"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c>
          <w:tcPr>
            <w:tcW w:w="1232" w:type="dxa"/>
            <w:gridSpan w:val="2"/>
            <w:tcBorders>
              <w:top w:val="nil"/>
              <w:left w:val="nil"/>
              <w:bottom w:val="nil"/>
              <w:right w:val="nil"/>
            </w:tcBorders>
            <w:shd w:val="clear" w:color="auto" w:fill="FFFFFF"/>
          </w:tcPr>
          <w:p w14:paraId="1420EB3D"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p>
        </w:tc>
      </w:tr>
      <w:tr w:rsidR="00000044" w:rsidRPr="00787196" w14:paraId="2C06B9EA" w14:textId="77777777" w:rsidTr="00C26B0A">
        <w:trPr>
          <w:trHeight w:val="109"/>
        </w:trPr>
        <w:tc>
          <w:tcPr>
            <w:tcW w:w="2408" w:type="dxa"/>
            <w:tcBorders>
              <w:top w:val="nil"/>
              <w:left w:val="nil"/>
              <w:bottom w:val="nil"/>
              <w:right w:val="nil"/>
            </w:tcBorders>
            <w:shd w:val="clear" w:color="auto" w:fill="FFFFFF"/>
            <w:vAlign w:val="center"/>
          </w:tcPr>
          <w:p w14:paraId="1F2261BB"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OHQoL</w:t>
            </w:r>
          </w:p>
        </w:tc>
        <w:tc>
          <w:tcPr>
            <w:tcW w:w="1709" w:type="dxa"/>
            <w:gridSpan w:val="2"/>
            <w:tcBorders>
              <w:top w:val="nil"/>
              <w:left w:val="nil"/>
              <w:bottom w:val="nil"/>
              <w:right w:val="nil"/>
            </w:tcBorders>
            <w:shd w:val="clear" w:color="auto" w:fill="FFFFFF"/>
            <w:vAlign w:val="center"/>
          </w:tcPr>
          <w:p w14:paraId="050BFFDB" w14:textId="7AAFADCE" w:rsidR="00000044" w:rsidRPr="00787196" w:rsidRDefault="00BD28AA" w:rsidP="00BD28A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19</w:t>
            </w:r>
            <w:r w:rsidR="00000044" w:rsidRPr="00787196">
              <w:rPr>
                <w:rFonts w:cs="Arial"/>
                <w:color w:val="000000"/>
                <w:sz w:val="20"/>
                <w:szCs w:val="20"/>
              </w:rPr>
              <w:t>-</w:t>
            </w:r>
            <w:r w:rsidRPr="00787196">
              <w:rPr>
                <w:rFonts w:cs="Arial"/>
                <w:color w:val="000000"/>
                <w:sz w:val="20"/>
                <w:szCs w:val="20"/>
              </w:rPr>
              <w:t>95</w:t>
            </w:r>
          </w:p>
        </w:tc>
        <w:tc>
          <w:tcPr>
            <w:tcW w:w="1505" w:type="dxa"/>
            <w:gridSpan w:val="2"/>
            <w:tcBorders>
              <w:top w:val="nil"/>
              <w:left w:val="nil"/>
              <w:bottom w:val="nil"/>
              <w:right w:val="nil"/>
            </w:tcBorders>
            <w:shd w:val="clear" w:color="auto" w:fill="FFFFFF"/>
          </w:tcPr>
          <w:p w14:paraId="38631B86"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OHIP- EDENT</w:t>
            </w:r>
          </w:p>
        </w:tc>
        <w:tc>
          <w:tcPr>
            <w:tcW w:w="1375" w:type="dxa"/>
            <w:tcBorders>
              <w:top w:val="nil"/>
              <w:left w:val="nil"/>
              <w:bottom w:val="nil"/>
              <w:right w:val="nil"/>
            </w:tcBorders>
            <w:shd w:val="clear" w:color="auto" w:fill="FFFFFF"/>
          </w:tcPr>
          <w:p w14:paraId="4D23A88A"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44.32 (13.16)</w:t>
            </w:r>
          </w:p>
        </w:tc>
        <w:tc>
          <w:tcPr>
            <w:tcW w:w="1232" w:type="dxa"/>
            <w:gridSpan w:val="2"/>
            <w:tcBorders>
              <w:top w:val="nil"/>
              <w:left w:val="nil"/>
              <w:bottom w:val="nil"/>
              <w:right w:val="nil"/>
            </w:tcBorders>
            <w:shd w:val="clear" w:color="auto" w:fill="FFFFFF"/>
          </w:tcPr>
          <w:p w14:paraId="6C058D32"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36.64 (11.13)</w:t>
            </w:r>
          </w:p>
        </w:tc>
      </w:tr>
      <w:tr w:rsidR="00000044" w:rsidRPr="00787196" w14:paraId="3A751895" w14:textId="77777777" w:rsidTr="00BD28AA">
        <w:trPr>
          <w:trHeight w:val="477"/>
        </w:trPr>
        <w:tc>
          <w:tcPr>
            <w:tcW w:w="2408" w:type="dxa"/>
            <w:tcBorders>
              <w:top w:val="nil"/>
              <w:left w:val="nil"/>
              <w:bottom w:val="nil"/>
              <w:right w:val="nil"/>
            </w:tcBorders>
            <w:shd w:val="clear" w:color="auto" w:fill="FFFFFF"/>
            <w:vAlign w:val="center"/>
          </w:tcPr>
          <w:p w14:paraId="19171E80"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Denture satisfaction</w:t>
            </w:r>
          </w:p>
        </w:tc>
        <w:tc>
          <w:tcPr>
            <w:tcW w:w="1709" w:type="dxa"/>
            <w:gridSpan w:val="2"/>
            <w:tcBorders>
              <w:top w:val="nil"/>
              <w:left w:val="nil"/>
              <w:bottom w:val="nil"/>
              <w:right w:val="nil"/>
            </w:tcBorders>
            <w:shd w:val="clear" w:color="auto" w:fill="FFFFFF"/>
            <w:vAlign w:val="center"/>
          </w:tcPr>
          <w:p w14:paraId="26F9DBD5" w14:textId="14C64025" w:rsidR="00000044" w:rsidRPr="00787196" w:rsidRDefault="00BD28AA"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w:t>
            </w:r>
            <w:r w:rsidR="00000044" w:rsidRPr="00787196">
              <w:rPr>
                <w:rFonts w:cs="Arial"/>
                <w:color w:val="000000"/>
                <w:sz w:val="20"/>
                <w:szCs w:val="20"/>
              </w:rPr>
              <w:t>-45</w:t>
            </w:r>
          </w:p>
        </w:tc>
        <w:tc>
          <w:tcPr>
            <w:tcW w:w="1505" w:type="dxa"/>
            <w:gridSpan w:val="2"/>
            <w:tcBorders>
              <w:top w:val="nil"/>
              <w:left w:val="nil"/>
              <w:bottom w:val="nil"/>
              <w:right w:val="nil"/>
            </w:tcBorders>
            <w:shd w:val="clear" w:color="auto" w:fill="FFFFFF"/>
          </w:tcPr>
          <w:p w14:paraId="5A735138"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de Liz Pocztaruk</w:t>
            </w:r>
          </w:p>
        </w:tc>
        <w:tc>
          <w:tcPr>
            <w:tcW w:w="1375" w:type="dxa"/>
            <w:tcBorders>
              <w:top w:val="nil"/>
              <w:left w:val="nil"/>
              <w:bottom w:val="nil"/>
              <w:right w:val="nil"/>
            </w:tcBorders>
            <w:shd w:val="clear" w:color="auto" w:fill="FFFFFF"/>
          </w:tcPr>
          <w:p w14:paraId="14FFBF31"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28.22 (10.37)</w:t>
            </w:r>
          </w:p>
        </w:tc>
        <w:tc>
          <w:tcPr>
            <w:tcW w:w="1232" w:type="dxa"/>
            <w:gridSpan w:val="2"/>
            <w:tcBorders>
              <w:top w:val="nil"/>
              <w:left w:val="nil"/>
              <w:bottom w:val="nil"/>
              <w:right w:val="nil"/>
            </w:tcBorders>
            <w:shd w:val="clear" w:color="auto" w:fill="FFFFFF"/>
          </w:tcPr>
          <w:p w14:paraId="32567938"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20.77 (8.501)</w:t>
            </w:r>
          </w:p>
        </w:tc>
      </w:tr>
      <w:tr w:rsidR="00000044" w:rsidRPr="00787196" w14:paraId="66C62AE4" w14:textId="77777777" w:rsidTr="00C26B0A">
        <w:trPr>
          <w:trHeight w:val="150"/>
        </w:trPr>
        <w:tc>
          <w:tcPr>
            <w:tcW w:w="2408" w:type="dxa"/>
            <w:tcBorders>
              <w:top w:val="nil"/>
              <w:left w:val="nil"/>
              <w:bottom w:val="nil"/>
              <w:right w:val="nil"/>
            </w:tcBorders>
            <w:shd w:val="clear" w:color="auto" w:fill="FFFFFF"/>
            <w:vAlign w:val="center"/>
          </w:tcPr>
          <w:p w14:paraId="393CF1A8" w14:textId="77777777" w:rsidR="00000044" w:rsidRPr="00787196" w:rsidRDefault="00000044" w:rsidP="00C26B0A">
            <w:pPr>
              <w:autoSpaceDE w:val="0"/>
              <w:autoSpaceDN w:val="0"/>
              <w:adjustRightInd w:val="0"/>
              <w:spacing w:before="0" w:after="0" w:line="240" w:lineRule="auto"/>
              <w:jc w:val="left"/>
              <w:rPr>
                <w:rFonts w:cs="Arial"/>
                <w:color w:val="000000"/>
                <w:szCs w:val="24"/>
              </w:rPr>
            </w:pPr>
            <w:r w:rsidRPr="00787196">
              <w:rPr>
                <w:rFonts w:cs="Arial"/>
                <w:color w:val="000000"/>
                <w:szCs w:val="24"/>
              </w:rPr>
              <w:t>Chewing ability</w:t>
            </w:r>
          </w:p>
        </w:tc>
        <w:tc>
          <w:tcPr>
            <w:tcW w:w="1709" w:type="dxa"/>
            <w:gridSpan w:val="2"/>
            <w:tcBorders>
              <w:top w:val="nil"/>
              <w:left w:val="nil"/>
              <w:bottom w:val="nil"/>
              <w:right w:val="nil"/>
            </w:tcBorders>
            <w:shd w:val="clear" w:color="auto" w:fill="FFFFFF"/>
            <w:vAlign w:val="center"/>
          </w:tcPr>
          <w:p w14:paraId="720F9897"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w:t>
            </w:r>
          </w:p>
        </w:tc>
        <w:tc>
          <w:tcPr>
            <w:tcW w:w="1505" w:type="dxa"/>
            <w:gridSpan w:val="2"/>
            <w:tcBorders>
              <w:top w:val="nil"/>
              <w:left w:val="nil"/>
              <w:bottom w:val="nil"/>
              <w:right w:val="nil"/>
            </w:tcBorders>
            <w:shd w:val="clear" w:color="auto" w:fill="FFFFFF"/>
          </w:tcPr>
          <w:p w14:paraId="5B5DBB89"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Leake’s index</w:t>
            </w:r>
          </w:p>
        </w:tc>
        <w:tc>
          <w:tcPr>
            <w:tcW w:w="1375" w:type="dxa"/>
            <w:tcBorders>
              <w:top w:val="nil"/>
              <w:left w:val="nil"/>
              <w:bottom w:val="nil"/>
              <w:right w:val="nil"/>
            </w:tcBorders>
            <w:shd w:val="clear" w:color="auto" w:fill="FFFFFF"/>
          </w:tcPr>
          <w:p w14:paraId="35F05927"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1.83 (1.29)</w:t>
            </w:r>
          </w:p>
        </w:tc>
        <w:tc>
          <w:tcPr>
            <w:tcW w:w="1232" w:type="dxa"/>
            <w:gridSpan w:val="2"/>
            <w:tcBorders>
              <w:top w:val="nil"/>
              <w:left w:val="nil"/>
              <w:bottom w:val="nil"/>
              <w:right w:val="nil"/>
            </w:tcBorders>
            <w:shd w:val="clear" w:color="auto" w:fill="FFFFFF"/>
          </w:tcPr>
          <w:p w14:paraId="6098F399" w14:textId="77777777" w:rsidR="00000044" w:rsidRPr="00787196" w:rsidRDefault="00000044" w:rsidP="00000044">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2.44 (1.37)</w:t>
            </w:r>
          </w:p>
        </w:tc>
      </w:tr>
      <w:tr w:rsidR="00000044" w:rsidRPr="00787196" w14:paraId="61CE4B5B" w14:textId="77777777" w:rsidTr="00C26B0A">
        <w:trPr>
          <w:trHeight w:val="150"/>
        </w:trPr>
        <w:tc>
          <w:tcPr>
            <w:tcW w:w="2798" w:type="dxa"/>
            <w:gridSpan w:val="2"/>
            <w:tcBorders>
              <w:top w:val="nil"/>
              <w:left w:val="nil"/>
              <w:right w:val="nil"/>
            </w:tcBorders>
            <w:shd w:val="clear" w:color="auto" w:fill="FFFFFF"/>
            <w:vAlign w:val="center"/>
          </w:tcPr>
          <w:p w14:paraId="5B6865C3" w14:textId="77777777" w:rsidR="00000044" w:rsidRPr="00787196" w:rsidRDefault="00000044" w:rsidP="00C26B0A">
            <w:pPr>
              <w:autoSpaceDE w:val="0"/>
              <w:autoSpaceDN w:val="0"/>
              <w:adjustRightInd w:val="0"/>
              <w:spacing w:before="0" w:after="0" w:line="240" w:lineRule="auto"/>
              <w:jc w:val="left"/>
              <w:rPr>
                <w:rFonts w:cs="Arial"/>
                <w:color w:val="000000"/>
                <w:szCs w:val="24"/>
              </w:rPr>
            </w:pPr>
          </w:p>
        </w:tc>
        <w:tc>
          <w:tcPr>
            <w:tcW w:w="1545" w:type="dxa"/>
            <w:gridSpan w:val="2"/>
            <w:tcBorders>
              <w:top w:val="nil"/>
              <w:left w:val="nil"/>
              <w:right w:val="nil"/>
            </w:tcBorders>
            <w:shd w:val="clear" w:color="auto" w:fill="FFFFFF"/>
          </w:tcPr>
          <w:p w14:paraId="4F14CA1F" w14:textId="77777777" w:rsidR="00000044" w:rsidRPr="00787196" w:rsidRDefault="00000044" w:rsidP="00000044">
            <w:pPr>
              <w:autoSpaceDE w:val="0"/>
              <w:autoSpaceDN w:val="0"/>
              <w:adjustRightInd w:val="0"/>
              <w:spacing w:before="0" w:after="0" w:line="240" w:lineRule="auto"/>
              <w:ind w:left="142"/>
              <w:rPr>
                <w:rFonts w:cs="Arial"/>
                <w:color w:val="000000"/>
                <w:szCs w:val="24"/>
              </w:rPr>
            </w:pPr>
          </w:p>
        </w:tc>
        <w:tc>
          <w:tcPr>
            <w:tcW w:w="1278" w:type="dxa"/>
            <w:tcBorders>
              <w:top w:val="nil"/>
              <w:left w:val="nil"/>
              <w:right w:val="nil"/>
            </w:tcBorders>
            <w:shd w:val="clear" w:color="auto" w:fill="FFFFFF"/>
          </w:tcPr>
          <w:p w14:paraId="6B9AF0C2" w14:textId="77777777" w:rsidR="00000044" w:rsidRPr="00787196" w:rsidRDefault="00000044" w:rsidP="00000044">
            <w:pPr>
              <w:autoSpaceDE w:val="0"/>
              <w:autoSpaceDN w:val="0"/>
              <w:adjustRightInd w:val="0"/>
              <w:spacing w:before="0" w:after="0" w:line="240" w:lineRule="auto"/>
              <w:ind w:left="142"/>
              <w:rPr>
                <w:rFonts w:cs="Arial"/>
                <w:color w:val="000000"/>
                <w:szCs w:val="24"/>
              </w:rPr>
            </w:pPr>
          </w:p>
        </w:tc>
        <w:tc>
          <w:tcPr>
            <w:tcW w:w="1655" w:type="dxa"/>
            <w:gridSpan w:val="2"/>
            <w:tcBorders>
              <w:top w:val="nil"/>
              <w:left w:val="nil"/>
              <w:right w:val="nil"/>
            </w:tcBorders>
            <w:shd w:val="clear" w:color="auto" w:fill="FFFFFF"/>
          </w:tcPr>
          <w:p w14:paraId="32133917" w14:textId="77777777" w:rsidR="00000044" w:rsidRPr="00787196" w:rsidRDefault="00000044" w:rsidP="00000044">
            <w:pPr>
              <w:autoSpaceDE w:val="0"/>
              <w:autoSpaceDN w:val="0"/>
              <w:adjustRightInd w:val="0"/>
              <w:spacing w:before="0" w:after="0" w:line="240" w:lineRule="auto"/>
              <w:ind w:left="142"/>
              <w:rPr>
                <w:rFonts w:cs="Arial"/>
                <w:color w:val="000000"/>
                <w:szCs w:val="24"/>
              </w:rPr>
            </w:pPr>
          </w:p>
        </w:tc>
        <w:tc>
          <w:tcPr>
            <w:tcW w:w="953" w:type="dxa"/>
            <w:tcBorders>
              <w:top w:val="nil"/>
              <w:left w:val="nil"/>
              <w:right w:val="nil"/>
            </w:tcBorders>
            <w:shd w:val="clear" w:color="auto" w:fill="FFFFFF"/>
            <w:vAlign w:val="center"/>
          </w:tcPr>
          <w:p w14:paraId="2681EF83" w14:textId="77777777" w:rsidR="00000044" w:rsidRPr="00787196" w:rsidRDefault="00000044" w:rsidP="00000044">
            <w:pPr>
              <w:autoSpaceDE w:val="0"/>
              <w:autoSpaceDN w:val="0"/>
              <w:adjustRightInd w:val="0"/>
              <w:spacing w:before="0" w:after="0" w:line="240" w:lineRule="auto"/>
              <w:ind w:left="142"/>
              <w:rPr>
                <w:rFonts w:cs="Arial"/>
                <w:color w:val="000000"/>
                <w:szCs w:val="24"/>
              </w:rPr>
            </w:pPr>
          </w:p>
        </w:tc>
      </w:tr>
    </w:tbl>
    <w:p w14:paraId="4F66DF4D" w14:textId="77777777" w:rsidR="00AC37CE" w:rsidRPr="00787196" w:rsidRDefault="00AC37CE" w:rsidP="00D34772"/>
    <w:p w14:paraId="680C0B87" w14:textId="77777777" w:rsidR="007F2237" w:rsidRPr="00787196" w:rsidRDefault="007F2237" w:rsidP="00226A04">
      <w:pPr>
        <w:pStyle w:val="Heading4"/>
      </w:pPr>
      <w:r w:rsidRPr="00787196">
        <w:t xml:space="preserve"> Concern about oral health</w:t>
      </w:r>
    </w:p>
    <w:p w14:paraId="74B19067" w14:textId="09D8C878" w:rsidR="005B4999" w:rsidRPr="00787196" w:rsidRDefault="007F2237" w:rsidP="00743BDB">
      <w:r w:rsidRPr="00787196">
        <w:t xml:space="preserve">Concern about oral health was measured using a 6-item scale derived from Maslow’s hierarchy of needs </w:t>
      </w:r>
      <w:r w:rsidRPr="00787196">
        <w:rPr>
          <w:rFonts w:cs="Arial"/>
          <w:szCs w:val="24"/>
        </w:rPr>
        <w:fldChar w:fldCharType="begin"/>
      </w:r>
      <w:r w:rsidR="00CE759F" w:rsidRPr="00787196">
        <w:rPr>
          <w:rFonts w:cs="Arial"/>
          <w:szCs w:val="24"/>
        </w:rPr>
        <w:instrText xml:space="preserve"> ADDIN EN.CITE &lt;EndNote&gt;&lt;Cite ExcludeAuth="1"&gt;&lt;Author&gt;Maslow&lt;/Author&gt;&lt;Year&gt;1943&lt;/Year&gt;&lt;RecNum&gt;0&lt;/RecNum&gt;&lt;IDText&gt;A theory of human motivation&lt;/IDText&gt;&lt;DisplayText&gt;(1943)&lt;/DisplayText&gt;&lt;record&gt;&lt;urls&gt;&lt;related-urls&gt;&lt;url&gt;http://psychclassics.yorku.ca/Maslow/motivation.htm&lt;/url&gt;&lt;/related-urls&gt;&lt;/urls&gt;&lt;titles&gt;&lt;title&gt;A theory of human motivation&lt;/title&gt;&lt;/titles&gt;&lt;titles&gt;&lt;secondary-title&gt;&lt;style font="default" size="100%"&gt; &lt;/style&gt;&lt;style face="italic" font="default" size="100%"&gt;Psychological Review&lt;/style&gt;&lt;/secondary-title&gt;&lt;/titles&gt;&lt;pages&gt;370-396&lt;/pages&gt;&lt;number&gt;4&lt;/number&gt;&lt;contributors&gt;&lt;authors&gt;&lt;author&gt;Maslow, Abraham H&lt;/author&gt;&lt;/authors&gt;&lt;/contributors&gt;&lt;added-date format="utc"&gt;1368182791&lt;/added-date&gt;&lt;ref-type name="Journal Article"&gt;17&lt;/ref-type&gt;&lt;dates&gt;&lt;year&gt;1943&lt;/year&gt;&lt;/dates&gt;&lt;rec-number&gt;682&lt;/rec-number&gt;&lt;last-updated-date format="utc"&gt;1368183475&lt;/last-updated-date&gt;&lt;volume&gt;&lt;style face="italic" font="default" size="100%"&gt;50&lt;/style&gt;&lt;/volume&gt;&lt;/record&gt;&lt;/Cite&gt;&lt;/EndNote&gt;</w:instrText>
      </w:r>
      <w:r w:rsidRPr="00787196">
        <w:rPr>
          <w:rFonts w:cs="Arial"/>
          <w:szCs w:val="24"/>
        </w:rPr>
        <w:fldChar w:fldCharType="separate"/>
      </w:r>
      <w:r w:rsidRPr="00787196">
        <w:rPr>
          <w:rFonts w:cs="Arial"/>
          <w:szCs w:val="24"/>
        </w:rPr>
        <w:t>(1943)</w:t>
      </w:r>
      <w:r w:rsidRPr="00787196">
        <w:rPr>
          <w:rFonts w:cs="Arial"/>
          <w:szCs w:val="24"/>
        </w:rPr>
        <w:fldChar w:fldCharType="end"/>
      </w:r>
      <w:r w:rsidR="005B4999" w:rsidRPr="00787196">
        <w:rPr>
          <w:rFonts w:cs="Arial"/>
          <w:szCs w:val="24"/>
        </w:rPr>
        <w:t xml:space="preserve"> and the </w:t>
      </w:r>
      <w:r w:rsidR="006E067A" w:rsidRPr="00787196">
        <w:rPr>
          <w:rFonts w:cs="Arial"/>
          <w:szCs w:val="24"/>
        </w:rPr>
        <w:t xml:space="preserve">scale used by Marshman and colleagues </w:t>
      </w:r>
      <w:r w:rsidR="005B4999" w:rsidRPr="00787196">
        <w:rPr>
          <w:rFonts w:cs="Arial"/>
          <w:szCs w:val="24"/>
        </w:rPr>
        <w:fldChar w:fldCharType="begin"/>
      </w:r>
      <w:r w:rsidR="005B4999" w:rsidRPr="00787196">
        <w:rPr>
          <w:rFonts w:cs="Arial"/>
          <w:szCs w:val="24"/>
        </w:rPr>
        <w:instrText xml:space="preserve"> ADDIN EN.CITE &lt;EndNote&gt;&lt;Cite ExcludeAuth="1"&gt;&lt;Author&gt;Marshman&lt;/Author&gt;&lt;Year&gt;2014&lt;/Year&gt;&lt;IDText&gt;Does dental indifference influence the oral health-related quality of life of prisoners?&lt;/IDText&gt;&lt;DisplayText&gt;(2014)&lt;/DisplayText&gt;&lt;record&gt;&lt;keywords&gt;&lt;keyword&gt;psychosocial aspects of oral health&lt;/keyword&gt;&lt;keyword&gt;quality of life&lt;/keyword&gt;&lt;/keywords&gt;&lt;urls&gt;&lt;related-urls&gt;&lt;url&gt;http://dx.doi.org/10.1111/cdoe.12097&lt;/url&gt;&lt;/related-urls&gt;&lt;/urls&gt;&lt;isbn&gt;1600-0528&lt;/isbn&gt;&lt;titles&gt;&lt;title&gt;Does dental indifference influence the oral health-related quality of life of prisoners?&lt;/title&gt;&lt;secondary-title&gt;Community Dentistry and Oral Epidemiology&lt;/secondary-title&gt;&lt;/titles&gt;&lt;pages&gt;470-480&lt;/pages&gt;&lt;number&gt;5&lt;/number&gt;&lt;contributors&gt;&lt;authors&gt;&lt;author&gt;Marshman, Zoe&lt;/author&gt;&lt;author&gt;Baker, Sarah R.&lt;/author&gt;&lt;author&gt;Robinson, Peter G.&lt;/author&gt;&lt;/authors&gt;&lt;/contributors&gt;&lt;added-date format="utc"&gt;1481188753&lt;/added-date&gt;&lt;ref-type name="Journal Article"&gt;17&lt;/ref-type&gt;&lt;dates&gt;&lt;year&gt;2014&lt;/year&gt;&lt;/dates&gt;&lt;rec-number&gt;2657&lt;/rec-number&gt;&lt;last-updated-date format="utc"&gt;1481188753&lt;/last-updated-date&gt;&lt;electronic-resource-num&gt;10.1111/cdoe.12097&lt;/electronic-resource-num&gt;&lt;volume&gt;42&lt;/volume&gt;&lt;/record&gt;&lt;/Cite&gt;&lt;/EndNote&gt;</w:instrText>
      </w:r>
      <w:r w:rsidR="005B4999" w:rsidRPr="00787196">
        <w:rPr>
          <w:rFonts w:cs="Arial"/>
          <w:szCs w:val="24"/>
        </w:rPr>
        <w:fldChar w:fldCharType="separate"/>
      </w:r>
      <w:r w:rsidR="005B4999" w:rsidRPr="00787196">
        <w:rPr>
          <w:rFonts w:cs="Arial"/>
          <w:szCs w:val="24"/>
        </w:rPr>
        <w:t>(2014)</w:t>
      </w:r>
      <w:r w:rsidR="005B4999" w:rsidRPr="00787196">
        <w:rPr>
          <w:rFonts w:cs="Arial"/>
          <w:szCs w:val="24"/>
        </w:rPr>
        <w:fldChar w:fldCharType="end"/>
      </w:r>
      <w:r w:rsidR="006E067A" w:rsidRPr="00787196">
        <w:rPr>
          <w:rFonts w:cs="Arial"/>
          <w:szCs w:val="24"/>
        </w:rPr>
        <w:t xml:space="preserve"> to measure dental indifference</w:t>
      </w:r>
      <w:r w:rsidRPr="00787196">
        <w:t xml:space="preserve">. Higher scores indicated less concern about one’s own oral health. </w:t>
      </w:r>
      <w:r w:rsidR="00675998" w:rsidRPr="00787196">
        <w:t xml:space="preserve">The maximum score possible for the scale was </w:t>
      </w:r>
      <w:r w:rsidR="004702DF" w:rsidRPr="00787196">
        <w:t>30</w:t>
      </w:r>
      <w:r w:rsidR="00E10714" w:rsidRPr="00787196">
        <w:t xml:space="preserve"> while the lowest was </w:t>
      </w:r>
      <w:r w:rsidR="004702DF" w:rsidRPr="00787196">
        <w:t>6</w:t>
      </w:r>
      <w:r w:rsidR="00675998" w:rsidRPr="00787196">
        <w:t xml:space="preserve">. </w:t>
      </w:r>
      <w:r w:rsidRPr="00787196">
        <w:t xml:space="preserve">The mean scores </w:t>
      </w:r>
      <w:r w:rsidR="00076F8E" w:rsidRPr="00787196">
        <w:t xml:space="preserve">were 13.53 (T1) and 14.29 (T2) </w:t>
      </w:r>
      <w:r w:rsidR="00E10714" w:rsidRPr="00787196">
        <w:t>(Table 5-11)</w:t>
      </w:r>
      <w:r w:rsidRPr="00787196">
        <w:t>.</w:t>
      </w:r>
      <w:r w:rsidR="00076F8E" w:rsidRPr="00787196">
        <w:t xml:space="preserve"> There was a slight decrease with participants concern about oral health at follow-up. The scores had a normal distribution at both baseline and follow-up</w:t>
      </w:r>
      <w:r w:rsidR="00743BDB" w:rsidRPr="00787196">
        <w:t xml:space="preserve"> period.</w:t>
      </w:r>
    </w:p>
    <w:p w14:paraId="51FAFBF6" w14:textId="77777777" w:rsidR="005B4999" w:rsidRPr="00787196" w:rsidRDefault="005B4999">
      <w:pPr>
        <w:spacing w:before="0" w:after="0" w:line="240" w:lineRule="auto"/>
        <w:jc w:val="left"/>
      </w:pPr>
      <w:r w:rsidRPr="00787196">
        <w:br w:type="page"/>
      </w:r>
    </w:p>
    <w:p w14:paraId="0B8397CB" w14:textId="0AC7A893" w:rsidR="00090ED8" w:rsidRPr="00787196" w:rsidRDefault="007F2237" w:rsidP="00226A04">
      <w:pPr>
        <w:pStyle w:val="Heading4"/>
      </w:pPr>
      <w:r w:rsidRPr="00787196">
        <w:lastRenderedPageBreak/>
        <w:t xml:space="preserve"> </w:t>
      </w:r>
      <w:r w:rsidR="00090ED8" w:rsidRPr="00787196">
        <w:t>Ageing expectations</w:t>
      </w:r>
    </w:p>
    <w:p w14:paraId="5263028A" w14:textId="44856387" w:rsidR="00090ED8" w:rsidRPr="00787196" w:rsidRDefault="00D83764" w:rsidP="00755F46">
      <w:pPr>
        <w:rPr>
          <w:rFonts w:cs="Arial"/>
          <w:szCs w:val="24"/>
        </w:rPr>
      </w:pPr>
      <w:r w:rsidRPr="00787196">
        <w:t xml:space="preserve">Ageing expectations were </w:t>
      </w:r>
      <w:r w:rsidRPr="00787196">
        <w:rPr>
          <w:rFonts w:cs="Arial"/>
          <w:szCs w:val="24"/>
        </w:rPr>
        <w:t xml:space="preserve">measured using the short form 12-item, Expectations </w:t>
      </w:r>
      <w:r w:rsidR="00A65A02" w:rsidRPr="00787196">
        <w:rPr>
          <w:rFonts w:cs="Arial"/>
          <w:szCs w:val="24"/>
        </w:rPr>
        <w:t>R</w:t>
      </w:r>
      <w:r w:rsidRPr="00787196">
        <w:rPr>
          <w:rFonts w:cs="Arial"/>
          <w:szCs w:val="24"/>
        </w:rPr>
        <w:t xml:space="preserve">egarding Ageing (ERA -12) questionnaire </w:t>
      </w:r>
      <w:r w:rsidRPr="00787196">
        <w:rPr>
          <w:rFonts w:cs="Arial"/>
          <w:szCs w:val="24"/>
        </w:rPr>
        <w:fldChar w:fldCharType="begin"/>
      </w:r>
      <w:r w:rsidR="00CE759F" w:rsidRPr="00787196">
        <w:rPr>
          <w:rFonts w:cs="Arial"/>
          <w:szCs w:val="24"/>
        </w:rPr>
        <w:instrText xml:space="preserve"> ADDIN EN.CITE &lt;EndNote&gt;&lt;Cite&gt;&lt;Author&gt;Sarkisian&lt;/Author&gt;&lt;Year&gt;2005&lt;/Year&gt;&lt;RecNum&gt;0&lt;/RecNum&gt;&lt;IDText&gt;Development of the 12-item expectations regarding aging survey&lt;/IDText&gt;&lt;DisplayText&gt;(Sarkisian et al., 2005)&lt;/DisplayText&gt;&lt;record&gt;&lt;isbn&gt;0016-9013&lt;/isbn&gt;&lt;titles&gt;&lt;title&gt;Development of the 12-item expectations regarding aging survey&lt;/title&gt;&lt;secondary-title&gt;The Gerontologist&lt;/secondary-title&gt;&lt;/titles&gt;&lt;pages&gt;240-248&lt;/pages&gt;&lt;number&gt;2&lt;/number&gt;&lt;contributors&gt;&lt;authors&gt;&lt;author&gt;Sarkisian, Catherine A.&lt;/author&gt;&lt;author&gt;Steers, W. Neil&lt;/author&gt;&lt;author&gt;Hays, Ron D.&lt;/author&gt;&lt;author&gt;Mangione, Carol M.&lt;/author&gt;&lt;/authors&gt;&lt;/contributors&gt;&lt;added-date format="utc"&gt;1364402263&lt;/added-date&gt;&lt;ref-type name="Journal Article"&gt;17&lt;/ref-type&gt;&lt;dates&gt;&lt;year&gt;2005&lt;/year&gt;&lt;/dates&gt;&lt;rec-number&gt;599&lt;/rec-number&gt;&lt;last-updated-date format="utc"&gt;1364402263&lt;/last-updated-date&gt;&lt;volume&gt;45&lt;/volume&gt;&lt;/record&gt;&lt;/Cite&gt;&lt;/EndNote&gt;</w:instrText>
      </w:r>
      <w:r w:rsidRPr="00787196">
        <w:rPr>
          <w:rFonts w:cs="Arial"/>
          <w:szCs w:val="24"/>
        </w:rPr>
        <w:fldChar w:fldCharType="separate"/>
      </w:r>
      <w:r w:rsidR="00016938" w:rsidRPr="00787196">
        <w:rPr>
          <w:rFonts w:cs="Arial"/>
          <w:szCs w:val="24"/>
        </w:rPr>
        <w:t>(Sarkisian et al., 2005)</w:t>
      </w:r>
      <w:r w:rsidRPr="00787196">
        <w:rPr>
          <w:rFonts w:cs="Arial"/>
          <w:szCs w:val="24"/>
        </w:rPr>
        <w:fldChar w:fldCharType="end"/>
      </w:r>
      <w:r w:rsidR="00A41B8B" w:rsidRPr="00787196">
        <w:rPr>
          <w:rFonts w:cs="Arial"/>
          <w:szCs w:val="24"/>
        </w:rPr>
        <w:t xml:space="preserve">. </w:t>
      </w:r>
      <w:r w:rsidR="00675998" w:rsidRPr="00787196">
        <w:rPr>
          <w:rFonts w:cs="Arial"/>
          <w:szCs w:val="24"/>
        </w:rPr>
        <w:t xml:space="preserve">The </w:t>
      </w:r>
      <w:r w:rsidR="00525DC8" w:rsidRPr="00787196">
        <w:rPr>
          <w:rFonts w:cs="Arial"/>
          <w:szCs w:val="24"/>
        </w:rPr>
        <w:t>minimum possible score was 12</w:t>
      </w:r>
      <w:r w:rsidR="00426F7F" w:rsidRPr="00787196">
        <w:rPr>
          <w:rFonts w:cs="Arial"/>
          <w:szCs w:val="24"/>
        </w:rPr>
        <w:t xml:space="preserve"> and the maximum </w:t>
      </w:r>
      <w:r w:rsidR="00675998" w:rsidRPr="00787196">
        <w:rPr>
          <w:rFonts w:cs="Arial"/>
          <w:szCs w:val="24"/>
        </w:rPr>
        <w:t>4</w:t>
      </w:r>
      <w:r w:rsidR="00525DC8" w:rsidRPr="00787196">
        <w:rPr>
          <w:rFonts w:cs="Arial"/>
          <w:szCs w:val="24"/>
        </w:rPr>
        <w:t>5</w:t>
      </w:r>
      <w:r w:rsidR="00675998" w:rsidRPr="00787196">
        <w:rPr>
          <w:rFonts w:cs="Arial"/>
          <w:szCs w:val="24"/>
        </w:rPr>
        <w:t xml:space="preserve">. </w:t>
      </w:r>
      <w:r w:rsidR="00426F7F" w:rsidRPr="00787196">
        <w:rPr>
          <w:rFonts w:cs="Arial"/>
          <w:szCs w:val="24"/>
        </w:rPr>
        <w:t>Higher scores indicated lower expectations about ageing (</w:t>
      </w:r>
      <w:r w:rsidR="00426F7F" w:rsidRPr="00787196">
        <w:t>Table 5-11</w:t>
      </w:r>
      <w:r w:rsidR="00743BDB" w:rsidRPr="00787196">
        <w:t>)</w:t>
      </w:r>
      <w:r w:rsidR="00743BDB" w:rsidRPr="00787196">
        <w:rPr>
          <w:rFonts w:cs="Arial"/>
          <w:szCs w:val="24"/>
        </w:rPr>
        <w:t>. The</w:t>
      </w:r>
      <w:r w:rsidR="00675998" w:rsidRPr="00787196">
        <w:rPr>
          <w:rFonts w:cs="Arial"/>
          <w:szCs w:val="24"/>
        </w:rPr>
        <w:t xml:space="preserve"> mean scores were 40.86</w:t>
      </w:r>
      <w:r w:rsidR="00426F7F" w:rsidRPr="00787196">
        <w:rPr>
          <w:rFonts w:cs="Arial"/>
          <w:szCs w:val="24"/>
        </w:rPr>
        <w:t xml:space="preserve"> </w:t>
      </w:r>
      <w:r w:rsidR="00675998" w:rsidRPr="00787196">
        <w:rPr>
          <w:rFonts w:cs="Arial"/>
          <w:szCs w:val="24"/>
        </w:rPr>
        <w:t>(T1) and 37.46</w:t>
      </w:r>
      <w:r w:rsidR="00426F7F" w:rsidRPr="00787196">
        <w:rPr>
          <w:rFonts w:cs="Arial"/>
          <w:szCs w:val="24"/>
        </w:rPr>
        <w:t xml:space="preserve"> </w:t>
      </w:r>
      <w:r w:rsidR="00675998" w:rsidRPr="00787196">
        <w:rPr>
          <w:rFonts w:cs="Arial"/>
          <w:szCs w:val="24"/>
        </w:rPr>
        <w:t>(T2). This suggested that expectation</w:t>
      </w:r>
      <w:r w:rsidR="000720F4" w:rsidRPr="00787196">
        <w:rPr>
          <w:rFonts w:cs="Arial"/>
          <w:szCs w:val="24"/>
        </w:rPr>
        <w:t>s</w:t>
      </w:r>
      <w:r w:rsidR="00675998" w:rsidRPr="00787196">
        <w:rPr>
          <w:rFonts w:cs="Arial"/>
          <w:szCs w:val="24"/>
        </w:rPr>
        <w:t xml:space="preserve"> increased slightly </w:t>
      </w:r>
      <w:r w:rsidR="0029523A" w:rsidRPr="00787196">
        <w:rPr>
          <w:rFonts w:cs="Arial"/>
          <w:szCs w:val="24"/>
        </w:rPr>
        <w:t>at follow-up</w:t>
      </w:r>
      <w:r w:rsidR="000720F4" w:rsidRPr="00787196">
        <w:rPr>
          <w:rFonts w:cs="Arial"/>
          <w:szCs w:val="24"/>
        </w:rPr>
        <w:t>, al</w:t>
      </w:r>
      <w:r w:rsidR="0029523A" w:rsidRPr="00787196">
        <w:rPr>
          <w:rFonts w:cs="Arial"/>
          <w:szCs w:val="24"/>
        </w:rPr>
        <w:t xml:space="preserve">though, mean scores were close to the higher end of the </w:t>
      </w:r>
      <w:r w:rsidR="000720F4" w:rsidRPr="00787196">
        <w:rPr>
          <w:rFonts w:cs="Arial"/>
          <w:szCs w:val="24"/>
        </w:rPr>
        <w:t>possible</w:t>
      </w:r>
      <w:r w:rsidR="0029523A" w:rsidRPr="00787196">
        <w:rPr>
          <w:rFonts w:cs="Arial"/>
          <w:szCs w:val="24"/>
        </w:rPr>
        <w:t xml:space="preserve"> range suggesting overall </w:t>
      </w:r>
      <w:r w:rsidR="006E067A" w:rsidRPr="00787196">
        <w:rPr>
          <w:rFonts w:cs="Arial"/>
          <w:szCs w:val="24"/>
        </w:rPr>
        <w:t>l</w:t>
      </w:r>
      <w:r w:rsidR="0029523A" w:rsidRPr="00787196">
        <w:rPr>
          <w:rFonts w:cs="Arial"/>
          <w:szCs w:val="24"/>
        </w:rPr>
        <w:t>ow expectations regarding ageing. Mean s</w:t>
      </w:r>
      <w:r w:rsidR="00A41B8B" w:rsidRPr="00787196">
        <w:rPr>
          <w:rFonts w:cs="Arial"/>
          <w:szCs w:val="24"/>
        </w:rPr>
        <w:t xml:space="preserve">cores had a slightly negative skew </w:t>
      </w:r>
      <w:r w:rsidR="00A65A02" w:rsidRPr="00787196">
        <w:rPr>
          <w:rFonts w:cs="Arial"/>
          <w:szCs w:val="24"/>
        </w:rPr>
        <w:t>at</w:t>
      </w:r>
      <w:r w:rsidR="00A41B8B" w:rsidRPr="00787196">
        <w:rPr>
          <w:rFonts w:cs="Arial"/>
          <w:szCs w:val="24"/>
        </w:rPr>
        <w:t xml:space="preserve"> baseline but were normally dis</w:t>
      </w:r>
      <w:r w:rsidR="00F2376F" w:rsidRPr="00787196">
        <w:rPr>
          <w:rFonts w:cs="Arial"/>
          <w:szCs w:val="24"/>
        </w:rPr>
        <w:t xml:space="preserve">tributed </w:t>
      </w:r>
      <w:r w:rsidR="00A65A02" w:rsidRPr="00787196">
        <w:rPr>
          <w:rFonts w:cs="Arial"/>
          <w:szCs w:val="24"/>
        </w:rPr>
        <w:t>at</w:t>
      </w:r>
      <w:r w:rsidR="006E067A" w:rsidRPr="00787196">
        <w:rPr>
          <w:rFonts w:cs="Arial"/>
          <w:szCs w:val="24"/>
        </w:rPr>
        <w:t xml:space="preserve"> follow</w:t>
      </w:r>
      <w:r w:rsidR="00F2376F" w:rsidRPr="00787196">
        <w:rPr>
          <w:rFonts w:cs="Arial"/>
          <w:szCs w:val="24"/>
        </w:rPr>
        <w:t>–up.</w:t>
      </w:r>
    </w:p>
    <w:p w14:paraId="3B654006" w14:textId="77777777" w:rsidR="00CC318A" w:rsidRPr="00787196" w:rsidRDefault="00CC318A" w:rsidP="00226A04">
      <w:pPr>
        <w:pStyle w:val="Heading4"/>
      </w:pPr>
      <w:r w:rsidRPr="00787196">
        <w:t xml:space="preserve"> Perceived stress</w:t>
      </w:r>
    </w:p>
    <w:p w14:paraId="3656027E" w14:textId="78F8A105" w:rsidR="00CC318A" w:rsidRPr="00787196" w:rsidRDefault="00794260" w:rsidP="00755F46">
      <w:r w:rsidRPr="00787196">
        <w:t>Perceived s</w:t>
      </w:r>
      <w:r w:rsidR="00CC318A" w:rsidRPr="00787196">
        <w:t xml:space="preserve">tress was measured </w:t>
      </w:r>
      <w:r w:rsidRPr="00787196">
        <w:t>with</w:t>
      </w:r>
      <w:r w:rsidR="00CC318A" w:rsidRPr="00787196">
        <w:t xml:space="preserve"> short form of Cohen</w:t>
      </w:r>
      <w:r w:rsidRPr="00787196">
        <w:t xml:space="preserve"> </w:t>
      </w:r>
      <w:r w:rsidR="0052620C" w:rsidRPr="00787196">
        <w:rPr>
          <w:rFonts w:cs="Arial"/>
          <w:szCs w:val="24"/>
        </w:rPr>
        <w:fldChar w:fldCharType="begin"/>
      </w:r>
      <w:r w:rsidR="0052620C" w:rsidRPr="00787196">
        <w:rPr>
          <w:rFonts w:cs="Arial"/>
          <w:szCs w:val="24"/>
        </w:rPr>
        <w:instrText xml:space="preserve"> ADDIN EN.CITE &lt;EndNote&gt;&lt;Cite ExcludeAuth="1"&gt;&lt;Author&gt;Cohen&lt;/Author&gt;&lt;Year&gt;1983&lt;/Year&gt;&lt;RecNum&gt;0&lt;/RecNum&gt;&lt;IDText&gt;A global measure of perceived stress&lt;/IDText&gt;&lt;DisplayText&gt;(1983)&lt;/DisplayText&gt;&lt;record&gt;&lt;isbn&gt;0022-1465&lt;/isbn&gt;&lt;titles&gt;&lt;title&gt;A global measure of perceived stress&lt;/title&gt;&lt;secondary-title&gt;Journal of health and social behavior&lt;/secondary-title&gt;&lt;/titles&gt;&lt;pages&gt;385-396&lt;/pages&gt;&lt;contributors&gt;&lt;authors&gt;&lt;author&gt;Cohen, Sheldon&lt;/author&gt;&lt;author&gt;Kamarck, Tom&lt;/author&gt;&lt;author&gt;Mermelstein, Robin&lt;/author&gt;&lt;/authors&gt;&lt;/contributors&gt;&lt;added-date format="utc"&gt;1364394319&lt;/added-date&gt;&lt;ref-type name="Journal Article"&gt;17&lt;/ref-type&gt;&lt;dates&gt;&lt;year&gt;1983&lt;/year&gt;&lt;/dates&gt;&lt;rec-number&gt;584&lt;/rec-number&gt;&lt;last-updated-date format="utc"&gt;1364394319&lt;/last-updated-date&gt;&lt;/record&gt;&lt;/Cite&gt;&lt;/EndNote&gt;</w:instrText>
      </w:r>
      <w:r w:rsidR="0052620C" w:rsidRPr="00787196">
        <w:rPr>
          <w:rFonts w:cs="Arial"/>
          <w:szCs w:val="24"/>
        </w:rPr>
        <w:fldChar w:fldCharType="separate"/>
      </w:r>
      <w:r w:rsidR="0052620C" w:rsidRPr="00787196">
        <w:rPr>
          <w:rFonts w:cs="Arial"/>
          <w:szCs w:val="24"/>
        </w:rPr>
        <w:t>(1983)</w:t>
      </w:r>
      <w:r w:rsidR="0052620C" w:rsidRPr="00787196">
        <w:rPr>
          <w:rFonts w:cs="Arial"/>
          <w:szCs w:val="24"/>
        </w:rPr>
        <w:fldChar w:fldCharType="end"/>
      </w:r>
      <w:r w:rsidR="0052620C" w:rsidRPr="00787196">
        <w:rPr>
          <w:rFonts w:cs="Arial"/>
          <w:szCs w:val="24"/>
        </w:rPr>
        <w:t>’</w:t>
      </w:r>
      <w:r w:rsidR="00CC318A" w:rsidRPr="00787196">
        <w:t xml:space="preserve">s perceived stress scale (PSS- 4). </w:t>
      </w:r>
      <w:r w:rsidR="0029523A" w:rsidRPr="00787196">
        <w:t xml:space="preserve">The </w:t>
      </w:r>
      <w:r w:rsidR="002B0AE6" w:rsidRPr="00787196">
        <w:t xml:space="preserve">minimum </w:t>
      </w:r>
      <w:r w:rsidR="006A2453" w:rsidRPr="00787196">
        <w:t xml:space="preserve">possible </w:t>
      </w:r>
      <w:r w:rsidR="002B0AE6" w:rsidRPr="00787196">
        <w:t xml:space="preserve">score in this scale is 4 and the </w:t>
      </w:r>
      <w:r w:rsidR="0029523A" w:rsidRPr="00787196">
        <w:t xml:space="preserve">maximum </w:t>
      </w:r>
      <w:r w:rsidR="002B0AE6" w:rsidRPr="00787196">
        <w:t>is</w:t>
      </w:r>
      <w:r w:rsidR="0029523A" w:rsidRPr="00787196">
        <w:t xml:space="preserve"> 20.</w:t>
      </w:r>
      <w:r w:rsidR="002B0AE6" w:rsidRPr="00787196">
        <w:t xml:space="preserve"> Higher scores indicated higher level</w:t>
      </w:r>
      <w:r w:rsidR="006A2453" w:rsidRPr="00787196">
        <w:t>s</w:t>
      </w:r>
      <w:r w:rsidR="002B0AE6" w:rsidRPr="00787196">
        <w:t xml:space="preserve"> of perceived </w:t>
      </w:r>
      <w:r w:rsidR="006A2453" w:rsidRPr="00787196">
        <w:t xml:space="preserve">stress. </w:t>
      </w:r>
      <w:r w:rsidR="0029523A" w:rsidRPr="00787196">
        <w:t>The mean scores were 12.17</w:t>
      </w:r>
      <w:r w:rsidR="00F0510B" w:rsidRPr="00787196">
        <w:t xml:space="preserve"> </w:t>
      </w:r>
      <w:r w:rsidR="0029523A" w:rsidRPr="00787196">
        <w:t>(T1) and 12.77</w:t>
      </w:r>
      <w:r w:rsidR="00F0510B" w:rsidRPr="00787196">
        <w:t xml:space="preserve"> </w:t>
      </w:r>
      <w:r w:rsidR="0029523A" w:rsidRPr="00787196">
        <w:t>(T2).</w:t>
      </w:r>
      <w:r w:rsidR="007E35FC" w:rsidRPr="00787196">
        <w:t xml:space="preserve"> </w:t>
      </w:r>
      <w:r w:rsidR="0052620C" w:rsidRPr="00787196">
        <w:t>The distribution of s</w:t>
      </w:r>
      <w:r w:rsidR="007E35FC" w:rsidRPr="00787196">
        <w:t xml:space="preserve">cores were </w:t>
      </w:r>
      <w:r w:rsidR="008B7258" w:rsidRPr="00787196">
        <w:t>normal</w:t>
      </w:r>
      <w:r w:rsidR="007E35FC" w:rsidRPr="00787196">
        <w:t xml:space="preserve"> both baseline and follow </w:t>
      </w:r>
      <w:r w:rsidR="00B071D6" w:rsidRPr="00787196">
        <w:t xml:space="preserve">up </w:t>
      </w:r>
      <w:r w:rsidR="0052620C" w:rsidRPr="00787196">
        <w:t>stages</w:t>
      </w:r>
      <w:r w:rsidR="008B7258" w:rsidRPr="00787196">
        <w:t xml:space="preserve"> </w:t>
      </w:r>
      <w:r w:rsidR="00B071D6" w:rsidRPr="00787196">
        <w:t>(</w:t>
      </w:r>
      <w:r w:rsidR="00F0510B" w:rsidRPr="00787196">
        <w:rPr>
          <w:szCs w:val="24"/>
        </w:rPr>
        <w:t>Table 5-11</w:t>
      </w:r>
      <w:r w:rsidR="00F2376F" w:rsidRPr="00787196">
        <w:rPr>
          <w:szCs w:val="24"/>
        </w:rPr>
        <w:t>)</w:t>
      </w:r>
      <w:r w:rsidR="007E35FC" w:rsidRPr="00787196">
        <w:rPr>
          <w:szCs w:val="24"/>
        </w:rPr>
        <w:t>.</w:t>
      </w:r>
    </w:p>
    <w:p w14:paraId="1CAA6D39" w14:textId="77777777" w:rsidR="00061946" w:rsidRPr="00787196" w:rsidRDefault="00A773F0" w:rsidP="00D9694A">
      <w:pPr>
        <w:pStyle w:val="Heading3"/>
      </w:pPr>
      <w:r w:rsidRPr="00787196">
        <w:t xml:space="preserve"> </w:t>
      </w:r>
      <w:bookmarkStart w:id="253" w:name="_Toc456211182"/>
      <w:bookmarkStart w:id="254" w:name="_Toc488655666"/>
      <w:r w:rsidR="00061946" w:rsidRPr="00787196">
        <w:t>Subjective outcomes</w:t>
      </w:r>
      <w:bookmarkEnd w:id="253"/>
      <w:bookmarkEnd w:id="254"/>
    </w:p>
    <w:p w14:paraId="512CE831" w14:textId="77777777" w:rsidR="00061946" w:rsidRPr="00787196" w:rsidRDefault="00F9323B" w:rsidP="00226A04">
      <w:pPr>
        <w:pStyle w:val="Heading4"/>
      </w:pPr>
      <w:r w:rsidRPr="00787196">
        <w:t xml:space="preserve"> Oral health related quality of life (OHQoL)</w:t>
      </w:r>
    </w:p>
    <w:p w14:paraId="42D47A64" w14:textId="41744905" w:rsidR="00076F8E" w:rsidRPr="00787196" w:rsidRDefault="00F9323B" w:rsidP="00743BDB">
      <w:pPr>
        <w:rPr>
          <w:rFonts w:cs="Arial"/>
          <w:szCs w:val="24"/>
        </w:rPr>
      </w:pPr>
      <w:r w:rsidRPr="00787196">
        <w:t xml:space="preserve">OHIP EDENT </w:t>
      </w:r>
      <w:r w:rsidR="00D72817" w:rsidRPr="00787196">
        <w:t>scale used to measure OHQoL,</w:t>
      </w:r>
      <w:r w:rsidRPr="00787196">
        <w:t xml:space="preserve"> </w:t>
      </w:r>
      <w:r w:rsidR="002A64F4" w:rsidRPr="00787196">
        <w:t xml:space="preserve">the main outcome variable </w:t>
      </w:r>
      <w:r w:rsidRPr="00787196">
        <w:rPr>
          <w:rFonts w:cs="Arial"/>
          <w:szCs w:val="24"/>
        </w:rPr>
        <w:fldChar w:fldCharType="begin"/>
      </w:r>
      <w:r w:rsidR="00CE759F" w:rsidRPr="00787196">
        <w:rPr>
          <w:rFonts w:cs="Arial"/>
          <w:szCs w:val="24"/>
        </w:rPr>
        <w:instrText xml:space="preserve"> ADDIN EN.CITE &lt;EndNote&gt;&lt;Cite&gt;&lt;Author&gt;Allen&lt;/Author&gt;&lt;Year&gt;2002&lt;/Year&gt;&lt;RecNum&gt;0&lt;/RecNum&gt;&lt;IDText&gt;A modified short version of the oral health impact profile for assessing health-related quality of life in edentulous adults&lt;/IDText&gt;&lt;DisplayText&gt;(Allen and Locker, 2002)&lt;/DisplayText&gt;&lt;record&gt;&lt;isbn&gt;0893-2174&lt;/isbn&gt;&lt;titles&gt;&lt;title&gt;A modified short version of the oral health impact profile for assessing health-related quality of life in edentulous adults&lt;/title&gt;&lt;secondary-title&gt;The International journal of prosthodontics&lt;/secondary-title&gt;&lt;/titles&gt;&lt;pages&gt;446&lt;/pages&gt;&lt;number&gt;5&lt;/number&gt;&lt;contributors&gt;&lt;authors&gt;&lt;author&gt;Allen, F.&lt;/author&gt;&lt;author&gt;Locker, D.&lt;/author&gt;&lt;/authors&gt;&lt;/contributors&gt;&lt;added-date format="utc"&gt;1365659504&lt;/added-date&gt;&lt;ref-type name="Journal Article"&gt;17&lt;/ref-type&gt;&lt;dates&gt;&lt;year&gt;2002&lt;/year&gt;&lt;/dates&gt;&lt;rec-number&gt;630&lt;/rec-number&gt;&lt;last-updated-date format="utc"&gt;1365659504&lt;/last-updated-date&gt;&lt;volume&gt;15&lt;/volume&gt;&lt;/record&gt;&lt;/Cite&gt;&lt;/EndNote&gt;</w:instrText>
      </w:r>
      <w:r w:rsidRPr="00787196">
        <w:rPr>
          <w:rFonts w:cs="Arial"/>
          <w:szCs w:val="24"/>
        </w:rPr>
        <w:fldChar w:fldCharType="separate"/>
      </w:r>
      <w:r w:rsidRPr="00787196">
        <w:rPr>
          <w:rFonts w:cs="Arial"/>
          <w:szCs w:val="24"/>
        </w:rPr>
        <w:t>(Allen and Locker, 2002)</w:t>
      </w:r>
      <w:r w:rsidRPr="00787196">
        <w:rPr>
          <w:rFonts w:cs="Arial"/>
          <w:szCs w:val="24"/>
        </w:rPr>
        <w:fldChar w:fldCharType="end"/>
      </w:r>
      <w:r w:rsidRPr="00787196">
        <w:rPr>
          <w:rFonts w:cs="Arial"/>
          <w:szCs w:val="24"/>
        </w:rPr>
        <w:t xml:space="preserve">. It </w:t>
      </w:r>
      <w:r w:rsidR="00794260" w:rsidRPr="00787196">
        <w:rPr>
          <w:rFonts w:cs="Arial"/>
          <w:szCs w:val="24"/>
        </w:rPr>
        <w:t xml:space="preserve">is a 19 item scale with </w:t>
      </w:r>
      <w:r w:rsidRPr="00787196">
        <w:rPr>
          <w:rFonts w:cs="Arial"/>
          <w:szCs w:val="24"/>
        </w:rPr>
        <w:t>seven subscales</w:t>
      </w:r>
      <w:r w:rsidR="004A244B" w:rsidRPr="00787196">
        <w:rPr>
          <w:rFonts w:cs="Arial"/>
          <w:szCs w:val="24"/>
        </w:rPr>
        <w:t>;</w:t>
      </w:r>
      <w:r w:rsidR="00A773F0" w:rsidRPr="00787196">
        <w:rPr>
          <w:rFonts w:cs="Arial"/>
          <w:szCs w:val="24"/>
        </w:rPr>
        <w:t xml:space="preserve"> F</w:t>
      </w:r>
      <w:r w:rsidR="00A773F0" w:rsidRPr="00787196">
        <w:t>unctional Limitation, Physical Pain, Psychological Discomfort, Physical Disability, Psychological Disability, Social Disability and Handicap</w:t>
      </w:r>
      <w:r w:rsidRPr="00787196">
        <w:rPr>
          <w:rFonts w:cs="Arial"/>
          <w:szCs w:val="24"/>
        </w:rPr>
        <w:t xml:space="preserve">. </w:t>
      </w:r>
      <w:r w:rsidR="006A2453" w:rsidRPr="00787196">
        <w:rPr>
          <w:rFonts w:cs="Arial"/>
          <w:szCs w:val="24"/>
        </w:rPr>
        <w:t xml:space="preserve">The possible range for the scale is </w:t>
      </w:r>
      <w:r w:rsidR="00BD28AA" w:rsidRPr="00787196">
        <w:rPr>
          <w:rFonts w:cs="Arial"/>
          <w:szCs w:val="24"/>
        </w:rPr>
        <w:t>9</w:t>
      </w:r>
      <w:r w:rsidR="006A2453" w:rsidRPr="00787196">
        <w:rPr>
          <w:rFonts w:cs="Arial"/>
          <w:szCs w:val="24"/>
        </w:rPr>
        <w:t xml:space="preserve"> to</w:t>
      </w:r>
      <w:r w:rsidR="00F0510B" w:rsidRPr="00787196">
        <w:rPr>
          <w:rFonts w:cs="Arial"/>
          <w:szCs w:val="24"/>
        </w:rPr>
        <w:t xml:space="preserve"> </w:t>
      </w:r>
      <w:r w:rsidR="00BD28AA" w:rsidRPr="00787196">
        <w:rPr>
          <w:rFonts w:cs="Arial"/>
          <w:szCs w:val="24"/>
        </w:rPr>
        <w:t>95</w:t>
      </w:r>
      <w:r w:rsidR="006A2453" w:rsidRPr="00787196">
        <w:rPr>
          <w:rFonts w:cs="Arial"/>
          <w:szCs w:val="24"/>
        </w:rPr>
        <w:t xml:space="preserve"> with h</w:t>
      </w:r>
      <w:r w:rsidR="00F0510B" w:rsidRPr="00787196">
        <w:rPr>
          <w:rFonts w:cs="Arial"/>
          <w:szCs w:val="24"/>
        </w:rPr>
        <w:t>igher scores indica</w:t>
      </w:r>
      <w:r w:rsidR="006A2453" w:rsidRPr="00787196">
        <w:rPr>
          <w:rFonts w:cs="Arial"/>
          <w:szCs w:val="24"/>
        </w:rPr>
        <w:t>ting</w:t>
      </w:r>
      <w:r w:rsidR="00F0510B" w:rsidRPr="00787196">
        <w:rPr>
          <w:rFonts w:cs="Arial"/>
          <w:szCs w:val="24"/>
        </w:rPr>
        <w:t xml:space="preserve"> poorer OHQoL. The mean scores were 44.32 (T1) and 36.64 (T2). </w:t>
      </w:r>
      <w:r w:rsidR="0029523A" w:rsidRPr="00787196">
        <w:rPr>
          <w:rFonts w:cs="Arial"/>
          <w:szCs w:val="24"/>
        </w:rPr>
        <w:t xml:space="preserve">This suggested that OHQoL in participants </w:t>
      </w:r>
      <w:r w:rsidR="00F0510B" w:rsidRPr="00787196">
        <w:rPr>
          <w:rFonts w:cs="Arial"/>
          <w:szCs w:val="24"/>
        </w:rPr>
        <w:t>(i.e.)</w:t>
      </w:r>
      <w:r w:rsidR="0029523A" w:rsidRPr="00787196">
        <w:rPr>
          <w:rFonts w:cs="Arial"/>
          <w:szCs w:val="24"/>
        </w:rPr>
        <w:t xml:space="preserve"> </w:t>
      </w:r>
      <w:r w:rsidR="00F0510B" w:rsidRPr="00787196">
        <w:rPr>
          <w:rFonts w:cs="Arial"/>
          <w:szCs w:val="24"/>
        </w:rPr>
        <w:t xml:space="preserve">improved </w:t>
      </w:r>
      <w:r w:rsidR="00343B5A" w:rsidRPr="00787196">
        <w:rPr>
          <w:rFonts w:cs="Arial"/>
          <w:szCs w:val="24"/>
        </w:rPr>
        <w:t>during the study</w:t>
      </w:r>
      <w:r w:rsidR="00F0510B" w:rsidRPr="00787196">
        <w:rPr>
          <w:rFonts w:cs="Arial"/>
          <w:szCs w:val="24"/>
        </w:rPr>
        <w:t>.</w:t>
      </w:r>
      <w:r w:rsidR="00343B5A" w:rsidRPr="00787196">
        <w:rPr>
          <w:rFonts w:cs="Arial"/>
          <w:szCs w:val="24"/>
        </w:rPr>
        <w:t xml:space="preserve"> S</w:t>
      </w:r>
      <w:r w:rsidRPr="00787196">
        <w:rPr>
          <w:rFonts w:cs="Arial"/>
          <w:szCs w:val="24"/>
        </w:rPr>
        <w:t>cores were normally distributed at baseline</w:t>
      </w:r>
      <w:r w:rsidR="00F0510B" w:rsidRPr="00787196">
        <w:rPr>
          <w:rFonts w:cs="Arial"/>
          <w:szCs w:val="24"/>
        </w:rPr>
        <w:t xml:space="preserve"> (T1)</w:t>
      </w:r>
      <w:r w:rsidR="006B4CE3" w:rsidRPr="00787196">
        <w:rPr>
          <w:rFonts w:cs="Arial"/>
          <w:szCs w:val="24"/>
        </w:rPr>
        <w:t>.</w:t>
      </w:r>
      <w:r w:rsidRPr="00787196">
        <w:rPr>
          <w:rFonts w:cs="Arial"/>
          <w:szCs w:val="24"/>
        </w:rPr>
        <w:t xml:space="preserve"> There was a slight positi</w:t>
      </w:r>
      <w:r w:rsidR="00A773F0" w:rsidRPr="00787196">
        <w:rPr>
          <w:rFonts w:cs="Arial"/>
          <w:szCs w:val="24"/>
        </w:rPr>
        <w:t xml:space="preserve">ve skew at </w:t>
      </w:r>
      <w:r w:rsidR="002A64F4" w:rsidRPr="00787196">
        <w:rPr>
          <w:rFonts w:cs="Arial"/>
          <w:szCs w:val="24"/>
        </w:rPr>
        <w:t xml:space="preserve">follow-up </w:t>
      </w:r>
      <w:r w:rsidR="00A773F0" w:rsidRPr="00787196">
        <w:rPr>
          <w:rFonts w:cs="Arial"/>
          <w:szCs w:val="24"/>
        </w:rPr>
        <w:t>(T2)</w:t>
      </w:r>
      <w:r w:rsidR="00076F8E" w:rsidRPr="00787196">
        <w:rPr>
          <w:rFonts w:cs="Arial"/>
          <w:szCs w:val="24"/>
        </w:rPr>
        <w:t xml:space="preserve"> (Figure 5-2)</w:t>
      </w:r>
      <w:r w:rsidR="002A64F4" w:rsidRPr="00787196">
        <w:rPr>
          <w:rFonts w:cs="Arial"/>
          <w:szCs w:val="24"/>
        </w:rPr>
        <w:t>.</w:t>
      </w:r>
    </w:p>
    <w:p w14:paraId="711BF976" w14:textId="10E4CAD3" w:rsidR="00D72817" w:rsidRPr="00787196" w:rsidRDefault="00076F8E" w:rsidP="00D72817">
      <w:pPr>
        <w:spacing w:before="0" w:after="0" w:line="240" w:lineRule="auto"/>
        <w:jc w:val="left"/>
        <w:rPr>
          <w:rFonts w:cs="Arial"/>
          <w:szCs w:val="24"/>
        </w:rPr>
      </w:pPr>
      <w:r w:rsidRPr="00787196">
        <w:rPr>
          <w:rFonts w:cs="Arial"/>
          <w:szCs w:val="24"/>
        </w:rPr>
        <w:br w:type="page"/>
      </w:r>
      <w:r w:rsidR="00D72817" w:rsidRPr="00787196">
        <w:rPr>
          <w:noProof/>
        </w:rPr>
        <w:lastRenderedPageBreak/>
        <w:drawing>
          <wp:anchor distT="0" distB="0" distL="114300" distR="114300" simplePos="0" relativeHeight="251655680" behindDoc="0" locked="0" layoutInCell="1" allowOverlap="1" wp14:anchorId="14BE4E05" wp14:editId="50B2584A">
            <wp:simplePos x="0" y="0"/>
            <wp:positionH relativeFrom="margin">
              <wp:posOffset>2642235</wp:posOffset>
            </wp:positionH>
            <wp:positionV relativeFrom="paragraph">
              <wp:posOffset>438785</wp:posOffset>
            </wp:positionV>
            <wp:extent cx="2756535" cy="2710815"/>
            <wp:effectExtent l="0" t="0" r="5715"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t="3793" r="21960" b="-2359"/>
                    <a:stretch>
                      <a:fillRect/>
                    </a:stretch>
                  </pic:blipFill>
                  <pic:spPr bwMode="auto">
                    <a:xfrm>
                      <a:off x="0" y="0"/>
                      <a:ext cx="2756535"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17" w:rsidRPr="00787196">
        <w:rPr>
          <w:noProof/>
        </w:rPr>
        <w:drawing>
          <wp:anchor distT="0" distB="0" distL="114300" distR="114300" simplePos="0" relativeHeight="251652608" behindDoc="0" locked="0" layoutInCell="1" allowOverlap="1" wp14:anchorId="3EF92D1A" wp14:editId="64F1E26D">
            <wp:simplePos x="0" y="0"/>
            <wp:positionH relativeFrom="margin">
              <wp:align>left</wp:align>
            </wp:positionH>
            <wp:positionV relativeFrom="paragraph">
              <wp:posOffset>438150</wp:posOffset>
            </wp:positionV>
            <wp:extent cx="2592705" cy="2642870"/>
            <wp:effectExtent l="0" t="0" r="0" b="508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a:extLst>
                        <a:ext uri="{28A0092B-C50C-407E-A947-70E740481C1C}">
                          <a14:useLocalDpi xmlns:a14="http://schemas.microsoft.com/office/drawing/2010/main" val="0"/>
                        </a:ext>
                      </a:extLst>
                    </a:blip>
                    <a:srcRect t="3723" r="23062" b="-1715"/>
                    <a:stretch>
                      <a:fillRect/>
                    </a:stretch>
                  </pic:blipFill>
                  <pic:spPr bwMode="auto">
                    <a:xfrm>
                      <a:off x="0" y="0"/>
                      <a:ext cx="259270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17" w:rsidRPr="00787196">
        <w:rPr>
          <w:noProof/>
        </w:rPr>
        <mc:AlternateContent>
          <mc:Choice Requires="wps">
            <w:drawing>
              <wp:anchor distT="0" distB="0" distL="114300" distR="114300" simplePos="0" relativeHeight="251651584" behindDoc="0" locked="0" layoutInCell="1" allowOverlap="1" wp14:anchorId="3387519D" wp14:editId="2E885DBE">
                <wp:simplePos x="0" y="0"/>
                <wp:positionH relativeFrom="column">
                  <wp:posOffset>33655</wp:posOffset>
                </wp:positionH>
                <wp:positionV relativeFrom="paragraph">
                  <wp:posOffset>3175</wp:posOffset>
                </wp:positionV>
                <wp:extent cx="5377180" cy="327025"/>
                <wp:effectExtent l="0" t="0" r="0" b="0"/>
                <wp:wrapSquare wrapText="bothSides"/>
                <wp:docPr id="17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67041" w14:textId="5C4466FD" w:rsidR="006E7D7A" w:rsidRPr="00103EEF" w:rsidRDefault="006E7D7A" w:rsidP="00103EEF">
                            <w:pPr>
                              <w:pStyle w:val="Caption"/>
                              <w:rPr>
                                <w:rFonts w:cs="Arial"/>
                                <w:b/>
                                <w:bCs/>
                                <w:i w:val="0"/>
                                <w:iCs w:val="0"/>
                                <w:color w:val="auto"/>
                                <w:sz w:val="24"/>
                                <w:szCs w:val="24"/>
                              </w:rPr>
                            </w:pPr>
                            <w:bookmarkStart w:id="255" w:name="_Ref424774639"/>
                            <w:bookmarkStart w:id="256" w:name="_Toc488655588"/>
                            <w:r w:rsidRPr="00103EEF">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5</w:t>
                            </w:r>
                            <w:r>
                              <w:rPr>
                                <w:b/>
                                <w:bCs/>
                                <w:i w:val="0"/>
                                <w:iCs w:val="0"/>
                                <w:color w:val="auto"/>
                                <w:sz w:val="24"/>
                                <w:szCs w:val="24"/>
                              </w:rPr>
                              <w:fldChar w:fldCharType="end"/>
                            </w:r>
                            <w:r>
                              <w:rPr>
                                <w:b/>
                                <w:bCs/>
                                <w:i w:val="0"/>
                                <w:iCs w:val="0"/>
                                <w:color w:val="auto"/>
                                <w:sz w:val="24"/>
                                <w:szCs w:val="24"/>
                              </w:rPr>
                              <w:noBreakHyphen/>
                            </w:r>
                            <w:r>
                              <w:rPr>
                                <w:b/>
                                <w:bCs/>
                                <w:i w:val="0"/>
                                <w:iCs w:val="0"/>
                                <w:color w:val="auto"/>
                                <w:sz w:val="24"/>
                                <w:szCs w:val="24"/>
                              </w:rPr>
                              <w:fldChar w:fldCharType="begin"/>
                            </w:r>
                            <w:r>
                              <w:rPr>
                                <w:b/>
                                <w:bCs/>
                                <w:i w:val="0"/>
                                <w:iCs w:val="0"/>
                                <w:color w:val="auto"/>
                                <w:sz w:val="24"/>
                                <w:szCs w:val="24"/>
                              </w:rPr>
                              <w:instrText xml:space="preserve"> SEQ Figure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bookmarkEnd w:id="255"/>
                            <w:r w:rsidRPr="00103EEF">
                              <w:rPr>
                                <w:b/>
                                <w:bCs/>
                                <w:i w:val="0"/>
                                <w:iCs w:val="0"/>
                                <w:color w:val="auto"/>
                                <w:sz w:val="24"/>
                                <w:szCs w:val="24"/>
                              </w:rPr>
                              <w:t>. Distribution of OHQoL scores at baseline (T1) and follow-up (T2)</w:t>
                            </w:r>
                            <w:bookmarkEnd w:id="2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7519D" id="Text Box 183" o:spid="_x0000_s1156" type="#_x0000_t202" style="position:absolute;margin-left:2.65pt;margin-top:.25pt;width:423.4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H1g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" stroked="f">
                <v:textbox inset="0,0,0,0">
                  <w:txbxContent>
                    <w:p w14:paraId="28367041" w14:textId="5C4466FD" w:rsidR="006E7D7A" w:rsidRPr="00103EEF" w:rsidRDefault="006E7D7A" w:rsidP="00103EEF">
                      <w:pPr>
                        <w:pStyle w:val="Caption"/>
                        <w:rPr>
                          <w:rFonts w:cs="Arial"/>
                          <w:b/>
                          <w:bCs/>
                          <w:i w:val="0"/>
                          <w:iCs w:val="0"/>
                          <w:color w:val="auto"/>
                          <w:sz w:val="24"/>
                          <w:szCs w:val="24"/>
                        </w:rPr>
                      </w:pPr>
                      <w:bookmarkStart w:id="257" w:name="_Ref424774639"/>
                      <w:bookmarkStart w:id="258" w:name="_Toc488655588"/>
                      <w:r w:rsidRPr="00103EEF">
                        <w:rPr>
                          <w:b/>
                          <w:bCs/>
                          <w:i w:val="0"/>
                          <w:iCs w:val="0"/>
                          <w:color w:val="auto"/>
                          <w:sz w:val="24"/>
                          <w:szCs w:val="24"/>
                        </w:rPr>
                        <w:t xml:space="preserve">Figure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5</w:t>
                      </w:r>
                      <w:r>
                        <w:rPr>
                          <w:b/>
                          <w:bCs/>
                          <w:i w:val="0"/>
                          <w:iCs w:val="0"/>
                          <w:color w:val="auto"/>
                          <w:sz w:val="24"/>
                          <w:szCs w:val="24"/>
                        </w:rPr>
                        <w:fldChar w:fldCharType="end"/>
                      </w:r>
                      <w:r>
                        <w:rPr>
                          <w:b/>
                          <w:bCs/>
                          <w:i w:val="0"/>
                          <w:iCs w:val="0"/>
                          <w:color w:val="auto"/>
                          <w:sz w:val="24"/>
                          <w:szCs w:val="24"/>
                        </w:rPr>
                        <w:noBreakHyphen/>
                      </w:r>
                      <w:r>
                        <w:rPr>
                          <w:b/>
                          <w:bCs/>
                          <w:i w:val="0"/>
                          <w:iCs w:val="0"/>
                          <w:color w:val="auto"/>
                          <w:sz w:val="24"/>
                          <w:szCs w:val="24"/>
                        </w:rPr>
                        <w:fldChar w:fldCharType="begin"/>
                      </w:r>
                      <w:r>
                        <w:rPr>
                          <w:b/>
                          <w:bCs/>
                          <w:i w:val="0"/>
                          <w:iCs w:val="0"/>
                          <w:color w:val="auto"/>
                          <w:sz w:val="24"/>
                          <w:szCs w:val="24"/>
                        </w:rPr>
                        <w:instrText xml:space="preserve"> SEQ Figure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bookmarkEnd w:id="257"/>
                      <w:r w:rsidRPr="00103EEF">
                        <w:rPr>
                          <w:b/>
                          <w:bCs/>
                          <w:i w:val="0"/>
                          <w:iCs w:val="0"/>
                          <w:color w:val="auto"/>
                          <w:sz w:val="24"/>
                          <w:szCs w:val="24"/>
                        </w:rPr>
                        <w:t>. Distribution of OHQoL scores at baseline (T1) and follow-up (T2)</w:t>
                      </w:r>
                      <w:bookmarkEnd w:id="258"/>
                    </w:p>
                  </w:txbxContent>
                </v:textbox>
                <w10:wrap type="square"/>
              </v:shape>
            </w:pict>
          </mc:Fallback>
        </mc:AlternateContent>
      </w:r>
      <w:r w:rsidR="00325C18" w:rsidRPr="00787196">
        <w:t xml:space="preserve">       </w:t>
      </w:r>
      <w:r w:rsidR="00845DFB" w:rsidRPr="00787196">
        <w:t xml:space="preserve"> </w:t>
      </w:r>
    </w:p>
    <w:p w14:paraId="593E0EF0" w14:textId="77777777" w:rsidR="00D72817" w:rsidRPr="00787196" w:rsidRDefault="00D72817" w:rsidP="00226A04">
      <w:pPr>
        <w:pStyle w:val="Heading4"/>
      </w:pPr>
      <w:r w:rsidRPr="00787196">
        <w:t xml:space="preserve"> Denture satisfaction</w:t>
      </w:r>
    </w:p>
    <w:p w14:paraId="3CCFFCC2" w14:textId="515CFA76" w:rsidR="00D72817" w:rsidRPr="00787196" w:rsidRDefault="00D72817" w:rsidP="00D72817">
      <w:pPr>
        <w:rPr>
          <w:rFonts w:cs="Arial"/>
          <w:szCs w:val="24"/>
        </w:rPr>
      </w:pPr>
      <w:r w:rsidRPr="00787196">
        <w:t xml:space="preserve">Denture satisfaction was measured using a 9-item questionnaire </w:t>
      </w:r>
      <w:r w:rsidRPr="00787196">
        <w:rPr>
          <w:rFonts w:cs="Arial"/>
          <w:szCs w:val="24"/>
        </w:rPr>
        <w:fldChar w:fldCharType="begin"/>
      </w:r>
      <w:r w:rsidRPr="00787196">
        <w:rPr>
          <w:rFonts w:cs="Arial"/>
          <w:szCs w:val="24"/>
        </w:rPr>
        <w:instrText xml:space="preserve"> ADDIN EN.CITE &lt;EndNote&gt;&lt;Cite&gt;&lt;Author&gt;de Liz Pocztaruk&lt;/Author&gt;&lt;Year&gt;2006&lt;/Year&gt;&lt;RecNum&gt;0&lt;/RecNum&gt;&lt;IDText&gt;Satisfaction level and masticatory capacity in edentulous patients with conventional dentures and implant-retained overdentures&lt;/IDText&gt;&lt;DisplayText&gt;(de Liz Pocztaruk et al., 2006)&lt;/DisplayText&gt;&lt;record&gt;&lt;titles&gt;&lt;title&gt;Satisfaction level and masticatory capacity in edentulous patients with conventional dentures and implant-retained overdentures&lt;/title&gt;&lt;secondary-title&gt;Brazilian Journal of Oral Sciences&lt;/secondary-title&gt;&lt;/titles&gt;&lt;pages&gt;1232-1238&lt;/pages&gt;&lt;number&gt;19&lt;/number&gt;&lt;contributors&gt;&lt;authors&gt;&lt;author&gt;de Liz Pocztaruk, Rafael&lt;/author&gt;&lt;author&gt;da Fontoura Frasca, Luis Carlos&lt;/author&gt;&lt;author&gt;Rivaldo, Elken Gomes&lt;/author&gt;&lt;author&gt;Mattia, Paulo Roberto Castro&lt;/author&gt;&lt;author&gt;Vidal, Rafael Araújo&lt;/author&gt;&lt;author&gt;Fernandes, Eduardo&lt;/author&gt;&lt;author&gt;Gavião, Maria Beatriz Duarte&lt;/author&gt;&lt;/authors&gt;&lt;/contributors&gt;&lt;added-date format="utc"&gt;1367331897&lt;/added-date&gt;&lt;ref-type name="Journal Article"&gt;17&lt;/ref-type&gt;&lt;dates&gt;&lt;year&gt;2006&lt;/year&gt;&lt;/dates&gt;&lt;rec-number&gt;676&lt;/rec-number&gt;&lt;last-updated-date format="utc"&gt;1367331897&lt;/last-updated-date&gt;&lt;volume&gt;5&lt;/volume&gt;&lt;/record&gt;&lt;/Cite&gt;&lt;/EndNote&gt;</w:instrText>
      </w:r>
      <w:r w:rsidRPr="00787196">
        <w:rPr>
          <w:rFonts w:cs="Arial"/>
          <w:szCs w:val="24"/>
        </w:rPr>
        <w:fldChar w:fldCharType="separate"/>
      </w:r>
      <w:r w:rsidRPr="00787196">
        <w:rPr>
          <w:rFonts w:cs="Arial"/>
          <w:szCs w:val="24"/>
        </w:rPr>
        <w:t>(de Liz Pocztaruk et al., 2006)</w:t>
      </w:r>
      <w:r w:rsidRPr="00787196">
        <w:rPr>
          <w:rFonts w:cs="Arial"/>
          <w:szCs w:val="24"/>
        </w:rPr>
        <w:fldChar w:fldCharType="end"/>
      </w:r>
      <w:r w:rsidRPr="00787196">
        <w:rPr>
          <w:rFonts w:cs="Arial"/>
          <w:szCs w:val="24"/>
        </w:rPr>
        <w:t xml:space="preserve">. The possible range for this scale is 9 to 45 and higher scores indicate lower satisfaction. The maximum score for the scale was 45. The mean scores were 28.22 (T1) and 20.77 (T2), indicating increased satisfaction at follow-up (T2). Scores were normally distributed in both stages. </w:t>
      </w:r>
    </w:p>
    <w:p w14:paraId="33FE917B" w14:textId="7871FD84" w:rsidR="00325C18" w:rsidRPr="00787196" w:rsidRDefault="00D72817" w:rsidP="00226A04">
      <w:pPr>
        <w:pStyle w:val="Heading4"/>
      </w:pPr>
      <w:r w:rsidRPr="00787196">
        <w:t xml:space="preserve"> </w:t>
      </w:r>
      <w:r w:rsidR="00325C18" w:rsidRPr="00787196">
        <w:t>Chewing ability</w:t>
      </w:r>
    </w:p>
    <w:p w14:paraId="481FD9E0" w14:textId="3EFA7407" w:rsidR="00E01527" w:rsidRPr="00787196" w:rsidRDefault="00325C18" w:rsidP="00325C18">
      <w:r w:rsidRPr="00787196">
        <w:t>Chewing ability was measured using Leake’s (1990) index comprising of a food list ranging</w:t>
      </w:r>
      <w:r w:rsidR="002B6239" w:rsidRPr="00787196">
        <w:t xml:space="preserve"> from a soft to a harder diet. The possible is 0 to 5 and h</w:t>
      </w:r>
      <w:r w:rsidRPr="00787196">
        <w:t>igher scores indicate th</w:t>
      </w:r>
      <w:r w:rsidR="002B6239" w:rsidRPr="00787196">
        <w:t xml:space="preserve">e ability to chew harder foods. </w:t>
      </w:r>
      <w:r w:rsidRPr="00787196">
        <w:rPr>
          <w:szCs w:val="24"/>
        </w:rPr>
        <w:t>The mean scores were,</w:t>
      </w:r>
      <w:r w:rsidRPr="00787196">
        <w:rPr>
          <w:sz w:val="28"/>
          <w:szCs w:val="24"/>
        </w:rPr>
        <w:t xml:space="preserve"> </w:t>
      </w:r>
      <w:r w:rsidRPr="00787196">
        <w:rPr>
          <w:rFonts w:cs="Arial"/>
          <w:szCs w:val="24"/>
        </w:rPr>
        <w:t>1.83</w:t>
      </w:r>
      <w:r w:rsidR="002B6239" w:rsidRPr="00787196">
        <w:rPr>
          <w:rFonts w:cs="Arial"/>
          <w:szCs w:val="24"/>
        </w:rPr>
        <w:t xml:space="preserve"> </w:t>
      </w:r>
      <w:r w:rsidR="00226F2B" w:rsidRPr="00787196">
        <w:rPr>
          <w:rFonts w:cs="Arial"/>
          <w:szCs w:val="24"/>
        </w:rPr>
        <w:t>(T1) and 2.44 (T2) respectively, indicating</w:t>
      </w:r>
      <w:r w:rsidRPr="00787196">
        <w:rPr>
          <w:rFonts w:cs="Arial"/>
          <w:szCs w:val="24"/>
        </w:rPr>
        <w:t xml:space="preserve"> slight improvement with chewing ability at follow-up (T2). </w:t>
      </w:r>
      <w:r w:rsidRPr="00787196">
        <w:t>The scores had a slight positive skew at baseline (T1) and normal dis</w:t>
      </w:r>
      <w:r w:rsidR="00E01527" w:rsidRPr="00787196">
        <w:t>tribution at follow up.</w:t>
      </w:r>
    </w:p>
    <w:p w14:paraId="3434ED20" w14:textId="77777777" w:rsidR="00E01527" w:rsidRPr="00787196" w:rsidRDefault="00E01527">
      <w:pPr>
        <w:spacing w:before="0" w:after="0" w:line="240" w:lineRule="auto"/>
        <w:jc w:val="left"/>
      </w:pPr>
      <w:r w:rsidRPr="00787196">
        <w:br w:type="page"/>
      </w:r>
    </w:p>
    <w:p w14:paraId="6972CDAC" w14:textId="77777777" w:rsidR="00325C18" w:rsidRPr="00787196" w:rsidRDefault="00325C18" w:rsidP="00325C18">
      <w:pPr>
        <w:rPr>
          <w:rFonts w:cs="Arial"/>
          <w:szCs w:val="24"/>
        </w:rPr>
      </w:pPr>
    </w:p>
    <w:p w14:paraId="7183D490" w14:textId="581F2C7C" w:rsidR="001B3F61" w:rsidRPr="00787196" w:rsidRDefault="00222302" w:rsidP="00D9694A">
      <w:pPr>
        <w:pStyle w:val="Heading3"/>
      </w:pPr>
      <w:r w:rsidRPr="00787196">
        <w:t xml:space="preserve"> </w:t>
      </w:r>
      <w:bookmarkStart w:id="259" w:name="_Toc456211183"/>
      <w:bookmarkStart w:id="260" w:name="_Toc488655667"/>
      <w:r w:rsidR="006A5110" w:rsidRPr="00787196">
        <w:t xml:space="preserve">Reliability of </w:t>
      </w:r>
      <w:r w:rsidR="001B3F61" w:rsidRPr="00787196">
        <w:t>scales</w:t>
      </w:r>
      <w:bookmarkEnd w:id="259"/>
      <w:bookmarkEnd w:id="260"/>
      <w:r w:rsidR="001B3F61" w:rsidRPr="00787196">
        <w:t xml:space="preserve">  </w:t>
      </w:r>
    </w:p>
    <w:p w14:paraId="697E8196" w14:textId="33E0A9DD" w:rsidR="001B3F61" w:rsidRPr="00787196" w:rsidRDefault="001B3F61" w:rsidP="006741CD">
      <w:r w:rsidRPr="00787196">
        <w:t>Cronbach’s alphas for all scales were assessed to test their internal reliability. Except</w:t>
      </w:r>
      <w:r w:rsidR="000B0789" w:rsidRPr="00787196">
        <w:t xml:space="preserve"> for</w:t>
      </w:r>
      <w:r w:rsidRPr="00787196">
        <w:t xml:space="preserve"> perceived stress at baseline (0.50), the reliability coefficients for all scales were above 0.6 and thus considered acceptable. The test–retest reliability of the scales w</w:t>
      </w:r>
      <w:r w:rsidR="006A5110" w:rsidRPr="00787196">
        <w:t>as</w:t>
      </w:r>
      <w:r w:rsidR="006741CD" w:rsidRPr="00787196">
        <w:t xml:space="preserve"> </w:t>
      </w:r>
      <w:r w:rsidRPr="00787196">
        <w:t>measured using intra-class correlation coefficients (ICC) (</w:t>
      </w:r>
      <w:r w:rsidRPr="00787196">
        <w:rPr>
          <w:szCs w:val="24"/>
        </w:rPr>
        <w:fldChar w:fldCharType="begin"/>
      </w:r>
      <w:r w:rsidRPr="00787196">
        <w:rPr>
          <w:szCs w:val="24"/>
        </w:rPr>
        <w:instrText xml:space="preserve"> REF _Ref424114825 \h  \* MERGEFORMAT </w:instrText>
      </w:r>
      <w:r w:rsidRPr="00787196">
        <w:rPr>
          <w:szCs w:val="24"/>
        </w:rPr>
      </w:r>
      <w:r w:rsidRPr="00787196">
        <w:rPr>
          <w:szCs w:val="24"/>
        </w:rPr>
        <w:fldChar w:fldCharType="separate"/>
      </w:r>
      <w:r w:rsidR="00C069BC" w:rsidRPr="00787196">
        <w:rPr>
          <w:szCs w:val="24"/>
        </w:rPr>
        <w:t xml:space="preserve">Table </w:t>
      </w:r>
      <w:r w:rsidR="00C069BC" w:rsidRPr="00787196">
        <w:rPr>
          <w:rFonts w:cs="Arial"/>
          <w:szCs w:val="24"/>
        </w:rPr>
        <w:t>5</w:t>
      </w:r>
      <w:r w:rsidR="00C069BC" w:rsidRPr="00787196">
        <w:rPr>
          <w:rFonts w:cs="Arial"/>
          <w:szCs w:val="24"/>
        </w:rPr>
        <w:noBreakHyphen/>
        <w:t>12</w:t>
      </w:r>
      <w:r w:rsidRPr="00787196">
        <w:rPr>
          <w:szCs w:val="24"/>
        </w:rPr>
        <w:fldChar w:fldCharType="end"/>
      </w:r>
      <w:r w:rsidRPr="00787196">
        <w:rPr>
          <w:szCs w:val="24"/>
        </w:rPr>
        <w:t>).</w:t>
      </w:r>
      <w:r w:rsidRPr="00787196">
        <w:t xml:space="preserve"> </w:t>
      </w:r>
      <w:r w:rsidR="00845DFB" w:rsidRPr="00787196">
        <w:t>Almost</w:t>
      </w:r>
      <w:r w:rsidR="006741CD" w:rsidRPr="00787196">
        <w:t xml:space="preserve"> </w:t>
      </w:r>
      <w:r w:rsidR="000F6B45" w:rsidRPr="00787196">
        <w:t xml:space="preserve">all ICCs were greater than 0.40 </w:t>
      </w:r>
      <w:r w:rsidR="006741CD" w:rsidRPr="00787196">
        <w:t xml:space="preserve">and were </w:t>
      </w:r>
      <w:r w:rsidR="00D66B8E" w:rsidRPr="00787196">
        <w:t>significant.</w:t>
      </w:r>
    </w:p>
    <w:p w14:paraId="7410889E" w14:textId="39560E1C" w:rsidR="002D0750" w:rsidRPr="00787196" w:rsidRDefault="008B4A84" w:rsidP="002D0750">
      <w:pPr>
        <w:pStyle w:val="Caption"/>
        <w:keepNext/>
        <w:spacing w:before="0" w:after="0"/>
      </w:pPr>
      <w:bookmarkStart w:id="261" w:name="_Ref424114825"/>
      <w:bookmarkStart w:id="262" w:name="_Toc461641237"/>
      <w:bookmarkStart w:id="263" w:name="_Toc488655541"/>
      <w:r w:rsidRPr="00787196">
        <w:rPr>
          <w:b/>
          <w:bCs/>
          <w:i w:val="0"/>
          <w:iCs w:val="0"/>
          <w:color w:val="auto"/>
          <w:sz w:val="24"/>
          <w:szCs w:val="24"/>
        </w:rPr>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12</w:t>
      </w:r>
      <w:r w:rsidR="000332A1" w:rsidRPr="00787196">
        <w:rPr>
          <w:b/>
          <w:bCs/>
          <w:i w:val="0"/>
          <w:iCs w:val="0"/>
          <w:color w:val="auto"/>
          <w:sz w:val="24"/>
          <w:szCs w:val="24"/>
        </w:rPr>
        <w:fldChar w:fldCharType="end"/>
      </w:r>
      <w:bookmarkEnd w:id="261"/>
      <w:r w:rsidR="00FC7334" w:rsidRPr="00787196">
        <w:rPr>
          <w:b/>
          <w:bCs/>
          <w:i w:val="0"/>
          <w:iCs w:val="0"/>
          <w:color w:val="auto"/>
          <w:sz w:val="24"/>
          <w:szCs w:val="24"/>
        </w:rPr>
        <w:t>.</w:t>
      </w:r>
      <w:r w:rsidRPr="00787196">
        <w:rPr>
          <w:b/>
          <w:bCs/>
          <w:i w:val="0"/>
          <w:iCs w:val="0"/>
          <w:color w:val="auto"/>
          <w:sz w:val="24"/>
          <w:szCs w:val="24"/>
        </w:rPr>
        <w:t xml:space="preserve"> </w:t>
      </w:r>
      <w:r w:rsidR="002D0750" w:rsidRPr="00787196">
        <w:rPr>
          <w:b/>
          <w:bCs/>
          <w:i w:val="0"/>
          <w:iCs w:val="0"/>
          <w:color w:val="auto"/>
          <w:sz w:val="24"/>
          <w:szCs w:val="24"/>
        </w:rPr>
        <w:t>R</w:t>
      </w:r>
      <w:r w:rsidRPr="00787196">
        <w:rPr>
          <w:b/>
          <w:bCs/>
          <w:i w:val="0"/>
          <w:iCs w:val="0"/>
          <w:color w:val="auto"/>
          <w:sz w:val="24"/>
          <w:szCs w:val="24"/>
        </w:rPr>
        <w:t>eliability</w:t>
      </w:r>
      <w:r w:rsidR="002D0750" w:rsidRPr="00787196">
        <w:rPr>
          <w:b/>
          <w:bCs/>
          <w:i w:val="0"/>
          <w:iCs w:val="0"/>
          <w:color w:val="auto"/>
          <w:sz w:val="24"/>
          <w:szCs w:val="24"/>
        </w:rPr>
        <w:t xml:space="preserve"> </w:t>
      </w:r>
      <w:r w:rsidRPr="00787196">
        <w:rPr>
          <w:b/>
          <w:bCs/>
          <w:i w:val="0"/>
          <w:iCs w:val="0"/>
          <w:color w:val="auto"/>
          <w:sz w:val="24"/>
          <w:szCs w:val="24"/>
        </w:rPr>
        <w:t xml:space="preserve">of the </w:t>
      </w:r>
      <w:bookmarkEnd w:id="262"/>
      <w:r w:rsidR="00F40A7B" w:rsidRPr="00787196">
        <w:rPr>
          <w:b/>
          <w:bCs/>
          <w:i w:val="0"/>
          <w:iCs w:val="0"/>
          <w:color w:val="auto"/>
          <w:sz w:val="24"/>
          <w:szCs w:val="24"/>
        </w:rPr>
        <w:t>scales used in the study</w:t>
      </w:r>
      <w:bookmarkEnd w:id="263"/>
    </w:p>
    <w:tbl>
      <w:tblPr>
        <w:tblpPr w:leftFromText="180" w:rightFromText="180" w:vertAnchor="text" w:horzAnchor="margin" w:tblpY="75"/>
        <w:tblW w:w="7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95"/>
        <w:gridCol w:w="1335"/>
        <w:gridCol w:w="1576"/>
        <w:gridCol w:w="1333"/>
        <w:gridCol w:w="1265"/>
      </w:tblGrid>
      <w:tr w:rsidR="00845DFB" w:rsidRPr="00787196" w14:paraId="6C84BF6E" w14:textId="77777777" w:rsidTr="00E01527">
        <w:trPr>
          <w:trHeight w:val="239"/>
        </w:trPr>
        <w:tc>
          <w:tcPr>
            <w:tcW w:w="2395" w:type="dxa"/>
            <w:tcBorders>
              <w:left w:val="nil"/>
              <w:bottom w:val="single" w:sz="8" w:space="0" w:color="000000"/>
              <w:right w:val="nil"/>
            </w:tcBorders>
            <w:shd w:val="clear" w:color="auto" w:fill="FFFFFF"/>
            <w:vAlign w:val="center"/>
          </w:tcPr>
          <w:p w14:paraId="3BB64557" w14:textId="05CB72F9" w:rsidR="00845DFB" w:rsidRPr="00787196" w:rsidRDefault="00F40A7B" w:rsidP="00845DFB">
            <w:pPr>
              <w:autoSpaceDE w:val="0"/>
              <w:autoSpaceDN w:val="0"/>
              <w:adjustRightInd w:val="0"/>
              <w:spacing w:before="0" w:after="0" w:line="240" w:lineRule="auto"/>
              <w:rPr>
                <w:rFonts w:cs="Arial"/>
                <w:b/>
                <w:bCs/>
                <w:color w:val="000000"/>
                <w:szCs w:val="24"/>
              </w:rPr>
            </w:pPr>
            <w:r w:rsidRPr="00787196">
              <w:rPr>
                <w:rFonts w:cs="Arial"/>
                <w:b/>
                <w:bCs/>
                <w:color w:val="000000"/>
                <w:szCs w:val="24"/>
              </w:rPr>
              <w:t xml:space="preserve">Individual factors </w:t>
            </w:r>
          </w:p>
        </w:tc>
        <w:tc>
          <w:tcPr>
            <w:tcW w:w="1335" w:type="dxa"/>
            <w:tcBorders>
              <w:left w:val="nil"/>
              <w:bottom w:val="single" w:sz="8" w:space="0" w:color="000000"/>
              <w:right w:val="nil"/>
            </w:tcBorders>
            <w:shd w:val="clear" w:color="auto" w:fill="FFFFFF"/>
            <w:vAlign w:val="center"/>
          </w:tcPr>
          <w:p w14:paraId="5A8EE010" w14:textId="77777777" w:rsidR="00845DFB" w:rsidRPr="00787196" w:rsidRDefault="00845DFB" w:rsidP="00845DFB">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Measures</w:t>
            </w:r>
          </w:p>
        </w:tc>
        <w:tc>
          <w:tcPr>
            <w:tcW w:w="1576" w:type="dxa"/>
            <w:tcBorders>
              <w:left w:val="nil"/>
              <w:bottom w:val="single" w:sz="8" w:space="0" w:color="000000"/>
              <w:right w:val="nil"/>
            </w:tcBorders>
            <w:shd w:val="clear" w:color="auto" w:fill="FFFFFF"/>
          </w:tcPr>
          <w:p w14:paraId="3636AE43" w14:textId="088CB22A"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Cronbach’s </w:t>
            </w:r>
            <w:r w:rsidR="00FC7334" w:rsidRPr="00787196">
              <w:rPr>
                <w:rFonts w:cs="Arial"/>
                <w:b/>
                <w:bCs/>
                <w:color w:val="000000"/>
                <w:sz w:val="20"/>
                <w:szCs w:val="20"/>
              </w:rPr>
              <w:t>reliability co</w:t>
            </w:r>
            <w:r w:rsidRPr="00787196">
              <w:rPr>
                <w:rFonts w:cs="Arial"/>
                <w:b/>
                <w:bCs/>
                <w:color w:val="000000"/>
                <w:sz w:val="20"/>
                <w:szCs w:val="20"/>
              </w:rPr>
              <w:t>-efficient</w:t>
            </w:r>
          </w:p>
          <w:p w14:paraId="6AC8221E" w14:textId="77777777"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(baseline)</w:t>
            </w:r>
          </w:p>
          <w:p w14:paraId="1AD1DAAD" w14:textId="77777777"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n=201</w:t>
            </w:r>
          </w:p>
        </w:tc>
        <w:tc>
          <w:tcPr>
            <w:tcW w:w="1333" w:type="dxa"/>
            <w:tcBorders>
              <w:left w:val="nil"/>
              <w:bottom w:val="single" w:sz="8" w:space="0" w:color="000000"/>
              <w:right w:val="nil"/>
            </w:tcBorders>
            <w:shd w:val="clear" w:color="auto" w:fill="FFFFFF"/>
          </w:tcPr>
          <w:p w14:paraId="7FBEE966" w14:textId="6D099DFD"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Cronbach’s </w:t>
            </w:r>
            <w:r w:rsidR="00FC7334" w:rsidRPr="00787196">
              <w:rPr>
                <w:rFonts w:cs="Arial"/>
                <w:b/>
                <w:bCs/>
                <w:color w:val="000000"/>
                <w:sz w:val="20"/>
                <w:szCs w:val="20"/>
              </w:rPr>
              <w:t>reliability co</w:t>
            </w:r>
            <w:r w:rsidRPr="00787196">
              <w:rPr>
                <w:rFonts w:cs="Arial"/>
                <w:b/>
                <w:bCs/>
                <w:color w:val="000000"/>
                <w:sz w:val="20"/>
                <w:szCs w:val="20"/>
              </w:rPr>
              <w:t>-efficient</w:t>
            </w:r>
          </w:p>
          <w:p w14:paraId="5A0CE3FE" w14:textId="77777777"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(follow-up)</w:t>
            </w:r>
          </w:p>
          <w:p w14:paraId="3B935D84" w14:textId="77777777"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n=191</w:t>
            </w:r>
          </w:p>
        </w:tc>
        <w:tc>
          <w:tcPr>
            <w:tcW w:w="1265" w:type="dxa"/>
            <w:tcBorders>
              <w:left w:val="nil"/>
              <w:bottom w:val="single" w:sz="8" w:space="0" w:color="000000"/>
              <w:right w:val="nil"/>
            </w:tcBorders>
            <w:shd w:val="clear" w:color="auto" w:fill="FFFFFF"/>
          </w:tcPr>
          <w:p w14:paraId="1F776D6B" w14:textId="77777777" w:rsidR="00845DFB" w:rsidRPr="00787196" w:rsidRDefault="00845DFB" w:rsidP="00845D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Test-retest correlation</w:t>
            </w:r>
          </w:p>
          <w:p w14:paraId="43AD5AE4" w14:textId="77777777" w:rsidR="00845DFB" w:rsidRPr="00787196" w:rsidRDefault="00845DFB" w:rsidP="00845DFB">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(ICC)</w:t>
            </w:r>
          </w:p>
        </w:tc>
      </w:tr>
      <w:tr w:rsidR="00845DFB" w:rsidRPr="00787196" w14:paraId="390BFE12" w14:textId="77777777" w:rsidTr="00E01527">
        <w:trPr>
          <w:trHeight w:val="659"/>
        </w:trPr>
        <w:tc>
          <w:tcPr>
            <w:tcW w:w="2395" w:type="dxa"/>
            <w:tcBorders>
              <w:top w:val="nil"/>
              <w:left w:val="nil"/>
              <w:bottom w:val="nil"/>
              <w:right w:val="nil"/>
            </w:tcBorders>
            <w:shd w:val="clear" w:color="auto" w:fill="FFFFFF"/>
            <w:vAlign w:val="center"/>
          </w:tcPr>
          <w:p w14:paraId="0442396C"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Concern about oral health</w:t>
            </w:r>
          </w:p>
        </w:tc>
        <w:tc>
          <w:tcPr>
            <w:tcW w:w="1335" w:type="dxa"/>
            <w:tcBorders>
              <w:top w:val="nil"/>
              <w:left w:val="nil"/>
              <w:bottom w:val="nil"/>
              <w:right w:val="nil"/>
            </w:tcBorders>
            <w:shd w:val="clear" w:color="auto" w:fill="FFFFFF"/>
            <w:vAlign w:val="center"/>
          </w:tcPr>
          <w:p w14:paraId="7BA19456"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Maslow’s needs</w:t>
            </w:r>
          </w:p>
        </w:tc>
        <w:tc>
          <w:tcPr>
            <w:tcW w:w="1576" w:type="dxa"/>
            <w:tcBorders>
              <w:top w:val="nil"/>
              <w:left w:val="nil"/>
              <w:bottom w:val="nil"/>
              <w:right w:val="nil"/>
            </w:tcBorders>
            <w:shd w:val="clear" w:color="auto" w:fill="FFFFFF"/>
            <w:vAlign w:val="center"/>
          </w:tcPr>
          <w:p w14:paraId="00C4989D"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0.62</w:t>
            </w:r>
          </w:p>
        </w:tc>
        <w:tc>
          <w:tcPr>
            <w:tcW w:w="1333" w:type="dxa"/>
            <w:tcBorders>
              <w:top w:val="nil"/>
              <w:left w:val="nil"/>
              <w:bottom w:val="nil"/>
              <w:right w:val="nil"/>
            </w:tcBorders>
            <w:shd w:val="clear" w:color="auto" w:fill="FFFFFF"/>
            <w:vAlign w:val="center"/>
          </w:tcPr>
          <w:p w14:paraId="111F6BC5"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0.67</w:t>
            </w:r>
          </w:p>
        </w:tc>
        <w:tc>
          <w:tcPr>
            <w:tcW w:w="1265" w:type="dxa"/>
            <w:tcBorders>
              <w:top w:val="nil"/>
              <w:left w:val="nil"/>
              <w:bottom w:val="nil"/>
              <w:right w:val="nil"/>
            </w:tcBorders>
            <w:shd w:val="clear" w:color="auto" w:fill="FFFFFF"/>
            <w:vAlign w:val="center"/>
          </w:tcPr>
          <w:p w14:paraId="7D7628E6"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0.70**</w:t>
            </w:r>
          </w:p>
        </w:tc>
      </w:tr>
      <w:tr w:rsidR="00845DFB" w:rsidRPr="00787196" w14:paraId="10DD2314" w14:textId="77777777" w:rsidTr="00E01527">
        <w:trPr>
          <w:trHeight w:val="427"/>
        </w:trPr>
        <w:tc>
          <w:tcPr>
            <w:tcW w:w="2395" w:type="dxa"/>
            <w:tcBorders>
              <w:top w:val="nil"/>
              <w:left w:val="nil"/>
              <w:bottom w:val="nil"/>
              <w:right w:val="nil"/>
            </w:tcBorders>
            <w:shd w:val="clear" w:color="auto" w:fill="FFFFFF"/>
            <w:vAlign w:val="center"/>
          </w:tcPr>
          <w:p w14:paraId="1C1EDA2C"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Ageing expectations</w:t>
            </w:r>
          </w:p>
        </w:tc>
        <w:tc>
          <w:tcPr>
            <w:tcW w:w="1335" w:type="dxa"/>
            <w:tcBorders>
              <w:top w:val="nil"/>
              <w:left w:val="nil"/>
              <w:bottom w:val="nil"/>
              <w:right w:val="nil"/>
            </w:tcBorders>
            <w:shd w:val="clear" w:color="auto" w:fill="FFFFFF"/>
            <w:vAlign w:val="center"/>
          </w:tcPr>
          <w:p w14:paraId="66A49775"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ERA-12</w:t>
            </w:r>
          </w:p>
        </w:tc>
        <w:tc>
          <w:tcPr>
            <w:tcW w:w="1576" w:type="dxa"/>
            <w:tcBorders>
              <w:top w:val="nil"/>
              <w:left w:val="nil"/>
              <w:bottom w:val="nil"/>
              <w:right w:val="nil"/>
            </w:tcBorders>
            <w:shd w:val="clear" w:color="auto" w:fill="FFFFFF"/>
            <w:vAlign w:val="center"/>
          </w:tcPr>
          <w:p w14:paraId="53535CA9"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0.85</w:t>
            </w:r>
          </w:p>
        </w:tc>
        <w:tc>
          <w:tcPr>
            <w:tcW w:w="1333" w:type="dxa"/>
            <w:tcBorders>
              <w:top w:val="nil"/>
              <w:left w:val="nil"/>
              <w:bottom w:val="nil"/>
              <w:right w:val="nil"/>
            </w:tcBorders>
            <w:shd w:val="clear" w:color="auto" w:fill="FFFFFF"/>
            <w:vAlign w:val="center"/>
          </w:tcPr>
          <w:p w14:paraId="4016B495"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0.87</w:t>
            </w:r>
          </w:p>
        </w:tc>
        <w:tc>
          <w:tcPr>
            <w:tcW w:w="1265" w:type="dxa"/>
            <w:tcBorders>
              <w:top w:val="nil"/>
              <w:left w:val="nil"/>
              <w:bottom w:val="nil"/>
              <w:right w:val="nil"/>
            </w:tcBorders>
            <w:shd w:val="clear" w:color="auto" w:fill="FFFFFF"/>
            <w:vAlign w:val="center"/>
          </w:tcPr>
          <w:p w14:paraId="421A9544"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0.84**</w:t>
            </w:r>
          </w:p>
        </w:tc>
      </w:tr>
      <w:tr w:rsidR="00845DFB" w:rsidRPr="00787196" w14:paraId="13DB675F" w14:textId="77777777" w:rsidTr="00E01527">
        <w:trPr>
          <w:trHeight w:val="561"/>
        </w:trPr>
        <w:tc>
          <w:tcPr>
            <w:tcW w:w="2395" w:type="dxa"/>
            <w:tcBorders>
              <w:top w:val="nil"/>
              <w:left w:val="nil"/>
              <w:bottom w:val="nil"/>
              <w:right w:val="nil"/>
            </w:tcBorders>
            <w:shd w:val="clear" w:color="auto" w:fill="FFFFFF"/>
            <w:vAlign w:val="center"/>
          </w:tcPr>
          <w:p w14:paraId="0E9773C9"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Perceived stress</w:t>
            </w:r>
          </w:p>
        </w:tc>
        <w:tc>
          <w:tcPr>
            <w:tcW w:w="1335" w:type="dxa"/>
            <w:tcBorders>
              <w:top w:val="nil"/>
              <w:left w:val="nil"/>
              <w:bottom w:val="nil"/>
              <w:right w:val="nil"/>
            </w:tcBorders>
            <w:shd w:val="clear" w:color="auto" w:fill="FFFFFF"/>
            <w:vAlign w:val="center"/>
          </w:tcPr>
          <w:p w14:paraId="63419E5D"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PSS-4</w:t>
            </w:r>
          </w:p>
        </w:tc>
        <w:tc>
          <w:tcPr>
            <w:tcW w:w="1576" w:type="dxa"/>
            <w:tcBorders>
              <w:top w:val="nil"/>
              <w:left w:val="nil"/>
              <w:bottom w:val="nil"/>
              <w:right w:val="nil"/>
            </w:tcBorders>
            <w:shd w:val="clear" w:color="auto" w:fill="FFFFFF"/>
            <w:vAlign w:val="center"/>
          </w:tcPr>
          <w:p w14:paraId="67654666"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0.50</w:t>
            </w:r>
          </w:p>
        </w:tc>
        <w:tc>
          <w:tcPr>
            <w:tcW w:w="1333" w:type="dxa"/>
            <w:tcBorders>
              <w:top w:val="nil"/>
              <w:left w:val="nil"/>
              <w:bottom w:val="nil"/>
              <w:right w:val="nil"/>
            </w:tcBorders>
            <w:shd w:val="clear" w:color="auto" w:fill="FFFFFF"/>
            <w:vAlign w:val="center"/>
          </w:tcPr>
          <w:p w14:paraId="334AB77C"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0.60</w:t>
            </w:r>
          </w:p>
        </w:tc>
        <w:tc>
          <w:tcPr>
            <w:tcW w:w="1265" w:type="dxa"/>
            <w:tcBorders>
              <w:top w:val="nil"/>
              <w:left w:val="nil"/>
              <w:bottom w:val="nil"/>
              <w:right w:val="nil"/>
            </w:tcBorders>
            <w:shd w:val="clear" w:color="auto" w:fill="FFFFFF"/>
            <w:vAlign w:val="center"/>
          </w:tcPr>
          <w:p w14:paraId="546DD042"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0.70**</w:t>
            </w:r>
          </w:p>
        </w:tc>
      </w:tr>
      <w:tr w:rsidR="00845DFB" w:rsidRPr="00787196" w14:paraId="37B06654" w14:textId="77777777" w:rsidTr="00E01527">
        <w:trPr>
          <w:trHeight w:val="706"/>
        </w:trPr>
        <w:tc>
          <w:tcPr>
            <w:tcW w:w="2395" w:type="dxa"/>
            <w:tcBorders>
              <w:top w:val="nil"/>
              <w:left w:val="nil"/>
              <w:bottom w:val="nil"/>
              <w:right w:val="nil"/>
            </w:tcBorders>
            <w:shd w:val="clear" w:color="auto" w:fill="FFFFFF"/>
            <w:vAlign w:val="center"/>
          </w:tcPr>
          <w:p w14:paraId="6319507F"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OHQoL</w:t>
            </w:r>
          </w:p>
        </w:tc>
        <w:tc>
          <w:tcPr>
            <w:tcW w:w="1335" w:type="dxa"/>
            <w:tcBorders>
              <w:top w:val="nil"/>
              <w:left w:val="nil"/>
              <w:bottom w:val="nil"/>
              <w:right w:val="nil"/>
            </w:tcBorders>
            <w:shd w:val="clear" w:color="auto" w:fill="FFFFFF"/>
            <w:vAlign w:val="center"/>
          </w:tcPr>
          <w:p w14:paraId="5D31FFB0"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OHIP- EDENT</w:t>
            </w:r>
          </w:p>
        </w:tc>
        <w:tc>
          <w:tcPr>
            <w:tcW w:w="1576" w:type="dxa"/>
            <w:tcBorders>
              <w:top w:val="nil"/>
              <w:left w:val="nil"/>
              <w:bottom w:val="nil"/>
              <w:right w:val="nil"/>
            </w:tcBorders>
            <w:shd w:val="clear" w:color="auto" w:fill="FFFFFF"/>
            <w:vAlign w:val="center"/>
          </w:tcPr>
          <w:p w14:paraId="622ADDD3"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0.86</w:t>
            </w:r>
          </w:p>
        </w:tc>
        <w:tc>
          <w:tcPr>
            <w:tcW w:w="1333" w:type="dxa"/>
            <w:tcBorders>
              <w:top w:val="nil"/>
              <w:left w:val="nil"/>
              <w:bottom w:val="nil"/>
              <w:right w:val="nil"/>
            </w:tcBorders>
            <w:shd w:val="clear" w:color="auto" w:fill="FFFFFF"/>
            <w:vAlign w:val="center"/>
          </w:tcPr>
          <w:p w14:paraId="218CCE28"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0.92</w:t>
            </w:r>
          </w:p>
        </w:tc>
        <w:tc>
          <w:tcPr>
            <w:tcW w:w="1265" w:type="dxa"/>
            <w:tcBorders>
              <w:top w:val="nil"/>
              <w:left w:val="nil"/>
              <w:bottom w:val="nil"/>
              <w:right w:val="nil"/>
            </w:tcBorders>
            <w:shd w:val="clear" w:color="auto" w:fill="FFFFFF"/>
            <w:vAlign w:val="center"/>
          </w:tcPr>
          <w:p w14:paraId="31CD9A97" w14:textId="77777777" w:rsidR="00845DFB" w:rsidRPr="00787196" w:rsidRDefault="00845DFB" w:rsidP="00845DFB">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0.45**</w:t>
            </w:r>
          </w:p>
        </w:tc>
      </w:tr>
      <w:tr w:rsidR="00845DFB" w:rsidRPr="00787196" w14:paraId="66F47893" w14:textId="77777777" w:rsidTr="00E01527">
        <w:trPr>
          <w:trHeight w:val="100"/>
        </w:trPr>
        <w:tc>
          <w:tcPr>
            <w:tcW w:w="2395" w:type="dxa"/>
            <w:tcBorders>
              <w:top w:val="nil"/>
              <w:left w:val="nil"/>
              <w:bottom w:val="nil"/>
              <w:right w:val="nil"/>
            </w:tcBorders>
            <w:shd w:val="clear" w:color="auto" w:fill="FFFFFF"/>
            <w:vAlign w:val="center"/>
          </w:tcPr>
          <w:p w14:paraId="05526555"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Denture satisfaction</w:t>
            </w:r>
          </w:p>
        </w:tc>
        <w:tc>
          <w:tcPr>
            <w:tcW w:w="1335" w:type="dxa"/>
            <w:tcBorders>
              <w:top w:val="nil"/>
              <w:left w:val="nil"/>
              <w:bottom w:val="nil"/>
              <w:right w:val="nil"/>
            </w:tcBorders>
            <w:shd w:val="clear" w:color="auto" w:fill="FFFFFF"/>
            <w:vAlign w:val="center"/>
          </w:tcPr>
          <w:p w14:paraId="450625ED" w14:textId="77777777" w:rsidR="00845DFB" w:rsidRPr="00787196" w:rsidRDefault="00845DFB" w:rsidP="00E01527">
            <w:pPr>
              <w:autoSpaceDE w:val="0"/>
              <w:autoSpaceDN w:val="0"/>
              <w:adjustRightInd w:val="0"/>
              <w:spacing w:before="0" w:after="0" w:line="240" w:lineRule="auto"/>
              <w:jc w:val="left"/>
              <w:rPr>
                <w:rFonts w:cs="Arial"/>
                <w:color w:val="000000"/>
                <w:sz w:val="22"/>
              </w:rPr>
            </w:pPr>
            <w:r w:rsidRPr="00787196">
              <w:rPr>
                <w:rFonts w:cs="Arial"/>
                <w:color w:val="000000"/>
                <w:sz w:val="22"/>
              </w:rPr>
              <w:t>de Liz Pocztaruk</w:t>
            </w:r>
          </w:p>
        </w:tc>
        <w:tc>
          <w:tcPr>
            <w:tcW w:w="1576" w:type="dxa"/>
            <w:tcBorders>
              <w:top w:val="nil"/>
              <w:left w:val="nil"/>
              <w:bottom w:val="nil"/>
              <w:right w:val="nil"/>
            </w:tcBorders>
            <w:shd w:val="clear" w:color="auto" w:fill="FFFFFF"/>
            <w:vAlign w:val="center"/>
          </w:tcPr>
          <w:p w14:paraId="17E9C9D8" w14:textId="77777777" w:rsidR="00845DFB" w:rsidRPr="00787196" w:rsidRDefault="00845DFB" w:rsidP="00E0152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0.92</w:t>
            </w:r>
          </w:p>
        </w:tc>
        <w:tc>
          <w:tcPr>
            <w:tcW w:w="1333" w:type="dxa"/>
            <w:tcBorders>
              <w:top w:val="nil"/>
              <w:left w:val="nil"/>
              <w:bottom w:val="nil"/>
              <w:right w:val="nil"/>
            </w:tcBorders>
            <w:shd w:val="clear" w:color="auto" w:fill="FFFFFF"/>
            <w:vAlign w:val="center"/>
          </w:tcPr>
          <w:p w14:paraId="7EF127A6" w14:textId="77777777" w:rsidR="00845DFB" w:rsidRPr="00787196" w:rsidRDefault="00845DFB" w:rsidP="00E0152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0.95</w:t>
            </w:r>
          </w:p>
        </w:tc>
        <w:tc>
          <w:tcPr>
            <w:tcW w:w="1265" w:type="dxa"/>
            <w:tcBorders>
              <w:top w:val="nil"/>
              <w:left w:val="nil"/>
              <w:bottom w:val="nil"/>
              <w:right w:val="nil"/>
            </w:tcBorders>
            <w:shd w:val="clear" w:color="auto" w:fill="FFFFFF"/>
            <w:vAlign w:val="center"/>
          </w:tcPr>
          <w:p w14:paraId="048B16C0" w14:textId="77777777" w:rsidR="00845DFB" w:rsidRPr="00787196" w:rsidRDefault="00845DFB" w:rsidP="00E0152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0.40**</w:t>
            </w:r>
          </w:p>
        </w:tc>
      </w:tr>
      <w:tr w:rsidR="00845DFB" w:rsidRPr="00787196" w14:paraId="07B623A0" w14:textId="77777777" w:rsidTr="00E01527">
        <w:trPr>
          <w:trHeight w:val="138"/>
        </w:trPr>
        <w:tc>
          <w:tcPr>
            <w:tcW w:w="2395" w:type="dxa"/>
            <w:tcBorders>
              <w:top w:val="nil"/>
              <w:left w:val="nil"/>
              <w:right w:val="nil"/>
            </w:tcBorders>
            <w:shd w:val="clear" w:color="auto" w:fill="FFFFFF"/>
            <w:vAlign w:val="center"/>
          </w:tcPr>
          <w:p w14:paraId="4BC27B6A" w14:textId="77777777" w:rsidR="00845DFB" w:rsidRPr="00787196" w:rsidRDefault="00845DFB" w:rsidP="00845DFB">
            <w:pPr>
              <w:autoSpaceDE w:val="0"/>
              <w:autoSpaceDN w:val="0"/>
              <w:adjustRightInd w:val="0"/>
              <w:spacing w:before="0" w:after="0" w:line="240" w:lineRule="auto"/>
              <w:rPr>
                <w:rFonts w:cs="Arial"/>
                <w:color w:val="000000"/>
                <w:szCs w:val="24"/>
              </w:rPr>
            </w:pPr>
          </w:p>
        </w:tc>
        <w:tc>
          <w:tcPr>
            <w:tcW w:w="1335" w:type="dxa"/>
            <w:tcBorders>
              <w:top w:val="nil"/>
              <w:left w:val="nil"/>
              <w:right w:val="nil"/>
            </w:tcBorders>
            <w:shd w:val="clear" w:color="auto" w:fill="FFFFFF"/>
          </w:tcPr>
          <w:p w14:paraId="7F056D71" w14:textId="77777777" w:rsidR="00845DFB" w:rsidRPr="00787196" w:rsidRDefault="00845DFB" w:rsidP="00845DFB">
            <w:pPr>
              <w:autoSpaceDE w:val="0"/>
              <w:autoSpaceDN w:val="0"/>
              <w:adjustRightInd w:val="0"/>
              <w:spacing w:before="0" w:after="0" w:line="240" w:lineRule="auto"/>
              <w:ind w:left="142"/>
              <w:rPr>
                <w:rFonts w:cs="Arial"/>
                <w:color w:val="000000"/>
                <w:szCs w:val="24"/>
              </w:rPr>
            </w:pPr>
          </w:p>
        </w:tc>
        <w:tc>
          <w:tcPr>
            <w:tcW w:w="1576" w:type="dxa"/>
            <w:tcBorders>
              <w:top w:val="nil"/>
              <w:left w:val="nil"/>
              <w:right w:val="nil"/>
            </w:tcBorders>
            <w:shd w:val="clear" w:color="auto" w:fill="FFFFFF"/>
          </w:tcPr>
          <w:p w14:paraId="0E448363" w14:textId="77777777" w:rsidR="00845DFB" w:rsidRPr="00787196" w:rsidRDefault="00845DFB" w:rsidP="00845DFB">
            <w:pPr>
              <w:autoSpaceDE w:val="0"/>
              <w:autoSpaceDN w:val="0"/>
              <w:adjustRightInd w:val="0"/>
              <w:spacing w:before="0" w:after="0" w:line="240" w:lineRule="auto"/>
              <w:ind w:left="142"/>
              <w:rPr>
                <w:rFonts w:cs="Arial"/>
                <w:color w:val="000000"/>
                <w:szCs w:val="24"/>
              </w:rPr>
            </w:pPr>
          </w:p>
        </w:tc>
        <w:tc>
          <w:tcPr>
            <w:tcW w:w="1333" w:type="dxa"/>
            <w:tcBorders>
              <w:top w:val="nil"/>
              <w:left w:val="nil"/>
              <w:right w:val="nil"/>
            </w:tcBorders>
            <w:shd w:val="clear" w:color="auto" w:fill="FFFFFF"/>
          </w:tcPr>
          <w:p w14:paraId="75711FD7" w14:textId="77777777" w:rsidR="00845DFB" w:rsidRPr="00787196" w:rsidRDefault="00845DFB" w:rsidP="00845DFB">
            <w:pPr>
              <w:autoSpaceDE w:val="0"/>
              <w:autoSpaceDN w:val="0"/>
              <w:adjustRightInd w:val="0"/>
              <w:spacing w:before="0" w:after="0" w:line="240" w:lineRule="auto"/>
              <w:ind w:left="142"/>
              <w:rPr>
                <w:rFonts w:cs="Arial"/>
                <w:color w:val="000000"/>
                <w:szCs w:val="24"/>
              </w:rPr>
            </w:pPr>
          </w:p>
        </w:tc>
        <w:tc>
          <w:tcPr>
            <w:tcW w:w="1265" w:type="dxa"/>
            <w:tcBorders>
              <w:top w:val="nil"/>
              <w:left w:val="nil"/>
              <w:right w:val="nil"/>
            </w:tcBorders>
            <w:shd w:val="clear" w:color="auto" w:fill="FFFFFF"/>
            <w:vAlign w:val="center"/>
          </w:tcPr>
          <w:p w14:paraId="0FDF61C3" w14:textId="77777777" w:rsidR="00845DFB" w:rsidRPr="00787196" w:rsidRDefault="00845DFB" w:rsidP="00845DFB">
            <w:pPr>
              <w:autoSpaceDE w:val="0"/>
              <w:autoSpaceDN w:val="0"/>
              <w:adjustRightInd w:val="0"/>
              <w:spacing w:before="0" w:after="0" w:line="240" w:lineRule="auto"/>
              <w:ind w:left="142"/>
              <w:rPr>
                <w:rFonts w:cs="Arial"/>
                <w:color w:val="000000"/>
                <w:szCs w:val="24"/>
              </w:rPr>
            </w:pPr>
          </w:p>
        </w:tc>
      </w:tr>
    </w:tbl>
    <w:p w14:paraId="3BCAAE8A" w14:textId="77777777" w:rsidR="0006394C" w:rsidRPr="00787196" w:rsidRDefault="008B4A84" w:rsidP="00755F46">
      <w:pPr>
        <w:spacing w:before="0" w:after="0"/>
        <w:rPr>
          <w:i/>
          <w:iCs/>
          <w:sz w:val="20"/>
          <w:szCs w:val="18"/>
        </w:rPr>
      </w:pPr>
      <w:r w:rsidRPr="00787196">
        <w:rPr>
          <w:sz w:val="20"/>
          <w:szCs w:val="18"/>
        </w:rPr>
        <w:t>**</w:t>
      </w:r>
      <w:r w:rsidRPr="00787196">
        <w:rPr>
          <w:i/>
          <w:iCs/>
          <w:sz w:val="20"/>
          <w:szCs w:val="18"/>
        </w:rPr>
        <w:t>correlation is significant at the 0.01 level (2 tailed)</w:t>
      </w:r>
    </w:p>
    <w:p w14:paraId="4FBEFD0E" w14:textId="77777777" w:rsidR="00596CDC" w:rsidRPr="00787196" w:rsidRDefault="00596CDC" w:rsidP="00596CDC">
      <w:pPr>
        <w:spacing w:after="0"/>
      </w:pPr>
      <w:bookmarkStart w:id="264" w:name="_Ref428937349"/>
      <w:bookmarkStart w:id="265" w:name="_Ref428937343"/>
    </w:p>
    <w:p w14:paraId="3E07816D" w14:textId="45EDE278" w:rsidR="000B0789" w:rsidRPr="00787196" w:rsidRDefault="00115F4B" w:rsidP="00596CDC">
      <w:pPr>
        <w:spacing w:before="0"/>
      </w:pPr>
      <w:r w:rsidRPr="00787196">
        <w:t xml:space="preserve">The perceived stress scale </w:t>
      </w:r>
      <w:r w:rsidR="004424C2" w:rsidRPr="00787196">
        <w:t xml:space="preserve">with only 4 </w:t>
      </w:r>
      <w:r w:rsidR="00942167" w:rsidRPr="00787196">
        <w:t>items,</w:t>
      </w:r>
      <w:r w:rsidR="004424C2" w:rsidRPr="00787196">
        <w:t xml:space="preserve"> had low internal consistency but</w:t>
      </w:r>
      <w:r w:rsidRPr="00787196">
        <w:t xml:space="preserve"> better te</w:t>
      </w:r>
      <w:r w:rsidR="00942167" w:rsidRPr="00787196">
        <w:t>st-retest reliability ICC (0.70</w:t>
      </w:r>
      <w:r w:rsidR="000F6B45" w:rsidRPr="00787196">
        <w:t>)</w:t>
      </w:r>
      <w:r w:rsidR="00942167" w:rsidRPr="00787196">
        <w:t xml:space="preserve">. Hence, </w:t>
      </w:r>
      <w:r w:rsidRPr="00787196">
        <w:t>the reliability of the scale was still deemed acceptable</w:t>
      </w:r>
      <w:r w:rsidR="000F6B45" w:rsidRPr="00787196">
        <w:t xml:space="preserve"> (Table 5-12)</w:t>
      </w:r>
      <w:r w:rsidRPr="00787196">
        <w:t>. The ICC</w:t>
      </w:r>
      <w:r w:rsidR="00942167" w:rsidRPr="00787196">
        <w:t>s</w:t>
      </w:r>
      <w:r w:rsidRPr="00787196">
        <w:t xml:space="preserve"> were low</w:t>
      </w:r>
      <w:r w:rsidR="00942167" w:rsidRPr="00787196">
        <w:t>er</w:t>
      </w:r>
      <w:r w:rsidRPr="00787196">
        <w:t xml:space="preserve"> for OHQoL and denture satisfaction</w:t>
      </w:r>
      <w:r w:rsidR="00942167" w:rsidRPr="00787196">
        <w:t>, which</w:t>
      </w:r>
      <w:r w:rsidRPr="00787196">
        <w:t xml:space="preserve"> may be due to </w:t>
      </w:r>
      <w:r w:rsidR="00121514" w:rsidRPr="00787196">
        <w:t>all the participants</w:t>
      </w:r>
      <w:r w:rsidRPr="00787196">
        <w:t xml:space="preserve"> receiving new dentures</w:t>
      </w:r>
      <w:r w:rsidR="00121514" w:rsidRPr="00787196">
        <w:t xml:space="preserve"> during the </w:t>
      </w:r>
      <w:r w:rsidR="000B0789" w:rsidRPr="00787196">
        <w:t>study. The</w:t>
      </w:r>
      <w:r w:rsidRPr="00787196">
        <w:t xml:space="preserve"> reliability scores for Brief COPE scale are listed in Table (5-1</w:t>
      </w:r>
      <w:r w:rsidR="000F6B45" w:rsidRPr="00787196">
        <w:t>3</w:t>
      </w:r>
      <w:r w:rsidRPr="00787196">
        <w:t>)</w:t>
      </w:r>
    </w:p>
    <w:p w14:paraId="561167B7" w14:textId="77777777" w:rsidR="000B0789" w:rsidRPr="00787196" w:rsidRDefault="000B0789">
      <w:pPr>
        <w:spacing w:before="0" w:after="0" w:line="240" w:lineRule="auto"/>
        <w:jc w:val="left"/>
      </w:pPr>
      <w:r w:rsidRPr="00787196">
        <w:br w:type="page"/>
      </w:r>
    </w:p>
    <w:p w14:paraId="6996ADEF" w14:textId="4FC51D04" w:rsidR="002155B7" w:rsidRPr="00787196" w:rsidRDefault="002155B7" w:rsidP="00755F46">
      <w:pPr>
        <w:pStyle w:val="Caption"/>
        <w:keepNext/>
        <w:spacing w:after="0"/>
        <w:rPr>
          <w:b/>
          <w:bCs/>
          <w:i w:val="0"/>
          <w:iCs w:val="0"/>
          <w:color w:val="auto"/>
          <w:sz w:val="24"/>
          <w:szCs w:val="24"/>
        </w:rPr>
      </w:pPr>
      <w:bookmarkStart w:id="266" w:name="_Ref441130885"/>
      <w:bookmarkStart w:id="267" w:name="_Toc461641238"/>
      <w:bookmarkStart w:id="268" w:name="_Toc488655542"/>
      <w:r w:rsidRPr="00787196">
        <w:rPr>
          <w:b/>
          <w:bCs/>
          <w:i w:val="0"/>
          <w:iCs w:val="0"/>
          <w:color w:val="auto"/>
          <w:sz w:val="24"/>
          <w:szCs w:val="24"/>
        </w:rPr>
        <w:lastRenderedPageBreak/>
        <w:t xml:space="preserve">Table </w:t>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STYLEREF 1 \s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5</w:t>
      </w:r>
      <w:r w:rsidR="000332A1" w:rsidRPr="00787196">
        <w:rPr>
          <w:b/>
          <w:bCs/>
          <w:i w:val="0"/>
          <w:iCs w:val="0"/>
          <w:color w:val="auto"/>
          <w:sz w:val="24"/>
          <w:szCs w:val="24"/>
        </w:rPr>
        <w:fldChar w:fldCharType="end"/>
      </w:r>
      <w:r w:rsidR="000332A1" w:rsidRPr="00787196">
        <w:rPr>
          <w:b/>
          <w:bCs/>
          <w:i w:val="0"/>
          <w:iCs w:val="0"/>
          <w:color w:val="auto"/>
          <w:sz w:val="24"/>
          <w:szCs w:val="24"/>
        </w:rPr>
        <w:noBreakHyphen/>
      </w:r>
      <w:r w:rsidR="000332A1" w:rsidRPr="00787196">
        <w:rPr>
          <w:b/>
          <w:bCs/>
          <w:i w:val="0"/>
          <w:iCs w:val="0"/>
          <w:color w:val="auto"/>
          <w:sz w:val="24"/>
          <w:szCs w:val="24"/>
        </w:rPr>
        <w:fldChar w:fldCharType="begin"/>
      </w:r>
      <w:r w:rsidR="000332A1" w:rsidRPr="00787196">
        <w:rPr>
          <w:b/>
          <w:bCs/>
          <w:i w:val="0"/>
          <w:iCs w:val="0"/>
          <w:color w:val="auto"/>
          <w:sz w:val="24"/>
          <w:szCs w:val="24"/>
        </w:rPr>
        <w:instrText xml:space="preserve"> SEQ Table \* ARABIC \s 1 </w:instrText>
      </w:r>
      <w:r w:rsidR="000332A1" w:rsidRPr="00787196">
        <w:rPr>
          <w:b/>
          <w:bCs/>
          <w:i w:val="0"/>
          <w:iCs w:val="0"/>
          <w:color w:val="auto"/>
          <w:sz w:val="24"/>
          <w:szCs w:val="24"/>
        </w:rPr>
        <w:fldChar w:fldCharType="separate"/>
      </w:r>
      <w:r w:rsidR="00C069BC" w:rsidRPr="00787196">
        <w:rPr>
          <w:b/>
          <w:bCs/>
          <w:i w:val="0"/>
          <w:iCs w:val="0"/>
          <w:noProof/>
          <w:color w:val="auto"/>
          <w:sz w:val="24"/>
          <w:szCs w:val="24"/>
        </w:rPr>
        <w:t>13</w:t>
      </w:r>
      <w:r w:rsidR="000332A1" w:rsidRPr="00787196">
        <w:rPr>
          <w:b/>
          <w:bCs/>
          <w:i w:val="0"/>
          <w:iCs w:val="0"/>
          <w:color w:val="auto"/>
          <w:sz w:val="24"/>
          <w:szCs w:val="24"/>
        </w:rPr>
        <w:fldChar w:fldCharType="end"/>
      </w:r>
      <w:bookmarkEnd w:id="264"/>
      <w:bookmarkEnd w:id="266"/>
      <w:r w:rsidR="00FC7334" w:rsidRPr="00787196">
        <w:rPr>
          <w:b/>
          <w:bCs/>
          <w:i w:val="0"/>
          <w:iCs w:val="0"/>
          <w:color w:val="auto"/>
          <w:sz w:val="24"/>
          <w:szCs w:val="24"/>
        </w:rPr>
        <w:t>.</w:t>
      </w:r>
      <w:r w:rsidR="00226F2B" w:rsidRPr="00787196">
        <w:rPr>
          <w:b/>
          <w:bCs/>
          <w:i w:val="0"/>
          <w:iCs w:val="0"/>
          <w:color w:val="auto"/>
          <w:sz w:val="24"/>
          <w:szCs w:val="24"/>
        </w:rPr>
        <w:t xml:space="preserve"> </w:t>
      </w:r>
      <w:r w:rsidR="002D0750" w:rsidRPr="00787196">
        <w:rPr>
          <w:b/>
          <w:bCs/>
          <w:i w:val="0"/>
          <w:iCs w:val="0"/>
          <w:color w:val="auto"/>
          <w:sz w:val="24"/>
          <w:szCs w:val="24"/>
        </w:rPr>
        <w:t>Reliability</w:t>
      </w:r>
      <w:r w:rsidRPr="00787196">
        <w:rPr>
          <w:b/>
          <w:bCs/>
          <w:i w:val="0"/>
          <w:iCs w:val="0"/>
          <w:color w:val="auto"/>
          <w:sz w:val="24"/>
          <w:szCs w:val="24"/>
        </w:rPr>
        <w:t xml:space="preserve"> of Brief COPE factors</w:t>
      </w:r>
      <w:bookmarkEnd w:id="265"/>
      <w:bookmarkEnd w:id="267"/>
      <w:bookmarkEnd w:id="268"/>
    </w:p>
    <w:tbl>
      <w:tblPr>
        <w:tblpPr w:leftFromText="180" w:rightFromText="180" w:vertAnchor="text" w:horzAnchor="margin" w:tblpY="336"/>
        <w:tblW w:w="8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574"/>
        <w:gridCol w:w="1777"/>
        <w:gridCol w:w="1583"/>
        <w:gridCol w:w="1501"/>
      </w:tblGrid>
      <w:tr w:rsidR="00A50415" w:rsidRPr="00787196" w14:paraId="25C2F6A4" w14:textId="77777777" w:rsidTr="00A50415">
        <w:trPr>
          <w:trHeight w:val="301"/>
        </w:trPr>
        <w:tc>
          <w:tcPr>
            <w:tcW w:w="3574" w:type="dxa"/>
            <w:tcBorders>
              <w:left w:val="nil"/>
              <w:bottom w:val="single" w:sz="8" w:space="0" w:color="000000"/>
              <w:right w:val="nil"/>
            </w:tcBorders>
            <w:shd w:val="clear" w:color="auto" w:fill="FFFFFF"/>
            <w:vAlign w:val="center"/>
          </w:tcPr>
          <w:p w14:paraId="35B58201" w14:textId="77777777" w:rsidR="000B0789" w:rsidRPr="00787196" w:rsidRDefault="000B0789" w:rsidP="000B0789">
            <w:pPr>
              <w:autoSpaceDE w:val="0"/>
              <w:autoSpaceDN w:val="0"/>
              <w:adjustRightInd w:val="0"/>
              <w:spacing w:before="0" w:after="0" w:line="240" w:lineRule="auto"/>
              <w:rPr>
                <w:rFonts w:cs="Arial"/>
                <w:b/>
                <w:bCs/>
                <w:color w:val="000000"/>
                <w:szCs w:val="24"/>
              </w:rPr>
            </w:pPr>
            <w:r w:rsidRPr="00787196">
              <w:rPr>
                <w:rFonts w:cs="Arial"/>
                <w:b/>
                <w:bCs/>
                <w:color w:val="000000"/>
                <w:szCs w:val="24"/>
              </w:rPr>
              <w:t>Factors/</w:t>
            </w:r>
            <w:r w:rsidRPr="00787196">
              <w:rPr>
                <w:rFonts w:cs="Arial"/>
                <w:color w:val="000000"/>
                <w:sz w:val="22"/>
              </w:rPr>
              <w:t xml:space="preserve"> Brief COPE</w:t>
            </w:r>
          </w:p>
        </w:tc>
        <w:tc>
          <w:tcPr>
            <w:tcW w:w="1777" w:type="dxa"/>
            <w:tcBorders>
              <w:left w:val="nil"/>
              <w:bottom w:val="single" w:sz="8" w:space="0" w:color="000000"/>
              <w:right w:val="nil"/>
            </w:tcBorders>
            <w:shd w:val="clear" w:color="auto" w:fill="FFFFFF"/>
          </w:tcPr>
          <w:p w14:paraId="0F4938DB" w14:textId="683019EA"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Cronbach’s </w:t>
            </w:r>
            <w:r w:rsidR="00FC7334" w:rsidRPr="00787196">
              <w:rPr>
                <w:rFonts w:cs="Arial"/>
                <w:b/>
                <w:bCs/>
                <w:color w:val="000000"/>
                <w:sz w:val="20"/>
                <w:szCs w:val="20"/>
              </w:rPr>
              <w:t>reliability co</w:t>
            </w:r>
            <w:r w:rsidRPr="00787196">
              <w:rPr>
                <w:rFonts w:cs="Arial"/>
                <w:b/>
                <w:bCs/>
                <w:color w:val="000000"/>
                <w:sz w:val="20"/>
                <w:szCs w:val="20"/>
              </w:rPr>
              <w:t>-efficient</w:t>
            </w:r>
          </w:p>
          <w:p w14:paraId="0716F0E5" w14:textId="77777777"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(T1)</w:t>
            </w:r>
          </w:p>
          <w:p w14:paraId="162431AC" w14:textId="77777777"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n=201</w:t>
            </w:r>
          </w:p>
        </w:tc>
        <w:tc>
          <w:tcPr>
            <w:tcW w:w="1583" w:type="dxa"/>
            <w:tcBorders>
              <w:left w:val="nil"/>
              <w:bottom w:val="single" w:sz="8" w:space="0" w:color="000000"/>
              <w:right w:val="nil"/>
            </w:tcBorders>
            <w:shd w:val="clear" w:color="auto" w:fill="FFFFFF"/>
          </w:tcPr>
          <w:p w14:paraId="05925AF8" w14:textId="33E68E5C"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 xml:space="preserve">Cronbach’s </w:t>
            </w:r>
            <w:r w:rsidR="00FC7334" w:rsidRPr="00787196">
              <w:rPr>
                <w:rFonts w:cs="Arial"/>
                <w:b/>
                <w:bCs/>
                <w:color w:val="000000"/>
                <w:sz w:val="20"/>
                <w:szCs w:val="20"/>
              </w:rPr>
              <w:t>reliability co</w:t>
            </w:r>
            <w:r w:rsidRPr="00787196">
              <w:rPr>
                <w:rFonts w:cs="Arial"/>
                <w:b/>
                <w:bCs/>
                <w:color w:val="000000"/>
                <w:sz w:val="20"/>
                <w:szCs w:val="20"/>
              </w:rPr>
              <w:t>-efficient</w:t>
            </w:r>
          </w:p>
          <w:p w14:paraId="5AB89A82" w14:textId="77777777"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(T2)</w:t>
            </w:r>
          </w:p>
          <w:p w14:paraId="770C52D4" w14:textId="77777777"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n=191</w:t>
            </w:r>
          </w:p>
        </w:tc>
        <w:tc>
          <w:tcPr>
            <w:tcW w:w="1501" w:type="dxa"/>
            <w:tcBorders>
              <w:left w:val="nil"/>
              <w:bottom w:val="single" w:sz="8" w:space="0" w:color="000000"/>
              <w:right w:val="nil"/>
            </w:tcBorders>
            <w:shd w:val="clear" w:color="auto" w:fill="FFFFFF"/>
          </w:tcPr>
          <w:p w14:paraId="2ED2748B" w14:textId="77777777" w:rsidR="000B0789" w:rsidRPr="00787196" w:rsidRDefault="000B0789" w:rsidP="000B078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Test-retest correlation</w:t>
            </w:r>
          </w:p>
          <w:p w14:paraId="5ACDD721" w14:textId="77777777" w:rsidR="000B0789" w:rsidRPr="00787196" w:rsidRDefault="000B0789" w:rsidP="000B0789">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(ICC)</w:t>
            </w:r>
          </w:p>
        </w:tc>
      </w:tr>
      <w:tr w:rsidR="00A50415" w:rsidRPr="00787196" w14:paraId="58B07C87" w14:textId="77777777" w:rsidTr="00A50415">
        <w:trPr>
          <w:trHeight w:val="290"/>
        </w:trPr>
        <w:tc>
          <w:tcPr>
            <w:tcW w:w="3574" w:type="dxa"/>
            <w:tcBorders>
              <w:left w:val="nil"/>
              <w:bottom w:val="nil"/>
              <w:right w:val="nil"/>
            </w:tcBorders>
            <w:shd w:val="clear" w:color="auto" w:fill="FFFFFF"/>
            <w:vAlign w:val="center"/>
          </w:tcPr>
          <w:p w14:paraId="437CA966" w14:textId="77777777" w:rsidR="000B0789" w:rsidRPr="00787196" w:rsidRDefault="000B0789" w:rsidP="000B0789">
            <w:pPr>
              <w:autoSpaceDE w:val="0"/>
              <w:autoSpaceDN w:val="0"/>
              <w:adjustRightInd w:val="0"/>
              <w:spacing w:before="0" w:after="0" w:line="240" w:lineRule="auto"/>
              <w:ind w:left="142"/>
              <w:rPr>
                <w:rFonts w:cs="Arial"/>
                <w:b/>
                <w:bCs/>
                <w:color w:val="000000"/>
                <w:szCs w:val="24"/>
              </w:rPr>
            </w:pPr>
          </w:p>
        </w:tc>
        <w:tc>
          <w:tcPr>
            <w:tcW w:w="1777" w:type="dxa"/>
            <w:tcBorders>
              <w:left w:val="nil"/>
              <w:bottom w:val="nil"/>
              <w:right w:val="nil"/>
            </w:tcBorders>
            <w:shd w:val="clear" w:color="auto" w:fill="FFFFFF"/>
          </w:tcPr>
          <w:p w14:paraId="207B9442"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p>
        </w:tc>
        <w:tc>
          <w:tcPr>
            <w:tcW w:w="1583" w:type="dxa"/>
            <w:tcBorders>
              <w:left w:val="nil"/>
              <w:bottom w:val="nil"/>
              <w:right w:val="nil"/>
            </w:tcBorders>
            <w:shd w:val="clear" w:color="auto" w:fill="FFFFFF"/>
          </w:tcPr>
          <w:p w14:paraId="3FF37886"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p>
        </w:tc>
        <w:tc>
          <w:tcPr>
            <w:tcW w:w="1501" w:type="dxa"/>
            <w:tcBorders>
              <w:left w:val="nil"/>
              <w:bottom w:val="nil"/>
              <w:right w:val="nil"/>
            </w:tcBorders>
            <w:shd w:val="clear" w:color="auto" w:fill="FFFFFF"/>
          </w:tcPr>
          <w:p w14:paraId="7A6390A1"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p>
        </w:tc>
      </w:tr>
      <w:tr w:rsidR="00A50415" w:rsidRPr="00787196" w14:paraId="4A826774" w14:textId="77777777" w:rsidTr="00A50415">
        <w:trPr>
          <w:trHeight w:val="290"/>
        </w:trPr>
        <w:tc>
          <w:tcPr>
            <w:tcW w:w="3574" w:type="dxa"/>
            <w:tcBorders>
              <w:top w:val="nil"/>
              <w:left w:val="nil"/>
              <w:bottom w:val="nil"/>
              <w:right w:val="nil"/>
            </w:tcBorders>
            <w:shd w:val="clear" w:color="auto" w:fill="FFFFFF"/>
            <w:vAlign w:val="center"/>
          </w:tcPr>
          <w:p w14:paraId="05A6339E" w14:textId="77777777" w:rsidR="000B0789" w:rsidRPr="00787196" w:rsidRDefault="000B0789" w:rsidP="000B0789">
            <w:pPr>
              <w:autoSpaceDE w:val="0"/>
              <w:autoSpaceDN w:val="0"/>
              <w:adjustRightInd w:val="0"/>
              <w:spacing w:before="0" w:after="0" w:line="240" w:lineRule="auto"/>
              <w:rPr>
                <w:rFonts w:cs="Arial"/>
                <w:color w:val="000000"/>
                <w:sz w:val="22"/>
              </w:rPr>
            </w:pPr>
            <w:r w:rsidRPr="00787196">
              <w:rPr>
                <w:rFonts w:cs="Arial"/>
                <w:color w:val="000000"/>
                <w:sz w:val="22"/>
              </w:rPr>
              <w:t>Negative/inadequate/avoidance</w:t>
            </w:r>
          </w:p>
        </w:tc>
        <w:tc>
          <w:tcPr>
            <w:tcW w:w="1777" w:type="dxa"/>
            <w:tcBorders>
              <w:top w:val="nil"/>
              <w:left w:val="nil"/>
              <w:bottom w:val="nil"/>
              <w:right w:val="nil"/>
            </w:tcBorders>
            <w:shd w:val="clear" w:color="auto" w:fill="FFFFFF"/>
          </w:tcPr>
          <w:p w14:paraId="5416EF71"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0.80</w:t>
            </w:r>
          </w:p>
        </w:tc>
        <w:tc>
          <w:tcPr>
            <w:tcW w:w="1583" w:type="dxa"/>
            <w:tcBorders>
              <w:top w:val="nil"/>
              <w:left w:val="nil"/>
              <w:bottom w:val="nil"/>
              <w:right w:val="nil"/>
            </w:tcBorders>
            <w:shd w:val="clear" w:color="auto" w:fill="FFFFFF"/>
          </w:tcPr>
          <w:p w14:paraId="0EECA0FD"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0.71</w:t>
            </w:r>
          </w:p>
        </w:tc>
        <w:tc>
          <w:tcPr>
            <w:tcW w:w="1501" w:type="dxa"/>
            <w:tcBorders>
              <w:top w:val="nil"/>
              <w:left w:val="nil"/>
              <w:bottom w:val="nil"/>
              <w:right w:val="nil"/>
            </w:tcBorders>
            <w:shd w:val="clear" w:color="auto" w:fill="FFFFFF"/>
          </w:tcPr>
          <w:p w14:paraId="26E8C2B5"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0.33**</w:t>
            </w:r>
          </w:p>
        </w:tc>
      </w:tr>
      <w:tr w:rsidR="00A50415" w:rsidRPr="00787196" w14:paraId="7D9E41E0" w14:textId="77777777" w:rsidTr="00A50415">
        <w:trPr>
          <w:trHeight w:val="290"/>
        </w:trPr>
        <w:tc>
          <w:tcPr>
            <w:tcW w:w="3574" w:type="dxa"/>
            <w:tcBorders>
              <w:top w:val="nil"/>
              <w:left w:val="nil"/>
              <w:bottom w:val="nil"/>
              <w:right w:val="nil"/>
            </w:tcBorders>
            <w:shd w:val="clear" w:color="auto" w:fill="FFFFFF"/>
            <w:vAlign w:val="center"/>
          </w:tcPr>
          <w:p w14:paraId="07C7B4D8" w14:textId="77777777" w:rsidR="000B0789" w:rsidRPr="00787196" w:rsidRDefault="000B0789" w:rsidP="000B0789">
            <w:pPr>
              <w:autoSpaceDE w:val="0"/>
              <w:autoSpaceDN w:val="0"/>
              <w:adjustRightInd w:val="0"/>
              <w:spacing w:before="0" w:after="0" w:line="240" w:lineRule="auto"/>
              <w:rPr>
                <w:rFonts w:cs="Arial"/>
                <w:color w:val="000000"/>
                <w:sz w:val="22"/>
              </w:rPr>
            </w:pPr>
            <w:r w:rsidRPr="00787196">
              <w:rPr>
                <w:rFonts w:cs="Arial"/>
                <w:color w:val="000000"/>
                <w:sz w:val="22"/>
              </w:rPr>
              <w:t>Positive/adequate</w:t>
            </w:r>
          </w:p>
        </w:tc>
        <w:tc>
          <w:tcPr>
            <w:tcW w:w="1777" w:type="dxa"/>
            <w:tcBorders>
              <w:top w:val="nil"/>
              <w:left w:val="nil"/>
              <w:bottom w:val="nil"/>
              <w:right w:val="nil"/>
            </w:tcBorders>
            <w:shd w:val="clear" w:color="auto" w:fill="FFFFFF"/>
          </w:tcPr>
          <w:p w14:paraId="137184EF"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0.76</w:t>
            </w:r>
          </w:p>
        </w:tc>
        <w:tc>
          <w:tcPr>
            <w:tcW w:w="1583" w:type="dxa"/>
            <w:tcBorders>
              <w:top w:val="nil"/>
              <w:left w:val="nil"/>
              <w:bottom w:val="nil"/>
              <w:right w:val="nil"/>
            </w:tcBorders>
            <w:shd w:val="clear" w:color="auto" w:fill="FFFFFF"/>
          </w:tcPr>
          <w:p w14:paraId="05057CBA"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0.71</w:t>
            </w:r>
          </w:p>
        </w:tc>
        <w:tc>
          <w:tcPr>
            <w:tcW w:w="1501" w:type="dxa"/>
            <w:tcBorders>
              <w:top w:val="nil"/>
              <w:left w:val="nil"/>
              <w:bottom w:val="nil"/>
              <w:right w:val="nil"/>
            </w:tcBorders>
            <w:shd w:val="clear" w:color="auto" w:fill="FFFFFF"/>
          </w:tcPr>
          <w:p w14:paraId="3E8E8C04"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0.27**</w:t>
            </w:r>
          </w:p>
        </w:tc>
      </w:tr>
      <w:tr w:rsidR="00A50415" w:rsidRPr="00787196" w14:paraId="3EEBF963" w14:textId="77777777" w:rsidTr="00A50415">
        <w:trPr>
          <w:trHeight w:val="290"/>
        </w:trPr>
        <w:tc>
          <w:tcPr>
            <w:tcW w:w="3574" w:type="dxa"/>
            <w:tcBorders>
              <w:top w:val="nil"/>
              <w:left w:val="nil"/>
              <w:bottom w:val="nil"/>
              <w:right w:val="nil"/>
            </w:tcBorders>
            <w:shd w:val="clear" w:color="auto" w:fill="FFFFFF"/>
            <w:vAlign w:val="center"/>
          </w:tcPr>
          <w:p w14:paraId="3B523911" w14:textId="77777777" w:rsidR="000B0789" w:rsidRPr="00787196" w:rsidRDefault="000B0789" w:rsidP="000B0789">
            <w:pPr>
              <w:autoSpaceDE w:val="0"/>
              <w:autoSpaceDN w:val="0"/>
              <w:adjustRightInd w:val="0"/>
              <w:spacing w:before="0" w:after="0" w:line="240" w:lineRule="auto"/>
              <w:rPr>
                <w:rFonts w:cs="Arial"/>
                <w:color w:val="000000"/>
                <w:sz w:val="22"/>
              </w:rPr>
            </w:pPr>
            <w:r w:rsidRPr="00787196">
              <w:rPr>
                <w:rFonts w:cs="Arial"/>
                <w:color w:val="000000"/>
                <w:sz w:val="22"/>
              </w:rPr>
              <w:t>Self-blame</w:t>
            </w:r>
          </w:p>
        </w:tc>
        <w:tc>
          <w:tcPr>
            <w:tcW w:w="1777" w:type="dxa"/>
            <w:tcBorders>
              <w:top w:val="nil"/>
              <w:left w:val="nil"/>
              <w:bottom w:val="nil"/>
              <w:right w:val="nil"/>
            </w:tcBorders>
            <w:shd w:val="clear" w:color="auto" w:fill="FFFFFF"/>
          </w:tcPr>
          <w:p w14:paraId="5C642368"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0.90</w:t>
            </w:r>
          </w:p>
        </w:tc>
        <w:tc>
          <w:tcPr>
            <w:tcW w:w="1583" w:type="dxa"/>
            <w:tcBorders>
              <w:top w:val="nil"/>
              <w:left w:val="nil"/>
              <w:bottom w:val="nil"/>
              <w:right w:val="nil"/>
            </w:tcBorders>
            <w:shd w:val="clear" w:color="auto" w:fill="FFFFFF"/>
          </w:tcPr>
          <w:p w14:paraId="08AF2BA5"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0.53</w:t>
            </w:r>
          </w:p>
        </w:tc>
        <w:tc>
          <w:tcPr>
            <w:tcW w:w="1501" w:type="dxa"/>
            <w:tcBorders>
              <w:top w:val="nil"/>
              <w:left w:val="nil"/>
              <w:bottom w:val="nil"/>
              <w:right w:val="nil"/>
            </w:tcBorders>
            <w:shd w:val="clear" w:color="auto" w:fill="FFFFFF"/>
          </w:tcPr>
          <w:p w14:paraId="432A0AC5"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0.44**</w:t>
            </w:r>
          </w:p>
        </w:tc>
      </w:tr>
      <w:tr w:rsidR="00A50415" w:rsidRPr="00787196" w14:paraId="65635EF2" w14:textId="77777777" w:rsidTr="00A50415">
        <w:trPr>
          <w:trHeight w:val="126"/>
        </w:trPr>
        <w:tc>
          <w:tcPr>
            <w:tcW w:w="3574" w:type="dxa"/>
            <w:tcBorders>
              <w:top w:val="nil"/>
              <w:left w:val="nil"/>
              <w:bottom w:val="nil"/>
              <w:right w:val="nil"/>
            </w:tcBorders>
            <w:shd w:val="clear" w:color="auto" w:fill="FFFFFF"/>
            <w:vAlign w:val="center"/>
          </w:tcPr>
          <w:p w14:paraId="7DCB324A" w14:textId="77777777" w:rsidR="000B0789" w:rsidRPr="00787196" w:rsidRDefault="000B0789" w:rsidP="000B0789">
            <w:pPr>
              <w:autoSpaceDE w:val="0"/>
              <w:autoSpaceDN w:val="0"/>
              <w:adjustRightInd w:val="0"/>
              <w:spacing w:before="0" w:after="0" w:line="240" w:lineRule="auto"/>
              <w:rPr>
                <w:rFonts w:cs="Arial"/>
                <w:color w:val="000000"/>
                <w:sz w:val="22"/>
              </w:rPr>
            </w:pPr>
            <w:r w:rsidRPr="00787196">
              <w:rPr>
                <w:rFonts w:cs="Arial"/>
                <w:color w:val="000000"/>
                <w:sz w:val="22"/>
              </w:rPr>
              <w:t>Religion</w:t>
            </w:r>
          </w:p>
        </w:tc>
        <w:tc>
          <w:tcPr>
            <w:tcW w:w="1777" w:type="dxa"/>
            <w:tcBorders>
              <w:top w:val="nil"/>
              <w:left w:val="nil"/>
              <w:bottom w:val="nil"/>
              <w:right w:val="nil"/>
            </w:tcBorders>
            <w:shd w:val="clear" w:color="auto" w:fill="FFFFFF"/>
          </w:tcPr>
          <w:p w14:paraId="77552D3A"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0.91</w:t>
            </w:r>
          </w:p>
        </w:tc>
        <w:tc>
          <w:tcPr>
            <w:tcW w:w="1583" w:type="dxa"/>
            <w:tcBorders>
              <w:top w:val="nil"/>
              <w:left w:val="nil"/>
              <w:bottom w:val="nil"/>
              <w:right w:val="nil"/>
            </w:tcBorders>
            <w:shd w:val="clear" w:color="auto" w:fill="FFFFFF"/>
          </w:tcPr>
          <w:p w14:paraId="19B4FD17"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0.84</w:t>
            </w:r>
          </w:p>
        </w:tc>
        <w:tc>
          <w:tcPr>
            <w:tcW w:w="1501" w:type="dxa"/>
            <w:tcBorders>
              <w:top w:val="nil"/>
              <w:left w:val="nil"/>
              <w:bottom w:val="nil"/>
              <w:right w:val="nil"/>
            </w:tcBorders>
            <w:shd w:val="clear" w:color="auto" w:fill="FFFFFF"/>
          </w:tcPr>
          <w:p w14:paraId="4F5E07F0" w14:textId="77777777" w:rsidR="000B0789" w:rsidRPr="00787196" w:rsidRDefault="000B0789" w:rsidP="000B078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0.81**</w:t>
            </w:r>
          </w:p>
        </w:tc>
      </w:tr>
      <w:tr w:rsidR="00A50415" w:rsidRPr="00787196" w14:paraId="0D437CD7" w14:textId="77777777" w:rsidTr="00A50415">
        <w:trPr>
          <w:trHeight w:val="119"/>
        </w:trPr>
        <w:tc>
          <w:tcPr>
            <w:tcW w:w="3574" w:type="dxa"/>
            <w:tcBorders>
              <w:top w:val="nil"/>
              <w:left w:val="nil"/>
              <w:right w:val="nil"/>
            </w:tcBorders>
            <w:shd w:val="clear" w:color="auto" w:fill="FFFFFF"/>
            <w:vAlign w:val="center"/>
          </w:tcPr>
          <w:p w14:paraId="303E652C" w14:textId="77777777" w:rsidR="000B0789" w:rsidRPr="00787196" w:rsidRDefault="000B0789" w:rsidP="000B0789">
            <w:pPr>
              <w:autoSpaceDE w:val="0"/>
              <w:autoSpaceDN w:val="0"/>
              <w:adjustRightInd w:val="0"/>
              <w:spacing w:before="0" w:after="0" w:line="240" w:lineRule="auto"/>
              <w:rPr>
                <w:rFonts w:cs="Arial"/>
                <w:color w:val="000000"/>
                <w:szCs w:val="24"/>
              </w:rPr>
            </w:pPr>
          </w:p>
        </w:tc>
        <w:tc>
          <w:tcPr>
            <w:tcW w:w="1777" w:type="dxa"/>
            <w:tcBorders>
              <w:top w:val="nil"/>
              <w:left w:val="nil"/>
              <w:right w:val="nil"/>
            </w:tcBorders>
            <w:shd w:val="clear" w:color="auto" w:fill="FFFFFF"/>
          </w:tcPr>
          <w:p w14:paraId="64BC1B1B" w14:textId="77777777" w:rsidR="000B0789" w:rsidRPr="00787196" w:rsidRDefault="000B0789" w:rsidP="000B0789">
            <w:pPr>
              <w:autoSpaceDE w:val="0"/>
              <w:autoSpaceDN w:val="0"/>
              <w:adjustRightInd w:val="0"/>
              <w:spacing w:before="0" w:after="0" w:line="240" w:lineRule="auto"/>
              <w:ind w:left="142"/>
              <w:rPr>
                <w:rFonts w:cs="Arial"/>
                <w:color w:val="000000"/>
                <w:szCs w:val="24"/>
              </w:rPr>
            </w:pPr>
          </w:p>
        </w:tc>
        <w:tc>
          <w:tcPr>
            <w:tcW w:w="1583" w:type="dxa"/>
            <w:tcBorders>
              <w:top w:val="nil"/>
              <w:left w:val="nil"/>
              <w:right w:val="nil"/>
            </w:tcBorders>
            <w:shd w:val="clear" w:color="auto" w:fill="FFFFFF"/>
          </w:tcPr>
          <w:p w14:paraId="1F68B7A6" w14:textId="77777777" w:rsidR="000B0789" w:rsidRPr="00787196" w:rsidRDefault="000B0789" w:rsidP="000B0789">
            <w:pPr>
              <w:autoSpaceDE w:val="0"/>
              <w:autoSpaceDN w:val="0"/>
              <w:adjustRightInd w:val="0"/>
              <w:spacing w:before="0" w:after="0" w:line="240" w:lineRule="auto"/>
              <w:ind w:left="142"/>
              <w:rPr>
                <w:rFonts w:cs="Arial"/>
                <w:color w:val="000000"/>
                <w:szCs w:val="24"/>
              </w:rPr>
            </w:pPr>
          </w:p>
        </w:tc>
        <w:tc>
          <w:tcPr>
            <w:tcW w:w="1501" w:type="dxa"/>
            <w:tcBorders>
              <w:top w:val="nil"/>
              <w:left w:val="nil"/>
              <w:right w:val="nil"/>
            </w:tcBorders>
            <w:shd w:val="clear" w:color="auto" w:fill="FFFFFF"/>
            <w:vAlign w:val="center"/>
          </w:tcPr>
          <w:p w14:paraId="0F5A10CF" w14:textId="77777777" w:rsidR="000B0789" w:rsidRPr="00787196" w:rsidRDefault="000B0789" w:rsidP="000B0789">
            <w:pPr>
              <w:autoSpaceDE w:val="0"/>
              <w:autoSpaceDN w:val="0"/>
              <w:adjustRightInd w:val="0"/>
              <w:spacing w:before="0" w:after="0" w:line="240" w:lineRule="auto"/>
              <w:ind w:left="142"/>
              <w:rPr>
                <w:rFonts w:cs="Arial"/>
                <w:color w:val="000000"/>
                <w:szCs w:val="24"/>
              </w:rPr>
            </w:pPr>
          </w:p>
        </w:tc>
      </w:tr>
    </w:tbl>
    <w:p w14:paraId="622B33C1" w14:textId="77777777" w:rsidR="00F519D9" w:rsidRPr="00787196" w:rsidRDefault="001B00E1" w:rsidP="004F119E">
      <w:pPr>
        <w:pStyle w:val="Heading2"/>
      </w:pPr>
      <w:bookmarkStart w:id="269" w:name="_Toc456211184"/>
      <w:bookmarkStart w:id="270" w:name="_Toc488655668"/>
      <w:bookmarkStart w:id="271" w:name="_Ref423486997"/>
      <w:bookmarkEnd w:id="207"/>
      <w:r w:rsidRPr="00787196">
        <w:t>Bivariate analys</w:t>
      </w:r>
      <w:r w:rsidR="004E608A" w:rsidRPr="00787196">
        <w:t>e</w:t>
      </w:r>
      <w:r w:rsidRPr="00787196">
        <w:t>s</w:t>
      </w:r>
      <w:bookmarkEnd w:id="269"/>
      <w:bookmarkEnd w:id="270"/>
    </w:p>
    <w:p w14:paraId="2E6D5772" w14:textId="056F88DA" w:rsidR="00A33C45" w:rsidRPr="00787196" w:rsidRDefault="001B00E1" w:rsidP="00BD0EF7">
      <w:pPr>
        <w:rPr>
          <w:szCs w:val="24"/>
        </w:rPr>
      </w:pPr>
      <w:r w:rsidRPr="00787196">
        <w:t xml:space="preserve">Appropriate bivariate analyses were used </w:t>
      </w:r>
      <w:r w:rsidR="00F40A7B" w:rsidRPr="00787196">
        <w:t xml:space="preserve">to assess the </w:t>
      </w:r>
      <w:r w:rsidRPr="00787196">
        <w:t>lagged association</w:t>
      </w:r>
      <w:r w:rsidR="004E608A" w:rsidRPr="00787196">
        <w:t>s</w:t>
      </w:r>
      <w:r w:rsidRPr="00787196">
        <w:t xml:space="preserve"> between the </w:t>
      </w:r>
      <w:r w:rsidR="00A33C45" w:rsidRPr="00787196">
        <w:t xml:space="preserve">study </w:t>
      </w:r>
      <w:r w:rsidRPr="00787196">
        <w:t>variables</w:t>
      </w:r>
      <w:r w:rsidR="00A53271" w:rsidRPr="00787196">
        <w:t xml:space="preserve"> populat</w:t>
      </w:r>
      <w:r w:rsidR="00F40A7B" w:rsidRPr="00787196">
        <w:t>ed in</w:t>
      </w:r>
      <w:r w:rsidR="00BD0EF7" w:rsidRPr="00787196">
        <w:t xml:space="preserve"> </w:t>
      </w:r>
      <w:r w:rsidRPr="00787196">
        <w:t>the model</w:t>
      </w:r>
      <w:r w:rsidR="00F40A7B" w:rsidRPr="00787196">
        <w:t xml:space="preserve"> preliminarily</w:t>
      </w:r>
      <w:r w:rsidR="00CF43A3" w:rsidRPr="00787196">
        <w:t xml:space="preserve"> (</w:t>
      </w:r>
      <w:r w:rsidR="00CF43A3" w:rsidRPr="00787196">
        <w:rPr>
          <w:szCs w:val="24"/>
        </w:rPr>
        <w:fldChar w:fldCharType="begin"/>
      </w:r>
      <w:r w:rsidR="00CF43A3" w:rsidRPr="00787196">
        <w:rPr>
          <w:szCs w:val="24"/>
        </w:rPr>
        <w:instrText xml:space="preserve"> REF _Ref423785293 \h  \* MERGEFORMAT </w:instrText>
      </w:r>
      <w:r w:rsidR="00CF43A3" w:rsidRPr="00787196">
        <w:rPr>
          <w:szCs w:val="24"/>
        </w:rPr>
      </w:r>
      <w:r w:rsidR="00CF43A3" w:rsidRPr="00787196">
        <w:rPr>
          <w:szCs w:val="24"/>
        </w:rPr>
        <w:fldChar w:fldCharType="separate"/>
      </w:r>
      <w:r w:rsidR="00C069BC" w:rsidRPr="00787196">
        <w:rPr>
          <w:szCs w:val="24"/>
        </w:rPr>
        <w:t xml:space="preserve">Figure </w:t>
      </w:r>
      <w:r w:rsidR="00C069BC" w:rsidRPr="00787196">
        <w:rPr>
          <w:rFonts w:cs="Arial"/>
          <w:szCs w:val="24"/>
        </w:rPr>
        <w:t>2</w:t>
      </w:r>
      <w:r w:rsidR="00C069BC" w:rsidRPr="00787196">
        <w:rPr>
          <w:rFonts w:cs="Arial"/>
          <w:szCs w:val="24"/>
        </w:rPr>
        <w:noBreakHyphen/>
        <w:t>1</w:t>
      </w:r>
      <w:r w:rsidR="00CF43A3" w:rsidRPr="00787196">
        <w:rPr>
          <w:szCs w:val="24"/>
        </w:rPr>
        <w:fldChar w:fldCharType="end"/>
      </w:r>
      <w:r w:rsidR="00CF43A3" w:rsidRPr="00787196">
        <w:rPr>
          <w:szCs w:val="24"/>
        </w:rPr>
        <w:t>)</w:t>
      </w:r>
      <w:r w:rsidR="00BD0EF7" w:rsidRPr="00787196">
        <w:rPr>
          <w:szCs w:val="24"/>
        </w:rPr>
        <w:t>.</w:t>
      </w:r>
    </w:p>
    <w:p w14:paraId="10E765BF" w14:textId="05CA4ABD" w:rsidR="005C24AF" w:rsidRPr="00787196" w:rsidRDefault="0092145F" w:rsidP="005C24AF">
      <w:pPr>
        <w:numPr>
          <w:ilvl w:val="0"/>
          <w:numId w:val="29"/>
        </w:numPr>
        <w:rPr>
          <w:szCs w:val="24"/>
        </w:rPr>
      </w:pPr>
      <w:r w:rsidRPr="00787196">
        <w:rPr>
          <w:szCs w:val="24"/>
        </w:rPr>
        <w:t>Pearson’s (r)</w:t>
      </w:r>
      <w:r w:rsidR="005C24AF" w:rsidRPr="00787196">
        <w:rPr>
          <w:szCs w:val="24"/>
        </w:rPr>
        <w:t xml:space="preserve"> correlation</w:t>
      </w:r>
      <w:r w:rsidRPr="00787196">
        <w:rPr>
          <w:szCs w:val="24"/>
        </w:rPr>
        <w:t xml:space="preserve"> </w:t>
      </w:r>
      <w:r w:rsidR="00A53271" w:rsidRPr="00787196">
        <w:rPr>
          <w:szCs w:val="24"/>
        </w:rPr>
        <w:t>w</w:t>
      </w:r>
      <w:r w:rsidR="005C24AF" w:rsidRPr="00787196">
        <w:rPr>
          <w:szCs w:val="24"/>
        </w:rPr>
        <w:t>as</w:t>
      </w:r>
      <w:r w:rsidRPr="00787196">
        <w:rPr>
          <w:szCs w:val="24"/>
        </w:rPr>
        <w:t xml:space="preserve"> </w:t>
      </w:r>
      <w:r w:rsidR="00A53271" w:rsidRPr="00787196">
        <w:rPr>
          <w:szCs w:val="24"/>
        </w:rPr>
        <w:t>used</w:t>
      </w:r>
      <w:r w:rsidR="009C7A60" w:rsidRPr="00787196">
        <w:rPr>
          <w:szCs w:val="24"/>
        </w:rPr>
        <w:t xml:space="preserve"> as</w:t>
      </w:r>
      <w:r w:rsidR="00A53271" w:rsidRPr="00787196">
        <w:rPr>
          <w:szCs w:val="24"/>
        </w:rPr>
        <w:t xml:space="preserve"> </w:t>
      </w:r>
      <w:r w:rsidR="003F19B1" w:rsidRPr="00787196">
        <w:rPr>
          <w:szCs w:val="24"/>
        </w:rPr>
        <w:t>appropriate to</w:t>
      </w:r>
      <w:r w:rsidRPr="00787196">
        <w:rPr>
          <w:szCs w:val="24"/>
        </w:rPr>
        <w:t xml:space="preserve"> </w:t>
      </w:r>
      <w:r w:rsidR="004E608A" w:rsidRPr="00787196">
        <w:rPr>
          <w:szCs w:val="24"/>
        </w:rPr>
        <w:t>assess</w:t>
      </w:r>
      <w:r w:rsidRPr="00787196">
        <w:rPr>
          <w:szCs w:val="24"/>
        </w:rPr>
        <w:t xml:space="preserve"> the associations</w:t>
      </w:r>
      <w:r w:rsidR="00013C20" w:rsidRPr="00787196">
        <w:rPr>
          <w:szCs w:val="24"/>
        </w:rPr>
        <w:t xml:space="preserve"> </w:t>
      </w:r>
      <w:r w:rsidR="00A03D8B" w:rsidRPr="00787196">
        <w:rPr>
          <w:szCs w:val="24"/>
        </w:rPr>
        <w:t>between baseline independent continuous variables</w:t>
      </w:r>
      <w:r w:rsidR="00525DC8" w:rsidRPr="00787196">
        <w:rPr>
          <w:szCs w:val="24"/>
        </w:rPr>
        <w:t xml:space="preserve">, outcomes and dependant variables at follow-up. </w:t>
      </w:r>
      <w:r w:rsidR="005C24AF" w:rsidRPr="00787196">
        <w:rPr>
          <w:szCs w:val="24"/>
        </w:rPr>
        <w:t xml:space="preserve">Although </w:t>
      </w:r>
      <w:r w:rsidR="00525DC8" w:rsidRPr="00787196">
        <w:rPr>
          <w:szCs w:val="24"/>
        </w:rPr>
        <w:t>Pearson’s correlation</w:t>
      </w:r>
      <w:r w:rsidR="005C24AF" w:rsidRPr="00787196">
        <w:rPr>
          <w:szCs w:val="24"/>
        </w:rPr>
        <w:t xml:space="preserve"> assumes finite variances and covariances, it</w:t>
      </w:r>
      <w:r w:rsidR="005C24AF" w:rsidRPr="00787196">
        <w:t xml:space="preserve"> </w:t>
      </w:r>
      <w:r w:rsidR="005C24AF" w:rsidRPr="00787196">
        <w:rPr>
          <w:szCs w:val="24"/>
        </w:rPr>
        <w:t xml:space="preserve">does not assume normality. In this study, certain variables (such as ageing expectations) had skewed distributions which </w:t>
      </w:r>
      <w:r w:rsidR="00525DC8" w:rsidRPr="00787196">
        <w:rPr>
          <w:szCs w:val="24"/>
        </w:rPr>
        <w:t>needed</w:t>
      </w:r>
      <w:r w:rsidR="005C24AF" w:rsidRPr="00787196">
        <w:rPr>
          <w:szCs w:val="24"/>
        </w:rPr>
        <w:t xml:space="preserve"> recoded and normality transform</w:t>
      </w:r>
      <w:r w:rsidR="00525DC8" w:rsidRPr="00787196">
        <w:rPr>
          <w:szCs w:val="24"/>
        </w:rPr>
        <w:t>ation</w:t>
      </w:r>
      <w:r w:rsidR="005C24AF" w:rsidRPr="00787196">
        <w:rPr>
          <w:szCs w:val="24"/>
        </w:rPr>
        <w:t xml:space="preserve"> (Appendix H). Spearman's correlation (</w:t>
      </w:r>
      <w:r w:rsidR="005C24AF" w:rsidRPr="00787196">
        <w:rPr>
          <w:rFonts w:cs="Arial"/>
          <w:color w:val="000000"/>
          <w:szCs w:val="24"/>
        </w:rPr>
        <w:t>ρ</w:t>
      </w:r>
      <w:r w:rsidR="005C24AF" w:rsidRPr="00787196">
        <w:rPr>
          <w:rFonts w:cs="Arial"/>
          <w:color w:val="000000"/>
          <w:sz w:val="20"/>
          <w:szCs w:val="20"/>
        </w:rPr>
        <w:t xml:space="preserve">) </w:t>
      </w:r>
      <w:r w:rsidR="005C24AF" w:rsidRPr="00787196">
        <w:rPr>
          <w:rFonts w:cs="Arial"/>
          <w:color w:val="000000"/>
          <w:szCs w:val="24"/>
        </w:rPr>
        <w:t xml:space="preserve">was used in </w:t>
      </w:r>
      <w:r w:rsidR="00525DC8" w:rsidRPr="00787196">
        <w:rPr>
          <w:rFonts w:cs="Arial"/>
          <w:color w:val="000000"/>
          <w:szCs w:val="24"/>
        </w:rPr>
        <w:t>for those variables to test the associations</w:t>
      </w:r>
      <w:r w:rsidR="005C24AF" w:rsidRPr="00787196">
        <w:rPr>
          <w:rFonts w:cs="Arial"/>
          <w:color w:val="000000"/>
          <w:szCs w:val="24"/>
        </w:rPr>
        <w:t xml:space="preserve">. </w:t>
      </w:r>
      <w:r w:rsidR="00525DC8" w:rsidRPr="00787196">
        <w:rPr>
          <w:rFonts w:cs="Arial"/>
          <w:color w:val="000000"/>
          <w:szCs w:val="24"/>
        </w:rPr>
        <w:t>Even though it is a non-parametric test based on medians, it</w:t>
      </w:r>
      <w:r w:rsidR="00525DC8" w:rsidRPr="00787196">
        <w:rPr>
          <w:szCs w:val="24"/>
        </w:rPr>
        <w:t xml:space="preserve"> applies</w:t>
      </w:r>
      <w:r w:rsidR="005C24AF" w:rsidRPr="00787196">
        <w:rPr>
          <w:szCs w:val="24"/>
        </w:rPr>
        <w:t xml:space="preserve"> to ranks and provides a measure of a monotonic relationship between two continuous random variables and is robust to outliers (unlike Pearson's correlation)</w:t>
      </w:r>
      <w:r w:rsidR="00525DC8" w:rsidRPr="00787196">
        <w:rPr>
          <w:szCs w:val="24"/>
        </w:rPr>
        <w:t xml:space="preserve"> </w:t>
      </w:r>
      <w:r w:rsidR="00525DC8" w:rsidRPr="00787196">
        <w:rPr>
          <w:szCs w:val="24"/>
        </w:rPr>
        <w:fldChar w:fldCharType="begin"/>
      </w:r>
      <w:r w:rsidR="00525DC8" w:rsidRPr="00787196">
        <w:rPr>
          <w:szCs w:val="24"/>
        </w:rPr>
        <w:instrText xml:space="preserve"> ADDIN EN.CITE &lt;EndNote&gt;&lt;Cite&gt;&lt;Author&gt;Chok&lt;/Author&gt;&lt;Year&gt;2010&lt;/Year&gt;&lt;IDText&gt;Pearson&amp;apos;s versus Spearman&amp;apos;s and Kendall&amp;apos;s correlation coefficients for continuous data&lt;/IDText&gt;&lt;DisplayText&gt;(Chok, 2010)&lt;/DisplayText&gt;&lt;record&gt;&lt;titles&gt;&lt;title&gt;Pearson&amp;apos;s versus Spearman&amp;apos;s and Kendall&amp;apos;s correlation coefficients for continuous data&lt;/title&gt;&lt;/titles&gt;&lt;contributors&gt;&lt;authors&gt;&lt;author&gt;Chok, Nian Shong&lt;/author&gt;&lt;/authors&gt;&lt;/contributors&gt;&lt;added-date format="utc"&gt;1500905121&lt;/added-date&gt;&lt;ref-type name="Thesis"&gt;32&lt;/ref-type&gt;&lt;dates&gt;&lt;year&gt;2010&lt;/year&gt;&lt;/dates&gt;&lt;rec-number&gt;2807&lt;/rec-number&gt;&lt;publisher&gt;University of Pittsburgh&lt;/publisher&gt;&lt;last-updated-date format="utc"&gt;1500905121&lt;/last-updated-date&gt;&lt;/record&gt;&lt;/Cite&gt;&lt;/EndNote&gt;</w:instrText>
      </w:r>
      <w:r w:rsidR="00525DC8" w:rsidRPr="00787196">
        <w:rPr>
          <w:szCs w:val="24"/>
        </w:rPr>
        <w:fldChar w:fldCharType="separate"/>
      </w:r>
      <w:r w:rsidR="00525DC8" w:rsidRPr="00787196">
        <w:rPr>
          <w:noProof/>
          <w:szCs w:val="24"/>
        </w:rPr>
        <w:t>(Chok, 2010)</w:t>
      </w:r>
      <w:r w:rsidR="00525DC8" w:rsidRPr="00787196">
        <w:rPr>
          <w:szCs w:val="24"/>
        </w:rPr>
        <w:fldChar w:fldCharType="end"/>
      </w:r>
      <w:r w:rsidR="005C24AF" w:rsidRPr="00787196">
        <w:rPr>
          <w:szCs w:val="24"/>
        </w:rPr>
        <w:t>.</w:t>
      </w:r>
      <w:r w:rsidR="00525DC8" w:rsidRPr="00787196">
        <w:rPr>
          <w:szCs w:val="24"/>
        </w:rPr>
        <w:t xml:space="preserve"> </w:t>
      </w:r>
    </w:p>
    <w:p w14:paraId="15A83C82" w14:textId="5E2563B2" w:rsidR="00EC239B" w:rsidRPr="00787196" w:rsidRDefault="009C7A60" w:rsidP="00525DC8">
      <w:pPr>
        <w:numPr>
          <w:ilvl w:val="0"/>
          <w:numId w:val="29"/>
        </w:numPr>
      </w:pPr>
      <w:r w:rsidRPr="00787196">
        <w:t xml:space="preserve">Student’s t-tests were used to identify </w:t>
      </w:r>
      <w:r w:rsidR="008004E9" w:rsidRPr="00787196">
        <w:t xml:space="preserve">the relationships between </w:t>
      </w:r>
      <w:r w:rsidRPr="00787196">
        <w:t xml:space="preserve">recoded clinical variables (occluding pairs, tooth loss episode, prosthetic status, prosthetic treatment need, operator expertise); all demographic variables (individual- age, marital status; environmental - income, education, occupation, caste) </w:t>
      </w:r>
      <w:r w:rsidR="00C45E12" w:rsidRPr="00787196">
        <w:t>recorded (only)</w:t>
      </w:r>
      <w:r w:rsidRPr="00787196">
        <w:t xml:space="preserve"> at baseline and dependant continuous variables (Coping strategies, OHQoL, Denture satisfaction, Chewing ability) at follow-up</w:t>
      </w:r>
      <w:r w:rsidR="00C45E12" w:rsidRPr="00787196">
        <w:t xml:space="preserve"> (T2)</w:t>
      </w:r>
      <w:r w:rsidR="00525DC8" w:rsidRPr="00787196">
        <w:t xml:space="preserve"> </w:t>
      </w:r>
      <w:r w:rsidR="00EC239B" w:rsidRPr="00787196">
        <w:br w:type="page"/>
      </w:r>
    </w:p>
    <w:p w14:paraId="19FC1590" w14:textId="356B6CED" w:rsidR="001B00E1" w:rsidRPr="00787196" w:rsidRDefault="003F19B1" w:rsidP="00C119A5">
      <w:pPr>
        <w:numPr>
          <w:ilvl w:val="0"/>
          <w:numId w:val="29"/>
        </w:numPr>
      </w:pPr>
      <w:r w:rsidRPr="00787196">
        <w:lastRenderedPageBreak/>
        <w:t>The A</w:t>
      </w:r>
      <w:r w:rsidR="009C7A60" w:rsidRPr="00787196">
        <w:t xml:space="preserve">nalysis of Variance (ANOVA) -F test was used analyse the </w:t>
      </w:r>
      <w:r w:rsidRPr="00787196">
        <w:t xml:space="preserve">relationships between </w:t>
      </w:r>
      <w:r w:rsidR="009C7A60" w:rsidRPr="00787196">
        <w:t>the clinical factor</w:t>
      </w:r>
      <w:r w:rsidRPr="00787196">
        <w:t>s</w:t>
      </w:r>
      <w:r w:rsidR="009C7A60" w:rsidRPr="00787196">
        <w:t xml:space="preserve"> (dentition status – no of missing teeth) at baseline</w:t>
      </w:r>
      <w:r w:rsidR="00373358" w:rsidRPr="00787196">
        <w:t xml:space="preserve"> (T1)</w:t>
      </w:r>
      <w:r w:rsidR="009C7A60" w:rsidRPr="00787196">
        <w:t xml:space="preserve"> and dependant continuous variables (Coping strategies, OHQoL, Denture satisfaction, Chewing ability) at follow-up</w:t>
      </w:r>
      <w:r w:rsidR="00373358" w:rsidRPr="00787196">
        <w:t xml:space="preserve"> (T2)</w:t>
      </w:r>
    </w:p>
    <w:p w14:paraId="3D44206E" w14:textId="36A7F636" w:rsidR="00C44EBE" w:rsidRPr="00787196" w:rsidRDefault="00C44EBE" w:rsidP="00317306">
      <w:pPr>
        <w:pStyle w:val="Heading3"/>
      </w:pPr>
      <w:bookmarkStart w:id="272" w:name="_Ref431383102"/>
      <w:bookmarkStart w:id="273" w:name="_Toc456211185"/>
      <w:bookmarkStart w:id="274" w:name="_Toc488655669"/>
      <w:bookmarkStart w:id="275" w:name="_Ref423573925"/>
      <w:bookmarkEnd w:id="271"/>
      <w:r w:rsidRPr="00787196">
        <w:t xml:space="preserve">Bivariate analyses </w:t>
      </w:r>
      <w:r w:rsidR="00317306" w:rsidRPr="00787196">
        <w:t>between</w:t>
      </w:r>
      <w:r w:rsidRPr="00787196">
        <w:t xml:space="preserve"> Brief COPE </w:t>
      </w:r>
      <w:r w:rsidR="00EC239B" w:rsidRPr="00787196">
        <w:t xml:space="preserve">factors </w:t>
      </w:r>
      <w:r w:rsidRPr="00787196">
        <w:t>at baseline</w:t>
      </w:r>
      <w:r w:rsidR="00373358" w:rsidRPr="00787196">
        <w:t xml:space="preserve"> (T1)</w:t>
      </w:r>
      <w:r w:rsidRPr="00787196">
        <w:t xml:space="preserve"> and OHQoL, Denture satisfaction and chewing </w:t>
      </w:r>
      <w:bookmarkEnd w:id="272"/>
      <w:r w:rsidR="00325C18" w:rsidRPr="00787196">
        <w:t>ability at</w:t>
      </w:r>
      <w:r w:rsidRPr="00787196">
        <w:t xml:space="preserve"> follow-up</w:t>
      </w:r>
      <w:bookmarkEnd w:id="273"/>
      <w:bookmarkEnd w:id="274"/>
    </w:p>
    <w:p w14:paraId="799CEF0E" w14:textId="66A9529B" w:rsidR="00C44EBE" w:rsidRPr="00787196" w:rsidRDefault="00C44EBE" w:rsidP="00C44EBE">
      <w:r w:rsidRPr="00787196">
        <w:t xml:space="preserve">The factor analysis reported in section </w:t>
      </w:r>
      <w:r w:rsidR="00052166" w:rsidRPr="00787196">
        <w:t xml:space="preserve">(5.2.3.2) </w:t>
      </w:r>
      <w:r w:rsidRPr="00787196">
        <w:t xml:space="preserve">extracted four factors from the Brief COPE scale: Negative/ Inadequate/Avoidance coping, Positive/ Adequate coping, Self-blame and Religion. The relationship between these factors and OHQoL, denture satisfaction and chewing ability was explored. </w:t>
      </w:r>
    </w:p>
    <w:p w14:paraId="148BD6C9" w14:textId="2DD801D7" w:rsidR="00C44EBE" w:rsidRPr="00787196" w:rsidRDefault="009F5248" w:rsidP="00C44EBE">
      <w:pPr>
        <w:spacing w:before="0" w:after="0"/>
      </w:pPr>
      <w:r w:rsidRPr="00787196">
        <w:t xml:space="preserve">As seen in </w:t>
      </w:r>
      <w:r w:rsidR="00C44EBE" w:rsidRPr="00787196">
        <w:t>Table 5.14</w:t>
      </w:r>
      <w:r w:rsidRPr="00787196">
        <w:t>,</w:t>
      </w:r>
      <w:r w:rsidR="00C44EBE" w:rsidRPr="00787196">
        <w:t xml:space="preserve"> none of the</w:t>
      </w:r>
      <w:r w:rsidRPr="00787196">
        <w:t xml:space="preserve"> Brief COPE</w:t>
      </w:r>
      <w:r w:rsidR="00C44EBE" w:rsidRPr="00787196">
        <w:t xml:space="preserve"> factors showed </w:t>
      </w:r>
      <w:r w:rsidR="00596CDC" w:rsidRPr="00787196">
        <w:t xml:space="preserve">no </w:t>
      </w:r>
      <w:r w:rsidR="00C44EBE" w:rsidRPr="00787196">
        <w:t>significant associations with the outcome variables</w:t>
      </w:r>
      <w:r w:rsidR="00596CDC" w:rsidRPr="00787196">
        <w:t xml:space="preserve"> at follow-up stage (T2) of </w:t>
      </w:r>
      <w:r w:rsidRPr="00787196">
        <w:t>this study</w:t>
      </w:r>
      <w:r w:rsidR="00C44EBE" w:rsidRPr="00787196">
        <w:t xml:space="preserve"> </w:t>
      </w:r>
    </w:p>
    <w:p w14:paraId="53BBA9AC" w14:textId="08497B69" w:rsidR="00C44EBE" w:rsidRPr="00787196" w:rsidRDefault="006232BF" w:rsidP="00EC239B">
      <w:pPr>
        <w:pStyle w:val="Caption"/>
        <w:keepNext/>
        <w:jc w:val="left"/>
        <w:rPr>
          <w:b/>
          <w:bCs/>
          <w:i w:val="0"/>
          <w:iCs w:val="0"/>
          <w:color w:val="auto"/>
          <w:sz w:val="20"/>
          <w:szCs w:val="20"/>
        </w:rPr>
      </w:pPr>
      <w:bookmarkStart w:id="276" w:name="_Toc488655543"/>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14</w:t>
      </w:r>
      <w:r w:rsidR="000332A1" w:rsidRPr="00787196">
        <w:rPr>
          <w:b/>
          <w:bCs/>
          <w:i w:val="0"/>
          <w:iCs w:val="0"/>
          <w:color w:val="auto"/>
          <w:sz w:val="20"/>
          <w:szCs w:val="20"/>
        </w:rPr>
        <w:fldChar w:fldCharType="end"/>
      </w:r>
      <w:r w:rsidR="002C6B34" w:rsidRPr="00787196">
        <w:rPr>
          <w:b/>
          <w:bCs/>
          <w:i w:val="0"/>
          <w:iCs w:val="0"/>
          <w:color w:val="auto"/>
          <w:sz w:val="20"/>
          <w:szCs w:val="20"/>
        </w:rPr>
        <w:t xml:space="preserve">. </w:t>
      </w:r>
      <w:r w:rsidRPr="00787196">
        <w:rPr>
          <w:b/>
          <w:bCs/>
          <w:i w:val="0"/>
          <w:iCs w:val="0"/>
          <w:color w:val="auto"/>
          <w:sz w:val="20"/>
          <w:szCs w:val="20"/>
        </w:rPr>
        <w:t>Lagged</w:t>
      </w:r>
      <w:r w:rsidR="0006726F" w:rsidRPr="00787196">
        <w:rPr>
          <w:b/>
          <w:bCs/>
          <w:i w:val="0"/>
          <w:iCs w:val="0"/>
          <w:color w:val="auto"/>
          <w:sz w:val="20"/>
          <w:szCs w:val="20"/>
        </w:rPr>
        <w:t xml:space="preserve"> analysis: Bivariate</w:t>
      </w:r>
      <w:r w:rsidRPr="00787196">
        <w:rPr>
          <w:b/>
          <w:bCs/>
          <w:i w:val="0"/>
          <w:iCs w:val="0"/>
          <w:color w:val="auto"/>
          <w:sz w:val="20"/>
          <w:szCs w:val="20"/>
        </w:rPr>
        <w:t xml:space="preserve"> associations between factors of Brief COPE scale at baseline</w:t>
      </w:r>
      <w:r w:rsidR="0079553A" w:rsidRPr="00787196">
        <w:rPr>
          <w:b/>
          <w:bCs/>
          <w:i w:val="0"/>
          <w:iCs w:val="0"/>
          <w:color w:val="auto"/>
          <w:sz w:val="20"/>
          <w:szCs w:val="20"/>
        </w:rPr>
        <w:t xml:space="preserve"> (T1)</w:t>
      </w:r>
      <w:r w:rsidRPr="00787196">
        <w:rPr>
          <w:b/>
          <w:bCs/>
          <w:i w:val="0"/>
          <w:iCs w:val="0"/>
          <w:color w:val="auto"/>
          <w:sz w:val="20"/>
          <w:szCs w:val="20"/>
        </w:rPr>
        <w:t xml:space="preserve"> and outcomes (OHQoL, Denture satisfaction and Chewing Ability) at follow-up</w:t>
      </w:r>
      <w:r w:rsidR="0079553A" w:rsidRPr="00787196">
        <w:rPr>
          <w:b/>
          <w:bCs/>
          <w:i w:val="0"/>
          <w:iCs w:val="0"/>
          <w:color w:val="auto"/>
          <w:sz w:val="20"/>
          <w:szCs w:val="20"/>
        </w:rPr>
        <w:t xml:space="preserve"> (T2)</w:t>
      </w:r>
      <w:bookmarkEnd w:id="276"/>
    </w:p>
    <w:tbl>
      <w:tblPr>
        <w:tblpPr w:leftFromText="180" w:rightFromText="180" w:vertAnchor="text" w:horzAnchor="margin" w:tblpXSpec="center" w:tblpY="112"/>
        <w:tblW w:w="7479" w:type="dxa"/>
        <w:tblBorders>
          <w:top w:val="single" w:sz="8" w:space="0" w:color="000000"/>
          <w:bottom w:val="single" w:sz="8" w:space="0" w:color="000000"/>
        </w:tblBorders>
        <w:tblLook w:val="04A0" w:firstRow="1" w:lastRow="0" w:firstColumn="1" w:lastColumn="0" w:noHBand="0" w:noVBand="1"/>
      </w:tblPr>
      <w:tblGrid>
        <w:gridCol w:w="2997"/>
        <w:gridCol w:w="1506"/>
        <w:gridCol w:w="1559"/>
        <w:gridCol w:w="1417"/>
      </w:tblGrid>
      <w:tr w:rsidR="00FA4E29" w:rsidRPr="00787196" w14:paraId="560DB9AB" w14:textId="77777777" w:rsidTr="008A4AE2">
        <w:trPr>
          <w:trHeight w:val="75"/>
        </w:trPr>
        <w:tc>
          <w:tcPr>
            <w:tcW w:w="2997" w:type="dxa"/>
            <w:vMerge w:val="restart"/>
            <w:tcBorders>
              <w:top w:val="single" w:sz="8" w:space="0" w:color="000000"/>
              <w:right w:val="single" w:sz="8" w:space="0" w:color="000000"/>
            </w:tcBorders>
            <w:shd w:val="clear" w:color="auto" w:fill="FFFFFF"/>
            <w:vAlign w:val="center"/>
          </w:tcPr>
          <w:p w14:paraId="421CDDAA" w14:textId="77777777" w:rsidR="00FA4E29" w:rsidRPr="00787196" w:rsidRDefault="00FA4E29" w:rsidP="00317306">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Factors (Brief COPE)</w:t>
            </w:r>
          </w:p>
          <w:p w14:paraId="06A95117" w14:textId="68709D7E" w:rsidR="00FA4E29" w:rsidRPr="00787196" w:rsidRDefault="00FA4E29" w:rsidP="008A4AE2">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Baseline T1</w:t>
            </w:r>
          </w:p>
        </w:tc>
        <w:tc>
          <w:tcPr>
            <w:tcW w:w="4482" w:type="dxa"/>
            <w:gridSpan w:val="3"/>
            <w:tcBorders>
              <w:top w:val="single" w:sz="8" w:space="0" w:color="000000"/>
              <w:left w:val="single" w:sz="8" w:space="0" w:color="000000"/>
              <w:bottom w:val="single" w:sz="8" w:space="0" w:color="000000"/>
            </w:tcBorders>
            <w:shd w:val="clear" w:color="auto" w:fill="FFFFFF"/>
            <w:vAlign w:val="center"/>
          </w:tcPr>
          <w:p w14:paraId="5CAC38D9" w14:textId="78F11AB6" w:rsidR="00FA4E29" w:rsidRPr="00787196" w:rsidRDefault="00FA4E29" w:rsidP="00FA4E2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Follow-up T2</w:t>
            </w:r>
          </w:p>
        </w:tc>
      </w:tr>
      <w:tr w:rsidR="00FA4E29" w:rsidRPr="00787196" w14:paraId="5FC550AE" w14:textId="77777777" w:rsidTr="008A4AE2">
        <w:trPr>
          <w:trHeight w:val="632"/>
        </w:trPr>
        <w:tc>
          <w:tcPr>
            <w:tcW w:w="2997" w:type="dxa"/>
            <w:vMerge/>
            <w:tcBorders>
              <w:bottom w:val="single" w:sz="8" w:space="0" w:color="000000"/>
              <w:right w:val="single" w:sz="8" w:space="0" w:color="000000"/>
            </w:tcBorders>
            <w:shd w:val="clear" w:color="auto" w:fill="FFFFFF"/>
            <w:vAlign w:val="center"/>
          </w:tcPr>
          <w:p w14:paraId="552A9C27" w14:textId="76BCBFF4" w:rsidR="00FA4E29" w:rsidRPr="00787196" w:rsidRDefault="00FA4E29" w:rsidP="00A5430A">
            <w:pPr>
              <w:autoSpaceDE w:val="0"/>
              <w:autoSpaceDN w:val="0"/>
              <w:adjustRightInd w:val="0"/>
              <w:spacing w:before="0" w:after="0" w:line="240" w:lineRule="auto"/>
              <w:rPr>
                <w:rFonts w:cs="Arial"/>
                <w:b/>
                <w:bCs/>
                <w:color w:val="000000"/>
                <w:sz w:val="20"/>
                <w:szCs w:val="20"/>
              </w:rPr>
            </w:pPr>
          </w:p>
        </w:tc>
        <w:tc>
          <w:tcPr>
            <w:tcW w:w="1506" w:type="dxa"/>
            <w:tcBorders>
              <w:top w:val="single" w:sz="8" w:space="0" w:color="000000"/>
              <w:left w:val="single" w:sz="8" w:space="0" w:color="000000"/>
              <w:bottom w:val="single" w:sz="8" w:space="0" w:color="000000"/>
            </w:tcBorders>
            <w:shd w:val="clear" w:color="auto" w:fill="FFFFFF"/>
            <w:vAlign w:val="center"/>
          </w:tcPr>
          <w:p w14:paraId="5EB557B6" w14:textId="77777777" w:rsidR="00FA4E29" w:rsidRPr="00787196" w:rsidRDefault="00FA4E2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OHQoL </w:t>
            </w:r>
          </w:p>
        </w:tc>
        <w:tc>
          <w:tcPr>
            <w:tcW w:w="1559" w:type="dxa"/>
            <w:tcBorders>
              <w:top w:val="single" w:sz="8" w:space="0" w:color="000000"/>
              <w:bottom w:val="single" w:sz="8" w:space="0" w:color="000000"/>
            </w:tcBorders>
            <w:shd w:val="clear" w:color="auto" w:fill="FFFFFF"/>
            <w:vAlign w:val="center"/>
          </w:tcPr>
          <w:p w14:paraId="6DF2CF42" w14:textId="77777777" w:rsidR="00FA4E29" w:rsidRPr="00787196" w:rsidRDefault="00FA4E2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Denture satisfaction </w:t>
            </w:r>
          </w:p>
        </w:tc>
        <w:tc>
          <w:tcPr>
            <w:tcW w:w="1417" w:type="dxa"/>
            <w:tcBorders>
              <w:top w:val="single" w:sz="8" w:space="0" w:color="000000"/>
              <w:bottom w:val="single" w:sz="8" w:space="0" w:color="000000"/>
            </w:tcBorders>
            <w:shd w:val="clear" w:color="auto" w:fill="FFFFFF"/>
            <w:vAlign w:val="center"/>
          </w:tcPr>
          <w:p w14:paraId="170617A2" w14:textId="77777777" w:rsidR="00FA4E29" w:rsidRPr="00787196" w:rsidRDefault="00FA4E29" w:rsidP="00A5430A">
            <w:pPr>
              <w:autoSpaceDE w:val="0"/>
              <w:autoSpaceDN w:val="0"/>
              <w:adjustRightInd w:val="0"/>
              <w:spacing w:before="0" w:after="0" w:line="240" w:lineRule="auto"/>
              <w:jc w:val="center"/>
              <w:rPr>
                <w:rFonts w:cs="Arial"/>
                <w:color w:val="000000"/>
                <w:sz w:val="20"/>
                <w:szCs w:val="20"/>
                <w:vertAlign w:val="superscript"/>
              </w:rPr>
            </w:pPr>
            <w:r w:rsidRPr="00787196">
              <w:rPr>
                <w:rFonts w:cs="Arial"/>
                <w:color w:val="000000"/>
                <w:sz w:val="20"/>
                <w:szCs w:val="20"/>
              </w:rPr>
              <w:t xml:space="preserve">Chewing ability </w:t>
            </w:r>
          </w:p>
        </w:tc>
      </w:tr>
      <w:tr w:rsidR="00A5430A" w:rsidRPr="00787196" w14:paraId="3C096F92" w14:textId="77777777" w:rsidTr="00A5430A">
        <w:trPr>
          <w:trHeight w:val="323"/>
        </w:trPr>
        <w:tc>
          <w:tcPr>
            <w:tcW w:w="2997" w:type="dxa"/>
            <w:tcBorders>
              <w:top w:val="single" w:sz="8" w:space="0" w:color="000000"/>
              <w:bottom w:val="nil"/>
              <w:right w:val="single" w:sz="8" w:space="0" w:color="000000"/>
            </w:tcBorders>
            <w:shd w:val="clear" w:color="auto" w:fill="FFFFFF"/>
            <w:vAlign w:val="center"/>
          </w:tcPr>
          <w:p w14:paraId="2FB51135"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Inadequate/negative/avoidance</w:t>
            </w:r>
          </w:p>
        </w:tc>
        <w:tc>
          <w:tcPr>
            <w:tcW w:w="1506" w:type="dxa"/>
            <w:tcBorders>
              <w:left w:val="single" w:sz="8" w:space="0" w:color="000000"/>
              <w:right w:val="nil"/>
            </w:tcBorders>
            <w:shd w:val="clear" w:color="auto" w:fill="FFFFFF"/>
            <w:vAlign w:val="center"/>
          </w:tcPr>
          <w:p w14:paraId="5061EA9B"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0.118</w:t>
            </w:r>
          </w:p>
        </w:tc>
        <w:tc>
          <w:tcPr>
            <w:tcW w:w="1559" w:type="dxa"/>
            <w:tcBorders>
              <w:left w:val="nil"/>
              <w:right w:val="nil"/>
            </w:tcBorders>
            <w:shd w:val="clear" w:color="auto" w:fill="FFFFFF"/>
            <w:vAlign w:val="center"/>
          </w:tcPr>
          <w:p w14:paraId="577219AB"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0.128</w:t>
            </w:r>
          </w:p>
        </w:tc>
        <w:tc>
          <w:tcPr>
            <w:tcW w:w="1417" w:type="dxa"/>
            <w:tcBorders>
              <w:left w:val="nil"/>
              <w:right w:val="nil"/>
            </w:tcBorders>
            <w:shd w:val="clear" w:color="auto" w:fill="FFFFFF"/>
            <w:vAlign w:val="center"/>
          </w:tcPr>
          <w:p w14:paraId="4F4F9B66"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0.000</w:t>
            </w:r>
          </w:p>
        </w:tc>
      </w:tr>
      <w:tr w:rsidR="00A5430A" w:rsidRPr="00787196" w14:paraId="2C0277E9" w14:textId="77777777" w:rsidTr="00A5430A">
        <w:trPr>
          <w:trHeight w:val="251"/>
        </w:trPr>
        <w:tc>
          <w:tcPr>
            <w:tcW w:w="2997" w:type="dxa"/>
            <w:tcBorders>
              <w:top w:val="nil"/>
              <w:right w:val="single" w:sz="8" w:space="0" w:color="000000"/>
            </w:tcBorders>
            <w:shd w:val="clear" w:color="auto" w:fill="FFFFFF"/>
            <w:vAlign w:val="center"/>
          </w:tcPr>
          <w:p w14:paraId="510A13DF"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Adequate/positive</w:t>
            </w:r>
          </w:p>
        </w:tc>
        <w:tc>
          <w:tcPr>
            <w:tcW w:w="1506" w:type="dxa"/>
            <w:tcBorders>
              <w:left w:val="single" w:sz="8" w:space="0" w:color="000000"/>
              <w:right w:val="nil"/>
            </w:tcBorders>
            <w:shd w:val="clear" w:color="auto" w:fill="FFFFFF"/>
            <w:vAlign w:val="center"/>
          </w:tcPr>
          <w:p w14:paraId="0AA93811"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0.058</w:t>
            </w:r>
          </w:p>
        </w:tc>
        <w:tc>
          <w:tcPr>
            <w:tcW w:w="1559" w:type="dxa"/>
            <w:tcBorders>
              <w:left w:val="nil"/>
              <w:right w:val="nil"/>
            </w:tcBorders>
            <w:shd w:val="clear" w:color="auto" w:fill="FFFFFF"/>
            <w:vAlign w:val="center"/>
          </w:tcPr>
          <w:p w14:paraId="18D8A6CA"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 xml:space="preserve">      - 0.038</w:t>
            </w:r>
          </w:p>
        </w:tc>
        <w:tc>
          <w:tcPr>
            <w:tcW w:w="1417" w:type="dxa"/>
            <w:tcBorders>
              <w:left w:val="nil"/>
              <w:right w:val="nil"/>
            </w:tcBorders>
            <w:shd w:val="clear" w:color="auto" w:fill="FFFFFF"/>
            <w:vAlign w:val="center"/>
          </w:tcPr>
          <w:p w14:paraId="4A835937"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- 0.019</w:t>
            </w:r>
          </w:p>
        </w:tc>
      </w:tr>
      <w:tr w:rsidR="00A5430A" w:rsidRPr="00787196" w14:paraId="75A60376" w14:textId="77777777" w:rsidTr="00A5430A">
        <w:trPr>
          <w:trHeight w:val="251"/>
        </w:trPr>
        <w:tc>
          <w:tcPr>
            <w:tcW w:w="2997" w:type="dxa"/>
            <w:tcBorders>
              <w:right w:val="single" w:sz="8" w:space="0" w:color="000000"/>
            </w:tcBorders>
            <w:shd w:val="clear" w:color="auto" w:fill="FFFFFF"/>
            <w:vAlign w:val="center"/>
          </w:tcPr>
          <w:p w14:paraId="75BEF2D1"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Self-blame</w:t>
            </w:r>
          </w:p>
        </w:tc>
        <w:tc>
          <w:tcPr>
            <w:tcW w:w="1506" w:type="dxa"/>
            <w:tcBorders>
              <w:left w:val="single" w:sz="8" w:space="0" w:color="000000"/>
              <w:right w:val="nil"/>
            </w:tcBorders>
            <w:shd w:val="clear" w:color="auto" w:fill="FFFFFF"/>
            <w:vAlign w:val="center"/>
          </w:tcPr>
          <w:p w14:paraId="39763F93" w14:textId="39C5253E"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 xml:space="preserve">     - 0.034</w:t>
            </w:r>
          </w:p>
        </w:tc>
        <w:tc>
          <w:tcPr>
            <w:tcW w:w="1559" w:type="dxa"/>
            <w:tcBorders>
              <w:left w:val="nil"/>
              <w:right w:val="nil"/>
            </w:tcBorders>
            <w:shd w:val="clear" w:color="auto" w:fill="FFFFFF"/>
            <w:vAlign w:val="center"/>
          </w:tcPr>
          <w:p w14:paraId="0871C9CA"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 xml:space="preserve">      - 0.056</w:t>
            </w:r>
          </w:p>
        </w:tc>
        <w:tc>
          <w:tcPr>
            <w:tcW w:w="1417" w:type="dxa"/>
            <w:tcBorders>
              <w:left w:val="nil"/>
              <w:right w:val="nil"/>
            </w:tcBorders>
            <w:shd w:val="clear" w:color="auto" w:fill="FFFFFF"/>
            <w:vAlign w:val="center"/>
          </w:tcPr>
          <w:p w14:paraId="105706A1"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- 0.048</w:t>
            </w:r>
          </w:p>
        </w:tc>
      </w:tr>
      <w:tr w:rsidR="00A5430A" w:rsidRPr="00787196" w14:paraId="5B3B6F19" w14:textId="77777777" w:rsidTr="00A5430A">
        <w:trPr>
          <w:trHeight w:val="251"/>
        </w:trPr>
        <w:tc>
          <w:tcPr>
            <w:tcW w:w="2997" w:type="dxa"/>
            <w:tcBorders>
              <w:right w:val="single" w:sz="8" w:space="0" w:color="000000"/>
            </w:tcBorders>
            <w:shd w:val="clear" w:color="auto" w:fill="FFFFFF"/>
            <w:vAlign w:val="center"/>
          </w:tcPr>
          <w:p w14:paraId="7CDFAFD0" w14:textId="77777777" w:rsidR="00A5430A" w:rsidRPr="00787196" w:rsidRDefault="00A5430A" w:rsidP="00A5430A">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Religion</w:t>
            </w:r>
          </w:p>
        </w:tc>
        <w:tc>
          <w:tcPr>
            <w:tcW w:w="1506" w:type="dxa"/>
            <w:tcBorders>
              <w:left w:val="single" w:sz="8" w:space="0" w:color="000000"/>
              <w:right w:val="nil"/>
            </w:tcBorders>
            <w:shd w:val="clear" w:color="auto" w:fill="FFFFFF"/>
            <w:vAlign w:val="center"/>
          </w:tcPr>
          <w:p w14:paraId="2C68B8C6"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0.055</w:t>
            </w:r>
          </w:p>
        </w:tc>
        <w:tc>
          <w:tcPr>
            <w:tcW w:w="1559" w:type="dxa"/>
            <w:tcBorders>
              <w:left w:val="nil"/>
              <w:right w:val="nil"/>
            </w:tcBorders>
            <w:shd w:val="clear" w:color="auto" w:fill="FFFFFF"/>
            <w:vAlign w:val="center"/>
          </w:tcPr>
          <w:p w14:paraId="4885414C"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0.023</w:t>
            </w:r>
          </w:p>
        </w:tc>
        <w:tc>
          <w:tcPr>
            <w:tcW w:w="1417" w:type="dxa"/>
            <w:tcBorders>
              <w:left w:val="nil"/>
              <w:right w:val="nil"/>
            </w:tcBorders>
            <w:shd w:val="clear" w:color="auto" w:fill="FFFFFF"/>
            <w:vAlign w:val="center"/>
          </w:tcPr>
          <w:p w14:paraId="3B26D162"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- 0.090</w:t>
            </w:r>
          </w:p>
        </w:tc>
      </w:tr>
    </w:tbl>
    <w:p w14:paraId="73C480B8" w14:textId="39ED118C" w:rsidR="00A5430A" w:rsidRPr="00787196" w:rsidRDefault="00A5430A" w:rsidP="00C44EBE">
      <w:pPr>
        <w:pStyle w:val="Caption"/>
        <w:keepNext/>
        <w:spacing w:before="0" w:after="0"/>
        <w:rPr>
          <w:i w:val="0"/>
          <w:iCs w:val="0"/>
          <w:color w:val="auto"/>
        </w:rPr>
      </w:pPr>
    </w:p>
    <w:p w14:paraId="56C6F782" w14:textId="77777777" w:rsidR="00A5430A" w:rsidRPr="00787196" w:rsidRDefault="00A5430A">
      <w:pPr>
        <w:spacing w:before="0" w:after="0" w:line="240" w:lineRule="auto"/>
        <w:jc w:val="left"/>
        <w:rPr>
          <w:sz w:val="18"/>
          <w:szCs w:val="18"/>
        </w:rPr>
      </w:pPr>
      <w:r w:rsidRPr="00787196">
        <w:rPr>
          <w:i/>
          <w:iCs/>
        </w:rPr>
        <w:br w:type="page"/>
      </w:r>
    </w:p>
    <w:p w14:paraId="5FA53968" w14:textId="1C8558C6" w:rsidR="009E4571" w:rsidRPr="00787196" w:rsidRDefault="001A3586" w:rsidP="0006726F">
      <w:pPr>
        <w:pStyle w:val="Heading3"/>
      </w:pPr>
      <w:bookmarkStart w:id="277" w:name="_Toc456211187"/>
      <w:bookmarkStart w:id="278" w:name="_Toc488655670"/>
      <w:r w:rsidRPr="00787196">
        <w:lastRenderedPageBreak/>
        <w:t>Bivariate analyses</w:t>
      </w:r>
      <w:r w:rsidR="00317306" w:rsidRPr="00787196">
        <w:t xml:space="preserve"> between</w:t>
      </w:r>
      <w:r w:rsidR="00A53271" w:rsidRPr="00787196">
        <w:t xml:space="preserve"> </w:t>
      </w:r>
      <w:r w:rsidR="00C37BC3" w:rsidRPr="00787196">
        <w:t xml:space="preserve">clinical </w:t>
      </w:r>
      <w:r w:rsidR="007959C4" w:rsidRPr="00787196">
        <w:t>factors</w:t>
      </w:r>
      <w:r w:rsidR="00C37BC3" w:rsidRPr="00787196">
        <w:t>,</w:t>
      </w:r>
      <w:r w:rsidR="009E4571" w:rsidRPr="00787196">
        <w:t xml:space="preserve"> coping strategies, individual</w:t>
      </w:r>
      <w:r w:rsidR="00C37BC3" w:rsidRPr="00787196">
        <w:t xml:space="preserve"> </w:t>
      </w:r>
      <w:r w:rsidR="00317306" w:rsidRPr="00787196">
        <w:t>variables</w:t>
      </w:r>
      <w:r w:rsidR="009E4571" w:rsidRPr="00787196">
        <w:t xml:space="preserve">, environmental </w:t>
      </w:r>
      <w:r w:rsidR="007959C4" w:rsidRPr="00787196">
        <w:t>variables</w:t>
      </w:r>
      <w:r w:rsidR="009E4571" w:rsidRPr="00787196">
        <w:t xml:space="preserve">, outcome variables </w:t>
      </w:r>
      <w:r w:rsidR="0006726F" w:rsidRPr="00787196">
        <w:t xml:space="preserve">at baseline (T1) and </w:t>
      </w:r>
      <w:r w:rsidR="009E4571" w:rsidRPr="00787196">
        <w:t>OHQoL at follow-up</w:t>
      </w:r>
      <w:bookmarkEnd w:id="277"/>
      <w:r w:rsidR="0006726F" w:rsidRPr="00787196">
        <w:t xml:space="preserve"> (T2)</w:t>
      </w:r>
      <w:bookmarkEnd w:id="278"/>
    </w:p>
    <w:p w14:paraId="27C0640F" w14:textId="70A13A69" w:rsidR="006232BF" w:rsidRPr="00787196" w:rsidRDefault="00C44EBE" w:rsidP="006232BF">
      <w:r w:rsidRPr="00787196">
        <w:t>Table 5-1</w:t>
      </w:r>
      <w:r w:rsidR="006232BF" w:rsidRPr="00787196">
        <w:t>5</w:t>
      </w:r>
      <w:r w:rsidR="009E4571" w:rsidRPr="00787196">
        <w:t xml:space="preserve"> outline</w:t>
      </w:r>
      <w:r w:rsidR="00781E10" w:rsidRPr="00787196">
        <w:t>s</w:t>
      </w:r>
      <w:r w:rsidR="009E4571" w:rsidRPr="00787196">
        <w:t xml:space="preserve"> the lagged analyses between coping strategies, individual factors</w:t>
      </w:r>
      <w:r w:rsidR="00781E10" w:rsidRPr="00787196">
        <w:t xml:space="preserve"> and</w:t>
      </w:r>
      <w:r w:rsidR="009E4571" w:rsidRPr="00787196">
        <w:t xml:space="preserve"> outcome variables at baseline</w:t>
      </w:r>
      <w:r w:rsidR="00D16FFB" w:rsidRPr="00787196">
        <w:t xml:space="preserve"> and</w:t>
      </w:r>
      <w:r w:rsidR="009E4571" w:rsidRPr="00787196">
        <w:t xml:space="preserve"> OHQoL at follow-up</w:t>
      </w:r>
      <w:r w:rsidR="00E81E4B" w:rsidRPr="00787196">
        <w:t>.</w:t>
      </w:r>
      <w:r w:rsidR="00D16FFB" w:rsidRPr="00787196">
        <w:t xml:space="preserve"> Worse OHQoL, </w:t>
      </w:r>
      <w:r w:rsidR="008E26BA" w:rsidRPr="00787196">
        <w:t>moderate</w:t>
      </w:r>
      <w:r w:rsidR="00D16FFB" w:rsidRPr="00787196">
        <w:t xml:space="preserve"> satisfaction and reduced chewing ability at baseline were significantly associated with </w:t>
      </w:r>
      <w:r w:rsidR="008E26BA" w:rsidRPr="00787196">
        <w:t xml:space="preserve">worse </w:t>
      </w:r>
      <w:r w:rsidR="00D16FFB" w:rsidRPr="00787196">
        <w:t xml:space="preserve">OHQoL </w:t>
      </w:r>
      <w:r w:rsidR="008E26BA" w:rsidRPr="00787196">
        <w:t xml:space="preserve">(high OHIP scores) </w:t>
      </w:r>
      <w:r w:rsidR="00D16FFB" w:rsidRPr="00787196">
        <w:t xml:space="preserve">at follow-up. Clinically, </w:t>
      </w:r>
      <w:r w:rsidR="004E608A" w:rsidRPr="00787196">
        <w:t xml:space="preserve">the </w:t>
      </w:r>
      <w:r w:rsidR="00317306" w:rsidRPr="00787196">
        <w:t>having fewer</w:t>
      </w:r>
      <w:r w:rsidR="004E608A" w:rsidRPr="00787196">
        <w:t xml:space="preserve"> </w:t>
      </w:r>
      <w:r w:rsidR="00D16FFB" w:rsidRPr="00787196">
        <w:t xml:space="preserve">natural teeth, </w:t>
      </w:r>
      <w:r w:rsidR="004E608A" w:rsidRPr="00787196">
        <w:t>fewer</w:t>
      </w:r>
      <w:r w:rsidR="00177CC1" w:rsidRPr="00787196">
        <w:t xml:space="preserve"> occluding pairs, </w:t>
      </w:r>
      <w:r w:rsidR="008E26BA" w:rsidRPr="00787196">
        <w:t>experience of wearing</w:t>
      </w:r>
      <w:r w:rsidR="007D41F9" w:rsidRPr="00787196">
        <w:t xml:space="preserve"> </w:t>
      </w:r>
      <w:r w:rsidR="00DD111F" w:rsidRPr="00787196">
        <w:t xml:space="preserve">dentures </w:t>
      </w:r>
      <w:r w:rsidR="007D41F9" w:rsidRPr="00787196">
        <w:t>and also need</w:t>
      </w:r>
      <w:r w:rsidR="00DD111F" w:rsidRPr="00787196">
        <w:t>ing</w:t>
      </w:r>
      <w:r w:rsidR="008E26BA" w:rsidRPr="00787196">
        <w:t xml:space="preserve"> larger unit dentures</w:t>
      </w:r>
      <w:r w:rsidR="00177CC1" w:rsidRPr="00787196">
        <w:t xml:space="preserve"> </w:t>
      </w:r>
      <w:r w:rsidR="007D41F9" w:rsidRPr="00787196">
        <w:t xml:space="preserve">in </w:t>
      </w:r>
      <w:r w:rsidR="00177CC1" w:rsidRPr="00787196">
        <w:t>the upper arch were significantly associated with higher (worse OHQoL) OHIP EDENT scores at follow-up</w:t>
      </w:r>
      <w:r w:rsidR="007D41F9" w:rsidRPr="00787196">
        <w:t>.</w:t>
      </w:r>
      <w:r w:rsidR="00D16FFB" w:rsidRPr="00787196">
        <w:t xml:space="preserve"> </w:t>
      </w:r>
      <w:bookmarkStart w:id="279" w:name="_Ref424116423"/>
      <w:bookmarkStart w:id="280" w:name="_Ref429743685"/>
    </w:p>
    <w:p w14:paraId="1128A2B9" w14:textId="7A116ABA" w:rsidR="007E35FC" w:rsidRPr="00787196" w:rsidRDefault="006232BF" w:rsidP="0006726F">
      <w:pPr>
        <w:pStyle w:val="Caption"/>
        <w:keepNext/>
        <w:rPr>
          <w:b/>
          <w:bCs/>
        </w:rPr>
      </w:pPr>
      <w:bookmarkStart w:id="281" w:name="_Toc488655544"/>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15</w:t>
      </w:r>
      <w:r w:rsidR="000332A1" w:rsidRPr="00787196">
        <w:rPr>
          <w:b/>
          <w:bCs/>
          <w:i w:val="0"/>
          <w:iCs w:val="0"/>
          <w:color w:val="auto"/>
          <w:sz w:val="20"/>
          <w:szCs w:val="20"/>
        </w:rPr>
        <w:fldChar w:fldCharType="end"/>
      </w:r>
      <w:r w:rsidR="00C67FF2" w:rsidRPr="00787196">
        <w:rPr>
          <w:b/>
          <w:bCs/>
          <w:i w:val="0"/>
          <w:iCs w:val="0"/>
          <w:color w:val="auto"/>
          <w:sz w:val="20"/>
          <w:szCs w:val="20"/>
        </w:rPr>
        <w:t xml:space="preserve">. </w:t>
      </w:r>
      <w:r w:rsidR="00317306" w:rsidRPr="00787196">
        <w:rPr>
          <w:b/>
          <w:bCs/>
          <w:i w:val="0"/>
          <w:iCs w:val="0"/>
          <w:color w:val="auto"/>
          <w:sz w:val="20"/>
          <w:szCs w:val="20"/>
        </w:rPr>
        <w:t xml:space="preserve">Lagged analysis: </w:t>
      </w:r>
      <w:r w:rsidR="0006726F" w:rsidRPr="00787196">
        <w:rPr>
          <w:b/>
          <w:bCs/>
          <w:i w:val="0"/>
          <w:iCs w:val="0"/>
          <w:color w:val="auto"/>
          <w:sz w:val="20"/>
          <w:szCs w:val="20"/>
        </w:rPr>
        <w:t>Bivariate</w:t>
      </w:r>
      <w:r w:rsidR="00317306" w:rsidRPr="00787196">
        <w:rPr>
          <w:b/>
          <w:bCs/>
          <w:i w:val="0"/>
          <w:iCs w:val="0"/>
          <w:color w:val="auto"/>
          <w:sz w:val="20"/>
          <w:szCs w:val="20"/>
        </w:rPr>
        <w:t xml:space="preserve"> </w:t>
      </w:r>
      <w:r w:rsidR="008A4AE2" w:rsidRPr="00787196">
        <w:rPr>
          <w:b/>
          <w:bCs/>
          <w:i w:val="0"/>
          <w:iCs w:val="0"/>
          <w:color w:val="auto"/>
          <w:sz w:val="20"/>
          <w:szCs w:val="20"/>
        </w:rPr>
        <w:t>associations</w:t>
      </w:r>
      <w:r w:rsidRPr="00787196">
        <w:rPr>
          <w:b/>
          <w:bCs/>
          <w:i w:val="0"/>
          <w:iCs w:val="0"/>
          <w:color w:val="auto"/>
          <w:sz w:val="20"/>
          <w:szCs w:val="20"/>
        </w:rPr>
        <w:t xml:space="preserve"> between coping strategies, individual factors, outcome variables at baseline </w:t>
      </w:r>
      <w:r w:rsidR="0079553A" w:rsidRPr="00787196">
        <w:rPr>
          <w:b/>
          <w:bCs/>
          <w:i w:val="0"/>
          <w:iCs w:val="0"/>
          <w:color w:val="auto"/>
          <w:sz w:val="20"/>
          <w:szCs w:val="20"/>
        </w:rPr>
        <w:t>(T1)</w:t>
      </w:r>
      <w:r w:rsidR="00317306" w:rsidRPr="00787196">
        <w:rPr>
          <w:b/>
          <w:bCs/>
          <w:i w:val="0"/>
          <w:iCs w:val="0"/>
          <w:color w:val="auto"/>
          <w:sz w:val="20"/>
          <w:szCs w:val="20"/>
        </w:rPr>
        <w:t xml:space="preserve"> </w:t>
      </w:r>
      <w:r w:rsidR="0006726F" w:rsidRPr="00787196">
        <w:rPr>
          <w:b/>
          <w:bCs/>
          <w:i w:val="0"/>
          <w:iCs w:val="0"/>
          <w:color w:val="auto"/>
          <w:sz w:val="20"/>
          <w:szCs w:val="20"/>
        </w:rPr>
        <w:t>and</w:t>
      </w:r>
      <w:r w:rsidRPr="00787196">
        <w:rPr>
          <w:b/>
          <w:bCs/>
          <w:i w:val="0"/>
          <w:iCs w:val="0"/>
          <w:color w:val="auto"/>
          <w:sz w:val="20"/>
          <w:szCs w:val="20"/>
        </w:rPr>
        <w:t xml:space="preserve"> OHQoL at follow-up</w:t>
      </w:r>
      <w:bookmarkEnd w:id="279"/>
      <w:bookmarkEnd w:id="280"/>
      <w:r w:rsidR="0079553A" w:rsidRPr="00787196">
        <w:rPr>
          <w:b/>
          <w:bCs/>
          <w:i w:val="0"/>
          <w:iCs w:val="0"/>
          <w:color w:val="auto"/>
          <w:sz w:val="20"/>
          <w:szCs w:val="20"/>
        </w:rPr>
        <w:t xml:space="preserve"> (T2)</w:t>
      </w:r>
      <w:bookmarkEnd w:id="281"/>
    </w:p>
    <w:tbl>
      <w:tblPr>
        <w:tblpPr w:leftFromText="180" w:rightFromText="180" w:vertAnchor="text" w:horzAnchor="page" w:tblpX="2568" w:tblpY="39"/>
        <w:tblW w:w="0" w:type="auto"/>
        <w:tblBorders>
          <w:top w:val="single" w:sz="8" w:space="0" w:color="000000"/>
          <w:bottom w:val="single" w:sz="8" w:space="0" w:color="000000"/>
        </w:tblBorders>
        <w:tblLook w:val="04A0" w:firstRow="1" w:lastRow="0" w:firstColumn="1" w:lastColumn="0" w:noHBand="0" w:noVBand="1"/>
      </w:tblPr>
      <w:tblGrid>
        <w:gridCol w:w="4755"/>
        <w:gridCol w:w="2866"/>
      </w:tblGrid>
      <w:tr w:rsidR="00A5430A" w:rsidRPr="00787196" w14:paraId="0F04F29A" w14:textId="77777777" w:rsidTr="00A5430A">
        <w:trPr>
          <w:trHeight w:val="310"/>
        </w:trPr>
        <w:tc>
          <w:tcPr>
            <w:tcW w:w="4755" w:type="dxa"/>
            <w:tcBorders>
              <w:top w:val="single" w:sz="8" w:space="0" w:color="000000"/>
              <w:bottom w:val="single" w:sz="8" w:space="0" w:color="000000"/>
            </w:tcBorders>
            <w:shd w:val="clear" w:color="auto" w:fill="FFFFFF"/>
          </w:tcPr>
          <w:p w14:paraId="30ECD808"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Independent variables</w:t>
            </w:r>
          </w:p>
          <w:p w14:paraId="09287AA2"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(baseline)</w:t>
            </w:r>
          </w:p>
        </w:tc>
        <w:tc>
          <w:tcPr>
            <w:tcW w:w="2866" w:type="dxa"/>
            <w:tcBorders>
              <w:top w:val="single" w:sz="8" w:space="0" w:color="000000"/>
              <w:bottom w:val="single" w:sz="8" w:space="0" w:color="000000"/>
            </w:tcBorders>
            <w:shd w:val="clear" w:color="auto" w:fill="FFFFFF"/>
            <w:vAlign w:val="center"/>
          </w:tcPr>
          <w:p w14:paraId="70F55684" w14:textId="77777777" w:rsidR="00A5430A" w:rsidRPr="00787196" w:rsidRDefault="00A5430A"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ρ</w:t>
            </w:r>
          </w:p>
        </w:tc>
      </w:tr>
      <w:tr w:rsidR="00A5430A" w:rsidRPr="00787196" w14:paraId="00CCA93F" w14:textId="77777777" w:rsidTr="00A5430A">
        <w:trPr>
          <w:trHeight w:val="284"/>
        </w:trPr>
        <w:tc>
          <w:tcPr>
            <w:tcW w:w="4755" w:type="dxa"/>
            <w:shd w:val="clear" w:color="auto" w:fill="FFFFFF"/>
            <w:vAlign w:val="bottom"/>
          </w:tcPr>
          <w:p w14:paraId="4BDBC01B"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p>
        </w:tc>
        <w:tc>
          <w:tcPr>
            <w:tcW w:w="2866" w:type="dxa"/>
            <w:tcBorders>
              <w:left w:val="nil"/>
              <w:right w:val="nil"/>
            </w:tcBorders>
            <w:shd w:val="clear" w:color="auto" w:fill="FFFFFF"/>
            <w:vAlign w:val="center"/>
          </w:tcPr>
          <w:p w14:paraId="4865B48F"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5FBDCB1D" w14:textId="77777777" w:rsidTr="00A5430A">
        <w:trPr>
          <w:trHeight w:val="284"/>
        </w:trPr>
        <w:tc>
          <w:tcPr>
            <w:tcW w:w="4755" w:type="dxa"/>
            <w:shd w:val="clear" w:color="auto" w:fill="FFFFFF"/>
            <w:vAlign w:val="bottom"/>
          </w:tcPr>
          <w:p w14:paraId="46857A74"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Coping strategies</w:t>
            </w:r>
          </w:p>
        </w:tc>
        <w:tc>
          <w:tcPr>
            <w:tcW w:w="2866" w:type="dxa"/>
            <w:tcBorders>
              <w:left w:val="nil"/>
              <w:right w:val="nil"/>
            </w:tcBorders>
            <w:shd w:val="clear" w:color="auto" w:fill="FFFFFF"/>
            <w:vAlign w:val="center"/>
          </w:tcPr>
          <w:p w14:paraId="09B78033"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633058BE" w14:textId="77777777" w:rsidTr="00A5430A">
        <w:trPr>
          <w:trHeight w:val="284"/>
        </w:trPr>
        <w:tc>
          <w:tcPr>
            <w:tcW w:w="4755" w:type="dxa"/>
            <w:shd w:val="clear" w:color="auto" w:fill="FFFFFF"/>
          </w:tcPr>
          <w:p w14:paraId="0F260648" w14:textId="77777777" w:rsidR="00A5430A" w:rsidRPr="00787196" w:rsidRDefault="00A5430A" w:rsidP="00A5430A">
            <w:pPr>
              <w:spacing w:before="0" w:after="0" w:line="240" w:lineRule="auto"/>
              <w:ind w:left="142"/>
              <w:rPr>
                <w:sz w:val="20"/>
                <w:szCs w:val="20"/>
              </w:rPr>
            </w:pPr>
            <w:r w:rsidRPr="00787196">
              <w:rPr>
                <w:sz w:val="20"/>
                <w:szCs w:val="20"/>
              </w:rPr>
              <w:t>Inadequate/ negative/ avoidance</w:t>
            </w:r>
          </w:p>
        </w:tc>
        <w:tc>
          <w:tcPr>
            <w:tcW w:w="2866" w:type="dxa"/>
            <w:tcBorders>
              <w:left w:val="nil"/>
              <w:right w:val="nil"/>
            </w:tcBorders>
            <w:shd w:val="clear" w:color="auto" w:fill="FFFFFF"/>
          </w:tcPr>
          <w:p w14:paraId="40CBBD77" w14:textId="77777777" w:rsidR="00A5430A" w:rsidRPr="00787196" w:rsidRDefault="00A5430A" w:rsidP="00A5430A">
            <w:pPr>
              <w:spacing w:before="0" w:after="0" w:line="240" w:lineRule="auto"/>
              <w:jc w:val="center"/>
              <w:rPr>
                <w:sz w:val="20"/>
                <w:szCs w:val="20"/>
              </w:rPr>
            </w:pPr>
            <w:r w:rsidRPr="00787196">
              <w:rPr>
                <w:sz w:val="20"/>
                <w:szCs w:val="20"/>
              </w:rPr>
              <w:t xml:space="preserve"> 0.125</w:t>
            </w:r>
          </w:p>
        </w:tc>
      </w:tr>
      <w:tr w:rsidR="00A5430A" w:rsidRPr="00787196" w14:paraId="1771D5C8" w14:textId="77777777" w:rsidTr="00A5430A">
        <w:trPr>
          <w:trHeight w:val="284"/>
        </w:trPr>
        <w:tc>
          <w:tcPr>
            <w:tcW w:w="4755" w:type="dxa"/>
            <w:shd w:val="clear" w:color="auto" w:fill="FFFFFF"/>
          </w:tcPr>
          <w:p w14:paraId="50C95B0C" w14:textId="77777777" w:rsidR="00A5430A" w:rsidRPr="00787196" w:rsidRDefault="00A5430A" w:rsidP="00A5430A">
            <w:pPr>
              <w:spacing w:before="0" w:after="0" w:line="240" w:lineRule="auto"/>
              <w:ind w:left="142"/>
              <w:rPr>
                <w:sz w:val="20"/>
                <w:szCs w:val="20"/>
              </w:rPr>
            </w:pPr>
            <w:r w:rsidRPr="00787196">
              <w:rPr>
                <w:sz w:val="20"/>
                <w:szCs w:val="20"/>
              </w:rPr>
              <w:t>Positive/ adequate</w:t>
            </w:r>
          </w:p>
        </w:tc>
        <w:tc>
          <w:tcPr>
            <w:tcW w:w="2866" w:type="dxa"/>
            <w:tcBorders>
              <w:left w:val="nil"/>
              <w:right w:val="nil"/>
            </w:tcBorders>
            <w:shd w:val="clear" w:color="auto" w:fill="FFFFFF"/>
          </w:tcPr>
          <w:p w14:paraId="57B6B606" w14:textId="77777777" w:rsidR="00A5430A" w:rsidRPr="00787196" w:rsidRDefault="00A5430A" w:rsidP="00A5430A">
            <w:pPr>
              <w:spacing w:before="0" w:after="0" w:line="240" w:lineRule="auto"/>
              <w:jc w:val="center"/>
              <w:rPr>
                <w:sz w:val="20"/>
                <w:szCs w:val="20"/>
              </w:rPr>
            </w:pPr>
            <w:r w:rsidRPr="00787196">
              <w:rPr>
                <w:sz w:val="20"/>
                <w:szCs w:val="20"/>
              </w:rPr>
              <w:t>-0.001</w:t>
            </w:r>
          </w:p>
        </w:tc>
      </w:tr>
      <w:tr w:rsidR="00A5430A" w:rsidRPr="00787196" w14:paraId="102F0366" w14:textId="77777777" w:rsidTr="00A5430A">
        <w:trPr>
          <w:trHeight w:val="284"/>
        </w:trPr>
        <w:tc>
          <w:tcPr>
            <w:tcW w:w="4755" w:type="dxa"/>
            <w:shd w:val="clear" w:color="auto" w:fill="FFFFFF"/>
          </w:tcPr>
          <w:p w14:paraId="052305B8" w14:textId="77777777" w:rsidR="00A5430A" w:rsidRPr="00787196" w:rsidRDefault="00A5430A" w:rsidP="00A5430A">
            <w:pPr>
              <w:spacing w:before="0" w:after="0" w:line="240" w:lineRule="auto"/>
              <w:ind w:left="142"/>
              <w:rPr>
                <w:sz w:val="20"/>
                <w:szCs w:val="20"/>
              </w:rPr>
            </w:pPr>
            <w:r w:rsidRPr="00787196">
              <w:rPr>
                <w:sz w:val="20"/>
                <w:szCs w:val="20"/>
              </w:rPr>
              <w:t>Self-blame</w:t>
            </w:r>
          </w:p>
        </w:tc>
        <w:tc>
          <w:tcPr>
            <w:tcW w:w="2866" w:type="dxa"/>
            <w:tcBorders>
              <w:left w:val="nil"/>
              <w:right w:val="nil"/>
            </w:tcBorders>
            <w:shd w:val="clear" w:color="auto" w:fill="FFFFFF"/>
          </w:tcPr>
          <w:p w14:paraId="2B9F0FD4" w14:textId="77777777" w:rsidR="00A5430A" w:rsidRPr="00787196" w:rsidRDefault="00A5430A" w:rsidP="00A5430A">
            <w:pPr>
              <w:spacing w:before="0" w:after="0" w:line="240" w:lineRule="auto"/>
              <w:jc w:val="center"/>
              <w:rPr>
                <w:sz w:val="20"/>
                <w:szCs w:val="20"/>
              </w:rPr>
            </w:pPr>
            <w:r w:rsidRPr="00787196">
              <w:rPr>
                <w:sz w:val="20"/>
                <w:szCs w:val="20"/>
              </w:rPr>
              <w:t>-0.034</w:t>
            </w:r>
          </w:p>
        </w:tc>
      </w:tr>
      <w:tr w:rsidR="00A5430A" w:rsidRPr="00787196" w14:paraId="6C0435BE" w14:textId="77777777" w:rsidTr="00A5430A">
        <w:trPr>
          <w:trHeight w:val="284"/>
        </w:trPr>
        <w:tc>
          <w:tcPr>
            <w:tcW w:w="4755" w:type="dxa"/>
            <w:shd w:val="clear" w:color="auto" w:fill="FFFFFF"/>
          </w:tcPr>
          <w:p w14:paraId="76A20930" w14:textId="77777777" w:rsidR="00A5430A" w:rsidRPr="00787196" w:rsidRDefault="00A5430A" w:rsidP="00A5430A">
            <w:pPr>
              <w:spacing w:before="0" w:after="0" w:line="240" w:lineRule="auto"/>
              <w:ind w:left="142"/>
              <w:rPr>
                <w:sz w:val="20"/>
                <w:szCs w:val="20"/>
              </w:rPr>
            </w:pPr>
            <w:r w:rsidRPr="00787196">
              <w:rPr>
                <w:sz w:val="20"/>
                <w:szCs w:val="20"/>
              </w:rPr>
              <w:t>Religion</w:t>
            </w:r>
          </w:p>
        </w:tc>
        <w:tc>
          <w:tcPr>
            <w:tcW w:w="2866" w:type="dxa"/>
            <w:tcBorders>
              <w:left w:val="nil"/>
              <w:right w:val="nil"/>
            </w:tcBorders>
            <w:shd w:val="clear" w:color="auto" w:fill="FFFFFF"/>
          </w:tcPr>
          <w:p w14:paraId="41476BED" w14:textId="77777777" w:rsidR="00A5430A" w:rsidRPr="00787196" w:rsidRDefault="00A5430A" w:rsidP="00A5430A">
            <w:pPr>
              <w:spacing w:before="0" w:after="0" w:line="240" w:lineRule="auto"/>
              <w:jc w:val="center"/>
              <w:rPr>
                <w:sz w:val="20"/>
                <w:szCs w:val="20"/>
              </w:rPr>
            </w:pPr>
            <w:r w:rsidRPr="00787196">
              <w:rPr>
                <w:sz w:val="20"/>
                <w:szCs w:val="20"/>
              </w:rPr>
              <w:t>0.069</w:t>
            </w:r>
          </w:p>
        </w:tc>
      </w:tr>
      <w:tr w:rsidR="00A5430A" w:rsidRPr="00787196" w14:paraId="7F1598A3" w14:textId="77777777" w:rsidTr="00A5430A">
        <w:trPr>
          <w:trHeight w:val="284"/>
        </w:trPr>
        <w:tc>
          <w:tcPr>
            <w:tcW w:w="4755" w:type="dxa"/>
            <w:shd w:val="clear" w:color="auto" w:fill="FFFFFF"/>
            <w:vAlign w:val="bottom"/>
          </w:tcPr>
          <w:p w14:paraId="788EA146"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p>
        </w:tc>
        <w:tc>
          <w:tcPr>
            <w:tcW w:w="2866" w:type="dxa"/>
            <w:tcBorders>
              <w:left w:val="nil"/>
              <w:right w:val="nil"/>
            </w:tcBorders>
            <w:shd w:val="clear" w:color="auto" w:fill="FFFFFF"/>
            <w:vAlign w:val="center"/>
          </w:tcPr>
          <w:p w14:paraId="12CDDFF6"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7B3BAB9C" w14:textId="77777777" w:rsidTr="00A5430A">
        <w:trPr>
          <w:trHeight w:val="284"/>
        </w:trPr>
        <w:tc>
          <w:tcPr>
            <w:tcW w:w="4755" w:type="dxa"/>
            <w:shd w:val="clear" w:color="auto" w:fill="FFFFFF"/>
            <w:vAlign w:val="center"/>
          </w:tcPr>
          <w:p w14:paraId="7A8D8EDC" w14:textId="77777777" w:rsidR="00A5430A" w:rsidRPr="00787196" w:rsidRDefault="00A5430A"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Individual factors</w:t>
            </w:r>
          </w:p>
        </w:tc>
        <w:tc>
          <w:tcPr>
            <w:tcW w:w="2866" w:type="dxa"/>
            <w:tcBorders>
              <w:left w:val="nil"/>
              <w:right w:val="nil"/>
            </w:tcBorders>
            <w:shd w:val="clear" w:color="auto" w:fill="FFFFFF"/>
            <w:vAlign w:val="center"/>
          </w:tcPr>
          <w:p w14:paraId="23AE929F"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6209C0E8" w14:textId="77777777" w:rsidTr="00A5430A">
        <w:trPr>
          <w:trHeight w:val="147"/>
        </w:trPr>
        <w:tc>
          <w:tcPr>
            <w:tcW w:w="4755" w:type="dxa"/>
            <w:shd w:val="clear" w:color="auto" w:fill="FFFFFF"/>
          </w:tcPr>
          <w:p w14:paraId="3B33754F"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Subjective SES</w:t>
            </w:r>
          </w:p>
        </w:tc>
        <w:tc>
          <w:tcPr>
            <w:tcW w:w="2866" w:type="dxa"/>
            <w:tcBorders>
              <w:left w:val="nil"/>
              <w:right w:val="nil"/>
            </w:tcBorders>
            <w:shd w:val="clear" w:color="auto" w:fill="FFFFFF"/>
            <w:vAlign w:val="center"/>
          </w:tcPr>
          <w:p w14:paraId="4028386F"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-0.072</w:t>
            </w:r>
          </w:p>
        </w:tc>
      </w:tr>
      <w:tr w:rsidR="00A5430A" w:rsidRPr="00787196" w14:paraId="7520AC4E" w14:textId="77777777" w:rsidTr="00A5430A">
        <w:trPr>
          <w:trHeight w:val="106"/>
        </w:trPr>
        <w:tc>
          <w:tcPr>
            <w:tcW w:w="4755" w:type="dxa"/>
            <w:shd w:val="clear" w:color="auto" w:fill="FFFFFF"/>
          </w:tcPr>
          <w:p w14:paraId="2B3A622B" w14:textId="77777777" w:rsidR="00A5430A" w:rsidRPr="00787196" w:rsidRDefault="00A5430A" w:rsidP="00A5430A">
            <w:pPr>
              <w:autoSpaceDE w:val="0"/>
              <w:autoSpaceDN w:val="0"/>
              <w:adjustRightInd w:val="0"/>
              <w:spacing w:before="0" w:after="0" w:line="240" w:lineRule="auto"/>
              <w:ind w:firstLine="142"/>
              <w:rPr>
                <w:rFonts w:cs="Arial"/>
                <w:color w:val="000000"/>
                <w:sz w:val="20"/>
                <w:szCs w:val="20"/>
              </w:rPr>
            </w:pPr>
            <w:r w:rsidRPr="00787196">
              <w:rPr>
                <w:rFonts w:cs="Arial"/>
                <w:color w:val="000000"/>
                <w:sz w:val="20"/>
                <w:szCs w:val="20"/>
              </w:rPr>
              <w:t>Concern about oral health</w:t>
            </w:r>
          </w:p>
        </w:tc>
        <w:tc>
          <w:tcPr>
            <w:tcW w:w="2866" w:type="dxa"/>
            <w:shd w:val="clear" w:color="auto" w:fill="FFFFFF"/>
            <w:vAlign w:val="center"/>
          </w:tcPr>
          <w:p w14:paraId="79D4D5F2"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-0.076</w:t>
            </w:r>
          </w:p>
        </w:tc>
      </w:tr>
      <w:tr w:rsidR="00A5430A" w:rsidRPr="00787196" w14:paraId="4B71426A" w14:textId="77777777" w:rsidTr="00A5430A">
        <w:trPr>
          <w:trHeight w:val="128"/>
        </w:trPr>
        <w:tc>
          <w:tcPr>
            <w:tcW w:w="4755" w:type="dxa"/>
            <w:shd w:val="clear" w:color="auto" w:fill="FFFFFF"/>
          </w:tcPr>
          <w:p w14:paraId="017F353C"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Ageing expectations</w:t>
            </w:r>
          </w:p>
        </w:tc>
        <w:tc>
          <w:tcPr>
            <w:tcW w:w="2866" w:type="dxa"/>
            <w:tcBorders>
              <w:left w:val="nil"/>
              <w:right w:val="nil"/>
            </w:tcBorders>
            <w:shd w:val="clear" w:color="auto" w:fill="FFFFFF"/>
            <w:vAlign w:val="center"/>
          </w:tcPr>
          <w:p w14:paraId="0829ECE2"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-0.058</w:t>
            </w:r>
          </w:p>
        </w:tc>
      </w:tr>
      <w:tr w:rsidR="00A5430A" w:rsidRPr="00787196" w14:paraId="68CA9F6E" w14:textId="77777777" w:rsidTr="00A5430A">
        <w:trPr>
          <w:trHeight w:val="146"/>
        </w:trPr>
        <w:tc>
          <w:tcPr>
            <w:tcW w:w="4755" w:type="dxa"/>
            <w:shd w:val="clear" w:color="auto" w:fill="FFFFFF"/>
          </w:tcPr>
          <w:p w14:paraId="530DB735"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Perceived stress</w:t>
            </w:r>
          </w:p>
        </w:tc>
        <w:tc>
          <w:tcPr>
            <w:tcW w:w="2866" w:type="dxa"/>
            <w:shd w:val="clear" w:color="auto" w:fill="FFFFFF"/>
            <w:vAlign w:val="center"/>
          </w:tcPr>
          <w:p w14:paraId="503A548E"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0.008</w:t>
            </w:r>
          </w:p>
        </w:tc>
      </w:tr>
      <w:tr w:rsidR="00A5430A" w:rsidRPr="00787196" w14:paraId="205D8E83" w14:textId="77777777" w:rsidTr="00A5430A">
        <w:trPr>
          <w:trHeight w:val="146"/>
        </w:trPr>
        <w:tc>
          <w:tcPr>
            <w:tcW w:w="4755" w:type="dxa"/>
            <w:shd w:val="clear" w:color="auto" w:fill="FFFFFF"/>
          </w:tcPr>
          <w:p w14:paraId="4053229E"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p>
        </w:tc>
        <w:tc>
          <w:tcPr>
            <w:tcW w:w="2866" w:type="dxa"/>
            <w:tcBorders>
              <w:left w:val="nil"/>
              <w:right w:val="nil"/>
            </w:tcBorders>
            <w:shd w:val="clear" w:color="auto" w:fill="FFFFFF"/>
            <w:vAlign w:val="center"/>
          </w:tcPr>
          <w:p w14:paraId="5063D134"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652AB388" w14:textId="77777777" w:rsidTr="00A5430A">
        <w:trPr>
          <w:trHeight w:val="259"/>
        </w:trPr>
        <w:tc>
          <w:tcPr>
            <w:tcW w:w="4755" w:type="dxa"/>
            <w:shd w:val="clear" w:color="auto" w:fill="FFFFFF"/>
          </w:tcPr>
          <w:p w14:paraId="4030EA2B" w14:textId="1169D60A" w:rsidR="00A5430A" w:rsidRPr="00787196" w:rsidRDefault="00317306" w:rsidP="008A4AE2">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Baseline outcome variables</w:t>
            </w:r>
          </w:p>
        </w:tc>
        <w:tc>
          <w:tcPr>
            <w:tcW w:w="2866" w:type="dxa"/>
            <w:tcBorders>
              <w:left w:val="nil"/>
              <w:right w:val="nil"/>
            </w:tcBorders>
            <w:shd w:val="clear" w:color="auto" w:fill="FFFFFF"/>
            <w:vAlign w:val="center"/>
          </w:tcPr>
          <w:p w14:paraId="2F943E67"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r w:rsidR="00A5430A" w:rsidRPr="00787196" w14:paraId="6908ECDD" w14:textId="77777777" w:rsidTr="00A5430A">
        <w:trPr>
          <w:trHeight w:val="259"/>
        </w:trPr>
        <w:tc>
          <w:tcPr>
            <w:tcW w:w="4755" w:type="dxa"/>
            <w:shd w:val="clear" w:color="auto" w:fill="FFFFFF"/>
          </w:tcPr>
          <w:p w14:paraId="32365880"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OHQoL </w:t>
            </w:r>
          </w:p>
        </w:tc>
        <w:tc>
          <w:tcPr>
            <w:tcW w:w="2866" w:type="dxa"/>
            <w:tcBorders>
              <w:left w:val="nil"/>
              <w:right w:val="nil"/>
            </w:tcBorders>
            <w:shd w:val="clear" w:color="auto" w:fill="FFFFFF"/>
            <w:vAlign w:val="center"/>
          </w:tcPr>
          <w:p w14:paraId="69EDF626"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vertAlign w:val="superscript"/>
              </w:rPr>
            </w:pPr>
            <w:r w:rsidRPr="00787196">
              <w:rPr>
                <w:rFonts w:cs="Arial"/>
                <w:color w:val="000000"/>
                <w:sz w:val="20"/>
                <w:szCs w:val="20"/>
              </w:rPr>
              <w:t xml:space="preserve">   0.341**</w:t>
            </w:r>
          </w:p>
        </w:tc>
      </w:tr>
      <w:tr w:rsidR="00A5430A" w:rsidRPr="00787196" w14:paraId="36B32C8B" w14:textId="77777777" w:rsidTr="00A5430A">
        <w:trPr>
          <w:trHeight w:val="259"/>
        </w:trPr>
        <w:tc>
          <w:tcPr>
            <w:tcW w:w="4755" w:type="dxa"/>
            <w:shd w:val="clear" w:color="auto" w:fill="FFFFFF"/>
          </w:tcPr>
          <w:p w14:paraId="1673CB0E"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Denture satisfaction</w:t>
            </w:r>
          </w:p>
        </w:tc>
        <w:tc>
          <w:tcPr>
            <w:tcW w:w="2866" w:type="dxa"/>
            <w:tcBorders>
              <w:left w:val="nil"/>
              <w:right w:val="nil"/>
            </w:tcBorders>
            <w:shd w:val="clear" w:color="auto" w:fill="FFFFFF"/>
            <w:vAlign w:val="center"/>
          </w:tcPr>
          <w:p w14:paraId="734199B8"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0.187**</w:t>
            </w:r>
          </w:p>
        </w:tc>
      </w:tr>
      <w:tr w:rsidR="00A5430A" w:rsidRPr="00787196" w14:paraId="250399E5" w14:textId="77777777" w:rsidTr="00A5430A">
        <w:trPr>
          <w:trHeight w:val="264"/>
        </w:trPr>
        <w:tc>
          <w:tcPr>
            <w:tcW w:w="4755" w:type="dxa"/>
            <w:shd w:val="clear" w:color="auto" w:fill="FFFFFF"/>
          </w:tcPr>
          <w:p w14:paraId="12C09E5A"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Chewing ability</w:t>
            </w:r>
          </w:p>
        </w:tc>
        <w:tc>
          <w:tcPr>
            <w:tcW w:w="2866" w:type="dxa"/>
            <w:shd w:val="clear" w:color="auto" w:fill="FFFFFF"/>
            <w:vAlign w:val="center"/>
          </w:tcPr>
          <w:p w14:paraId="02878B9C"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-0.174*</w:t>
            </w:r>
          </w:p>
        </w:tc>
      </w:tr>
      <w:tr w:rsidR="00A5430A" w:rsidRPr="00787196" w14:paraId="16CD75E4" w14:textId="77777777" w:rsidTr="00A5430A">
        <w:trPr>
          <w:trHeight w:val="273"/>
        </w:trPr>
        <w:tc>
          <w:tcPr>
            <w:tcW w:w="4755" w:type="dxa"/>
            <w:shd w:val="clear" w:color="auto" w:fill="FFFFFF"/>
          </w:tcPr>
          <w:p w14:paraId="16339ED8" w14:textId="77777777" w:rsidR="00A5430A" w:rsidRPr="00787196" w:rsidRDefault="00A5430A" w:rsidP="00A5430A">
            <w:pPr>
              <w:autoSpaceDE w:val="0"/>
              <w:autoSpaceDN w:val="0"/>
              <w:adjustRightInd w:val="0"/>
              <w:spacing w:before="0" w:after="0" w:line="240" w:lineRule="auto"/>
              <w:ind w:left="142"/>
              <w:rPr>
                <w:rFonts w:cs="Arial"/>
                <w:color w:val="000000"/>
                <w:sz w:val="20"/>
                <w:szCs w:val="20"/>
              </w:rPr>
            </w:pPr>
          </w:p>
        </w:tc>
        <w:tc>
          <w:tcPr>
            <w:tcW w:w="2866" w:type="dxa"/>
            <w:shd w:val="clear" w:color="auto" w:fill="FFFFFF"/>
          </w:tcPr>
          <w:p w14:paraId="556174DF" w14:textId="77777777" w:rsidR="00A5430A" w:rsidRPr="00787196" w:rsidRDefault="00A5430A" w:rsidP="00A5430A">
            <w:pPr>
              <w:autoSpaceDE w:val="0"/>
              <w:autoSpaceDN w:val="0"/>
              <w:adjustRightInd w:val="0"/>
              <w:spacing w:before="0" w:after="0" w:line="240" w:lineRule="auto"/>
              <w:jc w:val="center"/>
              <w:rPr>
                <w:rFonts w:cs="Arial"/>
                <w:color w:val="000000"/>
                <w:sz w:val="20"/>
                <w:szCs w:val="20"/>
              </w:rPr>
            </w:pPr>
          </w:p>
        </w:tc>
      </w:tr>
    </w:tbl>
    <w:p w14:paraId="1A3CB706" w14:textId="77777777" w:rsidR="00013C20" w:rsidRPr="00787196" w:rsidRDefault="00013C20" w:rsidP="0048450C">
      <w:pPr>
        <w:spacing w:before="0" w:after="0" w:line="240" w:lineRule="auto"/>
        <w:rPr>
          <w:i/>
          <w:iCs/>
          <w:sz w:val="20"/>
          <w:szCs w:val="16"/>
        </w:rPr>
      </w:pPr>
      <w:r w:rsidRPr="00787196">
        <w:rPr>
          <w:i/>
          <w:iCs/>
          <w:sz w:val="20"/>
          <w:szCs w:val="16"/>
        </w:rPr>
        <w:t>** Spearman’s correlation is significant at the 0.01 level (2-tailed)</w:t>
      </w:r>
    </w:p>
    <w:p w14:paraId="2DF8AC6E" w14:textId="77777777" w:rsidR="00A5430A" w:rsidRPr="00787196" w:rsidRDefault="00013C20" w:rsidP="001A5C7C">
      <w:pPr>
        <w:spacing w:before="0" w:after="0" w:line="240" w:lineRule="auto"/>
        <w:rPr>
          <w:i/>
          <w:iCs/>
          <w:sz w:val="20"/>
          <w:szCs w:val="16"/>
        </w:rPr>
      </w:pPr>
      <w:r w:rsidRPr="00787196">
        <w:rPr>
          <w:i/>
          <w:iCs/>
          <w:sz w:val="20"/>
          <w:szCs w:val="16"/>
        </w:rPr>
        <w:t xml:space="preserve"> * Spearman’s correlation is significant at the 0.05 level (2-tailed)</w:t>
      </w:r>
    </w:p>
    <w:p w14:paraId="1FC43CEA" w14:textId="77777777" w:rsidR="00A5430A" w:rsidRPr="00787196" w:rsidRDefault="00A5430A" w:rsidP="001A5C7C">
      <w:pPr>
        <w:spacing w:before="0" w:after="0" w:line="240" w:lineRule="auto"/>
        <w:rPr>
          <w:iCs/>
          <w:szCs w:val="24"/>
        </w:rPr>
      </w:pPr>
    </w:p>
    <w:p w14:paraId="7D6B7FFE" w14:textId="532DD153" w:rsidR="00D96309" w:rsidRPr="00787196" w:rsidRDefault="00A5430A" w:rsidP="00A5430A">
      <w:pPr>
        <w:spacing w:before="0" w:after="0"/>
        <w:rPr>
          <w:iCs/>
          <w:szCs w:val="24"/>
        </w:rPr>
      </w:pPr>
      <w:r w:rsidRPr="00787196">
        <w:rPr>
          <w:iCs/>
          <w:szCs w:val="24"/>
        </w:rPr>
        <w:t xml:space="preserve">Tables 5-16 and 5-17 summarise the possible relationships between independent variables (clinical status, demographic and environmental factors) at baseline and OHQoL at follow-up. </w:t>
      </w:r>
      <w:r w:rsidR="00D96309" w:rsidRPr="00787196">
        <w:rPr>
          <w:iCs/>
          <w:szCs w:val="24"/>
        </w:rPr>
        <w:br w:type="page"/>
      </w:r>
    </w:p>
    <w:p w14:paraId="3DC7CF1C" w14:textId="23A71B24" w:rsidR="0048450C" w:rsidRPr="00787196" w:rsidRDefault="00C44EBE" w:rsidP="003219DF">
      <w:pPr>
        <w:spacing w:before="0" w:after="0"/>
        <w:rPr>
          <w:iCs/>
          <w:szCs w:val="24"/>
        </w:rPr>
      </w:pPr>
      <w:r w:rsidRPr="00787196">
        <w:rPr>
          <w:iCs/>
          <w:szCs w:val="24"/>
        </w:rPr>
        <w:lastRenderedPageBreak/>
        <w:t xml:space="preserve">There were significant associations between </w:t>
      </w:r>
      <w:r w:rsidR="00903D81" w:rsidRPr="00787196">
        <w:rPr>
          <w:iCs/>
          <w:szCs w:val="24"/>
        </w:rPr>
        <w:t>the</w:t>
      </w:r>
      <w:r w:rsidR="00FF1D01" w:rsidRPr="00787196">
        <w:rPr>
          <w:iCs/>
          <w:szCs w:val="24"/>
        </w:rPr>
        <w:t xml:space="preserve"> number of</w:t>
      </w:r>
      <w:r w:rsidR="0048450C" w:rsidRPr="00787196">
        <w:rPr>
          <w:iCs/>
          <w:szCs w:val="24"/>
        </w:rPr>
        <w:t xml:space="preserve"> </w:t>
      </w:r>
      <w:r w:rsidRPr="00787196">
        <w:rPr>
          <w:iCs/>
          <w:szCs w:val="24"/>
        </w:rPr>
        <w:t>occluding pairs, prosthetic need (what type of removable dentures they were receiving) in the upper arch and the number of teeth present</w:t>
      </w:r>
      <w:r w:rsidR="00FF1D01" w:rsidRPr="00787196">
        <w:rPr>
          <w:iCs/>
          <w:szCs w:val="24"/>
        </w:rPr>
        <w:t xml:space="preserve"> and the number of teeth present at baseline (T1) </w:t>
      </w:r>
      <w:r w:rsidR="0048450C" w:rsidRPr="00787196">
        <w:rPr>
          <w:iCs/>
          <w:szCs w:val="24"/>
        </w:rPr>
        <w:t>with OHQoL at follow- up</w:t>
      </w:r>
      <w:r w:rsidR="00FF1D01" w:rsidRPr="00787196">
        <w:rPr>
          <w:iCs/>
          <w:szCs w:val="24"/>
        </w:rPr>
        <w:t xml:space="preserve"> (T2)</w:t>
      </w:r>
      <w:r w:rsidR="0048450C" w:rsidRPr="00787196">
        <w:rPr>
          <w:iCs/>
          <w:szCs w:val="24"/>
        </w:rPr>
        <w:t>.</w:t>
      </w:r>
      <w:bookmarkStart w:id="282" w:name="_Ref429743852"/>
    </w:p>
    <w:p w14:paraId="5BAA0004" w14:textId="4B755467" w:rsidR="007E35FC" w:rsidRPr="00787196" w:rsidRDefault="00AD557E" w:rsidP="0006726F">
      <w:pPr>
        <w:pStyle w:val="Caption"/>
        <w:spacing w:after="0" w:line="360" w:lineRule="auto"/>
        <w:jc w:val="left"/>
        <w:rPr>
          <w:b/>
          <w:bCs/>
          <w:i w:val="0"/>
          <w:iCs w:val="0"/>
          <w:color w:val="auto"/>
          <w:sz w:val="20"/>
          <w:szCs w:val="20"/>
        </w:rPr>
      </w:pPr>
      <w:bookmarkStart w:id="283" w:name="_Toc488655545"/>
      <w:bookmarkEnd w:id="282"/>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16</w:t>
      </w:r>
      <w:r w:rsidR="000332A1" w:rsidRPr="00787196">
        <w:rPr>
          <w:b/>
          <w:bCs/>
          <w:i w:val="0"/>
          <w:iCs w:val="0"/>
          <w:color w:val="auto"/>
          <w:sz w:val="20"/>
          <w:szCs w:val="20"/>
        </w:rPr>
        <w:fldChar w:fldCharType="end"/>
      </w:r>
      <w:r w:rsidR="00C67FF2" w:rsidRPr="00787196">
        <w:rPr>
          <w:b/>
          <w:bCs/>
          <w:i w:val="0"/>
          <w:iCs w:val="0"/>
          <w:color w:val="auto"/>
          <w:sz w:val="20"/>
          <w:szCs w:val="20"/>
        </w:rPr>
        <w:t xml:space="preserve">. </w:t>
      </w:r>
      <w:r w:rsidR="0006726F" w:rsidRPr="00787196">
        <w:rPr>
          <w:b/>
          <w:bCs/>
          <w:i w:val="0"/>
          <w:iCs w:val="0"/>
          <w:color w:val="auto"/>
          <w:sz w:val="20"/>
          <w:szCs w:val="20"/>
        </w:rPr>
        <w:t>Bivariate a</w:t>
      </w:r>
      <w:r w:rsidR="008A4AE2" w:rsidRPr="00787196">
        <w:rPr>
          <w:b/>
          <w:bCs/>
          <w:i w:val="0"/>
          <w:iCs w:val="0"/>
          <w:color w:val="auto"/>
          <w:sz w:val="20"/>
          <w:szCs w:val="20"/>
        </w:rPr>
        <w:t xml:space="preserve">ssociations between </w:t>
      </w:r>
      <w:r w:rsidRPr="00787196">
        <w:rPr>
          <w:b/>
          <w:bCs/>
          <w:i w:val="0"/>
          <w:iCs w:val="0"/>
          <w:color w:val="auto"/>
          <w:sz w:val="20"/>
          <w:szCs w:val="20"/>
        </w:rPr>
        <w:t>clinical status, demographic variables at baseline</w:t>
      </w:r>
      <w:r w:rsidR="0079553A" w:rsidRPr="00787196">
        <w:rPr>
          <w:b/>
          <w:bCs/>
          <w:i w:val="0"/>
          <w:iCs w:val="0"/>
          <w:color w:val="auto"/>
          <w:sz w:val="20"/>
          <w:szCs w:val="20"/>
        </w:rPr>
        <w:t xml:space="preserve"> (T1)</w:t>
      </w:r>
      <w:r w:rsidR="008A4AE2" w:rsidRPr="00787196">
        <w:rPr>
          <w:b/>
          <w:bCs/>
          <w:i w:val="0"/>
          <w:iCs w:val="0"/>
          <w:color w:val="auto"/>
          <w:sz w:val="20"/>
          <w:szCs w:val="20"/>
        </w:rPr>
        <w:t xml:space="preserve"> and OHQoL at follow up (T2)</w:t>
      </w:r>
      <w:bookmarkEnd w:id="283"/>
    </w:p>
    <w:tbl>
      <w:tblPr>
        <w:tblW w:w="0" w:type="auto"/>
        <w:tblBorders>
          <w:top w:val="single" w:sz="8" w:space="0" w:color="000000"/>
          <w:bottom w:val="single" w:sz="8" w:space="0" w:color="000000"/>
        </w:tblBorders>
        <w:tblLook w:val="04A0" w:firstRow="1" w:lastRow="0" w:firstColumn="1" w:lastColumn="0" w:noHBand="0" w:noVBand="1"/>
      </w:tblPr>
      <w:tblGrid>
        <w:gridCol w:w="5225"/>
        <w:gridCol w:w="1172"/>
        <w:gridCol w:w="1644"/>
      </w:tblGrid>
      <w:tr w:rsidR="000C2FF2" w:rsidRPr="00787196" w14:paraId="10485277" w14:textId="77777777" w:rsidTr="00D26BEE">
        <w:trPr>
          <w:trHeight w:val="299"/>
        </w:trPr>
        <w:tc>
          <w:tcPr>
            <w:tcW w:w="5225" w:type="dxa"/>
            <w:tcBorders>
              <w:top w:val="single" w:sz="8" w:space="0" w:color="000000"/>
              <w:bottom w:val="single" w:sz="8" w:space="0" w:color="000000"/>
            </w:tcBorders>
            <w:shd w:val="clear" w:color="auto" w:fill="FFFFFF"/>
            <w:vAlign w:val="center"/>
          </w:tcPr>
          <w:p w14:paraId="23CF789D" w14:textId="77777777" w:rsidR="000C2FF2" w:rsidRPr="00787196" w:rsidRDefault="000C2FF2" w:rsidP="00755F46">
            <w:pPr>
              <w:autoSpaceDE w:val="0"/>
              <w:autoSpaceDN w:val="0"/>
              <w:adjustRightInd w:val="0"/>
              <w:spacing w:before="0" w:after="0" w:line="240" w:lineRule="auto"/>
              <w:rPr>
                <w:rFonts w:cs="Arial"/>
                <w:b/>
                <w:bCs/>
                <w:color w:val="000000"/>
                <w:sz w:val="19"/>
                <w:szCs w:val="19"/>
              </w:rPr>
            </w:pPr>
          </w:p>
        </w:tc>
        <w:tc>
          <w:tcPr>
            <w:tcW w:w="1172" w:type="dxa"/>
            <w:tcBorders>
              <w:top w:val="single" w:sz="8" w:space="0" w:color="000000"/>
              <w:bottom w:val="single" w:sz="8" w:space="0" w:color="000000"/>
            </w:tcBorders>
            <w:shd w:val="clear" w:color="auto" w:fill="FFFFFF"/>
            <w:vAlign w:val="center"/>
          </w:tcPr>
          <w:p w14:paraId="6952ECBC" w14:textId="77777777" w:rsidR="000C2FF2" w:rsidRPr="00787196" w:rsidRDefault="000C2FF2" w:rsidP="00323BBC">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t</w:t>
            </w:r>
          </w:p>
        </w:tc>
        <w:tc>
          <w:tcPr>
            <w:tcW w:w="1644" w:type="dxa"/>
            <w:tcBorders>
              <w:top w:val="single" w:sz="8" w:space="0" w:color="000000"/>
              <w:bottom w:val="single" w:sz="8" w:space="0" w:color="000000"/>
            </w:tcBorders>
            <w:shd w:val="clear" w:color="auto" w:fill="FFFFFF"/>
            <w:vAlign w:val="center"/>
          </w:tcPr>
          <w:p w14:paraId="2D50D000" w14:textId="77777777" w:rsidR="000C2FF2" w:rsidRPr="00787196" w:rsidRDefault="000C2FF2" w:rsidP="00323BBC">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Mean (SD)</w:t>
            </w:r>
          </w:p>
        </w:tc>
      </w:tr>
      <w:tr w:rsidR="000C2FF2" w:rsidRPr="00787196" w14:paraId="6869ABB7" w14:textId="77777777" w:rsidTr="00D26BEE">
        <w:trPr>
          <w:trHeight w:val="129"/>
        </w:trPr>
        <w:tc>
          <w:tcPr>
            <w:tcW w:w="5225" w:type="dxa"/>
            <w:shd w:val="clear" w:color="auto" w:fill="FFFFFF"/>
            <w:vAlign w:val="center"/>
          </w:tcPr>
          <w:p w14:paraId="68A04A3C"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CLINICAL STATUS</w:t>
            </w:r>
          </w:p>
        </w:tc>
        <w:tc>
          <w:tcPr>
            <w:tcW w:w="1172" w:type="dxa"/>
            <w:shd w:val="clear" w:color="auto" w:fill="auto"/>
            <w:vAlign w:val="center"/>
          </w:tcPr>
          <w:p w14:paraId="684CDE0D"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67EF7508"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0C2FF2" w:rsidRPr="00787196" w14:paraId="3139643B" w14:textId="77777777" w:rsidTr="00D26BEE">
        <w:trPr>
          <w:trHeight w:val="207"/>
        </w:trPr>
        <w:tc>
          <w:tcPr>
            <w:tcW w:w="5225" w:type="dxa"/>
            <w:shd w:val="clear" w:color="auto" w:fill="FFFFFF"/>
            <w:vAlign w:val="center"/>
          </w:tcPr>
          <w:p w14:paraId="38ED7654"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Occluding pairs</w:t>
            </w:r>
          </w:p>
        </w:tc>
        <w:tc>
          <w:tcPr>
            <w:tcW w:w="1172" w:type="dxa"/>
            <w:shd w:val="clear" w:color="auto" w:fill="auto"/>
            <w:vAlign w:val="center"/>
          </w:tcPr>
          <w:p w14:paraId="08E14F1C"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46A48970"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219437AF" w14:textId="77777777" w:rsidTr="00D26BEE">
        <w:trPr>
          <w:trHeight w:val="207"/>
        </w:trPr>
        <w:tc>
          <w:tcPr>
            <w:tcW w:w="5225" w:type="dxa"/>
            <w:shd w:val="clear" w:color="auto" w:fill="D9D9D9"/>
            <w:vAlign w:val="center"/>
          </w:tcPr>
          <w:p w14:paraId="01C6FD69"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Present</w:t>
            </w:r>
          </w:p>
        </w:tc>
        <w:tc>
          <w:tcPr>
            <w:tcW w:w="1172" w:type="dxa"/>
            <w:vMerge w:val="restart"/>
            <w:shd w:val="clear" w:color="auto" w:fill="D9D9D9" w:themeFill="background1" w:themeFillShade="D9"/>
            <w:vAlign w:val="center"/>
          </w:tcPr>
          <w:p w14:paraId="49F44DAE"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vertAlign w:val="superscript"/>
              </w:rPr>
            </w:pPr>
            <w:r w:rsidRPr="00787196">
              <w:rPr>
                <w:rFonts w:cs="Arial"/>
                <w:color w:val="000000"/>
                <w:sz w:val="16"/>
                <w:szCs w:val="16"/>
              </w:rPr>
              <w:t>2.473</w:t>
            </w:r>
            <w:r w:rsidRPr="00787196">
              <w:rPr>
                <w:rFonts w:cs="Arial"/>
                <w:color w:val="000000"/>
                <w:sz w:val="16"/>
                <w:szCs w:val="16"/>
                <w:vertAlign w:val="superscript"/>
              </w:rPr>
              <w:t>+</w:t>
            </w:r>
          </w:p>
        </w:tc>
        <w:tc>
          <w:tcPr>
            <w:tcW w:w="1644" w:type="dxa"/>
            <w:tcBorders>
              <w:left w:val="nil"/>
              <w:right w:val="nil"/>
            </w:tcBorders>
            <w:shd w:val="clear" w:color="auto" w:fill="D9D9D9"/>
            <w:vAlign w:val="center"/>
          </w:tcPr>
          <w:p w14:paraId="3C54F051"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vertAlign w:val="superscript"/>
              </w:rPr>
            </w:pPr>
            <w:r w:rsidRPr="00787196">
              <w:rPr>
                <w:rFonts w:cs="Arial"/>
                <w:color w:val="000000"/>
                <w:sz w:val="16"/>
                <w:szCs w:val="16"/>
              </w:rPr>
              <w:t>39.55 (11.55)</w:t>
            </w:r>
            <w:r w:rsidRPr="00787196">
              <w:rPr>
                <w:rFonts w:cs="Arial"/>
                <w:color w:val="000000"/>
                <w:sz w:val="16"/>
                <w:szCs w:val="16"/>
                <w:vertAlign w:val="superscript"/>
              </w:rPr>
              <w:t>+</w:t>
            </w:r>
          </w:p>
        </w:tc>
      </w:tr>
      <w:tr w:rsidR="008A4141" w:rsidRPr="00787196" w14:paraId="6C588F80" w14:textId="77777777" w:rsidTr="00D26BEE">
        <w:trPr>
          <w:trHeight w:val="140"/>
        </w:trPr>
        <w:tc>
          <w:tcPr>
            <w:tcW w:w="5225" w:type="dxa"/>
            <w:shd w:val="clear" w:color="auto" w:fill="D9D9D9"/>
            <w:vAlign w:val="center"/>
          </w:tcPr>
          <w:p w14:paraId="4E28E966"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None</w:t>
            </w:r>
          </w:p>
        </w:tc>
        <w:tc>
          <w:tcPr>
            <w:tcW w:w="1172" w:type="dxa"/>
            <w:vMerge/>
            <w:shd w:val="clear" w:color="auto" w:fill="D9D9D9" w:themeFill="background1" w:themeFillShade="D9"/>
            <w:vAlign w:val="center"/>
          </w:tcPr>
          <w:p w14:paraId="128ECA12"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D9D9D9"/>
            <w:vAlign w:val="center"/>
          </w:tcPr>
          <w:p w14:paraId="0AEACA1E"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vertAlign w:val="superscript"/>
              </w:rPr>
            </w:pPr>
            <w:r w:rsidRPr="00787196">
              <w:rPr>
                <w:rFonts w:cs="Arial"/>
                <w:color w:val="000000"/>
                <w:sz w:val="16"/>
                <w:szCs w:val="16"/>
              </w:rPr>
              <w:t>35.31 (10.73)</w:t>
            </w:r>
            <w:r w:rsidRPr="00787196">
              <w:rPr>
                <w:rFonts w:cs="Arial"/>
                <w:color w:val="000000"/>
                <w:sz w:val="16"/>
                <w:szCs w:val="16"/>
                <w:vertAlign w:val="superscript"/>
              </w:rPr>
              <w:t>+</w:t>
            </w:r>
          </w:p>
        </w:tc>
      </w:tr>
      <w:tr w:rsidR="001A5C7C" w:rsidRPr="00787196" w14:paraId="4F06677A" w14:textId="77777777" w:rsidTr="00D26BEE">
        <w:trPr>
          <w:trHeight w:val="140"/>
        </w:trPr>
        <w:tc>
          <w:tcPr>
            <w:tcW w:w="5225" w:type="dxa"/>
            <w:shd w:val="clear" w:color="auto" w:fill="auto"/>
            <w:vAlign w:val="center"/>
          </w:tcPr>
          <w:p w14:paraId="2BFD9E96" w14:textId="77777777" w:rsidR="001A5C7C" w:rsidRPr="00787196" w:rsidRDefault="001A5C7C"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3BB9A68D" w14:textId="77777777" w:rsidR="001A5C7C" w:rsidRPr="00787196" w:rsidRDefault="001A5C7C"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5C3742B1" w14:textId="77777777" w:rsidR="001A5C7C" w:rsidRPr="00787196" w:rsidRDefault="001A5C7C" w:rsidP="00323BBC">
            <w:pPr>
              <w:autoSpaceDE w:val="0"/>
              <w:autoSpaceDN w:val="0"/>
              <w:adjustRightInd w:val="0"/>
              <w:spacing w:before="0" w:after="0" w:line="240" w:lineRule="auto"/>
              <w:jc w:val="center"/>
              <w:rPr>
                <w:rFonts w:cs="Arial"/>
                <w:color w:val="000000"/>
                <w:sz w:val="16"/>
                <w:szCs w:val="16"/>
              </w:rPr>
            </w:pPr>
          </w:p>
        </w:tc>
      </w:tr>
      <w:tr w:rsidR="000C2FF2" w:rsidRPr="00787196" w14:paraId="33C7CBFB" w14:textId="77777777" w:rsidTr="00D26BEE">
        <w:trPr>
          <w:trHeight w:val="207"/>
        </w:trPr>
        <w:tc>
          <w:tcPr>
            <w:tcW w:w="5225" w:type="dxa"/>
            <w:shd w:val="clear" w:color="auto" w:fill="FFFFFF"/>
            <w:vAlign w:val="center"/>
          </w:tcPr>
          <w:p w14:paraId="1C8620F5"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 xml:space="preserve">Prosthetic status </w:t>
            </w:r>
          </w:p>
        </w:tc>
        <w:tc>
          <w:tcPr>
            <w:tcW w:w="1172" w:type="dxa"/>
            <w:shd w:val="clear" w:color="auto" w:fill="auto"/>
            <w:vAlign w:val="center"/>
          </w:tcPr>
          <w:p w14:paraId="60AB096E"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1C95A42B"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4FCF7C18" w14:textId="77777777" w:rsidTr="00D26BEE">
        <w:trPr>
          <w:trHeight w:val="207"/>
        </w:trPr>
        <w:tc>
          <w:tcPr>
            <w:tcW w:w="5225" w:type="dxa"/>
            <w:shd w:val="clear" w:color="auto" w:fill="FFFFFF"/>
            <w:vAlign w:val="center"/>
          </w:tcPr>
          <w:p w14:paraId="12E9252B"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No dentures (upper)</w:t>
            </w:r>
          </w:p>
        </w:tc>
        <w:tc>
          <w:tcPr>
            <w:tcW w:w="1172" w:type="dxa"/>
            <w:vMerge w:val="restart"/>
            <w:shd w:val="clear" w:color="auto" w:fill="auto"/>
            <w:vAlign w:val="center"/>
          </w:tcPr>
          <w:p w14:paraId="154392F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1.931</w:t>
            </w:r>
          </w:p>
        </w:tc>
        <w:tc>
          <w:tcPr>
            <w:tcW w:w="1644" w:type="dxa"/>
            <w:tcBorders>
              <w:left w:val="nil"/>
              <w:right w:val="nil"/>
            </w:tcBorders>
            <w:shd w:val="clear" w:color="auto" w:fill="auto"/>
            <w:vAlign w:val="center"/>
          </w:tcPr>
          <w:p w14:paraId="5C69542F"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38.26 (11.53)</w:t>
            </w:r>
          </w:p>
        </w:tc>
      </w:tr>
      <w:tr w:rsidR="008A4141" w:rsidRPr="00787196" w14:paraId="5EF67A33" w14:textId="77777777" w:rsidTr="00D26BEE">
        <w:trPr>
          <w:trHeight w:val="207"/>
        </w:trPr>
        <w:tc>
          <w:tcPr>
            <w:tcW w:w="5225" w:type="dxa"/>
            <w:shd w:val="clear" w:color="auto" w:fill="FFFFFF"/>
            <w:vAlign w:val="center"/>
          </w:tcPr>
          <w:p w14:paraId="65D88992"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previous experience  (upper)</w:t>
            </w:r>
          </w:p>
        </w:tc>
        <w:tc>
          <w:tcPr>
            <w:tcW w:w="1172" w:type="dxa"/>
            <w:vMerge/>
            <w:shd w:val="clear" w:color="auto" w:fill="auto"/>
            <w:vAlign w:val="center"/>
          </w:tcPr>
          <w:p w14:paraId="3F22929C"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2C5F4C15"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35.17 (10.61)</w:t>
            </w:r>
          </w:p>
        </w:tc>
      </w:tr>
      <w:tr w:rsidR="008A4141" w:rsidRPr="00787196" w14:paraId="4C40FBD5" w14:textId="77777777" w:rsidTr="00D26BEE">
        <w:trPr>
          <w:trHeight w:val="207"/>
        </w:trPr>
        <w:tc>
          <w:tcPr>
            <w:tcW w:w="5225" w:type="dxa"/>
            <w:shd w:val="clear" w:color="auto" w:fill="D9D9D9"/>
            <w:vAlign w:val="center"/>
          </w:tcPr>
          <w:p w14:paraId="30BAD5B0"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No dentures (lower)</w:t>
            </w:r>
          </w:p>
        </w:tc>
        <w:tc>
          <w:tcPr>
            <w:tcW w:w="1172" w:type="dxa"/>
            <w:vMerge w:val="restart"/>
            <w:shd w:val="clear" w:color="auto" w:fill="D9D9D9" w:themeFill="background1" w:themeFillShade="D9"/>
            <w:vAlign w:val="center"/>
          </w:tcPr>
          <w:p w14:paraId="0AA48EA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w:t>
            </w:r>
            <w:r w:rsidRPr="00787196">
              <w:rPr>
                <w:rFonts w:cs="Arial"/>
                <w:color w:val="444444"/>
                <w:sz w:val="16"/>
                <w:szCs w:val="16"/>
                <w:shd w:val="clear" w:color="auto" w:fill="D9D9D9"/>
              </w:rPr>
              <w:t>535</w:t>
            </w:r>
          </w:p>
        </w:tc>
        <w:tc>
          <w:tcPr>
            <w:tcW w:w="1644" w:type="dxa"/>
            <w:tcBorders>
              <w:left w:val="nil"/>
              <w:right w:val="nil"/>
            </w:tcBorders>
            <w:shd w:val="clear" w:color="auto" w:fill="D9D9D9"/>
            <w:vAlign w:val="center"/>
          </w:tcPr>
          <w:p w14:paraId="6600EAEA"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37.06 (11.25)</w:t>
            </w:r>
          </w:p>
        </w:tc>
      </w:tr>
      <w:tr w:rsidR="008A4141" w:rsidRPr="00787196" w14:paraId="0DEC1C88" w14:textId="77777777" w:rsidTr="00D26BEE">
        <w:trPr>
          <w:trHeight w:val="207"/>
        </w:trPr>
        <w:tc>
          <w:tcPr>
            <w:tcW w:w="5225" w:type="dxa"/>
            <w:shd w:val="clear" w:color="auto" w:fill="D9D9D9"/>
            <w:vAlign w:val="center"/>
          </w:tcPr>
          <w:p w14:paraId="7409F8A3"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Previous experience (lower)</w:t>
            </w:r>
          </w:p>
        </w:tc>
        <w:tc>
          <w:tcPr>
            <w:tcW w:w="1172" w:type="dxa"/>
            <w:vMerge/>
            <w:shd w:val="clear" w:color="auto" w:fill="D9D9D9" w:themeFill="background1" w:themeFillShade="D9"/>
            <w:vAlign w:val="center"/>
          </w:tcPr>
          <w:p w14:paraId="3D947263"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D9D9D9"/>
            <w:vAlign w:val="center"/>
          </w:tcPr>
          <w:p w14:paraId="02F50C78"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36.20 (11.06)</w:t>
            </w:r>
          </w:p>
        </w:tc>
      </w:tr>
      <w:tr w:rsidR="001A5C7C" w:rsidRPr="00787196" w14:paraId="522CEABF" w14:textId="77777777" w:rsidTr="00D26BEE">
        <w:trPr>
          <w:trHeight w:val="207"/>
        </w:trPr>
        <w:tc>
          <w:tcPr>
            <w:tcW w:w="5225" w:type="dxa"/>
            <w:shd w:val="clear" w:color="auto" w:fill="auto"/>
            <w:vAlign w:val="center"/>
          </w:tcPr>
          <w:p w14:paraId="051E21C6" w14:textId="77777777" w:rsidR="001A5C7C" w:rsidRPr="00787196" w:rsidRDefault="001A5C7C"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70025DAD" w14:textId="77777777" w:rsidR="001A5C7C" w:rsidRPr="00787196" w:rsidRDefault="001A5C7C"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25D0B142" w14:textId="77777777" w:rsidR="001A5C7C" w:rsidRPr="00787196" w:rsidRDefault="001A5C7C" w:rsidP="00323BBC">
            <w:pPr>
              <w:autoSpaceDE w:val="0"/>
              <w:autoSpaceDN w:val="0"/>
              <w:adjustRightInd w:val="0"/>
              <w:spacing w:before="0" w:after="0" w:line="240" w:lineRule="auto"/>
              <w:jc w:val="center"/>
              <w:rPr>
                <w:rFonts w:cs="Arial"/>
                <w:color w:val="000000"/>
                <w:sz w:val="16"/>
                <w:szCs w:val="16"/>
              </w:rPr>
            </w:pPr>
          </w:p>
        </w:tc>
      </w:tr>
      <w:tr w:rsidR="000C2FF2" w:rsidRPr="00787196" w14:paraId="589297CE" w14:textId="77777777" w:rsidTr="00D26BEE">
        <w:trPr>
          <w:trHeight w:val="207"/>
        </w:trPr>
        <w:tc>
          <w:tcPr>
            <w:tcW w:w="5225" w:type="dxa"/>
            <w:shd w:val="clear" w:color="auto" w:fill="FFFFFF"/>
            <w:vAlign w:val="center"/>
          </w:tcPr>
          <w:p w14:paraId="360F4515"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Prosthetic need</w:t>
            </w:r>
          </w:p>
        </w:tc>
        <w:tc>
          <w:tcPr>
            <w:tcW w:w="1172" w:type="dxa"/>
            <w:shd w:val="clear" w:color="auto" w:fill="auto"/>
            <w:vAlign w:val="center"/>
          </w:tcPr>
          <w:p w14:paraId="02D9FF8A"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shd w:val="clear" w:color="auto" w:fill="FFFFFF"/>
            <w:vAlign w:val="center"/>
          </w:tcPr>
          <w:p w14:paraId="002CFA7F"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14872504" w14:textId="77777777" w:rsidTr="00D26BEE">
        <w:trPr>
          <w:trHeight w:val="207"/>
        </w:trPr>
        <w:tc>
          <w:tcPr>
            <w:tcW w:w="5225" w:type="dxa"/>
            <w:shd w:val="clear" w:color="auto" w:fill="FFFFFF"/>
            <w:vAlign w:val="center"/>
          </w:tcPr>
          <w:p w14:paraId="0AD6971F"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Partial or no dentures (Upper)</w:t>
            </w:r>
          </w:p>
        </w:tc>
        <w:tc>
          <w:tcPr>
            <w:tcW w:w="1172" w:type="dxa"/>
            <w:vMerge w:val="restart"/>
            <w:shd w:val="clear" w:color="auto" w:fill="auto"/>
            <w:vAlign w:val="center"/>
          </w:tcPr>
          <w:p w14:paraId="657028F2"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2.83</w:t>
            </w:r>
            <w:r w:rsidRPr="00787196">
              <w:rPr>
                <w:rFonts w:cs="Arial"/>
                <w:color w:val="444444"/>
                <w:sz w:val="16"/>
                <w:szCs w:val="16"/>
                <w:shd w:val="clear" w:color="auto" w:fill="F3F3F3"/>
              </w:rPr>
              <w:t>5</w:t>
            </w:r>
          </w:p>
        </w:tc>
        <w:tc>
          <w:tcPr>
            <w:tcW w:w="1644" w:type="dxa"/>
            <w:tcBorders>
              <w:left w:val="nil"/>
              <w:right w:val="nil"/>
            </w:tcBorders>
            <w:shd w:val="clear" w:color="auto" w:fill="FFFFFF"/>
            <w:vAlign w:val="center"/>
          </w:tcPr>
          <w:p w14:paraId="1ADFBDF5"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vertAlign w:val="superscript"/>
              </w:rPr>
            </w:pPr>
            <w:r w:rsidRPr="00787196">
              <w:rPr>
                <w:rFonts w:cs="Arial"/>
                <w:color w:val="000000"/>
                <w:sz w:val="16"/>
                <w:szCs w:val="16"/>
              </w:rPr>
              <w:t>39.66 (12.05)</w:t>
            </w:r>
            <w:r w:rsidRPr="00787196">
              <w:rPr>
                <w:rFonts w:cs="Arial"/>
                <w:color w:val="000000"/>
                <w:sz w:val="16"/>
                <w:szCs w:val="16"/>
                <w:vertAlign w:val="superscript"/>
              </w:rPr>
              <w:t>+</w:t>
            </w:r>
          </w:p>
        </w:tc>
      </w:tr>
      <w:tr w:rsidR="008A4141" w:rsidRPr="00787196" w14:paraId="7F568F75" w14:textId="77777777" w:rsidTr="00D26BEE">
        <w:trPr>
          <w:trHeight w:val="207"/>
        </w:trPr>
        <w:tc>
          <w:tcPr>
            <w:tcW w:w="5225" w:type="dxa"/>
            <w:shd w:val="clear" w:color="auto" w:fill="FFFFFF"/>
            <w:vAlign w:val="center"/>
          </w:tcPr>
          <w:p w14:paraId="1FA3C918"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Full dentures (upper)</w:t>
            </w:r>
          </w:p>
        </w:tc>
        <w:tc>
          <w:tcPr>
            <w:tcW w:w="1172" w:type="dxa"/>
            <w:vMerge/>
            <w:shd w:val="clear" w:color="auto" w:fill="auto"/>
            <w:vAlign w:val="center"/>
          </w:tcPr>
          <w:p w14:paraId="696671DC"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shd w:val="clear" w:color="auto" w:fill="FFFFFF"/>
            <w:vAlign w:val="center"/>
          </w:tcPr>
          <w:p w14:paraId="1A2B047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vertAlign w:val="superscript"/>
              </w:rPr>
            </w:pPr>
            <w:r w:rsidRPr="00787196">
              <w:rPr>
                <w:rFonts w:cs="Arial"/>
                <w:color w:val="000000"/>
                <w:sz w:val="16"/>
                <w:szCs w:val="16"/>
              </w:rPr>
              <w:t>34.98 (10.27)</w:t>
            </w:r>
            <w:r w:rsidRPr="00787196">
              <w:rPr>
                <w:rFonts w:cs="Arial"/>
                <w:color w:val="000000"/>
                <w:sz w:val="16"/>
                <w:szCs w:val="16"/>
                <w:vertAlign w:val="superscript"/>
              </w:rPr>
              <w:t>+</w:t>
            </w:r>
          </w:p>
        </w:tc>
      </w:tr>
      <w:tr w:rsidR="008A4141" w:rsidRPr="00787196" w14:paraId="3F1AD979" w14:textId="77777777" w:rsidTr="00D26BEE">
        <w:trPr>
          <w:trHeight w:val="207"/>
        </w:trPr>
        <w:tc>
          <w:tcPr>
            <w:tcW w:w="5225" w:type="dxa"/>
            <w:shd w:val="clear" w:color="auto" w:fill="D9D9D9"/>
            <w:vAlign w:val="center"/>
          </w:tcPr>
          <w:p w14:paraId="36CA79FC"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Partial or no dentures (lower)</w:t>
            </w:r>
          </w:p>
        </w:tc>
        <w:tc>
          <w:tcPr>
            <w:tcW w:w="1172" w:type="dxa"/>
            <w:vMerge w:val="restart"/>
            <w:shd w:val="clear" w:color="auto" w:fill="D9D9D9" w:themeFill="background1" w:themeFillShade="D9"/>
            <w:vAlign w:val="center"/>
          </w:tcPr>
          <w:p w14:paraId="10B68367"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1.742</w:t>
            </w:r>
          </w:p>
        </w:tc>
        <w:tc>
          <w:tcPr>
            <w:tcW w:w="1644" w:type="dxa"/>
            <w:shd w:val="clear" w:color="auto" w:fill="D9D9D9"/>
            <w:vAlign w:val="center"/>
          </w:tcPr>
          <w:p w14:paraId="44DBCB80"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38.27 (11.54)</w:t>
            </w:r>
          </w:p>
        </w:tc>
      </w:tr>
      <w:tr w:rsidR="008A4141" w:rsidRPr="00787196" w14:paraId="6DD0A505" w14:textId="77777777" w:rsidTr="00D26BEE">
        <w:trPr>
          <w:trHeight w:val="207"/>
        </w:trPr>
        <w:tc>
          <w:tcPr>
            <w:tcW w:w="5225" w:type="dxa"/>
            <w:shd w:val="clear" w:color="auto" w:fill="D9D9D9"/>
            <w:vAlign w:val="center"/>
          </w:tcPr>
          <w:p w14:paraId="0415C6FC"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Full dentures (lower)</w:t>
            </w:r>
          </w:p>
        </w:tc>
        <w:tc>
          <w:tcPr>
            <w:tcW w:w="1172" w:type="dxa"/>
            <w:vMerge/>
            <w:shd w:val="clear" w:color="auto" w:fill="D9D9D9" w:themeFill="background1" w:themeFillShade="D9"/>
            <w:vAlign w:val="center"/>
          </w:tcPr>
          <w:p w14:paraId="527F64B9"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shd w:val="clear" w:color="auto" w:fill="D9D9D9"/>
            <w:vAlign w:val="center"/>
          </w:tcPr>
          <w:p w14:paraId="7C47E95E"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35.45 (10.72)</w:t>
            </w:r>
          </w:p>
        </w:tc>
      </w:tr>
      <w:tr w:rsidR="0048220C" w:rsidRPr="00787196" w14:paraId="018E90BF" w14:textId="77777777" w:rsidTr="00D26BEE">
        <w:trPr>
          <w:trHeight w:val="207"/>
        </w:trPr>
        <w:tc>
          <w:tcPr>
            <w:tcW w:w="5225" w:type="dxa"/>
            <w:shd w:val="clear" w:color="auto" w:fill="auto"/>
            <w:vAlign w:val="center"/>
          </w:tcPr>
          <w:p w14:paraId="0ECA9492" w14:textId="77777777" w:rsidR="0048220C" w:rsidRPr="00787196" w:rsidRDefault="0048220C"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0CB26B8D" w14:textId="77777777" w:rsidR="0048220C" w:rsidRPr="00787196" w:rsidRDefault="0048220C" w:rsidP="00323BBC">
            <w:pPr>
              <w:autoSpaceDE w:val="0"/>
              <w:autoSpaceDN w:val="0"/>
              <w:adjustRightInd w:val="0"/>
              <w:spacing w:before="0" w:after="0" w:line="240" w:lineRule="auto"/>
              <w:jc w:val="center"/>
              <w:rPr>
                <w:rFonts w:cs="Arial"/>
                <w:color w:val="000000"/>
                <w:sz w:val="16"/>
                <w:szCs w:val="16"/>
              </w:rPr>
            </w:pPr>
          </w:p>
        </w:tc>
        <w:tc>
          <w:tcPr>
            <w:tcW w:w="1644" w:type="dxa"/>
            <w:shd w:val="clear" w:color="auto" w:fill="auto"/>
            <w:vAlign w:val="center"/>
          </w:tcPr>
          <w:p w14:paraId="33D4B0C7" w14:textId="77777777" w:rsidR="0048220C" w:rsidRPr="00787196" w:rsidRDefault="0048220C" w:rsidP="00323BBC">
            <w:pPr>
              <w:autoSpaceDE w:val="0"/>
              <w:autoSpaceDN w:val="0"/>
              <w:adjustRightInd w:val="0"/>
              <w:spacing w:before="0" w:after="0" w:line="240" w:lineRule="auto"/>
              <w:jc w:val="center"/>
              <w:rPr>
                <w:rFonts w:cs="Arial"/>
                <w:color w:val="000000"/>
                <w:sz w:val="16"/>
                <w:szCs w:val="16"/>
              </w:rPr>
            </w:pPr>
          </w:p>
        </w:tc>
      </w:tr>
      <w:tr w:rsidR="000C2FF2" w:rsidRPr="00787196" w14:paraId="05B95F2F" w14:textId="77777777" w:rsidTr="00D26BEE">
        <w:trPr>
          <w:trHeight w:val="207"/>
        </w:trPr>
        <w:tc>
          <w:tcPr>
            <w:tcW w:w="5225" w:type="dxa"/>
            <w:shd w:val="clear" w:color="auto" w:fill="FFFFFF"/>
            <w:vAlign w:val="center"/>
          </w:tcPr>
          <w:p w14:paraId="7857A3FA"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Time since last tooth loss episode</w:t>
            </w:r>
          </w:p>
        </w:tc>
        <w:tc>
          <w:tcPr>
            <w:tcW w:w="1172" w:type="dxa"/>
            <w:shd w:val="clear" w:color="auto" w:fill="auto"/>
            <w:vAlign w:val="center"/>
          </w:tcPr>
          <w:p w14:paraId="553AB511"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484121C5"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5715B841" w14:textId="77777777" w:rsidTr="00D26BEE">
        <w:trPr>
          <w:trHeight w:val="207"/>
        </w:trPr>
        <w:tc>
          <w:tcPr>
            <w:tcW w:w="5225" w:type="dxa"/>
            <w:shd w:val="clear" w:color="auto" w:fill="FFFFFF"/>
            <w:vAlign w:val="center"/>
          </w:tcPr>
          <w:p w14:paraId="33852EAB"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Within a year</w:t>
            </w:r>
          </w:p>
        </w:tc>
        <w:tc>
          <w:tcPr>
            <w:tcW w:w="1172" w:type="dxa"/>
            <w:vMerge w:val="restart"/>
            <w:shd w:val="clear" w:color="auto" w:fill="auto"/>
            <w:vAlign w:val="center"/>
          </w:tcPr>
          <w:p w14:paraId="175C307D"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1.266</w:t>
            </w:r>
          </w:p>
        </w:tc>
        <w:tc>
          <w:tcPr>
            <w:tcW w:w="1644" w:type="dxa"/>
            <w:tcBorders>
              <w:left w:val="nil"/>
              <w:right w:val="nil"/>
            </w:tcBorders>
            <w:shd w:val="clear" w:color="auto" w:fill="FFFFFF"/>
            <w:vAlign w:val="center"/>
          </w:tcPr>
          <w:p w14:paraId="46BCE122"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37.54 (11.56)</w:t>
            </w:r>
          </w:p>
        </w:tc>
      </w:tr>
      <w:tr w:rsidR="008A4141" w:rsidRPr="00787196" w14:paraId="2B309818" w14:textId="77777777" w:rsidTr="00D26BEE">
        <w:trPr>
          <w:trHeight w:val="207"/>
        </w:trPr>
        <w:tc>
          <w:tcPr>
            <w:tcW w:w="5225" w:type="dxa"/>
            <w:shd w:val="clear" w:color="auto" w:fill="FFFFFF"/>
            <w:vAlign w:val="center"/>
          </w:tcPr>
          <w:p w14:paraId="774A8CD2"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More than a year</w:t>
            </w:r>
          </w:p>
        </w:tc>
        <w:tc>
          <w:tcPr>
            <w:tcW w:w="1172" w:type="dxa"/>
            <w:vMerge/>
            <w:shd w:val="clear" w:color="auto" w:fill="auto"/>
            <w:vAlign w:val="center"/>
          </w:tcPr>
          <w:p w14:paraId="0209541F"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3AECD83E"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35.48 (10.52)</w:t>
            </w:r>
          </w:p>
        </w:tc>
      </w:tr>
      <w:tr w:rsidR="000C2FF2" w:rsidRPr="00787196" w14:paraId="5EC1B2D7" w14:textId="77777777" w:rsidTr="00D26BEE">
        <w:trPr>
          <w:trHeight w:val="207"/>
        </w:trPr>
        <w:tc>
          <w:tcPr>
            <w:tcW w:w="5225" w:type="dxa"/>
            <w:shd w:val="clear" w:color="auto" w:fill="FFFFFF"/>
            <w:vAlign w:val="center"/>
          </w:tcPr>
          <w:p w14:paraId="0247ABD6"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Operator expertise</w:t>
            </w:r>
          </w:p>
        </w:tc>
        <w:tc>
          <w:tcPr>
            <w:tcW w:w="1172" w:type="dxa"/>
            <w:shd w:val="clear" w:color="auto" w:fill="auto"/>
            <w:vAlign w:val="center"/>
          </w:tcPr>
          <w:p w14:paraId="1297DF6D"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6763124B"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44E00E1C" w14:textId="77777777" w:rsidTr="00D26BEE">
        <w:trPr>
          <w:trHeight w:val="207"/>
        </w:trPr>
        <w:tc>
          <w:tcPr>
            <w:tcW w:w="5225" w:type="dxa"/>
            <w:shd w:val="clear" w:color="auto" w:fill="D9D9D9"/>
            <w:vAlign w:val="center"/>
          </w:tcPr>
          <w:p w14:paraId="47F6DC03"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Graduates and above</w:t>
            </w:r>
          </w:p>
        </w:tc>
        <w:tc>
          <w:tcPr>
            <w:tcW w:w="1172" w:type="dxa"/>
            <w:vMerge w:val="restart"/>
            <w:shd w:val="clear" w:color="auto" w:fill="D9D9D9" w:themeFill="background1" w:themeFillShade="D9"/>
            <w:vAlign w:val="center"/>
          </w:tcPr>
          <w:p w14:paraId="64634D3C" w14:textId="77777777" w:rsidR="008A4141" w:rsidRPr="00787196" w:rsidRDefault="009C04B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-0.882</w:t>
            </w:r>
          </w:p>
        </w:tc>
        <w:tc>
          <w:tcPr>
            <w:tcW w:w="1644" w:type="dxa"/>
            <w:tcBorders>
              <w:left w:val="nil"/>
              <w:right w:val="nil"/>
            </w:tcBorders>
            <w:shd w:val="clear" w:color="auto" w:fill="D9D9D9"/>
            <w:vAlign w:val="center"/>
          </w:tcPr>
          <w:p w14:paraId="5096D116"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37.49 (13.52)</w:t>
            </w:r>
          </w:p>
        </w:tc>
      </w:tr>
      <w:tr w:rsidR="008A4141" w:rsidRPr="00787196" w14:paraId="1E626159" w14:textId="77777777" w:rsidTr="00D26BEE">
        <w:trPr>
          <w:trHeight w:val="207"/>
        </w:trPr>
        <w:tc>
          <w:tcPr>
            <w:tcW w:w="5225" w:type="dxa"/>
            <w:tcBorders>
              <w:bottom w:val="nil"/>
            </w:tcBorders>
            <w:shd w:val="clear" w:color="auto" w:fill="D9D9D9" w:themeFill="background1" w:themeFillShade="D9"/>
            <w:vAlign w:val="center"/>
          </w:tcPr>
          <w:p w14:paraId="628A2F32"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Undergraduate students</w:t>
            </w:r>
          </w:p>
        </w:tc>
        <w:tc>
          <w:tcPr>
            <w:tcW w:w="1172" w:type="dxa"/>
            <w:vMerge/>
            <w:tcBorders>
              <w:bottom w:val="nil"/>
            </w:tcBorders>
            <w:shd w:val="clear" w:color="auto" w:fill="D9D9D9" w:themeFill="background1" w:themeFillShade="D9"/>
            <w:vAlign w:val="center"/>
          </w:tcPr>
          <w:p w14:paraId="6A418800"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bottom w:val="nil"/>
              <w:right w:val="nil"/>
            </w:tcBorders>
            <w:shd w:val="clear" w:color="auto" w:fill="D9D9D9" w:themeFill="background1" w:themeFillShade="D9"/>
            <w:vAlign w:val="center"/>
          </w:tcPr>
          <w:p w14:paraId="6F0B44FC"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36.40 (10.39)</w:t>
            </w:r>
          </w:p>
        </w:tc>
      </w:tr>
      <w:tr w:rsidR="0048220C" w:rsidRPr="00787196" w14:paraId="2CF4CA24" w14:textId="77777777" w:rsidTr="00D26BEE">
        <w:trPr>
          <w:trHeight w:val="207"/>
        </w:trPr>
        <w:tc>
          <w:tcPr>
            <w:tcW w:w="5225" w:type="dxa"/>
            <w:tcBorders>
              <w:bottom w:val="nil"/>
            </w:tcBorders>
            <w:shd w:val="clear" w:color="auto" w:fill="auto"/>
            <w:vAlign w:val="center"/>
          </w:tcPr>
          <w:p w14:paraId="7A8A3AF0" w14:textId="77777777" w:rsidR="0048220C" w:rsidRPr="00787196" w:rsidRDefault="0048220C" w:rsidP="00755F46">
            <w:pPr>
              <w:autoSpaceDE w:val="0"/>
              <w:autoSpaceDN w:val="0"/>
              <w:adjustRightInd w:val="0"/>
              <w:spacing w:before="0" w:after="0" w:line="240" w:lineRule="auto"/>
              <w:rPr>
                <w:rFonts w:cs="Arial"/>
                <w:color w:val="000000"/>
                <w:sz w:val="16"/>
                <w:szCs w:val="16"/>
              </w:rPr>
            </w:pPr>
          </w:p>
        </w:tc>
        <w:tc>
          <w:tcPr>
            <w:tcW w:w="1172" w:type="dxa"/>
            <w:tcBorders>
              <w:bottom w:val="nil"/>
            </w:tcBorders>
            <w:shd w:val="clear" w:color="auto" w:fill="auto"/>
            <w:vAlign w:val="center"/>
          </w:tcPr>
          <w:p w14:paraId="24040D96" w14:textId="77777777" w:rsidR="0048220C" w:rsidRPr="00787196" w:rsidRDefault="0048220C"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bottom w:val="nil"/>
              <w:right w:val="nil"/>
            </w:tcBorders>
            <w:shd w:val="clear" w:color="auto" w:fill="auto"/>
            <w:vAlign w:val="center"/>
          </w:tcPr>
          <w:p w14:paraId="4A8A0BD5" w14:textId="77777777" w:rsidR="0048220C" w:rsidRPr="00787196" w:rsidRDefault="0048220C" w:rsidP="00323BBC">
            <w:pPr>
              <w:autoSpaceDE w:val="0"/>
              <w:autoSpaceDN w:val="0"/>
              <w:adjustRightInd w:val="0"/>
              <w:spacing w:before="0" w:after="0" w:line="240" w:lineRule="auto"/>
              <w:jc w:val="center"/>
              <w:rPr>
                <w:rFonts w:cs="Arial"/>
                <w:color w:val="000000"/>
                <w:sz w:val="16"/>
                <w:szCs w:val="16"/>
              </w:rPr>
            </w:pPr>
          </w:p>
        </w:tc>
      </w:tr>
      <w:tr w:rsidR="000C2FF2" w:rsidRPr="00787196" w14:paraId="0C41AEA1" w14:textId="77777777" w:rsidTr="00D26BEE">
        <w:trPr>
          <w:trHeight w:val="207"/>
        </w:trPr>
        <w:tc>
          <w:tcPr>
            <w:tcW w:w="5225" w:type="dxa"/>
            <w:tcBorders>
              <w:top w:val="nil"/>
            </w:tcBorders>
            <w:shd w:val="clear" w:color="auto" w:fill="FFFFFF"/>
          </w:tcPr>
          <w:p w14:paraId="6385ACBA"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DEMOGRAPHIC FACTORS</w:t>
            </w:r>
          </w:p>
        </w:tc>
        <w:tc>
          <w:tcPr>
            <w:tcW w:w="1172" w:type="dxa"/>
            <w:tcBorders>
              <w:top w:val="nil"/>
            </w:tcBorders>
            <w:shd w:val="clear" w:color="auto" w:fill="auto"/>
            <w:vAlign w:val="center"/>
          </w:tcPr>
          <w:p w14:paraId="1A404BD1" w14:textId="5FA67DFE" w:rsidR="000C2FF2" w:rsidRPr="00787196" w:rsidRDefault="00E705CA"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t</w:t>
            </w:r>
          </w:p>
        </w:tc>
        <w:tc>
          <w:tcPr>
            <w:tcW w:w="1644" w:type="dxa"/>
            <w:tcBorders>
              <w:top w:val="nil"/>
              <w:left w:val="nil"/>
              <w:right w:val="nil"/>
            </w:tcBorders>
            <w:shd w:val="clear" w:color="auto" w:fill="FFFFFF"/>
            <w:vAlign w:val="center"/>
          </w:tcPr>
          <w:p w14:paraId="2FA94826" w14:textId="113C53F1" w:rsidR="000C2FF2" w:rsidRPr="00787196" w:rsidRDefault="00E705CA"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Mean (SD)</w:t>
            </w:r>
          </w:p>
        </w:tc>
      </w:tr>
      <w:tr w:rsidR="000C2FF2" w:rsidRPr="00787196" w14:paraId="14630D05" w14:textId="77777777" w:rsidTr="00D26BEE">
        <w:trPr>
          <w:trHeight w:val="207"/>
        </w:trPr>
        <w:tc>
          <w:tcPr>
            <w:tcW w:w="5225" w:type="dxa"/>
            <w:shd w:val="clear" w:color="auto" w:fill="FFFFFF"/>
          </w:tcPr>
          <w:p w14:paraId="7E9FF8AF" w14:textId="06B484B2" w:rsidR="000C2FF2" w:rsidRPr="00787196" w:rsidRDefault="000C2FF2" w:rsidP="0022332C">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 xml:space="preserve">Age – </w:t>
            </w:r>
            <w:r w:rsidR="0022332C" w:rsidRPr="00787196">
              <w:rPr>
                <w:rFonts w:cs="Arial"/>
                <w:b/>
                <w:bCs/>
                <w:color w:val="000000"/>
                <w:sz w:val="16"/>
                <w:szCs w:val="16"/>
              </w:rPr>
              <w:t>(years)</w:t>
            </w:r>
          </w:p>
        </w:tc>
        <w:tc>
          <w:tcPr>
            <w:tcW w:w="1172" w:type="dxa"/>
            <w:shd w:val="clear" w:color="auto" w:fill="auto"/>
            <w:vAlign w:val="center"/>
          </w:tcPr>
          <w:p w14:paraId="5A144988"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5755DF44"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701F6698" w14:textId="77777777" w:rsidTr="00D26BEE">
        <w:trPr>
          <w:trHeight w:val="207"/>
        </w:trPr>
        <w:tc>
          <w:tcPr>
            <w:tcW w:w="5225" w:type="dxa"/>
            <w:shd w:val="clear" w:color="auto" w:fill="D9D9D9"/>
          </w:tcPr>
          <w:p w14:paraId="36F74013" w14:textId="6A0C2E7A"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 xml:space="preserve">18- </w:t>
            </w:r>
            <w:r w:rsidR="003B3D2B" w:rsidRPr="00787196">
              <w:rPr>
                <w:sz w:val="16"/>
                <w:szCs w:val="16"/>
              </w:rPr>
              <w:t>58</w:t>
            </w:r>
          </w:p>
        </w:tc>
        <w:tc>
          <w:tcPr>
            <w:tcW w:w="1172" w:type="dxa"/>
            <w:vMerge w:val="restart"/>
            <w:shd w:val="clear" w:color="auto" w:fill="D9D9D9" w:themeFill="background1" w:themeFillShade="D9"/>
            <w:vAlign w:val="center"/>
          </w:tcPr>
          <w:p w14:paraId="4661E8C7" w14:textId="77777777" w:rsidR="008A4141" w:rsidRPr="00787196" w:rsidRDefault="009C04B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0.60</w:t>
            </w:r>
            <w:r w:rsidRPr="00787196">
              <w:rPr>
                <w:rFonts w:cs="Arial"/>
                <w:color w:val="444444"/>
                <w:sz w:val="16"/>
                <w:szCs w:val="16"/>
                <w:shd w:val="clear" w:color="auto" w:fill="F3F3F3"/>
              </w:rPr>
              <w:t>5</w:t>
            </w:r>
          </w:p>
        </w:tc>
        <w:tc>
          <w:tcPr>
            <w:tcW w:w="1644" w:type="dxa"/>
            <w:tcBorders>
              <w:left w:val="nil"/>
              <w:right w:val="nil"/>
            </w:tcBorders>
            <w:shd w:val="clear" w:color="auto" w:fill="D9D9D9"/>
            <w:vAlign w:val="center"/>
          </w:tcPr>
          <w:p w14:paraId="352BE5E6"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37.51 (11.75)</w:t>
            </w:r>
          </w:p>
        </w:tc>
      </w:tr>
      <w:tr w:rsidR="008A4141" w:rsidRPr="00787196" w14:paraId="21D59205" w14:textId="77777777" w:rsidTr="00D26BEE">
        <w:trPr>
          <w:trHeight w:val="207"/>
        </w:trPr>
        <w:tc>
          <w:tcPr>
            <w:tcW w:w="5225" w:type="dxa"/>
            <w:shd w:val="clear" w:color="auto" w:fill="D9D9D9"/>
          </w:tcPr>
          <w:p w14:paraId="7FAFBE57"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sz w:val="16"/>
                <w:szCs w:val="16"/>
              </w:rPr>
              <w:t>59 and above</w:t>
            </w:r>
          </w:p>
        </w:tc>
        <w:tc>
          <w:tcPr>
            <w:tcW w:w="1172" w:type="dxa"/>
            <w:vMerge/>
            <w:shd w:val="clear" w:color="auto" w:fill="D9D9D9" w:themeFill="background1" w:themeFillShade="D9"/>
            <w:vAlign w:val="center"/>
          </w:tcPr>
          <w:p w14:paraId="142609D1"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D9D9D9"/>
            <w:vAlign w:val="center"/>
          </w:tcPr>
          <w:p w14:paraId="1253544C"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35.72 (10.42)</w:t>
            </w:r>
          </w:p>
        </w:tc>
      </w:tr>
      <w:tr w:rsidR="0004040B" w:rsidRPr="00787196" w14:paraId="4851A973" w14:textId="77777777" w:rsidTr="00D26BEE">
        <w:trPr>
          <w:trHeight w:val="207"/>
        </w:trPr>
        <w:tc>
          <w:tcPr>
            <w:tcW w:w="5225" w:type="dxa"/>
            <w:shd w:val="clear" w:color="auto" w:fill="auto"/>
          </w:tcPr>
          <w:p w14:paraId="1CA79FE6" w14:textId="77777777" w:rsidR="0004040B" w:rsidRPr="00787196" w:rsidRDefault="0004040B" w:rsidP="00755F46">
            <w:pPr>
              <w:autoSpaceDE w:val="0"/>
              <w:autoSpaceDN w:val="0"/>
              <w:adjustRightInd w:val="0"/>
              <w:spacing w:before="0" w:after="0" w:line="240" w:lineRule="auto"/>
              <w:rPr>
                <w:sz w:val="16"/>
                <w:szCs w:val="16"/>
              </w:rPr>
            </w:pPr>
          </w:p>
        </w:tc>
        <w:tc>
          <w:tcPr>
            <w:tcW w:w="1172" w:type="dxa"/>
            <w:shd w:val="clear" w:color="auto" w:fill="auto"/>
            <w:vAlign w:val="center"/>
          </w:tcPr>
          <w:p w14:paraId="65ADEC74"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5C551D4B"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r>
      <w:tr w:rsidR="000C2FF2" w:rsidRPr="00787196" w14:paraId="0CD7FA04" w14:textId="77777777" w:rsidTr="00D26BEE">
        <w:trPr>
          <w:trHeight w:val="207"/>
        </w:trPr>
        <w:tc>
          <w:tcPr>
            <w:tcW w:w="5225" w:type="dxa"/>
            <w:shd w:val="clear" w:color="auto" w:fill="FFFFFF"/>
          </w:tcPr>
          <w:p w14:paraId="194F9C51"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Marital status</w:t>
            </w:r>
          </w:p>
        </w:tc>
        <w:tc>
          <w:tcPr>
            <w:tcW w:w="1172" w:type="dxa"/>
            <w:shd w:val="clear" w:color="auto" w:fill="auto"/>
            <w:vAlign w:val="center"/>
          </w:tcPr>
          <w:p w14:paraId="1E2C8261"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2C928A7F"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00F93FCD" w14:textId="77777777" w:rsidTr="00D26BEE">
        <w:trPr>
          <w:trHeight w:val="207"/>
        </w:trPr>
        <w:tc>
          <w:tcPr>
            <w:tcW w:w="5225" w:type="dxa"/>
            <w:shd w:val="clear" w:color="auto" w:fill="FFFFFF"/>
          </w:tcPr>
          <w:p w14:paraId="549F10B1"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Married with living partner</w:t>
            </w:r>
          </w:p>
        </w:tc>
        <w:tc>
          <w:tcPr>
            <w:tcW w:w="1172" w:type="dxa"/>
            <w:vMerge w:val="restart"/>
            <w:shd w:val="clear" w:color="auto" w:fill="auto"/>
            <w:vAlign w:val="center"/>
          </w:tcPr>
          <w:p w14:paraId="75503AB4" w14:textId="77777777" w:rsidR="008A4141" w:rsidRPr="00787196" w:rsidRDefault="009C04B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0.1</w:t>
            </w:r>
            <w:r w:rsidRPr="00787196">
              <w:rPr>
                <w:rFonts w:cs="Arial"/>
                <w:color w:val="444444"/>
                <w:sz w:val="16"/>
                <w:szCs w:val="16"/>
                <w:shd w:val="clear" w:color="auto" w:fill="F3F3F3"/>
              </w:rPr>
              <w:t>53</w:t>
            </w:r>
          </w:p>
        </w:tc>
        <w:tc>
          <w:tcPr>
            <w:tcW w:w="1644" w:type="dxa"/>
            <w:tcBorders>
              <w:left w:val="nil"/>
              <w:right w:val="nil"/>
            </w:tcBorders>
            <w:shd w:val="clear" w:color="auto" w:fill="FFFFFF"/>
            <w:vAlign w:val="center"/>
          </w:tcPr>
          <w:p w14:paraId="21E8F48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36.91 (11.83)</w:t>
            </w:r>
          </w:p>
        </w:tc>
      </w:tr>
      <w:tr w:rsidR="008A4141" w:rsidRPr="00787196" w14:paraId="4D4534DD" w14:textId="77777777" w:rsidTr="00D26BEE">
        <w:trPr>
          <w:trHeight w:val="207"/>
        </w:trPr>
        <w:tc>
          <w:tcPr>
            <w:tcW w:w="5225" w:type="dxa"/>
            <w:shd w:val="clear" w:color="auto" w:fill="FFFFFF"/>
          </w:tcPr>
          <w:p w14:paraId="751158C3"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Single/ separated or divorced /widowed</w:t>
            </w:r>
          </w:p>
        </w:tc>
        <w:tc>
          <w:tcPr>
            <w:tcW w:w="1172" w:type="dxa"/>
            <w:vMerge/>
            <w:shd w:val="clear" w:color="auto" w:fill="auto"/>
            <w:vAlign w:val="center"/>
          </w:tcPr>
          <w:p w14:paraId="35872102"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1C0A2BF6"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35.94 (9.10)</w:t>
            </w:r>
          </w:p>
        </w:tc>
      </w:tr>
      <w:tr w:rsidR="0004040B" w:rsidRPr="00787196" w14:paraId="508C6C93" w14:textId="77777777" w:rsidTr="00D26BEE">
        <w:trPr>
          <w:trHeight w:val="207"/>
        </w:trPr>
        <w:tc>
          <w:tcPr>
            <w:tcW w:w="5225" w:type="dxa"/>
            <w:shd w:val="clear" w:color="auto" w:fill="FFFFFF"/>
          </w:tcPr>
          <w:p w14:paraId="4693BC19" w14:textId="77777777" w:rsidR="0004040B" w:rsidRPr="00787196" w:rsidRDefault="0004040B"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2CA3E346"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2652C641"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r>
      <w:tr w:rsidR="000C2FF2" w:rsidRPr="00787196" w14:paraId="6855FACD" w14:textId="77777777" w:rsidTr="00D26BEE">
        <w:trPr>
          <w:trHeight w:val="207"/>
        </w:trPr>
        <w:tc>
          <w:tcPr>
            <w:tcW w:w="5225" w:type="dxa"/>
            <w:shd w:val="clear" w:color="auto" w:fill="FFFFFF"/>
          </w:tcPr>
          <w:p w14:paraId="6B69C533"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Education</w:t>
            </w:r>
          </w:p>
        </w:tc>
        <w:tc>
          <w:tcPr>
            <w:tcW w:w="1172" w:type="dxa"/>
            <w:shd w:val="clear" w:color="auto" w:fill="auto"/>
            <w:vAlign w:val="center"/>
          </w:tcPr>
          <w:p w14:paraId="53BF155C"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64A3508C"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38B037B0" w14:textId="77777777" w:rsidTr="00D26BEE">
        <w:trPr>
          <w:trHeight w:val="207"/>
        </w:trPr>
        <w:tc>
          <w:tcPr>
            <w:tcW w:w="5225" w:type="dxa"/>
            <w:shd w:val="clear" w:color="auto" w:fill="D9D9D9"/>
          </w:tcPr>
          <w:p w14:paraId="4583728C"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High school and above</w:t>
            </w:r>
          </w:p>
        </w:tc>
        <w:tc>
          <w:tcPr>
            <w:tcW w:w="1172" w:type="dxa"/>
            <w:vMerge w:val="restart"/>
            <w:shd w:val="clear" w:color="auto" w:fill="D9D9D9" w:themeFill="background1" w:themeFillShade="D9"/>
            <w:vAlign w:val="center"/>
          </w:tcPr>
          <w:p w14:paraId="5ECE4A29"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-0.316</w:t>
            </w:r>
          </w:p>
        </w:tc>
        <w:tc>
          <w:tcPr>
            <w:tcW w:w="1644" w:type="dxa"/>
            <w:tcBorders>
              <w:left w:val="nil"/>
              <w:right w:val="nil"/>
            </w:tcBorders>
            <w:shd w:val="clear" w:color="auto" w:fill="D9D9D9"/>
            <w:vAlign w:val="center"/>
          </w:tcPr>
          <w:p w14:paraId="2AFFF6EA"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36.30 (12.06)</w:t>
            </w:r>
          </w:p>
        </w:tc>
      </w:tr>
      <w:tr w:rsidR="008A4141" w:rsidRPr="00787196" w14:paraId="474E6F6F" w14:textId="77777777" w:rsidTr="00D26BEE">
        <w:trPr>
          <w:trHeight w:val="207"/>
        </w:trPr>
        <w:tc>
          <w:tcPr>
            <w:tcW w:w="5225" w:type="dxa"/>
            <w:shd w:val="clear" w:color="auto" w:fill="D9D9D9"/>
          </w:tcPr>
          <w:p w14:paraId="5B553C1E"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School dropout/ Illiterate</w:t>
            </w:r>
          </w:p>
        </w:tc>
        <w:tc>
          <w:tcPr>
            <w:tcW w:w="1172" w:type="dxa"/>
            <w:vMerge/>
            <w:shd w:val="clear" w:color="auto" w:fill="D9D9D9" w:themeFill="background1" w:themeFillShade="D9"/>
            <w:vAlign w:val="center"/>
          </w:tcPr>
          <w:p w14:paraId="6FF03B4A"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D9D9D9"/>
            <w:vAlign w:val="center"/>
          </w:tcPr>
          <w:p w14:paraId="6E1F7167"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36.84 (10.63)</w:t>
            </w:r>
          </w:p>
        </w:tc>
      </w:tr>
      <w:tr w:rsidR="0004040B" w:rsidRPr="00787196" w14:paraId="39337236" w14:textId="77777777" w:rsidTr="00D26BEE">
        <w:trPr>
          <w:trHeight w:val="207"/>
        </w:trPr>
        <w:tc>
          <w:tcPr>
            <w:tcW w:w="5225" w:type="dxa"/>
            <w:shd w:val="clear" w:color="auto" w:fill="auto"/>
          </w:tcPr>
          <w:p w14:paraId="6E51DDE3" w14:textId="77777777" w:rsidR="0004040B" w:rsidRPr="00787196" w:rsidRDefault="0004040B"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55BA4772"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6653D586"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r>
      <w:tr w:rsidR="000C2FF2" w:rsidRPr="00787196" w14:paraId="2BA444C4" w14:textId="77777777" w:rsidTr="00D26BEE">
        <w:trPr>
          <w:trHeight w:val="207"/>
        </w:trPr>
        <w:tc>
          <w:tcPr>
            <w:tcW w:w="5225" w:type="dxa"/>
            <w:shd w:val="clear" w:color="auto" w:fill="FFFFFF"/>
          </w:tcPr>
          <w:p w14:paraId="2715C846" w14:textId="0919383D" w:rsidR="000C2FF2" w:rsidRPr="00787196" w:rsidRDefault="000C2FF2" w:rsidP="005257B4">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 xml:space="preserve">Income </w:t>
            </w:r>
            <w:r w:rsidR="005257B4" w:rsidRPr="00787196">
              <w:rPr>
                <w:rFonts w:cs="Arial"/>
                <w:b/>
                <w:bCs/>
                <w:color w:val="000000"/>
                <w:sz w:val="16"/>
                <w:szCs w:val="16"/>
              </w:rPr>
              <w:t>(rupees)</w:t>
            </w:r>
          </w:p>
        </w:tc>
        <w:tc>
          <w:tcPr>
            <w:tcW w:w="1172" w:type="dxa"/>
            <w:shd w:val="clear" w:color="auto" w:fill="auto"/>
            <w:vAlign w:val="center"/>
          </w:tcPr>
          <w:p w14:paraId="09B0DBD5"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60EE28E8"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1F05FCEE" w14:textId="77777777" w:rsidTr="00D26BEE">
        <w:trPr>
          <w:trHeight w:val="207"/>
        </w:trPr>
        <w:tc>
          <w:tcPr>
            <w:tcW w:w="5225" w:type="dxa"/>
            <w:shd w:val="clear" w:color="auto" w:fill="FFFFFF"/>
          </w:tcPr>
          <w:p w14:paraId="57EEF00A"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 4556 and above</w:t>
            </w:r>
          </w:p>
        </w:tc>
        <w:tc>
          <w:tcPr>
            <w:tcW w:w="1172" w:type="dxa"/>
            <w:vMerge w:val="restart"/>
            <w:shd w:val="clear" w:color="auto" w:fill="auto"/>
            <w:vAlign w:val="center"/>
          </w:tcPr>
          <w:p w14:paraId="047B8B80"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0.399</w:t>
            </w:r>
          </w:p>
        </w:tc>
        <w:tc>
          <w:tcPr>
            <w:tcW w:w="1644" w:type="dxa"/>
            <w:tcBorders>
              <w:left w:val="nil"/>
              <w:right w:val="nil"/>
            </w:tcBorders>
            <w:shd w:val="clear" w:color="auto" w:fill="FFFFFF"/>
            <w:vAlign w:val="center"/>
          </w:tcPr>
          <w:p w14:paraId="12A3552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37.00 (10.88)</w:t>
            </w:r>
          </w:p>
        </w:tc>
      </w:tr>
      <w:tr w:rsidR="008A4141" w:rsidRPr="00787196" w14:paraId="4EA3094F" w14:textId="77777777" w:rsidTr="00D26BEE">
        <w:trPr>
          <w:trHeight w:val="207"/>
        </w:trPr>
        <w:tc>
          <w:tcPr>
            <w:tcW w:w="5225" w:type="dxa"/>
            <w:shd w:val="clear" w:color="auto" w:fill="FFFFFF"/>
          </w:tcPr>
          <w:p w14:paraId="43C4E870"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Upto ₹4555 per month</w:t>
            </w:r>
          </w:p>
        </w:tc>
        <w:tc>
          <w:tcPr>
            <w:tcW w:w="1172" w:type="dxa"/>
            <w:vMerge/>
            <w:shd w:val="clear" w:color="auto" w:fill="auto"/>
            <w:vAlign w:val="center"/>
          </w:tcPr>
          <w:p w14:paraId="7415F071"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08B62480"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36.34 (11.40)</w:t>
            </w:r>
          </w:p>
        </w:tc>
      </w:tr>
      <w:tr w:rsidR="0004040B" w:rsidRPr="00787196" w14:paraId="27C5C4DF" w14:textId="77777777" w:rsidTr="00D26BEE">
        <w:trPr>
          <w:trHeight w:val="207"/>
        </w:trPr>
        <w:tc>
          <w:tcPr>
            <w:tcW w:w="5225" w:type="dxa"/>
            <w:shd w:val="clear" w:color="auto" w:fill="FFFFFF"/>
          </w:tcPr>
          <w:p w14:paraId="351F03B8" w14:textId="77777777" w:rsidR="0004040B" w:rsidRPr="00787196" w:rsidRDefault="0004040B"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01DE808A"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4FF5E7AD"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r>
      <w:tr w:rsidR="000C2FF2" w:rsidRPr="00787196" w14:paraId="3EAFC327" w14:textId="77777777" w:rsidTr="00D26BEE">
        <w:trPr>
          <w:trHeight w:val="207"/>
        </w:trPr>
        <w:tc>
          <w:tcPr>
            <w:tcW w:w="5225" w:type="dxa"/>
            <w:shd w:val="clear" w:color="auto" w:fill="FFFFFF"/>
          </w:tcPr>
          <w:p w14:paraId="5FA8E820"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Occupation</w:t>
            </w:r>
          </w:p>
        </w:tc>
        <w:tc>
          <w:tcPr>
            <w:tcW w:w="1172" w:type="dxa"/>
            <w:shd w:val="clear" w:color="auto" w:fill="auto"/>
            <w:vAlign w:val="center"/>
          </w:tcPr>
          <w:p w14:paraId="6DDDF7F4"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777E2DCB"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4A2FBD2C" w14:textId="77777777" w:rsidTr="00D26BEE">
        <w:trPr>
          <w:trHeight w:val="207"/>
        </w:trPr>
        <w:tc>
          <w:tcPr>
            <w:tcW w:w="5225" w:type="dxa"/>
            <w:shd w:val="clear" w:color="auto" w:fill="D9D9D9"/>
          </w:tcPr>
          <w:p w14:paraId="77DE7320"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Employed</w:t>
            </w:r>
          </w:p>
        </w:tc>
        <w:tc>
          <w:tcPr>
            <w:tcW w:w="1172" w:type="dxa"/>
            <w:vMerge w:val="restart"/>
            <w:shd w:val="clear" w:color="auto" w:fill="D9D9D9" w:themeFill="background1" w:themeFillShade="D9"/>
            <w:vAlign w:val="center"/>
          </w:tcPr>
          <w:p w14:paraId="2BF3892A"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-0.431</w:t>
            </w:r>
          </w:p>
        </w:tc>
        <w:tc>
          <w:tcPr>
            <w:tcW w:w="1644" w:type="dxa"/>
            <w:tcBorders>
              <w:left w:val="nil"/>
              <w:right w:val="nil"/>
            </w:tcBorders>
            <w:shd w:val="clear" w:color="auto" w:fill="D9D9D9"/>
            <w:vAlign w:val="center"/>
          </w:tcPr>
          <w:p w14:paraId="38E1D185"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36.22 (9.93)</w:t>
            </w:r>
          </w:p>
        </w:tc>
      </w:tr>
      <w:tr w:rsidR="008A4141" w:rsidRPr="00787196" w14:paraId="216450D7" w14:textId="77777777" w:rsidTr="00D26BEE">
        <w:trPr>
          <w:trHeight w:val="207"/>
        </w:trPr>
        <w:tc>
          <w:tcPr>
            <w:tcW w:w="5225" w:type="dxa"/>
            <w:shd w:val="clear" w:color="auto" w:fill="D9D9D9"/>
          </w:tcPr>
          <w:p w14:paraId="2479235E" w14:textId="77777777"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Unemployed/ Retired</w:t>
            </w:r>
          </w:p>
        </w:tc>
        <w:tc>
          <w:tcPr>
            <w:tcW w:w="1172" w:type="dxa"/>
            <w:vMerge/>
            <w:shd w:val="clear" w:color="auto" w:fill="D9D9D9" w:themeFill="background1" w:themeFillShade="D9"/>
            <w:vAlign w:val="center"/>
          </w:tcPr>
          <w:p w14:paraId="564E939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D9D9D9"/>
            <w:vAlign w:val="center"/>
          </w:tcPr>
          <w:p w14:paraId="1F808B1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36.93 (11.92)</w:t>
            </w:r>
          </w:p>
        </w:tc>
      </w:tr>
      <w:tr w:rsidR="0004040B" w:rsidRPr="00787196" w14:paraId="716A2679" w14:textId="77777777" w:rsidTr="00D26BEE">
        <w:trPr>
          <w:trHeight w:val="207"/>
        </w:trPr>
        <w:tc>
          <w:tcPr>
            <w:tcW w:w="5225" w:type="dxa"/>
            <w:shd w:val="clear" w:color="auto" w:fill="auto"/>
          </w:tcPr>
          <w:p w14:paraId="25A0C186" w14:textId="77777777" w:rsidR="0004040B" w:rsidRPr="00787196" w:rsidRDefault="0004040B" w:rsidP="00755F46">
            <w:pPr>
              <w:autoSpaceDE w:val="0"/>
              <w:autoSpaceDN w:val="0"/>
              <w:adjustRightInd w:val="0"/>
              <w:spacing w:before="0" w:after="0" w:line="240" w:lineRule="auto"/>
              <w:rPr>
                <w:rFonts w:cs="Arial"/>
                <w:color w:val="000000"/>
                <w:sz w:val="16"/>
                <w:szCs w:val="16"/>
              </w:rPr>
            </w:pPr>
          </w:p>
        </w:tc>
        <w:tc>
          <w:tcPr>
            <w:tcW w:w="1172" w:type="dxa"/>
            <w:shd w:val="clear" w:color="auto" w:fill="auto"/>
            <w:vAlign w:val="center"/>
          </w:tcPr>
          <w:p w14:paraId="232CF20C"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auto"/>
            <w:vAlign w:val="center"/>
          </w:tcPr>
          <w:p w14:paraId="0E4E6AF6" w14:textId="77777777" w:rsidR="0004040B" w:rsidRPr="00787196" w:rsidRDefault="0004040B" w:rsidP="00323BBC">
            <w:pPr>
              <w:autoSpaceDE w:val="0"/>
              <w:autoSpaceDN w:val="0"/>
              <w:adjustRightInd w:val="0"/>
              <w:spacing w:before="0" w:after="0" w:line="240" w:lineRule="auto"/>
              <w:jc w:val="center"/>
              <w:rPr>
                <w:rFonts w:cs="Arial"/>
                <w:color w:val="000000"/>
                <w:sz w:val="16"/>
                <w:szCs w:val="16"/>
              </w:rPr>
            </w:pPr>
          </w:p>
        </w:tc>
      </w:tr>
      <w:tr w:rsidR="000C2FF2" w:rsidRPr="00787196" w14:paraId="58A17EF2" w14:textId="77777777" w:rsidTr="00D26BEE">
        <w:trPr>
          <w:trHeight w:val="207"/>
        </w:trPr>
        <w:tc>
          <w:tcPr>
            <w:tcW w:w="5225" w:type="dxa"/>
            <w:shd w:val="clear" w:color="auto" w:fill="FFFFFF"/>
          </w:tcPr>
          <w:p w14:paraId="207E0207" w14:textId="77777777" w:rsidR="000C2FF2" w:rsidRPr="00787196" w:rsidRDefault="000C2FF2" w:rsidP="00755F46">
            <w:pPr>
              <w:autoSpaceDE w:val="0"/>
              <w:autoSpaceDN w:val="0"/>
              <w:adjustRightInd w:val="0"/>
              <w:spacing w:before="0" w:after="0" w:line="240" w:lineRule="auto"/>
              <w:rPr>
                <w:rFonts w:cs="Arial"/>
                <w:b/>
                <w:bCs/>
                <w:color w:val="000000"/>
                <w:sz w:val="16"/>
                <w:szCs w:val="16"/>
              </w:rPr>
            </w:pPr>
            <w:r w:rsidRPr="00787196">
              <w:rPr>
                <w:rFonts w:cs="Arial"/>
                <w:b/>
                <w:bCs/>
                <w:color w:val="000000"/>
                <w:sz w:val="16"/>
                <w:szCs w:val="16"/>
              </w:rPr>
              <w:t>Caste</w:t>
            </w:r>
          </w:p>
        </w:tc>
        <w:tc>
          <w:tcPr>
            <w:tcW w:w="1172" w:type="dxa"/>
            <w:shd w:val="clear" w:color="auto" w:fill="FFFFFF"/>
            <w:vAlign w:val="center"/>
          </w:tcPr>
          <w:p w14:paraId="1D2089AE"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044EA877" w14:textId="77777777" w:rsidR="000C2FF2" w:rsidRPr="00787196" w:rsidRDefault="000C2FF2" w:rsidP="00323BBC">
            <w:pPr>
              <w:autoSpaceDE w:val="0"/>
              <w:autoSpaceDN w:val="0"/>
              <w:adjustRightInd w:val="0"/>
              <w:spacing w:before="0" w:after="0" w:line="240" w:lineRule="auto"/>
              <w:jc w:val="center"/>
              <w:rPr>
                <w:rFonts w:cs="Arial"/>
                <w:color w:val="000000"/>
                <w:sz w:val="16"/>
                <w:szCs w:val="16"/>
              </w:rPr>
            </w:pPr>
          </w:p>
        </w:tc>
      </w:tr>
      <w:tr w:rsidR="008A4141" w:rsidRPr="00787196" w14:paraId="43ACE304" w14:textId="77777777" w:rsidTr="00D26BEE">
        <w:trPr>
          <w:trHeight w:val="93"/>
        </w:trPr>
        <w:tc>
          <w:tcPr>
            <w:tcW w:w="5225" w:type="dxa"/>
            <w:shd w:val="clear" w:color="auto" w:fill="FFFFFF"/>
          </w:tcPr>
          <w:p w14:paraId="46900013" w14:textId="3A067C44" w:rsidR="008A4141" w:rsidRPr="00787196" w:rsidRDefault="008A4141" w:rsidP="00755F46">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Open category (</w:t>
            </w:r>
            <w:r w:rsidR="0021597D" w:rsidRPr="00787196">
              <w:rPr>
                <w:rFonts w:cs="Arial"/>
                <w:color w:val="000000"/>
                <w:sz w:val="16"/>
                <w:szCs w:val="16"/>
              </w:rPr>
              <w:t xml:space="preserve">with </w:t>
            </w:r>
            <w:r w:rsidRPr="00787196">
              <w:rPr>
                <w:rFonts w:cs="Arial"/>
                <w:color w:val="000000"/>
                <w:sz w:val="16"/>
                <w:szCs w:val="16"/>
              </w:rPr>
              <w:t>no</w:t>
            </w:r>
            <w:r w:rsidR="0021597D" w:rsidRPr="00787196">
              <w:rPr>
                <w:rFonts w:cs="Arial"/>
                <w:color w:val="000000"/>
                <w:sz w:val="16"/>
                <w:szCs w:val="16"/>
              </w:rPr>
              <w:t xml:space="preserve">  state sponsored</w:t>
            </w:r>
            <w:r w:rsidRPr="00787196">
              <w:rPr>
                <w:rFonts w:cs="Arial"/>
                <w:color w:val="000000"/>
                <w:sz w:val="16"/>
                <w:szCs w:val="16"/>
              </w:rPr>
              <w:t xml:space="preserve"> social benefits)</w:t>
            </w:r>
          </w:p>
        </w:tc>
        <w:tc>
          <w:tcPr>
            <w:tcW w:w="1172" w:type="dxa"/>
            <w:vMerge w:val="restart"/>
            <w:shd w:val="clear" w:color="auto" w:fill="FFFFFF"/>
            <w:vAlign w:val="center"/>
          </w:tcPr>
          <w:p w14:paraId="1D5FC3E7" w14:textId="77777777" w:rsidR="008A4141" w:rsidRPr="00787196" w:rsidRDefault="0011026D"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-0.073</w:t>
            </w:r>
          </w:p>
        </w:tc>
        <w:tc>
          <w:tcPr>
            <w:tcW w:w="1644" w:type="dxa"/>
            <w:tcBorders>
              <w:left w:val="nil"/>
              <w:right w:val="nil"/>
            </w:tcBorders>
            <w:shd w:val="clear" w:color="auto" w:fill="FFFFFF"/>
            <w:vAlign w:val="center"/>
          </w:tcPr>
          <w:p w14:paraId="7DEB3714"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36.54 (11.40)</w:t>
            </w:r>
          </w:p>
        </w:tc>
      </w:tr>
      <w:tr w:rsidR="008A4141" w:rsidRPr="00787196" w14:paraId="30446094" w14:textId="77777777" w:rsidTr="00D26BEE">
        <w:trPr>
          <w:trHeight w:val="207"/>
        </w:trPr>
        <w:tc>
          <w:tcPr>
            <w:tcW w:w="5225" w:type="dxa"/>
            <w:shd w:val="clear" w:color="auto" w:fill="FFFFFF"/>
          </w:tcPr>
          <w:p w14:paraId="5A8DE7E5" w14:textId="489EA144" w:rsidR="008A4141" w:rsidRPr="00787196" w:rsidRDefault="008A4141" w:rsidP="00C76FB1">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Socially oppressed castes</w:t>
            </w:r>
          </w:p>
        </w:tc>
        <w:tc>
          <w:tcPr>
            <w:tcW w:w="1172" w:type="dxa"/>
            <w:vMerge/>
            <w:shd w:val="clear" w:color="auto" w:fill="FFFFFF"/>
            <w:vAlign w:val="center"/>
          </w:tcPr>
          <w:p w14:paraId="1106150F"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3162A443" w14:textId="77777777" w:rsidR="008A4141" w:rsidRPr="00787196" w:rsidRDefault="008A4141" w:rsidP="00323BBC">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36.68 (11.10)</w:t>
            </w:r>
          </w:p>
        </w:tc>
      </w:tr>
      <w:tr w:rsidR="00216DFA" w:rsidRPr="00787196" w14:paraId="20AAA0C0" w14:textId="77777777" w:rsidTr="00D26BEE">
        <w:trPr>
          <w:trHeight w:val="207"/>
        </w:trPr>
        <w:tc>
          <w:tcPr>
            <w:tcW w:w="5225" w:type="dxa"/>
            <w:shd w:val="clear" w:color="auto" w:fill="FFFFFF"/>
          </w:tcPr>
          <w:p w14:paraId="2AF4805D" w14:textId="77777777" w:rsidR="00216DFA" w:rsidRPr="00787196" w:rsidRDefault="00216DFA" w:rsidP="00C76FB1">
            <w:pPr>
              <w:autoSpaceDE w:val="0"/>
              <w:autoSpaceDN w:val="0"/>
              <w:adjustRightInd w:val="0"/>
              <w:spacing w:before="0" w:after="0" w:line="240" w:lineRule="auto"/>
              <w:rPr>
                <w:rFonts w:cs="Arial"/>
                <w:color w:val="000000"/>
                <w:sz w:val="16"/>
                <w:szCs w:val="16"/>
              </w:rPr>
            </w:pPr>
          </w:p>
        </w:tc>
        <w:tc>
          <w:tcPr>
            <w:tcW w:w="1172" w:type="dxa"/>
            <w:shd w:val="clear" w:color="auto" w:fill="FFFFFF"/>
            <w:vAlign w:val="center"/>
          </w:tcPr>
          <w:p w14:paraId="00ED4608" w14:textId="77777777" w:rsidR="00216DFA" w:rsidRPr="00787196" w:rsidRDefault="00216DFA" w:rsidP="00323BBC">
            <w:pPr>
              <w:autoSpaceDE w:val="0"/>
              <w:autoSpaceDN w:val="0"/>
              <w:adjustRightInd w:val="0"/>
              <w:spacing w:before="0" w:after="0" w:line="240" w:lineRule="auto"/>
              <w:jc w:val="center"/>
              <w:rPr>
                <w:rFonts w:cs="Arial"/>
                <w:color w:val="000000"/>
                <w:sz w:val="16"/>
                <w:szCs w:val="16"/>
              </w:rPr>
            </w:pPr>
          </w:p>
        </w:tc>
        <w:tc>
          <w:tcPr>
            <w:tcW w:w="1644" w:type="dxa"/>
            <w:tcBorders>
              <w:left w:val="nil"/>
              <w:right w:val="nil"/>
            </w:tcBorders>
            <w:shd w:val="clear" w:color="auto" w:fill="FFFFFF"/>
            <w:vAlign w:val="center"/>
          </w:tcPr>
          <w:p w14:paraId="29A45702" w14:textId="77777777" w:rsidR="00216DFA" w:rsidRPr="00787196" w:rsidRDefault="00216DFA" w:rsidP="00323BBC">
            <w:pPr>
              <w:autoSpaceDE w:val="0"/>
              <w:autoSpaceDN w:val="0"/>
              <w:adjustRightInd w:val="0"/>
              <w:spacing w:before="0" w:after="0" w:line="240" w:lineRule="auto"/>
              <w:jc w:val="center"/>
              <w:rPr>
                <w:rFonts w:cs="Arial"/>
                <w:color w:val="000000"/>
                <w:sz w:val="16"/>
                <w:szCs w:val="16"/>
              </w:rPr>
            </w:pPr>
          </w:p>
        </w:tc>
      </w:tr>
    </w:tbl>
    <w:p w14:paraId="1C70AC10" w14:textId="2470006A" w:rsidR="00A5430A" w:rsidRPr="00787196" w:rsidRDefault="005909C9" w:rsidP="00755F46">
      <w:pPr>
        <w:spacing w:before="0" w:after="0"/>
        <w:rPr>
          <w:i/>
          <w:iCs/>
          <w:sz w:val="18"/>
          <w:szCs w:val="14"/>
        </w:rPr>
      </w:pPr>
      <w:r w:rsidRPr="00787196">
        <w:rPr>
          <w:i/>
          <w:iCs/>
          <w:sz w:val="18"/>
          <w:szCs w:val="14"/>
          <w:vertAlign w:val="superscript"/>
        </w:rPr>
        <w:t>+</w:t>
      </w:r>
      <w:r w:rsidRPr="00787196">
        <w:rPr>
          <w:i/>
          <w:iCs/>
          <w:sz w:val="18"/>
          <w:szCs w:val="14"/>
        </w:rPr>
        <w:t xml:space="preserve">p value significant </w:t>
      </w:r>
      <w:r w:rsidR="00CD01CD" w:rsidRPr="00787196">
        <w:rPr>
          <w:i/>
          <w:iCs/>
          <w:sz w:val="18"/>
          <w:szCs w:val="14"/>
        </w:rPr>
        <w:t xml:space="preserve">at </w:t>
      </w:r>
      <w:r w:rsidRPr="00787196">
        <w:rPr>
          <w:i/>
          <w:iCs/>
          <w:sz w:val="18"/>
          <w:szCs w:val="14"/>
        </w:rPr>
        <w:t>&lt;0.05</w:t>
      </w:r>
      <w:r w:rsidR="000C2FF2" w:rsidRPr="00787196">
        <w:rPr>
          <w:i/>
          <w:iCs/>
          <w:sz w:val="18"/>
          <w:szCs w:val="14"/>
        </w:rPr>
        <w:t xml:space="preserve"> (</w:t>
      </w:r>
      <w:r w:rsidR="00086B0A" w:rsidRPr="00787196">
        <w:rPr>
          <w:i/>
          <w:iCs/>
          <w:sz w:val="18"/>
          <w:szCs w:val="14"/>
        </w:rPr>
        <w:t>Independent</w:t>
      </w:r>
      <w:r w:rsidR="000C2FF2" w:rsidRPr="00787196">
        <w:rPr>
          <w:i/>
          <w:iCs/>
          <w:sz w:val="18"/>
          <w:szCs w:val="14"/>
        </w:rPr>
        <w:t xml:space="preserve"> t-test)</w:t>
      </w:r>
    </w:p>
    <w:p w14:paraId="77CC95E8" w14:textId="77777777" w:rsidR="00A5430A" w:rsidRPr="00787196" w:rsidRDefault="00A5430A">
      <w:pPr>
        <w:spacing w:before="0" w:after="0" w:line="240" w:lineRule="auto"/>
        <w:jc w:val="left"/>
        <w:rPr>
          <w:i/>
          <w:iCs/>
          <w:sz w:val="18"/>
          <w:szCs w:val="14"/>
        </w:rPr>
      </w:pPr>
      <w:r w:rsidRPr="00787196">
        <w:rPr>
          <w:i/>
          <w:iCs/>
          <w:sz w:val="18"/>
          <w:szCs w:val="14"/>
        </w:rPr>
        <w:br w:type="page"/>
      </w:r>
    </w:p>
    <w:p w14:paraId="5C62A234" w14:textId="3BC17067" w:rsidR="0048220C" w:rsidRPr="00787196" w:rsidRDefault="00216DFA" w:rsidP="0006726F">
      <w:pPr>
        <w:pStyle w:val="Caption"/>
        <w:spacing w:after="0" w:line="360" w:lineRule="auto"/>
        <w:jc w:val="left"/>
        <w:rPr>
          <w:b/>
          <w:bCs/>
          <w:i w:val="0"/>
          <w:iCs w:val="0"/>
          <w:color w:val="auto"/>
          <w:sz w:val="20"/>
          <w:szCs w:val="20"/>
        </w:rPr>
      </w:pPr>
      <w:bookmarkStart w:id="284" w:name="_Toc488655546"/>
      <w:r w:rsidRPr="00787196">
        <w:rPr>
          <w:b/>
          <w:bCs/>
          <w:i w:val="0"/>
          <w:iCs w:val="0"/>
          <w:color w:val="auto"/>
          <w:sz w:val="20"/>
          <w:szCs w:val="20"/>
        </w:rPr>
        <w:lastRenderedPageBreak/>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17</w:t>
      </w:r>
      <w:r w:rsidR="000332A1" w:rsidRPr="00787196">
        <w:rPr>
          <w:b/>
          <w:bCs/>
          <w:i w:val="0"/>
          <w:iCs w:val="0"/>
          <w:color w:val="auto"/>
          <w:sz w:val="20"/>
          <w:szCs w:val="20"/>
        </w:rPr>
        <w:fldChar w:fldCharType="end"/>
      </w:r>
      <w:r w:rsidR="00C67FF2" w:rsidRPr="00787196">
        <w:rPr>
          <w:b/>
          <w:bCs/>
          <w:i w:val="0"/>
          <w:iCs w:val="0"/>
          <w:color w:val="auto"/>
          <w:sz w:val="20"/>
          <w:szCs w:val="20"/>
        </w:rPr>
        <w:t xml:space="preserve">. </w:t>
      </w:r>
      <w:r w:rsidR="0006726F" w:rsidRPr="00787196">
        <w:rPr>
          <w:b/>
          <w:bCs/>
          <w:i w:val="0"/>
          <w:iCs w:val="0"/>
          <w:color w:val="auto"/>
          <w:sz w:val="20"/>
          <w:szCs w:val="20"/>
        </w:rPr>
        <w:t>Bivariate a</w:t>
      </w:r>
      <w:r w:rsidR="008A4AE2" w:rsidRPr="00787196">
        <w:rPr>
          <w:b/>
          <w:bCs/>
          <w:i w:val="0"/>
          <w:iCs w:val="0"/>
          <w:color w:val="auto"/>
          <w:sz w:val="20"/>
          <w:szCs w:val="20"/>
        </w:rPr>
        <w:t>ssociation</w:t>
      </w:r>
      <w:r w:rsidRPr="00787196">
        <w:rPr>
          <w:b/>
          <w:bCs/>
          <w:i w:val="0"/>
          <w:iCs w:val="0"/>
          <w:color w:val="auto"/>
          <w:sz w:val="20"/>
          <w:szCs w:val="20"/>
        </w:rPr>
        <w:t xml:space="preserve"> clinical status</w:t>
      </w:r>
      <w:r w:rsidR="003F6EBF" w:rsidRPr="00787196">
        <w:rPr>
          <w:b/>
          <w:bCs/>
          <w:i w:val="0"/>
          <w:iCs w:val="0"/>
          <w:color w:val="auto"/>
          <w:sz w:val="20"/>
          <w:szCs w:val="20"/>
        </w:rPr>
        <w:t xml:space="preserve"> at baseline</w:t>
      </w:r>
      <w:r w:rsidR="008A4AE2" w:rsidRPr="00787196">
        <w:rPr>
          <w:b/>
          <w:bCs/>
          <w:i w:val="0"/>
          <w:iCs w:val="0"/>
          <w:color w:val="auto"/>
          <w:sz w:val="20"/>
          <w:szCs w:val="20"/>
        </w:rPr>
        <w:t xml:space="preserve"> </w:t>
      </w:r>
      <w:r w:rsidR="003F6EBF" w:rsidRPr="00787196">
        <w:rPr>
          <w:b/>
          <w:bCs/>
          <w:i w:val="0"/>
          <w:iCs w:val="0"/>
          <w:color w:val="auto"/>
          <w:sz w:val="20"/>
          <w:szCs w:val="20"/>
        </w:rPr>
        <w:t>(T1) and</w:t>
      </w:r>
      <w:r w:rsidR="008A4AE2" w:rsidRPr="00787196">
        <w:rPr>
          <w:b/>
          <w:bCs/>
          <w:i w:val="0"/>
          <w:iCs w:val="0"/>
          <w:color w:val="auto"/>
          <w:sz w:val="20"/>
          <w:szCs w:val="20"/>
        </w:rPr>
        <w:t xml:space="preserve"> OHQoL at follow-up (T2)</w:t>
      </w:r>
      <w:bookmarkEnd w:id="284"/>
    </w:p>
    <w:tbl>
      <w:tblPr>
        <w:tblpPr w:leftFromText="180" w:rightFromText="180" w:vertAnchor="text" w:horzAnchor="margin" w:tblpY="1"/>
        <w:tblW w:w="0" w:type="auto"/>
        <w:tblBorders>
          <w:top w:val="single" w:sz="8" w:space="0" w:color="000000"/>
          <w:bottom w:val="single" w:sz="8" w:space="0" w:color="000000"/>
        </w:tblBorders>
        <w:tblLook w:val="04A0" w:firstRow="1" w:lastRow="0" w:firstColumn="1" w:lastColumn="0" w:noHBand="0" w:noVBand="1"/>
      </w:tblPr>
      <w:tblGrid>
        <w:gridCol w:w="3835"/>
        <w:gridCol w:w="1802"/>
        <w:gridCol w:w="2551"/>
      </w:tblGrid>
      <w:tr w:rsidR="0048220C" w:rsidRPr="00787196" w14:paraId="7BA6FDEA" w14:textId="77777777" w:rsidTr="00A5430A">
        <w:trPr>
          <w:trHeight w:val="299"/>
        </w:trPr>
        <w:tc>
          <w:tcPr>
            <w:tcW w:w="3835" w:type="dxa"/>
            <w:tcBorders>
              <w:top w:val="single" w:sz="8" w:space="0" w:color="000000"/>
              <w:bottom w:val="single" w:sz="8" w:space="0" w:color="000000"/>
            </w:tcBorders>
            <w:shd w:val="clear" w:color="auto" w:fill="FFFFFF"/>
          </w:tcPr>
          <w:p w14:paraId="4EF590B6" w14:textId="77777777" w:rsidR="0048220C" w:rsidRPr="00787196" w:rsidRDefault="0048220C" w:rsidP="00922A9E">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Clinical status</w:t>
            </w:r>
          </w:p>
        </w:tc>
        <w:tc>
          <w:tcPr>
            <w:tcW w:w="1802" w:type="dxa"/>
            <w:tcBorders>
              <w:top w:val="single" w:sz="8" w:space="0" w:color="000000"/>
              <w:bottom w:val="single" w:sz="8" w:space="0" w:color="000000"/>
            </w:tcBorders>
            <w:shd w:val="clear" w:color="auto" w:fill="FFFFFF"/>
            <w:vAlign w:val="center"/>
          </w:tcPr>
          <w:p w14:paraId="3DBD7E91" w14:textId="77777777" w:rsidR="0048220C" w:rsidRPr="00787196" w:rsidRDefault="0048220C" w:rsidP="00922A9E">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F</w:t>
            </w:r>
          </w:p>
        </w:tc>
        <w:tc>
          <w:tcPr>
            <w:tcW w:w="2551" w:type="dxa"/>
            <w:tcBorders>
              <w:top w:val="single" w:sz="8" w:space="0" w:color="000000"/>
              <w:bottom w:val="single" w:sz="8" w:space="0" w:color="000000"/>
            </w:tcBorders>
            <w:shd w:val="clear" w:color="auto" w:fill="FFFFFF"/>
          </w:tcPr>
          <w:p w14:paraId="29AD6275" w14:textId="77777777" w:rsidR="0048220C" w:rsidRPr="00787196" w:rsidRDefault="0048220C" w:rsidP="00922A9E">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Mean (SD)</w:t>
            </w:r>
          </w:p>
        </w:tc>
      </w:tr>
      <w:tr w:rsidR="0048220C" w:rsidRPr="00787196" w14:paraId="33A7CF2F" w14:textId="77777777" w:rsidTr="00A5430A">
        <w:trPr>
          <w:trHeight w:val="20"/>
        </w:trPr>
        <w:tc>
          <w:tcPr>
            <w:tcW w:w="3835" w:type="dxa"/>
            <w:shd w:val="clear" w:color="auto" w:fill="FFFFFF"/>
            <w:vAlign w:val="center"/>
          </w:tcPr>
          <w:p w14:paraId="5067EAED" w14:textId="77777777" w:rsidR="0048220C" w:rsidRPr="00787196" w:rsidRDefault="0048220C" w:rsidP="00922A9E">
            <w:pPr>
              <w:spacing w:before="0" w:after="0"/>
              <w:ind w:left="142"/>
              <w:rPr>
                <w:rFonts w:cs="Arial"/>
                <w:b/>
                <w:bCs/>
                <w:color w:val="000000"/>
                <w:sz w:val="20"/>
                <w:szCs w:val="20"/>
              </w:rPr>
            </w:pPr>
            <w:r w:rsidRPr="00787196">
              <w:rPr>
                <w:rFonts w:cs="Arial"/>
                <w:b/>
                <w:bCs/>
                <w:color w:val="000000"/>
                <w:sz w:val="20"/>
                <w:szCs w:val="20"/>
              </w:rPr>
              <w:t>No. of teeth present</w:t>
            </w:r>
          </w:p>
        </w:tc>
        <w:tc>
          <w:tcPr>
            <w:tcW w:w="1802" w:type="dxa"/>
            <w:tcBorders>
              <w:left w:val="nil"/>
              <w:right w:val="nil"/>
            </w:tcBorders>
            <w:shd w:val="clear" w:color="auto" w:fill="FFFFFF"/>
          </w:tcPr>
          <w:p w14:paraId="3DAC55BF" w14:textId="77777777" w:rsidR="0048220C" w:rsidRPr="00787196" w:rsidRDefault="0048220C" w:rsidP="00922A9E">
            <w:pPr>
              <w:spacing w:before="0" w:after="0" w:line="240" w:lineRule="auto"/>
              <w:rPr>
                <w:sz w:val="20"/>
                <w:szCs w:val="20"/>
              </w:rPr>
            </w:pPr>
          </w:p>
        </w:tc>
        <w:tc>
          <w:tcPr>
            <w:tcW w:w="2551" w:type="dxa"/>
            <w:tcBorders>
              <w:left w:val="nil"/>
              <w:right w:val="nil"/>
            </w:tcBorders>
            <w:shd w:val="clear" w:color="auto" w:fill="FFFFFF"/>
          </w:tcPr>
          <w:p w14:paraId="17625D73" w14:textId="77777777" w:rsidR="0048220C" w:rsidRPr="00787196" w:rsidRDefault="0048220C" w:rsidP="00922A9E">
            <w:pPr>
              <w:spacing w:before="0" w:after="0" w:line="240" w:lineRule="auto"/>
              <w:rPr>
                <w:sz w:val="20"/>
                <w:szCs w:val="20"/>
              </w:rPr>
            </w:pPr>
          </w:p>
        </w:tc>
      </w:tr>
      <w:tr w:rsidR="0048220C" w:rsidRPr="00787196" w14:paraId="744551AD" w14:textId="77777777" w:rsidTr="00A5430A">
        <w:trPr>
          <w:trHeight w:val="20"/>
        </w:trPr>
        <w:tc>
          <w:tcPr>
            <w:tcW w:w="3835" w:type="dxa"/>
            <w:shd w:val="clear" w:color="auto" w:fill="D9D9D9"/>
            <w:vAlign w:val="center"/>
          </w:tcPr>
          <w:p w14:paraId="47C3FFB6" w14:textId="77777777" w:rsidR="0048220C" w:rsidRPr="00787196" w:rsidRDefault="0048220C" w:rsidP="00922A9E">
            <w:pPr>
              <w:spacing w:before="0" w:after="0"/>
              <w:ind w:left="142"/>
              <w:rPr>
                <w:sz w:val="20"/>
                <w:szCs w:val="20"/>
              </w:rPr>
            </w:pPr>
            <w:r w:rsidRPr="00787196">
              <w:rPr>
                <w:sz w:val="20"/>
                <w:szCs w:val="20"/>
              </w:rPr>
              <w:t>Functional dentition (&gt;21 teeth)</w:t>
            </w:r>
          </w:p>
        </w:tc>
        <w:tc>
          <w:tcPr>
            <w:tcW w:w="1802" w:type="dxa"/>
            <w:vMerge w:val="restart"/>
            <w:tcBorders>
              <w:left w:val="nil"/>
              <w:right w:val="nil"/>
            </w:tcBorders>
            <w:shd w:val="clear" w:color="auto" w:fill="D9D9D9"/>
            <w:vAlign w:val="center"/>
          </w:tcPr>
          <w:p w14:paraId="4535C774" w14:textId="77777777" w:rsidR="0048220C" w:rsidRPr="00787196" w:rsidRDefault="0048220C" w:rsidP="00922A9E">
            <w:pPr>
              <w:spacing w:before="0" w:after="0" w:line="240" w:lineRule="auto"/>
              <w:rPr>
                <w:sz w:val="20"/>
                <w:szCs w:val="20"/>
              </w:rPr>
            </w:pPr>
            <w:r w:rsidRPr="00787196">
              <w:rPr>
                <w:sz w:val="20"/>
                <w:szCs w:val="20"/>
              </w:rPr>
              <w:t>3.4</w:t>
            </w:r>
            <w:r w:rsidRPr="00787196">
              <w:rPr>
                <w:rFonts w:cs="Arial"/>
                <w:color w:val="000000"/>
                <w:sz w:val="20"/>
                <w:szCs w:val="20"/>
              </w:rPr>
              <w:t>52*</w:t>
            </w:r>
          </w:p>
        </w:tc>
        <w:tc>
          <w:tcPr>
            <w:tcW w:w="2551" w:type="dxa"/>
            <w:tcBorders>
              <w:left w:val="nil"/>
              <w:right w:val="nil"/>
            </w:tcBorders>
            <w:shd w:val="clear" w:color="auto" w:fill="D9D9D9"/>
            <w:vAlign w:val="center"/>
          </w:tcPr>
          <w:p w14:paraId="3B317AEB" w14:textId="77777777" w:rsidR="0048220C" w:rsidRPr="00787196" w:rsidRDefault="0048220C" w:rsidP="00922A9E">
            <w:pPr>
              <w:spacing w:before="0" w:after="0" w:line="240" w:lineRule="auto"/>
              <w:rPr>
                <w:sz w:val="20"/>
                <w:szCs w:val="20"/>
              </w:rPr>
            </w:pPr>
            <w:r w:rsidRPr="00787196">
              <w:rPr>
                <w:sz w:val="20"/>
                <w:szCs w:val="20"/>
              </w:rPr>
              <w:t>40.30 (12.64)</w:t>
            </w:r>
          </w:p>
        </w:tc>
      </w:tr>
      <w:tr w:rsidR="0048220C" w:rsidRPr="00787196" w14:paraId="7AA02B6F" w14:textId="77777777" w:rsidTr="00A5430A">
        <w:trPr>
          <w:trHeight w:val="20"/>
        </w:trPr>
        <w:tc>
          <w:tcPr>
            <w:tcW w:w="3835" w:type="dxa"/>
            <w:shd w:val="clear" w:color="auto" w:fill="D9D9D9"/>
            <w:vAlign w:val="center"/>
          </w:tcPr>
          <w:p w14:paraId="225B3E8E" w14:textId="77777777" w:rsidR="0048220C" w:rsidRPr="00787196" w:rsidRDefault="0048220C" w:rsidP="00922A9E">
            <w:pPr>
              <w:spacing w:before="0" w:after="0"/>
              <w:ind w:left="142"/>
              <w:rPr>
                <w:sz w:val="20"/>
                <w:szCs w:val="20"/>
              </w:rPr>
            </w:pPr>
            <w:r w:rsidRPr="00787196">
              <w:rPr>
                <w:sz w:val="20"/>
                <w:szCs w:val="20"/>
              </w:rPr>
              <w:t>&lt; 21 teeth</w:t>
            </w:r>
          </w:p>
        </w:tc>
        <w:tc>
          <w:tcPr>
            <w:tcW w:w="1802" w:type="dxa"/>
            <w:vMerge/>
            <w:tcBorders>
              <w:left w:val="nil"/>
              <w:right w:val="nil"/>
            </w:tcBorders>
            <w:shd w:val="clear" w:color="auto" w:fill="D9D9D9"/>
          </w:tcPr>
          <w:p w14:paraId="217B85DC" w14:textId="77777777" w:rsidR="0048220C" w:rsidRPr="00787196" w:rsidRDefault="0048220C" w:rsidP="00922A9E">
            <w:pPr>
              <w:spacing w:before="0" w:after="0" w:line="240" w:lineRule="auto"/>
              <w:rPr>
                <w:sz w:val="20"/>
                <w:szCs w:val="20"/>
              </w:rPr>
            </w:pPr>
          </w:p>
        </w:tc>
        <w:tc>
          <w:tcPr>
            <w:tcW w:w="2551" w:type="dxa"/>
            <w:tcBorders>
              <w:left w:val="nil"/>
              <w:right w:val="nil"/>
            </w:tcBorders>
            <w:shd w:val="clear" w:color="auto" w:fill="D9D9D9"/>
            <w:vAlign w:val="center"/>
          </w:tcPr>
          <w:p w14:paraId="1ACB0C36" w14:textId="77777777" w:rsidR="0048220C" w:rsidRPr="00787196" w:rsidRDefault="0048220C" w:rsidP="00922A9E">
            <w:pPr>
              <w:spacing w:before="0" w:after="0" w:line="240" w:lineRule="auto"/>
              <w:rPr>
                <w:sz w:val="20"/>
                <w:szCs w:val="20"/>
              </w:rPr>
            </w:pPr>
            <w:r w:rsidRPr="00787196">
              <w:rPr>
                <w:sz w:val="20"/>
                <w:szCs w:val="20"/>
              </w:rPr>
              <w:t>37.</w:t>
            </w:r>
            <w:r w:rsidRPr="00787196">
              <w:rPr>
                <w:rFonts w:cs="Arial"/>
                <w:color w:val="000000"/>
                <w:sz w:val="20"/>
                <w:szCs w:val="20"/>
              </w:rPr>
              <w:t>50 (11.64)</w:t>
            </w:r>
          </w:p>
        </w:tc>
      </w:tr>
      <w:tr w:rsidR="0048220C" w:rsidRPr="00787196" w14:paraId="5C428CA3" w14:textId="77777777" w:rsidTr="00A5430A">
        <w:trPr>
          <w:trHeight w:val="20"/>
        </w:trPr>
        <w:tc>
          <w:tcPr>
            <w:tcW w:w="3835" w:type="dxa"/>
            <w:shd w:val="clear" w:color="auto" w:fill="D9D9D9"/>
            <w:vAlign w:val="center"/>
          </w:tcPr>
          <w:p w14:paraId="6DAF4DE3" w14:textId="77777777" w:rsidR="0048220C" w:rsidRPr="00787196" w:rsidRDefault="0048220C" w:rsidP="00922A9E">
            <w:pPr>
              <w:spacing w:before="0" w:after="0"/>
              <w:ind w:left="142"/>
              <w:rPr>
                <w:sz w:val="20"/>
                <w:szCs w:val="20"/>
              </w:rPr>
            </w:pPr>
            <w:r w:rsidRPr="00787196">
              <w:rPr>
                <w:sz w:val="20"/>
                <w:szCs w:val="20"/>
              </w:rPr>
              <w:t>No teeth</w:t>
            </w:r>
          </w:p>
        </w:tc>
        <w:tc>
          <w:tcPr>
            <w:tcW w:w="1802" w:type="dxa"/>
            <w:vMerge/>
            <w:tcBorders>
              <w:left w:val="nil"/>
              <w:right w:val="nil"/>
            </w:tcBorders>
            <w:shd w:val="clear" w:color="auto" w:fill="D9D9D9"/>
          </w:tcPr>
          <w:p w14:paraId="794BF45F" w14:textId="77777777" w:rsidR="0048220C" w:rsidRPr="00787196" w:rsidRDefault="0048220C" w:rsidP="00922A9E">
            <w:pPr>
              <w:spacing w:before="0" w:after="0" w:line="240" w:lineRule="auto"/>
              <w:rPr>
                <w:sz w:val="20"/>
                <w:szCs w:val="20"/>
              </w:rPr>
            </w:pPr>
          </w:p>
        </w:tc>
        <w:tc>
          <w:tcPr>
            <w:tcW w:w="2551" w:type="dxa"/>
            <w:tcBorders>
              <w:left w:val="nil"/>
              <w:right w:val="nil"/>
            </w:tcBorders>
            <w:shd w:val="clear" w:color="auto" w:fill="D9D9D9"/>
            <w:vAlign w:val="center"/>
          </w:tcPr>
          <w:p w14:paraId="71EAEAE7" w14:textId="77777777" w:rsidR="0048220C" w:rsidRPr="00787196" w:rsidRDefault="0048220C" w:rsidP="00922A9E">
            <w:pPr>
              <w:spacing w:before="0" w:after="0" w:line="240" w:lineRule="auto"/>
              <w:rPr>
                <w:sz w:val="20"/>
                <w:szCs w:val="20"/>
              </w:rPr>
            </w:pPr>
            <w:r w:rsidRPr="00787196">
              <w:rPr>
                <w:sz w:val="20"/>
                <w:szCs w:val="20"/>
              </w:rPr>
              <w:t>34.93 (11.13)</w:t>
            </w:r>
          </w:p>
        </w:tc>
      </w:tr>
      <w:tr w:rsidR="0048220C" w:rsidRPr="00787196" w14:paraId="047723A7" w14:textId="77777777" w:rsidTr="00A5430A">
        <w:trPr>
          <w:trHeight w:val="20"/>
        </w:trPr>
        <w:tc>
          <w:tcPr>
            <w:tcW w:w="3835" w:type="dxa"/>
            <w:shd w:val="clear" w:color="auto" w:fill="FFFFFF"/>
          </w:tcPr>
          <w:p w14:paraId="001A38A3" w14:textId="77777777" w:rsidR="0048220C" w:rsidRPr="00787196" w:rsidRDefault="0048220C" w:rsidP="00922A9E">
            <w:pPr>
              <w:autoSpaceDE w:val="0"/>
              <w:autoSpaceDN w:val="0"/>
              <w:adjustRightInd w:val="0"/>
              <w:spacing w:before="0" w:after="0" w:line="240" w:lineRule="auto"/>
              <w:ind w:left="142"/>
              <w:rPr>
                <w:rFonts w:cs="Arial"/>
                <w:color w:val="000000"/>
                <w:sz w:val="20"/>
                <w:szCs w:val="20"/>
              </w:rPr>
            </w:pPr>
          </w:p>
        </w:tc>
        <w:tc>
          <w:tcPr>
            <w:tcW w:w="1802" w:type="dxa"/>
            <w:shd w:val="clear" w:color="auto" w:fill="FFFFFF"/>
          </w:tcPr>
          <w:p w14:paraId="08FB7C84" w14:textId="77777777" w:rsidR="0048220C" w:rsidRPr="00787196" w:rsidRDefault="0048220C" w:rsidP="00922A9E">
            <w:pPr>
              <w:autoSpaceDE w:val="0"/>
              <w:autoSpaceDN w:val="0"/>
              <w:adjustRightInd w:val="0"/>
              <w:spacing w:before="0" w:after="0" w:line="240" w:lineRule="auto"/>
              <w:rPr>
                <w:rFonts w:cs="Arial"/>
                <w:color w:val="000000"/>
                <w:sz w:val="20"/>
                <w:szCs w:val="20"/>
              </w:rPr>
            </w:pPr>
          </w:p>
        </w:tc>
        <w:tc>
          <w:tcPr>
            <w:tcW w:w="2551" w:type="dxa"/>
            <w:shd w:val="clear" w:color="auto" w:fill="FFFFFF"/>
          </w:tcPr>
          <w:p w14:paraId="32E48961" w14:textId="77777777" w:rsidR="0048220C" w:rsidRPr="00787196" w:rsidRDefault="0048220C" w:rsidP="00922A9E">
            <w:pPr>
              <w:autoSpaceDE w:val="0"/>
              <w:autoSpaceDN w:val="0"/>
              <w:adjustRightInd w:val="0"/>
              <w:spacing w:before="0" w:after="0" w:line="240" w:lineRule="auto"/>
              <w:rPr>
                <w:rFonts w:cs="Arial"/>
                <w:color w:val="000000"/>
                <w:sz w:val="20"/>
                <w:szCs w:val="20"/>
              </w:rPr>
            </w:pPr>
          </w:p>
        </w:tc>
      </w:tr>
    </w:tbl>
    <w:p w14:paraId="699F6497" w14:textId="77777777" w:rsidR="0048220C" w:rsidRPr="00787196" w:rsidRDefault="0048220C" w:rsidP="0048220C">
      <w:pPr>
        <w:spacing w:before="0" w:after="0"/>
        <w:rPr>
          <w:i/>
          <w:iCs/>
          <w:sz w:val="21"/>
          <w:szCs w:val="18"/>
        </w:rPr>
      </w:pPr>
      <w:r w:rsidRPr="00787196">
        <w:rPr>
          <w:i/>
          <w:iCs/>
          <w:sz w:val="16"/>
          <w:szCs w:val="16"/>
        </w:rPr>
        <w:t>*</w:t>
      </w:r>
      <w:r w:rsidRPr="00787196">
        <w:rPr>
          <w:i/>
          <w:iCs/>
          <w:sz w:val="21"/>
          <w:szCs w:val="18"/>
        </w:rPr>
        <w:t>p value significant at &lt;0.05 (One Way ANOVA)</w:t>
      </w:r>
    </w:p>
    <w:p w14:paraId="1EC5B91E" w14:textId="77777777" w:rsidR="00C227F1" w:rsidRPr="00787196" w:rsidRDefault="00C227F1" w:rsidP="0048220C">
      <w:pPr>
        <w:spacing w:before="0" w:after="0"/>
        <w:rPr>
          <w:i/>
          <w:iCs/>
          <w:sz w:val="21"/>
          <w:szCs w:val="18"/>
        </w:rPr>
      </w:pPr>
    </w:p>
    <w:p w14:paraId="27EDBAD9" w14:textId="3EB79E3C" w:rsidR="0080098D" w:rsidRPr="00787196" w:rsidRDefault="00757446" w:rsidP="0006726F">
      <w:pPr>
        <w:pStyle w:val="Heading3"/>
      </w:pPr>
      <w:bookmarkStart w:id="285" w:name="_Toc456211188"/>
      <w:bookmarkStart w:id="286" w:name="_Toc488655671"/>
      <w:bookmarkEnd w:id="275"/>
      <w:r w:rsidRPr="00787196">
        <w:t>Bivariate analyses</w:t>
      </w:r>
      <w:r w:rsidR="0080098D" w:rsidRPr="00787196">
        <w:t xml:space="preserve"> between clinical </w:t>
      </w:r>
      <w:r w:rsidR="007959C4" w:rsidRPr="00787196">
        <w:t>factors</w:t>
      </w:r>
      <w:r w:rsidR="0080098D" w:rsidRPr="00787196">
        <w:t xml:space="preserve">, coping strategies, individual </w:t>
      </w:r>
      <w:r w:rsidR="007959C4" w:rsidRPr="00787196">
        <w:t>variables</w:t>
      </w:r>
      <w:r w:rsidR="0080098D" w:rsidRPr="00787196">
        <w:t xml:space="preserve">, environmental </w:t>
      </w:r>
      <w:r w:rsidR="007959C4" w:rsidRPr="00787196">
        <w:t>variables</w:t>
      </w:r>
      <w:r w:rsidR="0080098D" w:rsidRPr="00787196">
        <w:t xml:space="preserve">, </w:t>
      </w:r>
      <w:r w:rsidR="00F83E3F" w:rsidRPr="00787196">
        <w:t xml:space="preserve">outcome variables </w:t>
      </w:r>
      <w:r w:rsidR="0080098D" w:rsidRPr="00787196">
        <w:t>at baseline</w:t>
      </w:r>
      <w:r w:rsidR="0006726F" w:rsidRPr="00787196">
        <w:t xml:space="preserve"> (T1)</w:t>
      </w:r>
      <w:r w:rsidR="0080098D" w:rsidRPr="00787196">
        <w:t xml:space="preserve"> </w:t>
      </w:r>
      <w:r w:rsidR="0006726F" w:rsidRPr="00787196">
        <w:t>and</w:t>
      </w:r>
      <w:r w:rsidR="0080098D" w:rsidRPr="00787196">
        <w:t xml:space="preserve"> denture satisfaction at follow-up</w:t>
      </w:r>
      <w:bookmarkEnd w:id="285"/>
      <w:r w:rsidR="0006726F" w:rsidRPr="00787196">
        <w:t xml:space="preserve"> (T2)</w:t>
      </w:r>
      <w:bookmarkEnd w:id="286"/>
    </w:p>
    <w:p w14:paraId="6625CCEE" w14:textId="58E9DCBA" w:rsidR="00C534E4" w:rsidRPr="00787196" w:rsidRDefault="00C44EBE" w:rsidP="00755F46">
      <w:pPr>
        <w:rPr>
          <w:szCs w:val="24"/>
        </w:rPr>
      </w:pPr>
      <w:r w:rsidRPr="00787196">
        <w:rPr>
          <w:szCs w:val="24"/>
        </w:rPr>
        <w:t>Table 5-</w:t>
      </w:r>
      <w:r w:rsidR="00C227F1" w:rsidRPr="00787196">
        <w:rPr>
          <w:szCs w:val="24"/>
        </w:rPr>
        <w:t>18</w:t>
      </w:r>
      <w:r w:rsidR="007E57EF" w:rsidRPr="00787196">
        <w:rPr>
          <w:szCs w:val="24"/>
        </w:rPr>
        <w:t xml:space="preserve"> </w:t>
      </w:r>
      <w:r w:rsidR="00A17BAD" w:rsidRPr="00787196">
        <w:rPr>
          <w:szCs w:val="24"/>
        </w:rPr>
        <w:t xml:space="preserve">presents </w:t>
      </w:r>
      <w:r w:rsidR="0080098D" w:rsidRPr="00787196">
        <w:rPr>
          <w:szCs w:val="24"/>
        </w:rPr>
        <w:t>the lagged analyses between coping strategies, individual factors</w:t>
      </w:r>
      <w:r w:rsidR="00A17BAD" w:rsidRPr="00787196">
        <w:rPr>
          <w:szCs w:val="24"/>
        </w:rPr>
        <w:t xml:space="preserve"> and outcome variables (</w:t>
      </w:r>
      <w:r w:rsidR="0080098D" w:rsidRPr="00787196">
        <w:rPr>
          <w:szCs w:val="24"/>
        </w:rPr>
        <w:t>OHQoL, denture satisfaction, chewing ability</w:t>
      </w:r>
      <w:r w:rsidR="00A17BAD" w:rsidRPr="00787196">
        <w:rPr>
          <w:szCs w:val="24"/>
        </w:rPr>
        <w:t xml:space="preserve">) at </w:t>
      </w:r>
      <w:r w:rsidR="00A73593" w:rsidRPr="00787196">
        <w:rPr>
          <w:szCs w:val="24"/>
        </w:rPr>
        <w:t>baseline with</w:t>
      </w:r>
      <w:r w:rsidR="0080098D" w:rsidRPr="00787196">
        <w:rPr>
          <w:szCs w:val="24"/>
        </w:rPr>
        <w:t xml:space="preserve"> denture satisfaction at follow-up. </w:t>
      </w:r>
    </w:p>
    <w:p w14:paraId="2196B59E" w14:textId="5387F781" w:rsidR="00775770" w:rsidRPr="00787196" w:rsidRDefault="00216DFA" w:rsidP="008A4AE2">
      <w:pPr>
        <w:pStyle w:val="Caption"/>
        <w:spacing w:after="0"/>
        <w:ind w:right="140"/>
        <w:rPr>
          <w:b/>
          <w:bCs/>
          <w:i w:val="0"/>
          <w:iCs w:val="0"/>
          <w:color w:val="auto"/>
          <w:sz w:val="20"/>
          <w:szCs w:val="20"/>
        </w:rPr>
      </w:pPr>
      <w:bookmarkStart w:id="287" w:name="_Toc488655547"/>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18</w:t>
      </w:r>
      <w:r w:rsidR="000332A1" w:rsidRPr="00787196">
        <w:rPr>
          <w:b/>
          <w:bCs/>
          <w:i w:val="0"/>
          <w:iCs w:val="0"/>
          <w:color w:val="auto"/>
          <w:sz w:val="20"/>
          <w:szCs w:val="20"/>
        </w:rPr>
        <w:fldChar w:fldCharType="end"/>
      </w:r>
      <w:r w:rsidR="002C6B34" w:rsidRPr="00787196">
        <w:rPr>
          <w:b/>
          <w:bCs/>
          <w:i w:val="0"/>
          <w:iCs w:val="0"/>
          <w:color w:val="auto"/>
          <w:sz w:val="20"/>
          <w:szCs w:val="20"/>
        </w:rPr>
        <w:t>.</w:t>
      </w:r>
      <w:r w:rsidRPr="00787196">
        <w:rPr>
          <w:b/>
          <w:bCs/>
          <w:i w:val="0"/>
          <w:iCs w:val="0"/>
          <w:color w:val="auto"/>
          <w:sz w:val="20"/>
          <w:szCs w:val="20"/>
        </w:rPr>
        <w:t xml:space="preserve"> </w:t>
      </w:r>
      <w:r w:rsidR="008A4AE2" w:rsidRPr="00787196">
        <w:rPr>
          <w:b/>
          <w:bCs/>
          <w:i w:val="0"/>
          <w:iCs w:val="0"/>
          <w:color w:val="auto"/>
          <w:sz w:val="20"/>
          <w:szCs w:val="20"/>
        </w:rPr>
        <w:t xml:space="preserve">Lagged analysis: </w:t>
      </w:r>
      <w:r w:rsidR="0006726F" w:rsidRPr="00787196">
        <w:rPr>
          <w:b/>
          <w:bCs/>
          <w:i w:val="0"/>
          <w:iCs w:val="0"/>
          <w:color w:val="auto"/>
          <w:sz w:val="20"/>
          <w:szCs w:val="20"/>
        </w:rPr>
        <w:t xml:space="preserve">Bivariate </w:t>
      </w:r>
      <w:r w:rsidR="008A4AE2" w:rsidRPr="00787196">
        <w:rPr>
          <w:b/>
          <w:bCs/>
          <w:i w:val="0"/>
          <w:iCs w:val="0"/>
          <w:color w:val="auto"/>
          <w:sz w:val="20"/>
          <w:szCs w:val="20"/>
        </w:rPr>
        <w:t>associations</w:t>
      </w:r>
      <w:r w:rsidRPr="00787196">
        <w:rPr>
          <w:b/>
          <w:bCs/>
          <w:i w:val="0"/>
          <w:iCs w:val="0"/>
          <w:color w:val="auto"/>
          <w:sz w:val="20"/>
          <w:szCs w:val="20"/>
        </w:rPr>
        <w:t xml:space="preserve"> between coping strategies, individual factors, </w:t>
      </w:r>
      <w:r w:rsidR="008A4AE2" w:rsidRPr="00787196">
        <w:rPr>
          <w:b/>
          <w:bCs/>
          <w:i w:val="0"/>
          <w:iCs w:val="0"/>
          <w:color w:val="auto"/>
          <w:sz w:val="20"/>
          <w:szCs w:val="20"/>
        </w:rPr>
        <w:t>baseline (T1) outcome variables</w:t>
      </w:r>
      <w:r w:rsidRPr="00787196">
        <w:rPr>
          <w:b/>
          <w:bCs/>
          <w:i w:val="0"/>
          <w:iCs w:val="0"/>
          <w:color w:val="auto"/>
          <w:sz w:val="20"/>
          <w:szCs w:val="20"/>
        </w:rPr>
        <w:t xml:space="preserve"> </w:t>
      </w:r>
      <w:r w:rsidR="008A4AE2" w:rsidRPr="00787196">
        <w:rPr>
          <w:b/>
          <w:bCs/>
          <w:i w:val="0"/>
          <w:iCs w:val="0"/>
          <w:color w:val="auto"/>
          <w:sz w:val="20"/>
          <w:szCs w:val="20"/>
        </w:rPr>
        <w:t xml:space="preserve">and </w:t>
      </w:r>
      <w:r w:rsidRPr="00787196">
        <w:rPr>
          <w:b/>
          <w:bCs/>
          <w:i w:val="0"/>
          <w:iCs w:val="0"/>
          <w:color w:val="auto"/>
          <w:sz w:val="20"/>
          <w:szCs w:val="20"/>
        </w:rPr>
        <w:t>denture satisfaction at follow-up</w:t>
      </w:r>
      <w:r w:rsidR="0079553A" w:rsidRPr="00787196">
        <w:rPr>
          <w:b/>
          <w:bCs/>
          <w:i w:val="0"/>
          <w:iCs w:val="0"/>
          <w:color w:val="auto"/>
          <w:sz w:val="20"/>
          <w:szCs w:val="20"/>
        </w:rPr>
        <w:t xml:space="preserve"> (T2)</w:t>
      </w:r>
      <w:bookmarkEnd w:id="287"/>
    </w:p>
    <w:tbl>
      <w:tblPr>
        <w:tblpPr w:leftFromText="180" w:rightFromText="180" w:vertAnchor="text" w:horzAnchor="margin" w:tblpY="150"/>
        <w:tblW w:w="0" w:type="auto"/>
        <w:tblBorders>
          <w:top w:val="single" w:sz="8" w:space="0" w:color="000000"/>
          <w:bottom w:val="single" w:sz="8" w:space="0" w:color="000000"/>
        </w:tblBorders>
        <w:tblLook w:val="04A0" w:firstRow="1" w:lastRow="0" w:firstColumn="1" w:lastColumn="0" w:noHBand="0" w:noVBand="1"/>
      </w:tblPr>
      <w:tblGrid>
        <w:gridCol w:w="4676"/>
        <w:gridCol w:w="3190"/>
      </w:tblGrid>
      <w:tr w:rsidR="00C85F8A" w:rsidRPr="00787196" w14:paraId="796EDB23" w14:textId="77777777" w:rsidTr="00C227F1">
        <w:trPr>
          <w:trHeight w:val="294"/>
        </w:trPr>
        <w:tc>
          <w:tcPr>
            <w:tcW w:w="4676" w:type="dxa"/>
            <w:tcBorders>
              <w:top w:val="single" w:sz="8" w:space="0" w:color="000000"/>
              <w:bottom w:val="single" w:sz="8" w:space="0" w:color="000000"/>
            </w:tcBorders>
            <w:shd w:val="clear" w:color="auto" w:fill="FFFFFF"/>
          </w:tcPr>
          <w:p w14:paraId="7AF1B42E"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Independent variables</w:t>
            </w:r>
          </w:p>
          <w:p w14:paraId="259A49BD"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(baseline)</w:t>
            </w:r>
          </w:p>
        </w:tc>
        <w:tc>
          <w:tcPr>
            <w:tcW w:w="3190" w:type="dxa"/>
            <w:tcBorders>
              <w:top w:val="single" w:sz="8" w:space="0" w:color="000000"/>
              <w:bottom w:val="single" w:sz="8" w:space="0" w:color="000000"/>
            </w:tcBorders>
            <w:shd w:val="clear" w:color="auto" w:fill="FFFFFF"/>
            <w:vAlign w:val="center"/>
          </w:tcPr>
          <w:p w14:paraId="2B0BA969" w14:textId="3F5D66DD" w:rsidR="00C85F8A" w:rsidRPr="00787196" w:rsidRDefault="00C85F8A" w:rsidP="00C227F1">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p>
        </w:tc>
      </w:tr>
      <w:tr w:rsidR="00C85F8A" w:rsidRPr="00787196" w14:paraId="1D72BC38" w14:textId="77777777" w:rsidTr="00C227F1">
        <w:trPr>
          <w:trHeight w:val="202"/>
        </w:trPr>
        <w:tc>
          <w:tcPr>
            <w:tcW w:w="4676" w:type="dxa"/>
            <w:shd w:val="clear" w:color="auto" w:fill="FFFFFF"/>
            <w:vAlign w:val="bottom"/>
          </w:tcPr>
          <w:p w14:paraId="2CD9BE2F"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p>
        </w:tc>
        <w:tc>
          <w:tcPr>
            <w:tcW w:w="3190" w:type="dxa"/>
            <w:tcBorders>
              <w:left w:val="nil"/>
              <w:right w:val="nil"/>
            </w:tcBorders>
            <w:shd w:val="clear" w:color="auto" w:fill="FFFFFF"/>
            <w:vAlign w:val="center"/>
          </w:tcPr>
          <w:p w14:paraId="3861DD47"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19B02095" w14:textId="77777777" w:rsidTr="00C227F1">
        <w:trPr>
          <w:trHeight w:val="270"/>
        </w:trPr>
        <w:tc>
          <w:tcPr>
            <w:tcW w:w="4676" w:type="dxa"/>
            <w:shd w:val="clear" w:color="auto" w:fill="FFFFFF"/>
            <w:vAlign w:val="bottom"/>
          </w:tcPr>
          <w:p w14:paraId="55AB7880"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Coping strategies</w:t>
            </w:r>
          </w:p>
        </w:tc>
        <w:tc>
          <w:tcPr>
            <w:tcW w:w="3190" w:type="dxa"/>
            <w:tcBorders>
              <w:left w:val="nil"/>
              <w:right w:val="nil"/>
            </w:tcBorders>
            <w:shd w:val="clear" w:color="auto" w:fill="FFFFFF"/>
            <w:vAlign w:val="center"/>
          </w:tcPr>
          <w:p w14:paraId="2E3A9D45"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4351B899" w14:textId="77777777" w:rsidTr="00C227F1">
        <w:trPr>
          <w:trHeight w:val="270"/>
        </w:trPr>
        <w:tc>
          <w:tcPr>
            <w:tcW w:w="4676" w:type="dxa"/>
            <w:shd w:val="clear" w:color="auto" w:fill="FFFFFF"/>
          </w:tcPr>
          <w:p w14:paraId="14DEB6AB" w14:textId="77777777" w:rsidR="00C85F8A" w:rsidRPr="00787196" w:rsidRDefault="00C85F8A" w:rsidP="00C227F1">
            <w:pPr>
              <w:spacing w:before="0" w:after="0" w:line="240" w:lineRule="auto"/>
              <w:ind w:left="142"/>
              <w:rPr>
                <w:sz w:val="20"/>
                <w:szCs w:val="20"/>
              </w:rPr>
            </w:pPr>
            <w:r w:rsidRPr="00787196">
              <w:rPr>
                <w:sz w:val="20"/>
                <w:szCs w:val="20"/>
              </w:rPr>
              <w:t>Inadequate/ negative/ avoidance</w:t>
            </w:r>
          </w:p>
        </w:tc>
        <w:tc>
          <w:tcPr>
            <w:tcW w:w="3190" w:type="dxa"/>
            <w:tcBorders>
              <w:left w:val="nil"/>
              <w:right w:val="nil"/>
            </w:tcBorders>
            <w:shd w:val="clear" w:color="auto" w:fill="FFFFFF"/>
          </w:tcPr>
          <w:p w14:paraId="3F127CFC" w14:textId="6381B529" w:rsidR="00C85F8A" w:rsidRPr="00787196" w:rsidRDefault="002D61F7" w:rsidP="00C227F1">
            <w:pPr>
              <w:spacing w:before="0" w:after="0" w:line="240" w:lineRule="auto"/>
              <w:ind w:left="1028"/>
              <w:jc w:val="left"/>
              <w:rPr>
                <w:sz w:val="20"/>
                <w:szCs w:val="20"/>
              </w:rPr>
            </w:pPr>
            <w:r w:rsidRPr="00787196">
              <w:rPr>
                <w:sz w:val="20"/>
                <w:szCs w:val="20"/>
              </w:rPr>
              <w:t xml:space="preserve">  </w:t>
            </w:r>
            <w:r w:rsidR="00C85F8A" w:rsidRPr="00787196">
              <w:rPr>
                <w:sz w:val="20"/>
                <w:szCs w:val="20"/>
              </w:rPr>
              <w:t>0.097</w:t>
            </w:r>
          </w:p>
        </w:tc>
      </w:tr>
      <w:tr w:rsidR="00C85F8A" w:rsidRPr="00787196" w14:paraId="51377BB2" w14:textId="77777777" w:rsidTr="00C227F1">
        <w:trPr>
          <w:trHeight w:val="270"/>
        </w:trPr>
        <w:tc>
          <w:tcPr>
            <w:tcW w:w="4676" w:type="dxa"/>
            <w:shd w:val="clear" w:color="auto" w:fill="FFFFFF"/>
          </w:tcPr>
          <w:p w14:paraId="31239262" w14:textId="77777777" w:rsidR="00C85F8A" w:rsidRPr="00787196" w:rsidRDefault="00C85F8A" w:rsidP="00C227F1">
            <w:pPr>
              <w:spacing w:before="0" w:after="0" w:line="240" w:lineRule="auto"/>
              <w:ind w:left="142"/>
              <w:rPr>
                <w:sz w:val="20"/>
                <w:szCs w:val="20"/>
              </w:rPr>
            </w:pPr>
            <w:r w:rsidRPr="00787196">
              <w:rPr>
                <w:sz w:val="20"/>
                <w:szCs w:val="20"/>
              </w:rPr>
              <w:t>Positive/ adequate</w:t>
            </w:r>
          </w:p>
        </w:tc>
        <w:tc>
          <w:tcPr>
            <w:tcW w:w="3190" w:type="dxa"/>
            <w:tcBorders>
              <w:left w:val="nil"/>
              <w:right w:val="nil"/>
            </w:tcBorders>
            <w:shd w:val="clear" w:color="auto" w:fill="FFFFFF"/>
          </w:tcPr>
          <w:p w14:paraId="3CB39A69" w14:textId="77777777" w:rsidR="00C85F8A" w:rsidRPr="00787196" w:rsidRDefault="00C85F8A" w:rsidP="00C227F1">
            <w:pPr>
              <w:spacing w:before="0" w:after="0" w:line="240" w:lineRule="auto"/>
              <w:ind w:left="1028"/>
              <w:jc w:val="left"/>
              <w:rPr>
                <w:sz w:val="20"/>
                <w:szCs w:val="20"/>
              </w:rPr>
            </w:pPr>
            <w:r w:rsidRPr="00787196">
              <w:rPr>
                <w:sz w:val="20"/>
                <w:szCs w:val="20"/>
              </w:rPr>
              <w:t>-</w:t>
            </w:r>
            <w:r w:rsidR="00E97324" w:rsidRPr="00787196">
              <w:rPr>
                <w:sz w:val="20"/>
                <w:szCs w:val="20"/>
              </w:rPr>
              <w:t xml:space="preserve"> </w:t>
            </w:r>
            <w:r w:rsidRPr="00787196">
              <w:rPr>
                <w:sz w:val="20"/>
                <w:szCs w:val="20"/>
              </w:rPr>
              <w:t>0.077</w:t>
            </w:r>
          </w:p>
        </w:tc>
      </w:tr>
      <w:tr w:rsidR="00C85F8A" w:rsidRPr="00787196" w14:paraId="16506245" w14:textId="77777777" w:rsidTr="00C227F1">
        <w:trPr>
          <w:trHeight w:val="270"/>
        </w:trPr>
        <w:tc>
          <w:tcPr>
            <w:tcW w:w="4676" w:type="dxa"/>
            <w:shd w:val="clear" w:color="auto" w:fill="FFFFFF"/>
          </w:tcPr>
          <w:p w14:paraId="5891356D" w14:textId="77777777" w:rsidR="00C85F8A" w:rsidRPr="00787196" w:rsidRDefault="00C85F8A" w:rsidP="00C227F1">
            <w:pPr>
              <w:spacing w:before="0" w:after="0" w:line="240" w:lineRule="auto"/>
              <w:ind w:left="142"/>
              <w:rPr>
                <w:sz w:val="20"/>
                <w:szCs w:val="20"/>
              </w:rPr>
            </w:pPr>
            <w:r w:rsidRPr="00787196">
              <w:rPr>
                <w:sz w:val="20"/>
                <w:szCs w:val="20"/>
              </w:rPr>
              <w:t>Self-blame</w:t>
            </w:r>
          </w:p>
        </w:tc>
        <w:tc>
          <w:tcPr>
            <w:tcW w:w="3190" w:type="dxa"/>
            <w:tcBorders>
              <w:left w:val="nil"/>
              <w:right w:val="nil"/>
            </w:tcBorders>
            <w:shd w:val="clear" w:color="auto" w:fill="FFFFFF"/>
          </w:tcPr>
          <w:p w14:paraId="55BB87AA" w14:textId="77777777" w:rsidR="00C85F8A" w:rsidRPr="00787196" w:rsidRDefault="00C85F8A" w:rsidP="00C227F1">
            <w:pPr>
              <w:spacing w:before="0" w:after="0" w:line="240" w:lineRule="auto"/>
              <w:ind w:left="1028"/>
              <w:jc w:val="left"/>
              <w:rPr>
                <w:sz w:val="20"/>
                <w:szCs w:val="20"/>
              </w:rPr>
            </w:pPr>
            <w:r w:rsidRPr="00787196">
              <w:rPr>
                <w:sz w:val="20"/>
                <w:szCs w:val="20"/>
              </w:rPr>
              <w:t>- 0.048</w:t>
            </w:r>
          </w:p>
        </w:tc>
      </w:tr>
      <w:tr w:rsidR="00C85F8A" w:rsidRPr="00787196" w14:paraId="555CF686" w14:textId="77777777" w:rsidTr="00C227F1">
        <w:trPr>
          <w:trHeight w:val="270"/>
        </w:trPr>
        <w:tc>
          <w:tcPr>
            <w:tcW w:w="4676" w:type="dxa"/>
            <w:shd w:val="clear" w:color="auto" w:fill="FFFFFF"/>
          </w:tcPr>
          <w:p w14:paraId="24D6BEEB" w14:textId="77777777" w:rsidR="00C85F8A" w:rsidRPr="00787196" w:rsidRDefault="00C85F8A" w:rsidP="00C227F1">
            <w:pPr>
              <w:spacing w:before="0" w:after="0" w:line="240" w:lineRule="auto"/>
              <w:ind w:left="142"/>
              <w:rPr>
                <w:sz w:val="20"/>
                <w:szCs w:val="20"/>
              </w:rPr>
            </w:pPr>
            <w:r w:rsidRPr="00787196">
              <w:rPr>
                <w:sz w:val="20"/>
                <w:szCs w:val="20"/>
              </w:rPr>
              <w:t>Religion</w:t>
            </w:r>
          </w:p>
        </w:tc>
        <w:tc>
          <w:tcPr>
            <w:tcW w:w="3190" w:type="dxa"/>
            <w:tcBorders>
              <w:left w:val="nil"/>
              <w:right w:val="nil"/>
            </w:tcBorders>
            <w:shd w:val="clear" w:color="auto" w:fill="FFFFFF"/>
          </w:tcPr>
          <w:p w14:paraId="5D670CA5" w14:textId="437A8FBC" w:rsidR="00C85F8A" w:rsidRPr="00787196" w:rsidRDefault="002D61F7" w:rsidP="00C227F1">
            <w:pPr>
              <w:spacing w:before="0" w:after="0" w:line="240" w:lineRule="auto"/>
              <w:ind w:left="1028"/>
              <w:jc w:val="left"/>
              <w:rPr>
                <w:sz w:val="20"/>
                <w:szCs w:val="20"/>
              </w:rPr>
            </w:pPr>
            <w:r w:rsidRPr="00787196">
              <w:rPr>
                <w:sz w:val="20"/>
                <w:szCs w:val="20"/>
              </w:rPr>
              <w:t xml:space="preserve">  </w:t>
            </w:r>
            <w:r w:rsidR="00C85F8A" w:rsidRPr="00787196">
              <w:rPr>
                <w:sz w:val="20"/>
                <w:szCs w:val="20"/>
              </w:rPr>
              <w:t>0.024</w:t>
            </w:r>
          </w:p>
        </w:tc>
      </w:tr>
      <w:tr w:rsidR="00C85F8A" w:rsidRPr="00787196" w14:paraId="46FE5CC1" w14:textId="77777777" w:rsidTr="00C227F1">
        <w:trPr>
          <w:trHeight w:val="160"/>
        </w:trPr>
        <w:tc>
          <w:tcPr>
            <w:tcW w:w="4676" w:type="dxa"/>
            <w:shd w:val="clear" w:color="auto" w:fill="FFFFFF"/>
            <w:vAlign w:val="bottom"/>
          </w:tcPr>
          <w:p w14:paraId="6A6A51B0"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p>
        </w:tc>
        <w:tc>
          <w:tcPr>
            <w:tcW w:w="3190" w:type="dxa"/>
            <w:tcBorders>
              <w:left w:val="nil"/>
              <w:right w:val="nil"/>
            </w:tcBorders>
            <w:shd w:val="clear" w:color="auto" w:fill="FFFFFF"/>
            <w:vAlign w:val="center"/>
          </w:tcPr>
          <w:p w14:paraId="0BCCB311"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3CEC80AE" w14:textId="77777777" w:rsidTr="00C227F1">
        <w:trPr>
          <w:trHeight w:val="270"/>
        </w:trPr>
        <w:tc>
          <w:tcPr>
            <w:tcW w:w="4676" w:type="dxa"/>
            <w:shd w:val="clear" w:color="auto" w:fill="FFFFFF"/>
            <w:vAlign w:val="center"/>
          </w:tcPr>
          <w:p w14:paraId="27394031" w14:textId="77777777" w:rsidR="00C85F8A" w:rsidRPr="00787196" w:rsidRDefault="00C85F8A" w:rsidP="00C227F1">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Individual factors</w:t>
            </w:r>
          </w:p>
        </w:tc>
        <w:tc>
          <w:tcPr>
            <w:tcW w:w="3190" w:type="dxa"/>
            <w:tcBorders>
              <w:left w:val="nil"/>
              <w:right w:val="nil"/>
            </w:tcBorders>
            <w:shd w:val="clear" w:color="auto" w:fill="FFFFFF"/>
            <w:vAlign w:val="center"/>
          </w:tcPr>
          <w:p w14:paraId="5A6056BD"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51BC0C1E" w14:textId="77777777" w:rsidTr="00C227F1">
        <w:trPr>
          <w:trHeight w:val="140"/>
        </w:trPr>
        <w:tc>
          <w:tcPr>
            <w:tcW w:w="4676" w:type="dxa"/>
            <w:shd w:val="clear" w:color="auto" w:fill="FFFFFF"/>
          </w:tcPr>
          <w:p w14:paraId="58115BE4"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Subjective SES</w:t>
            </w:r>
          </w:p>
        </w:tc>
        <w:tc>
          <w:tcPr>
            <w:tcW w:w="3190" w:type="dxa"/>
            <w:tcBorders>
              <w:left w:val="nil"/>
              <w:right w:val="nil"/>
            </w:tcBorders>
            <w:shd w:val="clear" w:color="auto" w:fill="FFFFFF"/>
            <w:vAlign w:val="center"/>
          </w:tcPr>
          <w:p w14:paraId="2CFF1B03" w14:textId="7630A6C3" w:rsidR="00C85F8A" w:rsidRPr="00787196" w:rsidRDefault="002D61F7"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 xml:space="preserve">  </w:t>
            </w:r>
            <w:r w:rsidR="00C85F8A" w:rsidRPr="00787196">
              <w:rPr>
                <w:rFonts w:cs="Arial"/>
                <w:color w:val="000000"/>
                <w:sz w:val="20"/>
                <w:szCs w:val="20"/>
              </w:rPr>
              <w:t>0.001</w:t>
            </w:r>
          </w:p>
        </w:tc>
      </w:tr>
      <w:tr w:rsidR="00C85F8A" w:rsidRPr="00787196" w14:paraId="59EF9C77" w14:textId="77777777" w:rsidTr="00C227F1">
        <w:trPr>
          <w:trHeight w:val="101"/>
        </w:trPr>
        <w:tc>
          <w:tcPr>
            <w:tcW w:w="4676" w:type="dxa"/>
            <w:shd w:val="clear" w:color="auto" w:fill="FFFFFF"/>
          </w:tcPr>
          <w:p w14:paraId="3629C66C" w14:textId="77777777" w:rsidR="00C85F8A" w:rsidRPr="00787196" w:rsidRDefault="00C85F8A" w:rsidP="00C227F1">
            <w:pPr>
              <w:autoSpaceDE w:val="0"/>
              <w:autoSpaceDN w:val="0"/>
              <w:adjustRightInd w:val="0"/>
              <w:spacing w:before="0" w:after="0" w:line="240" w:lineRule="auto"/>
              <w:ind w:firstLine="142"/>
              <w:rPr>
                <w:rFonts w:cs="Arial"/>
                <w:color w:val="000000"/>
                <w:sz w:val="20"/>
                <w:szCs w:val="20"/>
              </w:rPr>
            </w:pPr>
            <w:r w:rsidRPr="00787196">
              <w:rPr>
                <w:rFonts w:cs="Arial"/>
                <w:color w:val="000000"/>
                <w:sz w:val="20"/>
                <w:szCs w:val="20"/>
              </w:rPr>
              <w:t>Concern about oral health</w:t>
            </w:r>
          </w:p>
        </w:tc>
        <w:tc>
          <w:tcPr>
            <w:tcW w:w="3190" w:type="dxa"/>
            <w:shd w:val="clear" w:color="auto" w:fill="FFFFFF"/>
            <w:vAlign w:val="center"/>
          </w:tcPr>
          <w:p w14:paraId="7BADE9CF" w14:textId="7C5579DA" w:rsidR="00C85F8A" w:rsidRPr="00787196" w:rsidRDefault="002D61F7"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 xml:space="preserve">  </w:t>
            </w:r>
            <w:r w:rsidR="00C85F8A" w:rsidRPr="00787196">
              <w:rPr>
                <w:rFonts w:cs="Arial"/>
                <w:color w:val="000000"/>
                <w:sz w:val="20"/>
                <w:szCs w:val="20"/>
              </w:rPr>
              <w:t>0.012</w:t>
            </w:r>
          </w:p>
        </w:tc>
      </w:tr>
      <w:tr w:rsidR="00C85F8A" w:rsidRPr="00787196" w14:paraId="24B52BCA" w14:textId="77777777" w:rsidTr="00C227F1">
        <w:trPr>
          <w:trHeight w:val="122"/>
        </w:trPr>
        <w:tc>
          <w:tcPr>
            <w:tcW w:w="4676" w:type="dxa"/>
            <w:shd w:val="clear" w:color="auto" w:fill="FFFFFF"/>
          </w:tcPr>
          <w:p w14:paraId="58525B38"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Ageing expectations</w:t>
            </w:r>
          </w:p>
        </w:tc>
        <w:tc>
          <w:tcPr>
            <w:tcW w:w="3190" w:type="dxa"/>
            <w:tcBorders>
              <w:left w:val="nil"/>
              <w:right w:val="nil"/>
            </w:tcBorders>
            <w:shd w:val="clear" w:color="auto" w:fill="FFFFFF"/>
            <w:vAlign w:val="center"/>
          </w:tcPr>
          <w:p w14:paraId="6A8252F3" w14:textId="3AF22206" w:rsidR="00C85F8A" w:rsidRPr="00787196" w:rsidRDefault="002D61F7"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 xml:space="preserve">  </w:t>
            </w:r>
            <w:r w:rsidR="00C85F8A" w:rsidRPr="00787196">
              <w:rPr>
                <w:rFonts w:cs="Arial"/>
                <w:color w:val="000000"/>
                <w:sz w:val="20"/>
                <w:szCs w:val="20"/>
              </w:rPr>
              <w:t>0.016</w:t>
            </w:r>
            <w:r w:rsidRPr="00787196">
              <w:rPr>
                <w:rFonts w:cs="Arial"/>
                <w:color w:val="000000"/>
                <w:sz w:val="20"/>
                <w:szCs w:val="20"/>
              </w:rPr>
              <w:t xml:space="preserve"> (ρ)</w:t>
            </w:r>
          </w:p>
        </w:tc>
      </w:tr>
      <w:tr w:rsidR="00C85F8A" w:rsidRPr="00787196" w14:paraId="2584027C" w14:textId="77777777" w:rsidTr="00C227F1">
        <w:trPr>
          <w:trHeight w:val="139"/>
        </w:trPr>
        <w:tc>
          <w:tcPr>
            <w:tcW w:w="4676" w:type="dxa"/>
            <w:shd w:val="clear" w:color="auto" w:fill="FFFFFF"/>
          </w:tcPr>
          <w:p w14:paraId="555DB35B"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Perceived stress</w:t>
            </w:r>
          </w:p>
        </w:tc>
        <w:tc>
          <w:tcPr>
            <w:tcW w:w="3190" w:type="dxa"/>
            <w:shd w:val="clear" w:color="auto" w:fill="FFFFFF"/>
            <w:vAlign w:val="center"/>
          </w:tcPr>
          <w:p w14:paraId="06B69523"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w:t>
            </w:r>
            <w:r w:rsidR="00E97324" w:rsidRPr="00787196">
              <w:rPr>
                <w:rFonts w:cs="Arial"/>
                <w:color w:val="000000"/>
                <w:sz w:val="20"/>
                <w:szCs w:val="20"/>
              </w:rPr>
              <w:t xml:space="preserve"> </w:t>
            </w:r>
            <w:r w:rsidRPr="00787196">
              <w:rPr>
                <w:rFonts w:cs="Arial"/>
                <w:color w:val="000000"/>
                <w:sz w:val="20"/>
                <w:szCs w:val="20"/>
              </w:rPr>
              <w:t>0.113</w:t>
            </w:r>
          </w:p>
        </w:tc>
      </w:tr>
      <w:tr w:rsidR="00C85F8A" w:rsidRPr="00787196" w14:paraId="72B25596" w14:textId="77777777" w:rsidTr="00C227F1">
        <w:trPr>
          <w:trHeight w:val="140"/>
        </w:trPr>
        <w:tc>
          <w:tcPr>
            <w:tcW w:w="4676" w:type="dxa"/>
            <w:tcBorders>
              <w:top w:val="nil"/>
              <w:bottom w:val="nil"/>
            </w:tcBorders>
            <w:shd w:val="clear" w:color="auto" w:fill="FFFFFF"/>
          </w:tcPr>
          <w:p w14:paraId="3565156B"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p>
        </w:tc>
        <w:tc>
          <w:tcPr>
            <w:tcW w:w="3190" w:type="dxa"/>
            <w:tcBorders>
              <w:top w:val="nil"/>
              <w:left w:val="nil"/>
              <w:bottom w:val="nil"/>
              <w:right w:val="nil"/>
            </w:tcBorders>
            <w:shd w:val="clear" w:color="auto" w:fill="FFFFFF"/>
            <w:vAlign w:val="center"/>
          </w:tcPr>
          <w:p w14:paraId="01F36D3C"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52D725E2" w14:textId="77777777" w:rsidTr="00C227F1">
        <w:trPr>
          <w:trHeight w:val="246"/>
        </w:trPr>
        <w:tc>
          <w:tcPr>
            <w:tcW w:w="4676" w:type="dxa"/>
            <w:tcBorders>
              <w:top w:val="nil"/>
            </w:tcBorders>
            <w:shd w:val="clear" w:color="auto" w:fill="FFFFFF"/>
          </w:tcPr>
          <w:p w14:paraId="3E8A3D93" w14:textId="4C5691C3" w:rsidR="00C85F8A" w:rsidRPr="00787196" w:rsidRDefault="008A4AE2" w:rsidP="008A4AE2">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Baseline (T1) o</w:t>
            </w:r>
            <w:r w:rsidR="00C85F8A" w:rsidRPr="00787196">
              <w:rPr>
                <w:rFonts w:cs="Arial"/>
                <w:b/>
                <w:bCs/>
                <w:color w:val="000000"/>
                <w:sz w:val="20"/>
                <w:szCs w:val="20"/>
              </w:rPr>
              <w:t>utcome</w:t>
            </w:r>
            <w:r w:rsidRPr="00787196">
              <w:rPr>
                <w:rFonts w:cs="Arial"/>
                <w:b/>
                <w:bCs/>
                <w:color w:val="000000"/>
                <w:sz w:val="20"/>
                <w:szCs w:val="20"/>
              </w:rPr>
              <w:t xml:space="preserve"> variables</w:t>
            </w:r>
          </w:p>
        </w:tc>
        <w:tc>
          <w:tcPr>
            <w:tcW w:w="3190" w:type="dxa"/>
            <w:tcBorders>
              <w:top w:val="nil"/>
              <w:left w:val="nil"/>
              <w:right w:val="nil"/>
            </w:tcBorders>
            <w:shd w:val="clear" w:color="auto" w:fill="FFFFFF"/>
            <w:vAlign w:val="center"/>
          </w:tcPr>
          <w:p w14:paraId="58691854"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p>
        </w:tc>
      </w:tr>
      <w:tr w:rsidR="00C85F8A" w:rsidRPr="00787196" w14:paraId="2612C6B0" w14:textId="77777777" w:rsidTr="00C227F1">
        <w:trPr>
          <w:trHeight w:val="246"/>
        </w:trPr>
        <w:tc>
          <w:tcPr>
            <w:tcW w:w="4676" w:type="dxa"/>
            <w:shd w:val="clear" w:color="auto" w:fill="FFFFFF"/>
          </w:tcPr>
          <w:p w14:paraId="22D52100"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OHQoL </w:t>
            </w:r>
          </w:p>
        </w:tc>
        <w:tc>
          <w:tcPr>
            <w:tcW w:w="3190" w:type="dxa"/>
            <w:tcBorders>
              <w:left w:val="nil"/>
              <w:right w:val="nil"/>
            </w:tcBorders>
            <w:shd w:val="clear" w:color="auto" w:fill="FFFFFF"/>
            <w:vAlign w:val="center"/>
          </w:tcPr>
          <w:p w14:paraId="655FC4EE"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vertAlign w:val="superscript"/>
              </w:rPr>
            </w:pPr>
            <w:r w:rsidRPr="00787196">
              <w:rPr>
                <w:rFonts w:cs="Arial"/>
                <w:color w:val="000000"/>
                <w:sz w:val="20"/>
                <w:szCs w:val="20"/>
              </w:rPr>
              <w:t>-</w:t>
            </w:r>
            <w:r w:rsidR="00E97324" w:rsidRPr="00787196">
              <w:rPr>
                <w:rFonts w:cs="Arial"/>
                <w:color w:val="000000"/>
                <w:sz w:val="20"/>
                <w:szCs w:val="20"/>
              </w:rPr>
              <w:t xml:space="preserve"> </w:t>
            </w:r>
            <w:r w:rsidRPr="00787196">
              <w:rPr>
                <w:rFonts w:cs="Arial"/>
                <w:color w:val="000000"/>
                <w:sz w:val="20"/>
                <w:szCs w:val="20"/>
              </w:rPr>
              <w:t>0.149*</w:t>
            </w:r>
          </w:p>
        </w:tc>
      </w:tr>
      <w:tr w:rsidR="00C85F8A" w:rsidRPr="00787196" w14:paraId="313A2409" w14:textId="77777777" w:rsidTr="00C227F1">
        <w:trPr>
          <w:trHeight w:val="246"/>
        </w:trPr>
        <w:tc>
          <w:tcPr>
            <w:tcW w:w="4676" w:type="dxa"/>
            <w:shd w:val="clear" w:color="auto" w:fill="FFFFFF"/>
          </w:tcPr>
          <w:p w14:paraId="395D1AD1"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Denture satisfaction</w:t>
            </w:r>
          </w:p>
        </w:tc>
        <w:tc>
          <w:tcPr>
            <w:tcW w:w="3190" w:type="dxa"/>
            <w:tcBorders>
              <w:left w:val="nil"/>
              <w:right w:val="nil"/>
            </w:tcBorders>
            <w:shd w:val="clear" w:color="auto" w:fill="FFFFFF"/>
            <w:vAlign w:val="center"/>
          </w:tcPr>
          <w:p w14:paraId="43DA8557" w14:textId="4FE8F3BE"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w:t>
            </w:r>
            <w:r w:rsidR="00E97324" w:rsidRPr="00787196">
              <w:rPr>
                <w:rFonts w:cs="Arial"/>
                <w:color w:val="000000"/>
                <w:sz w:val="20"/>
                <w:szCs w:val="20"/>
              </w:rPr>
              <w:t xml:space="preserve"> </w:t>
            </w:r>
            <w:r w:rsidRPr="00787196">
              <w:rPr>
                <w:rFonts w:cs="Arial"/>
                <w:color w:val="000000"/>
                <w:sz w:val="20"/>
                <w:szCs w:val="20"/>
              </w:rPr>
              <w:t>0.253**</w:t>
            </w:r>
          </w:p>
        </w:tc>
      </w:tr>
      <w:tr w:rsidR="00C85F8A" w:rsidRPr="00787196" w14:paraId="04F6B56D" w14:textId="77777777" w:rsidTr="00C227F1">
        <w:trPr>
          <w:trHeight w:val="251"/>
        </w:trPr>
        <w:tc>
          <w:tcPr>
            <w:tcW w:w="4676" w:type="dxa"/>
            <w:shd w:val="clear" w:color="auto" w:fill="FFFFFF"/>
          </w:tcPr>
          <w:p w14:paraId="1E854769"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Chewing ability</w:t>
            </w:r>
          </w:p>
        </w:tc>
        <w:tc>
          <w:tcPr>
            <w:tcW w:w="3190" w:type="dxa"/>
            <w:shd w:val="clear" w:color="auto" w:fill="FFFFFF"/>
            <w:vAlign w:val="center"/>
          </w:tcPr>
          <w:p w14:paraId="7A114E53" w14:textId="77777777" w:rsidR="00C85F8A" w:rsidRPr="00787196" w:rsidRDefault="00C85F8A" w:rsidP="00C227F1">
            <w:pPr>
              <w:autoSpaceDE w:val="0"/>
              <w:autoSpaceDN w:val="0"/>
              <w:adjustRightInd w:val="0"/>
              <w:spacing w:before="0" w:after="0" w:line="240" w:lineRule="auto"/>
              <w:ind w:left="1028"/>
              <w:jc w:val="left"/>
              <w:rPr>
                <w:rFonts w:cs="Arial"/>
                <w:color w:val="000000"/>
                <w:sz w:val="20"/>
                <w:szCs w:val="20"/>
              </w:rPr>
            </w:pPr>
            <w:r w:rsidRPr="00787196">
              <w:rPr>
                <w:rFonts w:cs="Arial"/>
                <w:color w:val="000000"/>
                <w:sz w:val="20"/>
                <w:szCs w:val="20"/>
              </w:rPr>
              <w:t>-</w:t>
            </w:r>
            <w:r w:rsidR="00E97324" w:rsidRPr="00787196">
              <w:rPr>
                <w:rFonts w:cs="Arial"/>
                <w:color w:val="000000"/>
                <w:sz w:val="20"/>
                <w:szCs w:val="20"/>
              </w:rPr>
              <w:t xml:space="preserve"> </w:t>
            </w:r>
            <w:r w:rsidRPr="00787196">
              <w:rPr>
                <w:rFonts w:cs="Arial"/>
                <w:color w:val="000000"/>
                <w:sz w:val="20"/>
                <w:szCs w:val="20"/>
              </w:rPr>
              <w:t>0.159*</w:t>
            </w:r>
          </w:p>
        </w:tc>
      </w:tr>
      <w:tr w:rsidR="00C85F8A" w:rsidRPr="00787196" w14:paraId="7FDECF70" w14:textId="77777777" w:rsidTr="00C227F1">
        <w:trPr>
          <w:trHeight w:val="259"/>
        </w:trPr>
        <w:tc>
          <w:tcPr>
            <w:tcW w:w="4676" w:type="dxa"/>
            <w:shd w:val="clear" w:color="auto" w:fill="FFFFFF"/>
          </w:tcPr>
          <w:p w14:paraId="079AC009" w14:textId="77777777" w:rsidR="00C85F8A" w:rsidRPr="00787196" w:rsidRDefault="00C85F8A" w:rsidP="00C227F1">
            <w:pPr>
              <w:autoSpaceDE w:val="0"/>
              <w:autoSpaceDN w:val="0"/>
              <w:adjustRightInd w:val="0"/>
              <w:spacing w:before="0" w:after="0" w:line="240" w:lineRule="auto"/>
              <w:ind w:left="142"/>
              <w:rPr>
                <w:rFonts w:cs="Arial"/>
                <w:color w:val="000000"/>
                <w:sz w:val="20"/>
                <w:szCs w:val="20"/>
              </w:rPr>
            </w:pPr>
          </w:p>
        </w:tc>
        <w:tc>
          <w:tcPr>
            <w:tcW w:w="3190" w:type="dxa"/>
            <w:shd w:val="clear" w:color="auto" w:fill="FFFFFF"/>
          </w:tcPr>
          <w:p w14:paraId="56C5DDE7" w14:textId="77777777" w:rsidR="00C85F8A" w:rsidRPr="00787196" w:rsidRDefault="00C85F8A" w:rsidP="00C227F1">
            <w:pPr>
              <w:autoSpaceDE w:val="0"/>
              <w:autoSpaceDN w:val="0"/>
              <w:adjustRightInd w:val="0"/>
              <w:spacing w:before="0" w:after="0" w:line="240" w:lineRule="auto"/>
              <w:jc w:val="center"/>
              <w:rPr>
                <w:rFonts w:cs="Arial"/>
                <w:color w:val="000000"/>
                <w:sz w:val="20"/>
                <w:szCs w:val="20"/>
              </w:rPr>
            </w:pPr>
          </w:p>
        </w:tc>
      </w:tr>
    </w:tbl>
    <w:p w14:paraId="21C90ACD" w14:textId="77777777" w:rsidR="00C90FB2" w:rsidRPr="00787196" w:rsidRDefault="00C90FB2" w:rsidP="002D61F7">
      <w:pPr>
        <w:spacing w:before="0" w:after="0" w:line="240" w:lineRule="auto"/>
        <w:rPr>
          <w:i/>
          <w:iCs/>
          <w:sz w:val="18"/>
          <w:szCs w:val="18"/>
        </w:rPr>
      </w:pPr>
      <w:r w:rsidRPr="00787196">
        <w:rPr>
          <w:i/>
          <w:iCs/>
          <w:sz w:val="18"/>
          <w:szCs w:val="18"/>
        </w:rPr>
        <w:t xml:space="preserve">**Correlation is significant at the 0.01 level (2-tailed), </w:t>
      </w:r>
    </w:p>
    <w:p w14:paraId="38B031EA" w14:textId="77777777" w:rsidR="007C2260" w:rsidRPr="00787196" w:rsidRDefault="00C90FB2" w:rsidP="002D61F7">
      <w:pPr>
        <w:spacing w:before="0" w:after="0" w:line="240" w:lineRule="auto"/>
        <w:rPr>
          <w:i/>
          <w:iCs/>
          <w:sz w:val="18"/>
          <w:szCs w:val="18"/>
        </w:rPr>
      </w:pPr>
      <w:r w:rsidRPr="00787196">
        <w:rPr>
          <w:i/>
          <w:iCs/>
          <w:sz w:val="18"/>
          <w:szCs w:val="18"/>
        </w:rPr>
        <w:t>* Correlati</w:t>
      </w:r>
      <w:r w:rsidR="001C1877" w:rsidRPr="00787196">
        <w:rPr>
          <w:i/>
          <w:iCs/>
          <w:sz w:val="18"/>
          <w:szCs w:val="18"/>
        </w:rPr>
        <w:t>on is significant at the 0.05 le</w:t>
      </w:r>
      <w:r w:rsidRPr="00787196">
        <w:rPr>
          <w:i/>
          <w:iCs/>
          <w:sz w:val="18"/>
          <w:szCs w:val="18"/>
        </w:rPr>
        <w:t>vel (2-tailed)</w:t>
      </w:r>
    </w:p>
    <w:p w14:paraId="5A77B6DF" w14:textId="77777777" w:rsidR="00C45554" w:rsidRPr="00787196" w:rsidRDefault="00C45554" w:rsidP="00755F46">
      <w:pPr>
        <w:spacing w:before="0" w:after="0"/>
        <w:rPr>
          <w:i/>
          <w:iCs/>
          <w:sz w:val="18"/>
          <w:szCs w:val="18"/>
        </w:rPr>
      </w:pPr>
    </w:p>
    <w:p w14:paraId="3ACAC901" w14:textId="77777777" w:rsidR="00757446" w:rsidRPr="00787196" w:rsidRDefault="00757446">
      <w:pPr>
        <w:spacing w:before="0" w:after="0" w:line="240" w:lineRule="auto"/>
        <w:jc w:val="left"/>
        <w:rPr>
          <w:szCs w:val="24"/>
        </w:rPr>
      </w:pPr>
      <w:r w:rsidRPr="00787196">
        <w:rPr>
          <w:szCs w:val="24"/>
        </w:rPr>
        <w:br w:type="page"/>
      </w:r>
    </w:p>
    <w:p w14:paraId="4B71A947" w14:textId="6AE05286" w:rsidR="00D96309" w:rsidRPr="00787196" w:rsidRDefault="00D96309" w:rsidP="001A247D">
      <w:pPr>
        <w:rPr>
          <w:szCs w:val="24"/>
        </w:rPr>
      </w:pPr>
      <w:r w:rsidRPr="00787196">
        <w:rPr>
          <w:szCs w:val="24"/>
        </w:rPr>
        <w:lastRenderedPageBreak/>
        <w:t>Significant associations were observed between individuals who were younger</w:t>
      </w:r>
      <w:r w:rsidR="003E6056" w:rsidRPr="00787196">
        <w:rPr>
          <w:szCs w:val="24"/>
        </w:rPr>
        <w:t>,</w:t>
      </w:r>
      <w:r w:rsidRPr="00787196">
        <w:rPr>
          <w:szCs w:val="24"/>
        </w:rPr>
        <w:t xml:space="preserve"> had worse OHQoL (higher OHIP scores), higher denture satisfaction, moderate chewing ability at baseline and worse (higher scores) denture satisfaction at follow up.</w:t>
      </w:r>
    </w:p>
    <w:p w14:paraId="5DC62205" w14:textId="0DF4EFF1" w:rsidR="00C44EBE" w:rsidRPr="00787196" w:rsidRDefault="00C44EBE" w:rsidP="0006726F">
      <w:pPr>
        <w:spacing w:before="0" w:after="0"/>
        <w:rPr>
          <w:iCs/>
          <w:szCs w:val="24"/>
        </w:rPr>
      </w:pPr>
      <w:bookmarkStart w:id="288" w:name="_Ref430907584"/>
      <w:r w:rsidRPr="00787196">
        <w:rPr>
          <w:iCs/>
          <w:szCs w:val="24"/>
        </w:rPr>
        <w:t>Tables 5-</w:t>
      </w:r>
      <w:r w:rsidR="00C227F1" w:rsidRPr="00787196">
        <w:rPr>
          <w:iCs/>
          <w:szCs w:val="24"/>
        </w:rPr>
        <w:t>19</w:t>
      </w:r>
      <w:r w:rsidRPr="00787196">
        <w:rPr>
          <w:iCs/>
          <w:szCs w:val="24"/>
        </w:rPr>
        <w:t xml:space="preserve"> and 5-2</w:t>
      </w:r>
      <w:r w:rsidR="00C227F1" w:rsidRPr="00787196">
        <w:rPr>
          <w:iCs/>
          <w:szCs w:val="24"/>
        </w:rPr>
        <w:t>0</w:t>
      </w:r>
      <w:r w:rsidRPr="00787196">
        <w:rPr>
          <w:sz w:val="22"/>
        </w:rPr>
        <w:t xml:space="preserve"> </w:t>
      </w:r>
      <w:r w:rsidRPr="00787196">
        <w:rPr>
          <w:iCs/>
          <w:szCs w:val="24"/>
        </w:rPr>
        <w:t>summarise the possible relationships between independent variables (clinical status, individual factors and environmental factors) at baseline and denture satisfaction at follow-up. There were significant associations between clinical factors such as the presence or absence of occluding pairs and prosthetic need variables with denture satisfaction.</w:t>
      </w:r>
      <w:r w:rsidR="0006726F" w:rsidRPr="00787196">
        <w:rPr>
          <w:iCs/>
          <w:szCs w:val="24"/>
        </w:rPr>
        <w:t xml:space="preserve"> </w:t>
      </w:r>
    </w:p>
    <w:p w14:paraId="15140F62" w14:textId="77777777" w:rsidR="00C44EBE" w:rsidRPr="00787196" w:rsidRDefault="00C44EBE" w:rsidP="00C44EBE">
      <w:pPr>
        <w:pStyle w:val="Caption"/>
        <w:keepNext/>
        <w:spacing w:before="0" w:after="0"/>
        <w:rPr>
          <w:i w:val="0"/>
          <w:iCs w:val="0"/>
          <w:color w:val="auto"/>
          <w:sz w:val="24"/>
          <w:szCs w:val="24"/>
        </w:rPr>
      </w:pPr>
    </w:p>
    <w:p w14:paraId="3C136612" w14:textId="76712EA2" w:rsidR="00C44EBE" w:rsidRPr="00787196" w:rsidRDefault="00C227F1" w:rsidP="0006726F">
      <w:pPr>
        <w:pStyle w:val="Caption"/>
        <w:spacing w:after="0"/>
        <w:jc w:val="left"/>
        <w:rPr>
          <w:b/>
          <w:bCs/>
          <w:i w:val="0"/>
          <w:iCs w:val="0"/>
          <w:color w:val="auto"/>
          <w:sz w:val="20"/>
          <w:szCs w:val="20"/>
        </w:rPr>
      </w:pPr>
      <w:bookmarkStart w:id="289" w:name="_Toc488655548"/>
      <w:bookmarkEnd w:id="288"/>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19</w:t>
      </w:r>
      <w:r w:rsidR="000332A1" w:rsidRPr="00787196">
        <w:rPr>
          <w:b/>
          <w:bCs/>
          <w:i w:val="0"/>
          <w:iCs w:val="0"/>
          <w:color w:val="auto"/>
          <w:sz w:val="20"/>
          <w:szCs w:val="20"/>
        </w:rPr>
        <w:fldChar w:fldCharType="end"/>
      </w:r>
      <w:r w:rsidR="002C6B34" w:rsidRPr="00787196">
        <w:rPr>
          <w:b/>
          <w:bCs/>
          <w:i w:val="0"/>
          <w:iCs w:val="0"/>
          <w:color w:val="auto"/>
          <w:sz w:val="20"/>
          <w:szCs w:val="20"/>
        </w:rPr>
        <w:t xml:space="preserve">. </w:t>
      </w:r>
      <w:r w:rsidR="0006726F" w:rsidRPr="00787196">
        <w:rPr>
          <w:b/>
          <w:bCs/>
          <w:i w:val="0"/>
          <w:iCs w:val="0"/>
          <w:color w:val="auto"/>
          <w:sz w:val="20"/>
          <w:szCs w:val="20"/>
        </w:rPr>
        <w:t xml:space="preserve">Bivariate association between </w:t>
      </w:r>
      <w:r w:rsidRPr="00787196">
        <w:rPr>
          <w:b/>
          <w:bCs/>
          <w:i w:val="0"/>
          <w:iCs w:val="0"/>
          <w:color w:val="auto"/>
          <w:sz w:val="20"/>
          <w:szCs w:val="20"/>
        </w:rPr>
        <w:t>number of teeth</w:t>
      </w:r>
      <w:r w:rsidR="0006726F" w:rsidRPr="00787196">
        <w:rPr>
          <w:b/>
          <w:bCs/>
          <w:i w:val="0"/>
          <w:iCs w:val="0"/>
          <w:color w:val="auto"/>
          <w:sz w:val="20"/>
          <w:szCs w:val="20"/>
        </w:rPr>
        <w:t xml:space="preserve"> present and denture satisfaction at follow-up (T2)</w:t>
      </w:r>
      <w:bookmarkEnd w:id="289"/>
    </w:p>
    <w:tbl>
      <w:tblPr>
        <w:tblpPr w:leftFromText="180" w:rightFromText="180" w:vertAnchor="text" w:horzAnchor="margin" w:tblpY="132"/>
        <w:tblW w:w="0" w:type="auto"/>
        <w:tblBorders>
          <w:top w:val="single" w:sz="8" w:space="0" w:color="000000"/>
          <w:bottom w:val="single" w:sz="8" w:space="0" w:color="000000"/>
        </w:tblBorders>
        <w:tblLook w:val="04A0" w:firstRow="1" w:lastRow="0" w:firstColumn="1" w:lastColumn="0" w:noHBand="0" w:noVBand="1"/>
      </w:tblPr>
      <w:tblGrid>
        <w:gridCol w:w="3632"/>
        <w:gridCol w:w="2370"/>
        <w:gridCol w:w="2220"/>
      </w:tblGrid>
      <w:tr w:rsidR="00EF2C98" w:rsidRPr="00787196" w14:paraId="4B2DD09A" w14:textId="77777777" w:rsidTr="009E1C1D">
        <w:trPr>
          <w:trHeight w:val="299"/>
        </w:trPr>
        <w:tc>
          <w:tcPr>
            <w:tcW w:w="3753" w:type="dxa"/>
            <w:tcBorders>
              <w:top w:val="single" w:sz="8" w:space="0" w:color="000000"/>
              <w:bottom w:val="single" w:sz="8" w:space="0" w:color="000000"/>
            </w:tcBorders>
            <w:shd w:val="clear" w:color="auto" w:fill="FFFFFF"/>
          </w:tcPr>
          <w:p w14:paraId="6A811F1D" w14:textId="7163AC03" w:rsidR="00EF2C98" w:rsidRPr="00787196" w:rsidRDefault="00EF2C98" w:rsidP="007959C4">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 xml:space="preserve">Clinical </w:t>
            </w:r>
            <w:r w:rsidR="007959C4" w:rsidRPr="00787196">
              <w:rPr>
                <w:rFonts w:cs="Arial"/>
                <w:b/>
                <w:bCs/>
                <w:color w:val="000000"/>
                <w:sz w:val="20"/>
                <w:szCs w:val="20"/>
              </w:rPr>
              <w:t>factor</w:t>
            </w:r>
          </w:p>
        </w:tc>
        <w:tc>
          <w:tcPr>
            <w:tcW w:w="2455" w:type="dxa"/>
            <w:tcBorders>
              <w:top w:val="single" w:sz="8" w:space="0" w:color="000000"/>
              <w:bottom w:val="single" w:sz="8" w:space="0" w:color="000000"/>
            </w:tcBorders>
            <w:shd w:val="clear" w:color="auto" w:fill="FFFFFF"/>
            <w:vAlign w:val="center"/>
          </w:tcPr>
          <w:p w14:paraId="76938A6D" w14:textId="77777777" w:rsidR="00EF2C98" w:rsidRPr="00787196" w:rsidRDefault="00EF2C98" w:rsidP="009E1C1D">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2296" w:type="dxa"/>
            <w:tcBorders>
              <w:top w:val="single" w:sz="8" w:space="0" w:color="000000"/>
              <w:bottom w:val="single" w:sz="8" w:space="0" w:color="000000"/>
            </w:tcBorders>
            <w:shd w:val="clear" w:color="auto" w:fill="FFFFFF"/>
          </w:tcPr>
          <w:p w14:paraId="15327136" w14:textId="77777777" w:rsidR="00EF2C98" w:rsidRPr="00787196" w:rsidRDefault="00EF2C98" w:rsidP="009E1C1D">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tc>
      </w:tr>
      <w:tr w:rsidR="00EF2C98" w:rsidRPr="00787196" w14:paraId="684227BC" w14:textId="77777777" w:rsidTr="009E1C1D">
        <w:trPr>
          <w:trHeight w:val="20"/>
        </w:trPr>
        <w:tc>
          <w:tcPr>
            <w:tcW w:w="3753" w:type="dxa"/>
            <w:shd w:val="clear" w:color="auto" w:fill="FFFFFF"/>
            <w:vAlign w:val="center"/>
          </w:tcPr>
          <w:p w14:paraId="51DC8094" w14:textId="77777777" w:rsidR="00EF2C98" w:rsidRPr="00787196" w:rsidRDefault="00EF2C98" w:rsidP="009E1C1D">
            <w:pPr>
              <w:spacing w:before="0" w:after="0"/>
              <w:ind w:left="142"/>
              <w:rPr>
                <w:rFonts w:cs="Arial"/>
                <w:b/>
                <w:bCs/>
                <w:color w:val="000000"/>
                <w:sz w:val="20"/>
                <w:szCs w:val="20"/>
              </w:rPr>
            </w:pPr>
            <w:r w:rsidRPr="00787196">
              <w:rPr>
                <w:rFonts w:cs="Arial"/>
                <w:b/>
                <w:bCs/>
                <w:color w:val="000000"/>
                <w:sz w:val="20"/>
                <w:szCs w:val="20"/>
              </w:rPr>
              <w:t>No. of teeth present)</w:t>
            </w:r>
          </w:p>
        </w:tc>
        <w:tc>
          <w:tcPr>
            <w:tcW w:w="2455" w:type="dxa"/>
            <w:tcBorders>
              <w:left w:val="nil"/>
              <w:right w:val="nil"/>
            </w:tcBorders>
            <w:shd w:val="clear" w:color="auto" w:fill="FFFFFF"/>
          </w:tcPr>
          <w:p w14:paraId="133D9326" w14:textId="77777777" w:rsidR="00EF2C98" w:rsidRPr="00787196" w:rsidRDefault="00EF2C98" w:rsidP="009E1C1D">
            <w:pPr>
              <w:spacing w:before="0" w:after="0" w:line="240" w:lineRule="auto"/>
              <w:jc w:val="center"/>
              <w:rPr>
                <w:sz w:val="20"/>
                <w:szCs w:val="20"/>
              </w:rPr>
            </w:pPr>
          </w:p>
        </w:tc>
        <w:tc>
          <w:tcPr>
            <w:tcW w:w="2296" w:type="dxa"/>
            <w:tcBorders>
              <w:left w:val="nil"/>
              <w:right w:val="nil"/>
            </w:tcBorders>
            <w:shd w:val="clear" w:color="auto" w:fill="FFFFFF"/>
          </w:tcPr>
          <w:p w14:paraId="3C42C311" w14:textId="77777777" w:rsidR="00EF2C98" w:rsidRPr="00787196" w:rsidRDefault="00EF2C98" w:rsidP="009E1C1D">
            <w:pPr>
              <w:spacing w:before="0" w:after="0" w:line="240" w:lineRule="auto"/>
              <w:jc w:val="center"/>
              <w:rPr>
                <w:sz w:val="20"/>
                <w:szCs w:val="20"/>
              </w:rPr>
            </w:pPr>
          </w:p>
        </w:tc>
      </w:tr>
      <w:tr w:rsidR="00EF2C98" w:rsidRPr="00787196" w14:paraId="0D05CE2C" w14:textId="77777777" w:rsidTr="009E1C1D">
        <w:trPr>
          <w:trHeight w:val="20"/>
        </w:trPr>
        <w:tc>
          <w:tcPr>
            <w:tcW w:w="3753" w:type="dxa"/>
            <w:shd w:val="clear" w:color="auto" w:fill="D9D9D9"/>
            <w:vAlign w:val="center"/>
          </w:tcPr>
          <w:p w14:paraId="4CFB38DA" w14:textId="77777777" w:rsidR="00EF2C98" w:rsidRPr="00787196" w:rsidRDefault="00EF2C98" w:rsidP="009E1C1D">
            <w:pPr>
              <w:spacing w:before="0" w:after="0"/>
              <w:ind w:left="142"/>
              <w:rPr>
                <w:sz w:val="20"/>
                <w:szCs w:val="20"/>
              </w:rPr>
            </w:pPr>
            <w:r w:rsidRPr="00787196">
              <w:rPr>
                <w:sz w:val="20"/>
                <w:szCs w:val="20"/>
              </w:rPr>
              <w:t>Functional dentition (&gt;21 teeth)</w:t>
            </w:r>
          </w:p>
        </w:tc>
        <w:tc>
          <w:tcPr>
            <w:tcW w:w="2455" w:type="dxa"/>
            <w:vMerge w:val="restart"/>
            <w:tcBorders>
              <w:left w:val="nil"/>
              <w:right w:val="nil"/>
            </w:tcBorders>
            <w:shd w:val="clear" w:color="auto" w:fill="D9D9D9"/>
            <w:vAlign w:val="center"/>
          </w:tcPr>
          <w:p w14:paraId="5CC0F011" w14:textId="77777777" w:rsidR="00EF2C98" w:rsidRPr="00787196" w:rsidRDefault="00EF2C98" w:rsidP="009E1C1D">
            <w:pPr>
              <w:spacing w:before="0" w:after="0" w:line="240" w:lineRule="auto"/>
              <w:jc w:val="center"/>
              <w:rPr>
                <w:sz w:val="20"/>
                <w:szCs w:val="20"/>
              </w:rPr>
            </w:pPr>
            <w:r w:rsidRPr="00787196">
              <w:rPr>
                <w:sz w:val="20"/>
                <w:szCs w:val="20"/>
              </w:rPr>
              <w:t>1.682</w:t>
            </w:r>
          </w:p>
        </w:tc>
        <w:tc>
          <w:tcPr>
            <w:tcW w:w="2296" w:type="dxa"/>
            <w:tcBorders>
              <w:left w:val="nil"/>
              <w:right w:val="nil"/>
            </w:tcBorders>
            <w:shd w:val="clear" w:color="auto" w:fill="D9D9D9"/>
            <w:vAlign w:val="center"/>
          </w:tcPr>
          <w:p w14:paraId="70C69317" w14:textId="77777777" w:rsidR="00EF2C98" w:rsidRPr="00787196" w:rsidRDefault="00EF2C98" w:rsidP="009E1C1D">
            <w:pPr>
              <w:spacing w:before="0" w:after="0" w:line="240" w:lineRule="auto"/>
              <w:jc w:val="center"/>
              <w:rPr>
                <w:sz w:val="20"/>
                <w:szCs w:val="20"/>
              </w:rPr>
            </w:pPr>
            <w:r w:rsidRPr="00787196">
              <w:rPr>
                <w:sz w:val="20"/>
                <w:szCs w:val="20"/>
              </w:rPr>
              <w:t>22.03 (9.27)</w:t>
            </w:r>
          </w:p>
        </w:tc>
      </w:tr>
      <w:tr w:rsidR="00EF2C98" w:rsidRPr="00787196" w14:paraId="11CFE590" w14:textId="77777777" w:rsidTr="009E1C1D">
        <w:trPr>
          <w:trHeight w:val="20"/>
        </w:trPr>
        <w:tc>
          <w:tcPr>
            <w:tcW w:w="3753" w:type="dxa"/>
            <w:shd w:val="clear" w:color="auto" w:fill="D9D9D9"/>
            <w:vAlign w:val="center"/>
          </w:tcPr>
          <w:p w14:paraId="32C3285B" w14:textId="77777777" w:rsidR="00EF2C98" w:rsidRPr="00787196" w:rsidRDefault="00EF2C98" w:rsidP="009E1C1D">
            <w:pPr>
              <w:spacing w:before="0" w:after="0"/>
              <w:ind w:left="142"/>
              <w:rPr>
                <w:sz w:val="20"/>
                <w:szCs w:val="20"/>
              </w:rPr>
            </w:pPr>
            <w:r w:rsidRPr="00787196">
              <w:rPr>
                <w:sz w:val="20"/>
                <w:szCs w:val="20"/>
              </w:rPr>
              <w:t>&lt; 21 teeth</w:t>
            </w:r>
          </w:p>
        </w:tc>
        <w:tc>
          <w:tcPr>
            <w:tcW w:w="2455" w:type="dxa"/>
            <w:vMerge/>
            <w:tcBorders>
              <w:left w:val="nil"/>
              <w:right w:val="nil"/>
            </w:tcBorders>
            <w:shd w:val="clear" w:color="auto" w:fill="D9D9D9"/>
          </w:tcPr>
          <w:p w14:paraId="03EFF1A5" w14:textId="77777777" w:rsidR="00EF2C98" w:rsidRPr="00787196" w:rsidRDefault="00EF2C98" w:rsidP="009E1C1D">
            <w:pPr>
              <w:spacing w:before="0" w:after="0" w:line="240" w:lineRule="auto"/>
              <w:jc w:val="center"/>
              <w:rPr>
                <w:sz w:val="20"/>
                <w:szCs w:val="20"/>
              </w:rPr>
            </w:pPr>
          </w:p>
        </w:tc>
        <w:tc>
          <w:tcPr>
            <w:tcW w:w="2296" w:type="dxa"/>
            <w:tcBorders>
              <w:left w:val="nil"/>
              <w:right w:val="nil"/>
            </w:tcBorders>
            <w:shd w:val="clear" w:color="auto" w:fill="D9D9D9"/>
            <w:vAlign w:val="center"/>
          </w:tcPr>
          <w:p w14:paraId="2715FE77" w14:textId="77777777" w:rsidR="00EF2C98" w:rsidRPr="00787196" w:rsidRDefault="00EF2C98" w:rsidP="009E1C1D">
            <w:pPr>
              <w:spacing w:before="0" w:after="0" w:line="240" w:lineRule="auto"/>
              <w:jc w:val="center"/>
              <w:rPr>
                <w:sz w:val="20"/>
                <w:szCs w:val="20"/>
              </w:rPr>
            </w:pPr>
            <w:r w:rsidRPr="00787196">
              <w:rPr>
                <w:sz w:val="20"/>
                <w:szCs w:val="20"/>
              </w:rPr>
              <w:t>21.98</w:t>
            </w:r>
            <w:r w:rsidRPr="00787196">
              <w:rPr>
                <w:rFonts w:cs="Arial"/>
                <w:color w:val="000000"/>
                <w:sz w:val="20"/>
                <w:szCs w:val="20"/>
              </w:rPr>
              <w:t xml:space="preserve"> (9.00)</w:t>
            </w:r>
          </w:p>
        </w:tc>
      </w:tr>
      <w:tr w:rsidR="00EF2C98" w:rsidRPr="00787196" w14:paraId="55ED3AC0" w14:textId="77777777" w:rsidTr="009E1C1D">
        <w:trPr>
          <w:trHeight w:val="20"/>
        </w:trPr>
        <w:tc>
          <w:tcPr>
            <w:tcW w:w="3753" w:type="dxa"/>
            <w:shd w:val="clear" w:color="auto" w:fill="D9D9D9"/>
            <w:vAlign w:val="center"/>
          </w:tcPr>
          <w:p w14:paraId="6FA67FFB" w14:textId="77777777" w:rsidR="00EF2C98" w:rsidRPr="00787196" w:rsidRDefault="00EF2C98" w:rsidP="009E1C1D">
            <w:pPr>
              <w:spacing w:before="0" w:after="0"/>
              <w:ind w:left="142"/>
              <w:rPr>
                <w:sz w:val="20"/>
                <w:szCs w:val="20"/>
              </w:rPr>
            </w:pPr>
            <w:r w:rsidRPr="00787196">
              <w:rPr>
                <w:sz w:val="20"/>
                <w:szCs w:val="20"/>
              </w:rPr>
              <w:t>No teeth</w:t>
            </w:r>
          </w:p>
        </w:tc>
        <w:tc>
          <w:tcPr>
            <w:tcW w:w="2455" w:type="dxa"/>
            <w:vMerge/>
            <w:tcBorders>
              <w:left w:val="nil"/>
              <w:right w:val="nil"/>
            </w:tcBorders>
            <w:shd w:val="clear" w:color="auto" w:fill="D9D9D9"/>
          </w:tcPr>
          <w:p w14:paraId="6188A2A3" w14:textId="77777777" w:rsidR="00EF2C98" w:rsidRPr="00787196" w:rsidRDefault="00EF2C98" w:rsidP="009E1C1D">
            <w:pPr>
              <w:spacing w:before="0" w:after="0" w:line="240" w:lineRule="auto"/>
              <w:jc w:val="center"/>
              <w:rPr>
                <w:sz w:val="20"/>
                <w:szCs w:val="20"/>
              </w:rPr>
            </w:pPr>
          </w:p>
        </w:tc>
        <w:tc>
          <w:tcPr>
            <w:tcW w:w="2296" w:type="dxa"/>
            <w:tcBorders>
              <w:left w:val="nil"/>
              <w:right w:val="nil"/>
            </w:tcBorders>
            <w:shd w:val="clear" w:color="auto" w:fill="D9D9D9"/>
            <w:vAlign w:val="center"/>
          </w:tcPr>
          <w:p w14:paraId="51D43B21" w14:textId="77777777" w:rsidR="00EF2C98" w:rsidRPr="00787196" w:rsidRDefault="00EF2C98" w:rsidP="009E1C1D">
            <w:pPr>
              <w:spacing w:before="0" w:after="0" w:line="240" w:lineRule="auto"/>
              <w:jc w:val="center"/>
              <w:rPr>
                <w:sz w:val="20"/>
                <w:szCs w:val="20"/>
              </w:rPr>
            </w:pPr>
            <w:r w:rsidRPr="00787196">
              <w:rPr>
                <w:sz w:val="20"/>
                <w:szCs w:val="20"/>
              </w:rPr>
              <w:t>19.74 (7.90)</w:t>
            </w:r>
          </w:p>
        </w:tc>
      </w:tr>
      <w:tr w:rsidR="00EF2C98" w:rsidRPr="00787196" w14:paraId="578BCA68" w14:textId="77777777" w:rsidTr="009E1C1D">
        <w:trPr>
          <w:trHeight w:val="20"/>
        </w:trPr>
        <w:tc>
          <w:tcPr>
            <w:tcW w:w="3753" w:type="dxa"/>
            <w:shd w:val="clear" w:color="auto" w:fill="FFFFFF"/>
          </w:tcPr>
          <w:p w14:paraId="08F3C8D2" w14:textId="77777777" w:rsidR="00EF2C98" w:rsidRPr="00787196" w:rsidRDefault="00EF2C98" w:rsidP="009E1C1D">
            <w:pPr>
              <w:autoSpaceDE w:val="0"/>
              <w:autoSpaceDN w:val="0"/>
              <w:adjustRightInd w:val="0"/>
              <w:spacing w:before="0" w:after="0" w:line="240" w:lineRule="auto"/>
              <w:ind w:left="142"/>
              <w:rPr>
                <w:rFonts w:cs="Arial"/>
                <w:color w:val="000000"/>
                <w:sz w:val="20"/>
                <w:szCs w:val="20"/>
              </w:rPr>
            </w:pPr>
          </w:p>
        </w:tc>
        <w:tc>
          <w:tcPr>
            <w:tcW w:w="2455" w:type="dxa"/>
            <w:shd w:val="clear" w:color="auto" w:fill="FFFFFF"/>
          </w:tcPr>
          <w:p w14:paraId="0B6BD771" w14:textId="77777777" w:rsidR="00EF2C98" w:rsidRPr="00787196" w:rsidRDefault="00EF2C98" w:rsidP="009E1C1D">
            <w:pPr>
              <w:autoSpaceDE w:val="0"/>
              <w:autoSpaceDN w:val="0"/>
              <w:adjustRightInd w:val="0"/>
              <w:spacing w:before="0" w:after="0" w:line="240" w:lineRule="auto"/>
              <w:jc w:val="center"/>
              <w:rPr>
                <w:rFonts w:cs="Arial"/>
                <w:color w:val="000000"/>
                <w:sz w:val="20"/>
                <w:szCs w:val="20"/>
              </w:rPr>
            </w:pPr>
          </w:p>
        </w:tc>
        <w:tc>
          <w:tcPr>
            <w:tcW w:w="2296" w:type="dxa"/>
            <w:shd w:val="clear" w:color="auto" w:fill="FFFFFF"/>
          </w:tcPr>
          <w:p w14:paraId="4334B18A" w14:textId="77777777" w:rsidR="00EF2C98" w:rsidRPr="00787196" w:rsidRDefault="00EF2C98" w:rsidP="009E1C1D">
            <w:pPr>
              <w:autoSpaceDE w:val="0"/>
              <w:autoSpaceDN w:val="0"/>
              <w:adjustRightInd w:val="0"/>
              <w:spacing w:before="0" w:after="0" w:line="240" w:lineRule="auto"/>
              <w:jc w:val="center"/>
              <w:rPr>
                <w:rFonts w:cs="Arial"/>
                <w:color w:val="000000"/>
                <w:sz w:val="20"/>
                <w:szCs w:val="20"/>
              </w:rPr>
            </w:pPr>
          </w:p>
        </w:tc>
      </w:tr>
    </w:tbl>
    <w:p w14:paraId="54D946CB" w14:textId="5BDA4EF6" w:rsidR="00C45554" w:rsidRPr="00787196" w:rsidRDefault="00EF2C98" w:rsidP="00C44EBE">
      <w:pPr>
        <w:spacing w:before="0" w:after="0"/>
        <w:rPr>
          <w:i/>
          <w:iCs/>
          <w:sz w:val="18"/>
          <w:szCs w:val="18"/>
        </w:rPr>
      </w:pPr>
      <w:r w:rsidRPr="00787196">
        <w:rPr>
          <w:i/>
          <w:iCs/>
          <w:sz w:val="16"/>
          <w:szCs w:val="16"/>
        </w:rPr>
        <w:t>^</w:t>
      </w:r>
      <w:r w:rsidRPr="00787196">
        <w:rPr>
          <w:i/>
          <w:iCs/>
          <w:sz w:val="21"/>
          <w:szCs w:val="18"/>
        </w:rPr>
        <w:t>p value significant at F &lt;0.05 (One Way ANOVA)</w:t>
      </w:r>
    </w:p>
    <w:p w14:paraId="310519AE" w14:textId="0701F225" w:rsidR="002A51CA" w:rsidRPr="00787196" w:rsidRDefault="007C2260" w:rsidP="0006726F">
      <w:pPr>
        <w:pStyle w:val="Caption"/>
        <w:spacing w:after="0"/>
        <w:jc w:val="left"/>
        <w:rPr>
          <w:b/>
          <w:bCs/>
          <w:i w:val="0"/>
          <w:iCs w:val="0"/>
          <w:color w:val="auto"/>
          <w:sz w:val="20"/>
          <w:szCs w:val="20"/>
        </w:rPr>
      </w:pPr>
      <w:r w:rsidRPr="00787196">
        <w:rPr>
          <w:i w:val="0"/>
          <w:iCs w:val="0"/>
        </w:rPr>
        <w:br w:type="page"/>
      </w:r>
      <w:bookmarkStart w:id="290" w:name="_Toc488655549"/>
      <w:r w:rsidR="00922A9E" w:rsidRPr="00787196">
        <w:rPr>
          <w:b/>
          <w:bCs/>
          <w:i w:val="0"/>
          <w:iCs w:val="0"/>
          <w:color w:val="auto"/>
          <w:sz w:val="20"/>
          <w:szCs w:val="20"/>
        </w:rPr>
        <w:lastRenderedPageBreak/>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20</w:t>
      </w:r>
      <w:r w:rsidR="000332A1" w:rsidRPr="00787196">
        <w:rPr>
          <w:b/>
          <w:bCs/>
          <w:i w:val="0"/>
          <w:iCs w:val="0"/>
          <w:color w:val="auto"/>
          <w:sz w:val="20"/>
          <w:szCs w:val="20"/>
        </w:rPr>
        <w:fldChar w:fldCharType="end"/>
      </w:r>
      <w:r w:rsidR="002C6B34" w:rsidRPr="00787196">
        <w:rPr>
          <w:b/>
          <w:bCs/>
          <w:i w:val="0"/>
          <w:iCs w:val="0"/>
          <w:color w:val="auto"/>
          <w:sz w:val="20"/>
          <w:szCs w:val="20"/>
        </w:rPr>
        <w:t>.</w:t>
      </w:r>
      <w:r w:rsidR="00922A9E" w:rsidRPr="00787196">
        <w:rPr>
          <w:b/>
          <w:bCs/>
          <w:i w:val="0"/>
          <w:iCs w:val="0"/>
          <w:color w:val="auto"/>
          <w:sz w:val="20"/>
          <w:szCs w:val="20"/>
        </w:rPr>
        <w:t xml:space="preserve"> </w:t>
      </w:r>
      <w:r w:rsidR="0006726F" w:rsidRPr="00787196">
        <w:rPr>
          <w:b/>
          <w:bCs/>
          <w:i w:val="0"/>
          <w:iCs w:val="0"/>
          <w:color w:val="auto"/>
          <w:sz w:val="20"/>
          <w:szCs w:val="20"/>
        </w:rPr>
        <w:t xml:space="preserve">Bivariate associations between </w:t>
      </w:r>
      <w:r w:rsidR="00922A9E" w:rsidRPr="00787196">
        <w:rPr>
          <w:b/>
          <w:bCs/>
          <w:i w:val="0"/>
          <w:iCs w:val="0"/>
          <w:color w:val="auto"/>
          <w:sz w:val="20"/>
          <w:szCs w:val="20"/>
        </w:rPr>
        <w:t xml:space="preserve">clinical </w:t>
      </w:r>
      <w:r w:rsidR="0006726F" w:rsidRPr="00787196">
        <w:rPr>
          <w:b/>
          <w:bCs/>
          <w:i w:val="0"/>
          <w:iCs w:val="0"/>
          <w:color w:val="auto"/>
          <w:sz w:val="20"/>
          <w:szCs w:val="20"/>
        </w:rPr>
        <w:t xml:space="preserve">status, demographic variables </w:t>
      </w:r>
      <w:r w:rsidR="003F6EBF" w:rsidRPr="00787196">
        <w:rPr>
          <w:b/>
          <w:bCs/>
          <w:i w:val="0"/>
          <w:iCs w:val="0"/>
          <w:color w:val="auto"/>
          <w:sz w:val="20"/>
          <w:szCs w:val="20"/>
        </w:rPr>
        <w:t xml:space="preserve">at baseline (T1) </w:t>
      </w:r>
      <w:r w:rsidR="0006726F" w:rsidRPr="00787196">
        <w:rPr>
          <w:b/>
          <w:bCs/>
          <w:i w:val="0"/>
          <w:iCs w:val="0"/>
          <w:color w:val="auto"/>
          <w:sz w:val="20"/>
          <w:szCs w:val="20"/>
        </w:rPr>
        <w:t>and denture satisfaction at follow up (T2)</w:t>
      </w:r>
      <w:bookmarkEnd w:id="290"/>
    </w:p>
    <w:tbl>
      <w:tblPr>
        <w:tblpPr w:leftFromText="180" w:rightFromText="180" w:vertAnchor="text" w:horzAnchor="margin" w:tblpY="518"/>
        <w:tblW w:w="0" w:type="auto"/>
        <w:tblBorders>
          <w:top w:val="single" w:sz="8" w:space="0" w:color="000000"/>
          <w:bottom w:val="single" w:sz="8" w:space="0" w:color="000000"/>
        </w:tblBorders>
        <w:tblLook w:val="04A0" w:firstRow="1" w:lastRow="0" w:firstColumn="1" w:lastColumn="0" w:noHBand="0" w:noVBand="1"/>
      </w:tblPr>
      <w:tblGrid>
        <w:gridCol w:w="4433"/>
        <w:gridCol w:w="1531"/>
        <w:gridCol w:w="2258"/>
      </w:tblGrid>
      <w:tr w:rsidR="002A51CA" w:rsidRPr="00787196" w14:paraId="78A84EFE" w14:textId="77777777" w:rsidTr="002A51CA">
        <w:trPr>
          <w:trHeight w:val="392"/>
        </w:trPr>
        <w:tc>
          <w:tcPr>
            <w:tcW w:w="4536" w:type="dxa"/>
            <w:tcBorders>
              <w:top w:val="single" w:sz="8" w:space="0" w:color="000000"/>
              <w:bottom w:val="single" w:sz="8" w:space="0" w:color="000000"/>
            </w:tcBorders>
            <w:shd w:val="clear" w:color="auto" w:fill="FFFFFF"/>
            <w:vAlign w:val="center"/>
          </w:tcPr>
          <w:p w14:paraId="2BB6EAD3"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p>
        </w:tc>
        <w:tc>
          <w:tcPr>
            <w:tcW w:w="1560" w:type="dxa"/>
            <w:tcBorders>
              <w:top w:val="single" w:sz="8" w:space="0" w:color="000000"/>
              <w:bottom w:val="single" w:sz="8" w:space="0" w:color="000000"/>
            </w:tcBorders>
            <w:shd w:val="clear" w:color="auto" w:fill="FFFFFF"/>
            <w:vAlign w:val="center"/>
          </w:tcPr>
          <w:p w14:paraId="235B667D" w14:textId="77777777" w:rsidR="002A51CA" w:rsidRPr="00787196" w:rsidRDefault="002A51CA" w:rsidP="002A51CA">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t</w:t>
            </w:r>
          </w:p>
        </w:tc>
        <w:tc>
          <w:tcPr>
            <w:tcW w:w="2295" w:type="dxa"/>
            <w:tcBorders>
              <w:top w:val="single" w:sz="8" w:space="0" w:color="000000"/>
              <w:bottom w:val="single" w:sz="8" w:space="0" w:color="000000"/>
            </w:tcBorders>
            <w:shd w:val="clear" w:color="auto" w:fill="FFFFFF"/>
            <w:vAlign w:val="center"/>
          </w:tcPr>
          <w:p w14:paraId="047787FB" w14:textId="77777777" w:rsidR="002A51CA" w:rsidRPr="00787196" w:rsidRDefault="002A51CA" w:rsidP="002A51CA">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Mean (SD)</w:t>
            </w:r>
          </w:p>
        </w:tc>
      </w:tr>
      <w:tr w:rsidR="002A51CA" w:rsidRPr="00787196" w14:paraId="0E633F13" w14:textId="77777777" w:rsidTr="002A51CA">
        <w:trPr>
          <w:trHeight w:val="273"/>
        </w:trPr>
        <w:tc>
          <w:tcPr>
            <w:tcW w:w="4536" w:type="dxa"/>
            <w:shd w:val="clear" w:color="auto" w:fill="FFFFFF"/>
            <w:vAlign w:val="center"/>
          </w:tcPr>
          <w:p w14:paraId="6BEB69E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CLINICAL STATUS</w:t>
            </w:r>
          </w:p>
        </w:tc>
        <w:tc>
          <w:tcPr>
            <w:tcW w:w="1560" w:type="dxa"/>
            <w:shd w:val="clear" w:color="auto" w:fill="FFFFFF"/>
            <w:vAlign w:val="center"/>
          </w:tcPr>
          <w:p w14:paraId="414B621E"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03FFFB9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602B50F0" w14:textId="77777777" w:rsidTr="002A51CA">
        <w:trPr>
          <w:trHeight w:val="273"/>
        </w:trPr>
        <w:tc>
          <w:tcPr>
            <w:tcW w:w="4536" w:type="dxa"/>
            <w:shd w:val="clear" w:color="auto" w:fill="FFFFFF"/>
            <w:vAlign w:val="center"/>
          </w:tcPr>
          <w:p w14:paraId="10777B5F"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Occluding pairs</w:t>
            </w:r>
          </w:p>
        </w:tc>
        <w:tc>
          <w:tcPr>
            <w:tcW w:w="1560" w:type="dxa"/>
            <w:shd w:val="clear" w:color="auto" w:fill="FFFFFF"/>
            <w:vAlign w:val="center"/>
          </w:tcPr>
          <w:p w14:paraId="52C4993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5B36CB8A"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326D12CD" w14:textId="77777777" w:rsidTr="002A51CA">
        <w:trPr>
          <w:trHeight w:val="273"/>
        </w:trPr>
        <w:tc>
          <w:tcPr>
            <w:tcW w:w="4536" w:type="dxa"/>
            <w:shd w:val="clear" w:color="auto" w:fill="D9D9D9"/>
            <w:vAlign w:val="center"/>
          </w:tcPr>
          <w:p w14:paraId="78CCDEED"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Present</w:t>
            </w:r>
          </w:p>
        </w:tc>
        <w:tc>
          <w:tcPr>
            <w:tcW w:w="1560" w:type="dxa"/>
            <w:vMerge w:val="restart"/>
            <w:shd w:val="clear" w:color="auto" w:fill="D9D9D9"/>
            <w:vAlign w:val="center"/>
          </w:tcPr>
          <w:p w14:paraId="66911ED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2.161</w:t>
            </w:r>
            <w:r w:rsidRPr="00787196">
              <w:rPr>
                <w:rFonts w:cs="Arial"/>
                <w:color w:val="000000"/>
                <w:sz w:val="19"/>
                <w:szCs w:val="19"/>
                <w:vertAlign w:val="superscript"/>
              </w:rPr>
              <w:t>+</w:t>
            </w:r>
          </w:p>
        </w:tc>
        <w:tc>
          <w:tcPr>
            <w:tcW w:w="2295" w:type="dxa"/>
            <w:tcBorders>
              <w:left w:val="nil"/>
              <w:right w:val="nil"/>
            </w:tcBorders>
            <w:shd w:val="clear" w:color="auto" w:fill="D9D9D9"/>
            <w:vAlign w:val="center"/>
          </w:tcPr>
          <w:p w14:paraId="6858D19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22.72(9.31)</w:t>
            </w:r>
            <w:r w:rsidRPr="00787196">
              <w:rPr>
                <w:rFonts w:cs="Arial"/>
                <w:color w:val="000000"/>
                <w:sz w:val="19"/>
                <w:szCs w:val="19"/>
                <w:vertAlign w:val="superscript"/>
              </w:rPr>
              <w:t>+</w:t>
            </w:r>
          </w:p>
        </w:tc>
      </w:tr>
      <w:tr w:rsidR="002A51CA" w:rsidRPr="00787196" w14:paraId="79C56805" w14:textId="77777777" w:rsidTr="002A51CA">
        <w:trPr>
          <w:trHeight w:val="273"/>
        </w:trPr>
        <w:tc>
          <w:tcPr>
            <w:tcW w:w="4536" w:type="dxa"/>
            <w:shd w:val="clear" w:color="auto" w:fill="D9D9D9"/>
            <w:vAlign w:val="center"/>
          </w:tcPr>
          <w:p w14:paraId="1D771BDD"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None</w:t>
            </w:r>
          </w:p>
        </w:tc>
        <w:tc>
          <w:tcPr>
            <w:tcW w:w="1560" w:type="dxa"/>
            <w:vMerge/>
            <w:shd w:val="clear" w:color="auto" w:fill="D9D9D9"/>
            <w:vAlign w:val="center"/>
          </w:tcPr>
          <w:p w14:paraId="7D74BB8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D9D9D9"/>
            <w:vAlign w:val="center"/>
          </w:tcPr>
          <w:p w14:paraId="024A5C59"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19.88 (7.98)</w:t>
            </w:r>
            <w:r w:rsidRPr="00787196">
              <w:rPr>
                <w:rFonts w:cs="Arial"/>
                <w:color w:val="000000"/>
                <w:sz w:val="19"/>
                <w:szCs w:val="19"/>
                <w:vertAlign w:val="superscript"/>
              </w:rPr>
              <w:t>+</w:t>
            </w:r>
          </w:p>
        </w:tc>
      </w:tr>
      <w:tr w:rsidR="002A51CA" w:rsidRPr="00787196" w14:paraId="6F6C601F" w14:textId="77777777" w:rsidTr="002A51CA">
        <w:trPr>
          <w:trHeight w:val="273"/>
        </w:trPr>
        <w:tc>
          <w:tcPr>
            <w:tcW w:w="4536" w:type="dxa"/>
            <w:shd w:val="clear" w:color="auto" w:fill="FFFFFF"/>
            <w:vAlign w:val="center"/>
          </w:tcPr>
          <w:p w14:paraId="25346FAC"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 xml:space="preserve">Prosthetic status </w:t>
            </w:r>
          </w:p>
        </w:tc>
        <w:tc>
          <w:tcPr>
            <w:tcW w:w="1560" w:type="dxa"/>
            <w:shd w:val="clear" w:color="auto" w:fill="FFFFFF"/>
            <w:vAlign w:val="center"/>
          </w:tcPr>
          <w:p w14:paraId="67ACDA9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6D4AF380"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285C427A" w14:textId="77777777" w:rsidTr="002A51CA">
        <w:trPr>
          <w:trHeight w:val="273"/>
        </w:trPr>
        <w:tc>
          <w:tcPr>
            <w:tcW w:w="4536" w:type="dxa"/>
            <w:shd w:val="clear" w:color="auto" w:fill="FFFFFF"/>
            <w:vAlign w:val="center"/>
          </w:tcPr>
          <w:p w14:paraId="2BB07163"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No dentures (upper)</w:t>
            </w:r>
          </w:p>
        </w:tc>
        <w:tc>
          <w:tcPr>
            <w:tcW w:w="1560" w:type="dxa"/>
            <w:vMerge w:val="restart"/>
            <w:shd w:val="clear" w:color="auto" w:fill="FFFFFF"/>
            <w:vAlign w:val="center"/>
          </w:tcPr>
          <w:p w14:paraId="2AFA9AA3"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2.149</w:t>
            </w:r>
            <w:r w:rsidRPr="00787196">
              <w:rPr>
                <w:rFonts w:cs="Arial"/>
                <w:color w:val="000000"/>
                <w:sz w:val="19"/>
                <w:szCs w:val="19"/>
                <w:vertAlign w:val="superscript"/>
              </w:rPr>
              <w:t>+</w:t>
            </w:r>
          </w:p>
        </w:tc>
        <w:tc>
          <w:tcPr>
            <w:tcW w:w="2295" w:type="dxa"/>
            <w:tcBorders>
              <w:left w:val="nil"/>
              <w:right w:val="nil"/>
            </w:tcBorders>
            <w:shd w:val="clear" w:color="auto" w:fill="FFFFFF"/>
            <w:vAlign w:val="center"/>
          </w:tcPr>
          <w:p w14:paraId="6B0B377A"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22.14 (9.05)</w:t>
            </w:r>
          </w:p>
        </w:tc>
      </w:tr>
      <w:tr w:rsidR="002A51CA" w:rsidRPr="00787196" w14:paraId="1D12E223" w14:textId="77777777" w:rsidTr="002A51CA">
        <w:trPr>
          <w:trHeight w:val="273"/>
        </w:trPr>
        <w:tc>
          <w:tcPr>
            <w:tcW w:w="4536" w:type="dxa"/>
            <w:shd w:val="clear" w:color="auto" w:fill="FFFFFF"/>
            <w:vAlign w:val="center"/>
          </w:tcPr>
          <w:p w14:paraId="766EFF3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previous experience  (upper)</w:t>
            </w:r>
          </w:p>
        </w:tc>
        <w:tc>
          <w:tcPr>
            <w:tcW w:w="1560" w:type="dxa"/>
            <w:vMerge/>
            <w:shd w:val="clear" w:color="auto" w:fill="FFFFFF"/>
            <w:vAlign w:val="center"/>
          </w:tcPr>
          <w:p w14:paraId="1B42947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6447444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19.52 (7.80)</w:t>
            </w:r>
          </w:p>
        </w:tc>
      </w:tr>
      <w:tr w:rsidR="002A51CA" w:rsidRPr="00787196" w14:paraId="529B6786" w14:textId="77777777" w:rsidTr="002A51CA">
        <w:trPr>
          <w:trHeight w:val="273"/>
        </w:trPr>
        <w:tc>
          <w:tcPr>
            <w:tcW w:w="4536" w:type="dxa"/>
            <w:shd w:val="clear" w:color="auto" w:fill="D9D9D9"/>
            <w:vAlign w:val="center"/>
          </w:tcPr>
          <w:p w14:paraId="787A0EB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No dentures (lower)</w:t>
            </w:r>
          </w:p>
        </w:tc>
        <w:tc>
          <w:tcPr>
            <w:tcW w:w="1560" w:type="dxa"/>
            <w:vMerge w:val="restart"/>
            <w:shd w:val="clear" w:color="auto" w:fill="D9D9D9"/>
            <w:vAlign w:val="center"/>
          </w:tcPr>
          <w:p w14:paraId="7D94411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1.256</w:t>
            </w:r>
          </w:p>
        </w:tc>
        <w:tc>
          <w:tcPr>
            <w:tcW w:w="2295" w:type="dxa"/>
            <w:tcBorders>
              <w:left w:val="nil"/>
              <w:right w:val="nil"/>
            </w:tcBorders>
            <w:shd w:val="clear" w:color="auto" w:fill="D9D9D9"/>
            <w:vAlign w:val="center"/>
          </w:tcPr>
          <w:p w14:paraId="3B915CA1"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21.52 (8.60)</w:t>
            </w:r>
          </w:p>
        </w:tc>
      </w:tr>
      <w:tr w:rsidR="002A51CA" w:rsidRPr="00787196" w14:paraId="55EC1B2E" w14:textId="77777777" w:rsidTr="002A51CA">
        <w:trPr>
          <w:trHeight w:val="273"/>
        </w:trPr>
        <w:tc>
          <w:tcPr>
            <w:tcW w:w="4536" w:type="dxa"/>
            <w:shd w:val="clear" w:color="auto" w:fill="D9D9D9"/>
            <w:vAlign w:val="center"/>
          </w:tcPr>
          <w:p w14:paraId="2EDF741F"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Previous experience (lower)</w:t>
            </w:r>
          </w:p>
        </w:tc>
        <w:tc>
          <w:tcPr>
            <w:tcW w:w="1560" w:type="dxa"/>
            <w:vMerge/>
            <w:shd w:val="clear" w:color="auto" w:fill="D9D9D9"/>
            <w:vAlign w:val="center"/>
          </w:tcPr>
          <w:p w14:paraId="4D76871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D9D9D9"/>
            <w:vAlign w:val="center"/>
          </w:tcPr>
          <w:p w14:paraId="5728DE7C"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19.97 (8.37)</w:t>
            </w:r>
          </w:p>
        </w:tc>
      </w:tr>
      <w:tr w:rsidR="002A51CA" w:rsidRPr="00787196" w14:paraId="451F5C05" w14:textId="77777777" w:rsidTr="002A51CA">
        <w:trPr>
          <w:trHeight w:val="273"/>
        </w:trPr>
        <w:tc>
          <w:tcPr>
            <w:tcW w:w="4536" w:type="dxa"/>
            <w:shd w:val="clear" w:color="auto" w:fill="FFFFFF"/>
            <w:vAlign w:val="center"/>
          </w:tcPr>
          <w:p w14:paraId="5DDB8F46"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Prosthetic need</w:t>
            </w:r>
          </w:p>
        </w:tc>
        <w:tc>
          <w:tcPr>
            <w:tcW w:w="1560" w:type="dxa"/>
            <w:shd w:val="clear" w:color="auto" w:fill="FFFFFF"/>
            <w:vAlign w:val="center"/>
          </w:tcPr>
          <w:p w14:paraId="4B1448EB"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shd w:val="clear" w:color="auto" w:fill="FFFFFF"/>
            <w:vAlign w:val="center"/>
          </w:tcPr>
          <w:p w14:paraId="643E4D10"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6789D634" w14:textId="77777777" w:rsidTr="002A51CA">
        <w:trPr>
          <w:trHeight w:val="273"/>
        </w:trPr>
        <w:tc>
          <w:tcPr>
            <w:tcW w:w="4536" w:type="dxa"/>
            <w:shd w:val="clear" w:color="auto" w:fill="FFFFFF"/>
            <w:vAlign w:val="center"/>
          </w:tcPr>
          <w:p w14:paraId="5F19F34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Partial or no dentures (Upper)</w:t>
            </w:r>
          </w:p>
        </w:tc>
        <w:tc>
          <w:tcPr>
            <w:tcW w:w="1560" w:type="dxa"/>
            <w:vMerge w:val="restart"/>
            <w:shd w:val="clear" w:color="auto" w:fill="FFFFFF"/>
            <w:vAlign w:val="center"/>
          </w:tcPr>
          <w:p w14:paraId="01978F6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1.816</w:t>
            </w:r>
          </w:p>
        </w:tc>
        <w:tc>
          <w:tcPr>
            <w:tcW w:w="2295" w:type="dxa"/>
            <w:tcBorders>
              <w:left w:val="nil"/>
              <w:right w:val="nil"/>
            </w:tcBorders>
            <w:shd w:val="clear" w:color="auto" w:fill="FFFFFF"/>
            <w:vAlign w:val="center"/>
          </w:tcPr>
          <w:p w14:paraId="2E64AE9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22.26 (9.26)</w:t>
            </w:r>
          </w:p>
        </w:tc>
      </w:tr>
      <w:tr w:rsidR="002A51CA" w:rsidRPr="00787196" w14:paraId="17EFE035" w14:textId="77777777" w:rsidTr="002A51CA">
        <w:trPr>
          <w:trHeight w:val="273"/>
        </w:trPr>
        <w:tc>
          <w:tcPr>
            <w:tcW w:w="4536" w:type="dxa"/>
            <w:shd w:val="clear" w:color="auto" w:fill="FFFFFF"/>
            <w:vAlign w:val="center"/>
          </w:tcPr>
          <w:p w14:paraId="2DEB72F4"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Full dentures (upper)</w:t>
            </w:r>
          </w:p>
        </w:tc>
        <w:tc>
          <w:tcPr>
            <w:tcW w:w="1560" w:type="dxa"/>
            <w:vMerge/>
            <w:shd w:val="clear" w:color="auto" w:fill="FFFFFF"/>
            <w:vAlign w:val="center"/>
          </w:tcPr>
          <w:p w14:paraId="3CA5C59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shd w:val="clear" w:color="auto" w:fill="FFFFFF"/>
            <w:vAlign w:val="center"/>
          </w:tcPr>
          <w:p w14:paraId="3E993E17"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19.94(7.96)</w:t>
            </w:r>
          </w:p>
        </w:tc>
      </w:tr>
      <w:tr w:rsidR="002A51CA" w:rsidRPr="00787196" w14:paraId="0F6E5986" w14:textId="77777777" w:rsidTr="002A51CA">
        <w:trPr>
          <w:trHeight w:val="273"/>
        </w:trPr>
        <w:tc>
          <w:tcPr>
            <w:tcW w:w="4536" w:type="dxa"/>
            <w:shd w:val="clear" w:color="auto" w:fill="D9D9D9"/>
            <w:vAlign w:val="center"/>
          </w:tcPr>
          <w:p w14:paraId="687921A6"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Partial or no dentures (lower)</w:t>
            </w:r>
          </w:p>
        </w:tc>
        <w:tc>
          <w:tcPr>
            <w:tcW w:w="1560" w:type="dxa"/>
            <w:vMerge w:val="restart"/>
            <w:shd w:val="clear" w:color="auto" w:fill="D9D9D9"/>
            <w:vAlign w:val="center"/>
          </w:tcPr>
          <w:p w14:paraId="0A0CD9B0"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2.024</w:t>
            </w:r>
            <w:r w:rsidRPr="00787196">
              <w:rPr>
                <w:rFonts w:cs="Arial"/>
                <w:color w:val="000000"/>
                <w:sz w:val="19"/>
                <w:szCs w:val="19"/>
                <w:vertAlign w:val="superscript"/>
              </w:rPr>
              <w:t>+</w:t>
            </w:r>
          </w:p>
        </w:tc>
        <w:tc>
          <w:tcPr>
            <w:tcW w:w="2295" w:type="dxa"/>
            <w:shd w:val="clear" w:color="auto" w:fill="D9D9D9"/>
            <w:vAlign w:val="center"/>
          </w:tcPr>
          <w:p w14:paraId="2A07FC7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22.21 (9.00)</w:t>
            </w:r>
            <w:r w:rsidRPr="00787196">
              <w:rPr>
                <w:rFonts w:cs="Arial"/>
                <w:color w:val="000000"/>
                <w:sz w:val="19"/>
                <w:szCs w:val="19"/>
                <w:vertAlign w:val="superscript"/>
              </w:rPr>
              <w:t>+</w:t>
            </w:r>
          </w:p>
        </w:tc>
      </w:tr>
      <w:tr w:rsidR="002A51CA" w:rsidRPr="00787196" w14:paraId="42760210" w14:textId="77777777" w:rsidTr="002A51CA">
        <w:trPr>
          <w:trHeight w:val="273"/>
        </w:trPr>
        <w:tc>
          <w:tcPr>
            <w:tcW w:w="4536" w:type="dxa"/>
            <w:shd w:val="clear" w:color="auto" w:fill="D9D9D9"/>
            <w:vAlign w:val="center"/>
          </w:tcPr>
          <w:p w14:paraId="176D24CD"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Full dentures (lower)</w:t>
            </w:r>
          </w:p>
        </w:tc>
        <w:tc>
          <w:tcPr>
            <w:tcW w:w="1560" w:type="dxa"/>
            <w:vMerge/>
            <w:shd w:val="clear" w:color="auto" w:fill="D9D9D9"/>
            <w:vAlign w:val="center"/>
          </w:tcPr>
          <w:p w14:paraId="51298C03"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shd w:val="clear" w:color="auto" w:fill="D9D9D9"/>
            <w:vAlign w:val="center"/>
          </w:tcPr>
          <w:p w14:paraId="41ED2A21"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19.71 (7.98)</w:t>
            </w:r>
            <w:r w:rsidRPr="00787196">
              <w:rPr>
                <w:rFonts w:cs="Arial"/>
                <w:color w:val="000000"/>
                <w:sz w:val="19"/>
                <w:szCs w:val="19"/>
                <w:vertAlign w:val="superscript"/>
              </w:rPr>
              <w:t>+</w:t>
            </w:r>
          </w:p>
        </w:tc>
      </w:tr>
      <w:tr w:rsidR="002A51CA" w:rsidRPr="00787196" w14:paraId="5621CFD8" w14:textId="77777777" w:rsidTr="002A51CA">
        <w:trPr>
          <w:trHeight w:val="273"/>
        </w:trPr>
        <w:tc>
          <w:tcPr>
            <w:tcW w:w="4536" w:type="dxa"/>
            <w:shd w:val="clear" w:color="auto" w:fill="FFFFFF"/>
            <w:vAlign w:val="center"/>
          </w:tcPr>
          <w:p w14:paraId="443A03FE"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Time since last tooth loss episode</w:t>
            </w:r>
          </w:p>
        </w:tc>
        <w:tc>
          <w:tcPr>
            <w:tcW w:w="1560" w:type="dxa"/>
            <w:shd w:val="clear" w:color="auto" w:fill="FFFFFF"/>
            <w:vAlign w:val="center"/>
          </w:tcPr>
          <w:p w14:paraId="00B7FB7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2D37F0E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5114B490" w14:textId="77777777" w:rsidTr="002A51CA">
        <w:trPr>
          <w:trHeight w:val="273"/>
        </w:trPr>
        <w:tc>
          <w:tcPr>
            <w:tcW w:w="4536" w:type="dxa"/>
            <w:shd w:val="clear" w:color="auto" w:fill="FFFFFF"/>
            <w:vAlign w:val="center"/>
          </w:tcPr>
          <w:p w14:paraId="6A2F7575"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Within a year</w:t>
            </w:r>
          </w:p>
        </w:tc>
        <w:tc>
          <w:tcPr>
            <w:tcW w:w="1560" w:type="dxa"/>
            <w:vMerge w:val="restart"/>
            <w:shd w:val="clear" w:color="auto" w:fill="FFFFFF"/>
            <w:vAlign w:val="center"/>
          </w:tcPr>
          <w:p w14:paraId="39BA05E3"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2.069</w:t>
            </w:r>
            <w:r w:rsidRPr="00787196">
              <w:rPr>
                <w:rFonts w:cs="Arial"/>
                <w:color w:val="000000"/>
                <w:sz w:val="19"/>
                <w:szCs w:val="19"/>
                <w:vertAlign w:val="superscript"/>
              </w:rPr>
              <w:t>+</w:t>
            </w:r>
          </w:p>
        </w:tc>
        <w:tc>
          <w:tcPr>
            <w:tcW w:w="2295" w:type="dxa"/>
            <w:tcBorders>
              <w:left w:val="nil"/>
              <w:right w:val="nil"/>
            </w:tcBorders>
            <w:shd w:val="clear" w:color="auto" w:fill="FFFFFF"/>
            <w:vAlign w:val="center"/>
          </w:tcPr>
          <w:p w14:paraId="30809D06"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21.89 (8.75)</w:t>
            </w:r>
            <w:r w:rsidRPr="00787196">
              <w:rPr>
                <w:rFonts w:cs="Arial"/>
                <w:color w:val="000000"/>
                <w:sz w:val="19"/>
                <w:szCs w:val="19"/>
                <w:vertAlign w:val="superscript"/>
              </w:rPr>
              <w:t>+</w:t>
            </w:r>
          </w:p>
        </w:tc>
      </w:tr>
      <w:tr w:rsidR="002A51CA" w:rsidRPr="00787196" w14:paraId="38C7C30B" w14:textId="77777777" w:rsidTr="002A51CA">
        <w:trPr>
          <w:trHeight w:val="273"/>
        </w:trPr>
        <w:tc>
          <w:tcPr>
            <w:tcW w:w="4536" w:type="dxa"/>
            <w:shd w:val="clear" w:color="auto" w:fill="FFFFFF"/>
            <w:vAlign w:val="center"/>
          </w:tcPr>
          <w:p w14:paraId="225FD9C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More than a year</w:t>
            </w:r>
          </w:p>
        </w:tc>
        <w:tc>
          <w:tcPr>
            <w:tcW w:w="1560" w:type="dxa"/>
            <w:vMerge/>
            <w:shd w:val="clear" w:color="auto" w:fill="FFFFFF"/>
            <w:vAlign w:val="center"/>
          </w:tcPr>
          <w:p w14:paraId="523326A6"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0F5E8959"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19.34 (7.97)</w:t>
            </w:r>
            <w:r w:rsidRPr="00787196">
              <w:rPr>
                <w:rFonts w:cs="Arial"/>
                <w:color w:val="000000"/>
                <w:sz w:val="19"/>
                <w:szCs w:val="19"/>
                <w:vertAlign w:val="superscript"/>
              </w:rPr>
              <w:t>+</w:t>
            </w:r>
          </w:p>
        </w:tc>
      </w:tr>
      <w:tr w:rsidR="002A51CA" w:rsidRPr="00787196" w14:paraId="786559C2" w14:textId="77777777" w:rsidTr="002A51CA">
        <w:trPr>
          <w:trHeight w:val="273"/>
        </w:trPr>
        <w:tc>
          <w:tcPr>
            <w:tcW w:w="4536" w:type="dxa"/>
            <w:shd w:val="clear" w:color="auto" w:fill="FFFFFF"/>
            <w:vAlign w:val="center"/>
          </w:tcPr>
          <w:p w14:paraId="6292612C"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Operator expertise</w:t>
            </w:r>
          </w:p>
        </w:tc>
        <w:tc>
          <w:tcPr>
            <w:tcW w:w="1560" w:type="dxa"/>
            <w:shd w:val="clear" w:color="auto" w:fill="FFFFFF"/>
            <w:vAlign w:val="center"/>
          </w:tcPr>
          <w:p w14:paraId="24A6CF9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2E75CDC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2E76F83E" w14:textId="77777777" w:rsidTr="002A51CA">
        <w:trPr>
          <w:trHeight w:val="273"/>
        </w:trPr>
        <w:tc>
          <w:tcPr>
            <w:tcW w:w="4536" w:type="dxa"/>
            <w:tcBorders>
              <w:bottom w:val="nil"/>
            </w:tcBorders>
            <w:shd w:val="clear" w:color="auto" w:fill="D9D9D9"/>
            <w:vAlign w:val="center"/>
          </w:tcPr>
          <w:p w14:paraId="63316654"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Graduates and above</w:t>
            </w:r>
          </w:p>
        </w:tc>
        <w:tc>
          <w:tcPr>
            <w:tcW w:w="1560" w:type="dxa"/>
            <w:vMerge w:val="restart"/>
            <w:tcBorders>
              <w:bottom w:val="nil"/>
            </w:tcBorders>
            <w:shd w:val="clear" w:color="auto" w:fill="D9D9D9"/>
            <w:vAlign w:val="center"/>
          </w:tcPr>
          <w:p w14:paraId="792F924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0.015</w:t>
            </w:r>
          </w:p>
        </w:tc>
        <w:tc>
          <w:tcPr>
            <w:tcW w:w="2295" w:type="dxa"/>
            <w:tcBorders>
              <w:left w:val="nil"/>
              <w:bottom w:val="nil"/>
              <w:right w:val="nil"/>
            </w:tcBorders>
            <w:shd w:val="clear" w:color="auto" w:fill="D9D9D9"/>
            <w:vAlign w:val="center"/>
          </w:tcPr>
          <w:p w14:paraId="310BD85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20.79 (8.90)</w:t>
            </w:r>
          </w:p>
        </w:tc>
      </w:tr>
      <w:tr w:rsidR="002A51CA" w:rsidRPr="00787196" w14:paraId="24F6F838" w14:textId="77777777" w:rsidTr="002A51CA">
        <w:trPr>
          <w:trHeight w:val="273"/>
        </w:trPr>
        <w:tc>
          <w:tcPr>
            <w:tcW w:w="4536" w:type="dxa"/>
            <w:tcBorders>
              <w:top w:val="nil"/>
              <w:bottom w:val="nil"/>
            </w:tcBorders>
            <w:shd w:val="clear" w:color="auto" w:fill="D9D9D9"/>
            <w:vAlign w:val="center"/>
          </w:tcPr>
          <w:p w14:paraId="251E2151"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Undergraduate students</w:t>
            </w:r>
          </w:p>
        </w:tc>
        <w:tc>
          <w:tcPr>
            <w:tcW w:w="1560" w:type="dxa"/>
            <w:vMerge/>
            <w:tcBorders>
              <w:top w:val="nil"/>
              <w:bottom w:val="nil"/>
            </w:tcBorders>
            <w:shd w:val="clear" w:color="auto" w:fill="D9D9D9"/>
            <w:vAlign w:val="center"/>
          </w:tcPr>
          <w:p w14:paraId="0FF0DC26"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top w:val="nil"/>
              <w:left w:val="nil"/>
              <w:bottom w:val="nil"/>
              <w:right w:val="nil"/>
            </w:tcBorders>
            <w:shd w:val="clear" w:color="auto" w:fill="D9D9D9"/>
            <w:vAlign w:val="center"/>
          </w:tcPr>
          <w:p w14:paraId="263A485E"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20.77 (8.41)</w:t>
            </w:r>
          </w:p>
        </w:tc>
      </w:tr>
      <w:tr w:rsidR="002A51CA" w:rsidRPr="00787196" w14:paraId="7470FACB" w14:textId="77777777" w:rsidTr="002A51CA">
        <w:trPr>
          <w:trHeight w:val="273"/>
        </w:trPr>
        <w:tc>
          <w:tcPr>
            <w:tcW w:w="4536" w:type="dxa"/>
            <w:tcBorders>
              <w:top w:val="nil"/>
              <w:bottom w:val="nil"/>
            </w:tcBorders>
            <w:shd w:val="clear" w:color="auto" w:fill="FFFFFF"/>
            <w:vAlign w:val="center"/>
          </w:tcPr>
          <w:p w14:paraId="319D4D6B" w14:textId="77777777" w:rsidR="002A51CA" w:rsidRPr="00787196" w:rsidRDefault="002A51CA" w:rsidP="002A51CA">
            <w:pPr>
              <w:autoSpaceDE w:val="0"/>
              <w:autoSpaceDN w:val="0"/>
              <w:adjustRightInd w:val="0"/>
              <w:spacing w:before="0" w:after="0" w:line="240" w:lineRule="auto"/>
              <w:rPr>
                <w:rFonts w:cs="Arial"/>
                <w:color w:val="000000"/>
                <w:sz w:val="19"/>
                <w:szCs w:val="19"/>
              </w:rPr>
            </w:pPr>
          </w:p>
        </w:tc>
        <w:tc>
          <w:tcPr>
            <w:tcW w:w="1560" w:type="dxa"/>
            <w:tcBorders>
              <w:top w:val="nil"/>
              <w:bottom w:val="nil"/>
            </w:tcBorders>
            <w:shd w:val="clear" w:color="auto" w:fill="FFFFFF"/>
            <w:vAlign w:val="center"/>
          </w:tcPr>
          <w:p w14:paraId="7AAFC9E0"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top w:val="nil"/>
              <w:left w:val="nil"/>
              <w:bottom w:val="nil"/>
              <w:right w:val="nil"/>
            </w:tcBorders>
            <w:shd w:val="clear" w:color="auto" w:fill="FFFFFF"/>
            <w:vAlign w:val="center"/>
          </w:tcPr>
          <w:p w14:paraId="44E0859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26538C0B" w14:textId="77777777" w:rsidTr="002A51CA">
        <w:trPr>
          <w:trHeight w:val="273"/>
        </w:trPr>
        <w:tc>
          <w:tcPr>
            <w:tcW w:w="4536" w:type="dxa"/>
            <w:tcBorders>
              <w:top w:val="nil"/>
              <w:bottom w:val="nil"/>
            </w:tcBorders>
            <w:shd w:val="clear" w:color="auto" w:fill="FFFFFF"/>
            <w:vAlign w:val="center"/>
          </w:tcPr>
          <w:p w14:paraId="2D5225E6"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DEMOGRAPHIC FACTORS</w:t>
            </w:r>
          </w:p>
        </w:tc>
        <w:tc>
          <w:tcPr>
            <w:tcW w:w="1560" w:type="dxa"/>
            <w:tcBorders>
              <w:top w:val="nil"/>
              <w:bottom w:val="nil"/>
            </w:tcBorders>
            <w:shd w:val="clear" w:color="auto" w:fill="FFFFFF"/>
            <w:vAlign w:val="center"/>
          </w:tcPr>
          <w:p w14:paraId="4384AE9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top w:val="nil"/>
              <w:left w:val="nil"/>
              <w:bottom w:val="nil"/>
              <w:right w:val="nil"/>
            </w:tcBorders>
            <w:shd w:val="clear" w:color="auto" w:fill="FFFFFF"/>
            <w:vAlign w:val="center"/>
          </w:tcPr>
          <w:p w14:paraId="542B9081"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2ED1CB34" w14:textId="77777777" w:rsidTr="002A51CA">
        <w:trPr>
          <w:trHeight w:val="273"/>
        </w:trPr>
        <w:tc>
          <w:tcPr>
            <w:tcW w:w="4536" w:type="dxa"/>
            <w:tcBorders>
              <w:top w:val="nil"/>
            </w:tcBorders>
            <w:shd w:val="clear" w:color="auto" w:fill="FFFFFF"/>
            <w:vAlign w:val="center"/>
          </w:tcPr>
          <w:p w14:paraId="6E303A0A"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Age – (years)</w:t>
            </w:r>
          </w:p>
        </w:tc>
        <w:tc>
          <w:tcPr>
            <w:tcW w:w="1560" w:type="dxa"/>
            <w:tcBorders>
              <w:top w:val="nil"/>
            </w:tcBorders>
            <w:shd w:val="clear" w:color="auto" w:fill="FFFFFF"/>
            <w:vAlign w:val="center"/>
          </w:tcPr>
          <w:p w14:paraId="4B2F8CB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top w:val="nil"/>
              <w:left w:val="nil"/>
              <w:right w:val="nil"/>
            </w:tcBorders>
            <w:shd w:val="clear" w:color="auto" w:fill="FFFFFF"/>
            <w:vAlign w:val="center"/>
          </w:tcPr>
          <w:p w14:paraId="7A37194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139FFEF5" w14:textId="77777777" w:rsidTr="002A51CA">
        <w:trPr>
          <w:trHeight w:val="273"/>
        </w:trPr>
        <w:tc>
          <w:tcPr>
            <w:tcW w:w="4536" w:type="dxa"/>
            <w:shd w:val="clear" w:color="auto" w:fill="D9D9D9"/>
            <w:vAlign w:val="center"/>
          </w:tcPr>
          <w:p w14:paraId="416D6108" w14:textId="43E7E841" w:rsidR="002A51CA" w:rsidRPr="00787196" w:rsidRDefault="002A51CA" w:rsidP="003B3D2B">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 xml:space="preserve">18- </w:t>
            </w:r>
            <w:r w:rsidRPr="00787196">
              <w:rPr>
                <w:sz w:val="19"/>
                <w:szCs w:val="19"/>
              </w:rPr>
              <w:t>5</w:t>
            </w:r>
            <w:r w:rsidR="003B3D2B" w:rsidRPr="00787196">
              <w:rPr>
                <w:sz w:val="19"/>
                <w:szCs w:val="19"/>
              </w:rPr>
              <w:t>8</w:t>
            </w:r>
            <w:r w:rsidRPr="00787196">
              <w:rPr>
                <w:sz w:val="19"/>
                <w:szCs w:val="19"/>
              </w:rPr>
              <w:t xml:space="preserve"> years</w:t>
            </w:r>
          </w:p>
        </w:tc>
        <w:tc>
          <w:tcPr>
            <w:tcW w:w="1560" w:type="dxa"/>
            <w:vMerge w:val="restart"/>
            <w:shd w:val="clear" w:color="auto" w:fill="D9D9D9"/>
            <w:vAlign w:val="center"/>
          </w:tcPr>
          <w:p w14:paraId="1C30534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1.424</w:t>
            </w:r>
          </w:p>
        </w:tc>
        <w:tc>
          <w:tcPr>
            <w:tcW w:w="2295" w:type="dxa"/>
            <w:tcBorders>
              <w:left w:val="nil"/>
              <w:right w:val="nil"/>
            </w:tcBorders>
            <w:shd w:val="clear" w:color="auto" w:fill="D9D9D9"/>
            <w:vAlign w:val="center"/>
          </w:tcPr>
          <w:p w14:paraId="04F705A3"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21.62 (8.80)</w:t>
            </w:r>
          </w:p>
        </w:tc>
      </w:tr>
      <w:tr w:rsidR="002A51CA" w:rsidRPr="00787196" w14:paraId="3C017F42" w14:textId="77777777" w:rsidTr="002A51CA">
        <w:trPr>
          <w:trHeight w:val="273"/>
        </w:trPr>
        <w:tc>
          <w:tcPr>
            <w:tcW w:w="4536" w:type="dxa"/>
            <w:shd w:val="clear" w:color="auto" w:fill="D9D9D9"/>
            <w:vAlign w:val="center"/>
          </w:tcPr>
          <w:p w14:paraId="7C04AE14"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sz w:val="19"/>
                <w:szCs w:val="19"/>
              </w:rPr>
              <w:t>59 and above</w:t>
            </w:r>
          </w:p>
        </w:tc>
        <w:tc>
          <w:tcPr>
            <w:tcW w:w="1560" w:type="dxa"/>
            <w:vMerge/>
            <w:shd w:val="clear" w:color="auto" w:fill="D9D9D9"/>
            <w:vAlign w:val="center"/>
          </w:tcPr>
          <w:p w14:paraId="5A97347E"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D9D9D9"/>
            <w:vAlign w:val="center"/>
          </w:tcPr>
          <w:p w14:paraId="75C5B01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19.87 (8.12)</w:t>
            </w:r>
          </w:p>
        </w:tc>
      </w:tr>
      <w:tr w:rsidR="002A51CA" w:rsidRPr="00787196" w14:paraId="1EB8252D" w14:textId="77777777" w:rsidTr="002A51CA">
        <w:trPr>
          <w:trHeight w:val="273"/>
        </w:trPr>
        <w:tc>
          <w:tcPr>
            <w:tcW w:w="4536" w:type="dxa"/>
            <w:shd w:val="clear" w:color="auto" w:fill="FFFFFF"/>
            <w:vAlign w:val="center"/>
          </w:tcPr>
          <w:p w14:paraId="207BC83E"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Marital status</w:t>
            </w:r>
          </w:p>
        </w:tc>
        <w:tc>
          <w:tcPr>
            <w:tcW w:w="1560" w:type="dxa"/>
            <w:shd w:val="clear" w:color="auto" w:fill="FFFFFF"/>
            <w:vAlign w:val="center"/>
          </w:tcPr>
          <w:p w14:paraId="47BDAE0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52C9B1D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73E48EC5" w14:textId="77777777" w:rsidTr="002A51CA">
        <w:trPr>
          <w:trHeight w:val="273"/>
        </w:trPr>
        <w:tc>
          <w:tcPr>
            <w:tcW w:w="4536" w:type="dxa"/>
            <w:shd w:val="clear" w:color="auto" w:fill="FFFFFF"/>
            <w:vAlign w:val="center"/>
          </w:tcPr>
          <w:p w14:paraId="1976FF4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Married with living partner</w:t>
            </w:r>
          </w:p>
        </w:tc>
        <w:tc>
          <w:tcPr>
            <w:tcW w:w="1560" w:type="dxa"/>
            <w:vMerge w:val="restart"/>
            <w:shd w:val="clear" w:color="auto" w:fill="FFFFFF"/>
            <w:vAlign w:val="center"/>
          </w:tcPr>
          <w:p w14:paraId="052CD92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1.405</w:t>
            </w:r>
          </w:p>
        </w:tc>
        <w:tc>
          <w:tcPr>
            <w:tcW w:w="2295" w:type="dxa"/>
            <w:tcBorders>
              <w:left w:val="nil"/>
              <w:right w:val="nil"/>
            </w:tcBorders>
            <w:shd w:val="clear" w:color="auto" w:fill="FFFFFF"/>
            <w:vAlign w:val="center"/>
          </w:tcPr>
          <w:p w14:paraId="249499F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21.30 (8.90)</w:t>
            </w:r>
          </w:p>
        </w:tc>
      </w:tr>
      <w:tr w:rsidR="002A51CA" w:rsidRPr="00787196" w14:paraId="2EBAFE89" w14:textId="77777777" w:rsidTr="002A51CA">
        <w:trPr>
          <w:trHeight w:val="273"/>
        </w:trPr>
        <w:tc>
          <w:tcPr>
            <w:tcW w:w="4536" w:type="dxa"/>
            <w:shd w:val="clear" w:color="auto" w:fill="FFFFFF"/>
            <w:vAlign w:val="center"/>
          </w:tcPr>
          <w:p w14:paraId="2246122E"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Single/ separated or divorced /widowed</w:t>
            </w:r>
          </w:p>
        </w:tc>
        <w:tc>
          <w:tcPr>
            <w:tcW w:w="1560" w:type="dxa"/>
            <w:vMerge/>
            <w:shd w:val="clear" w:color="auto" w:fill="FFFFFF"/>
            <w:vAlign w:val="center"/>
          </w:tcPr>
          <w:p w14:paraId="753436D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6F29B96A"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19.37 (7.25)</w:t>
            </w:r>
          </w:p>
        </w:tc>
      </w:tr>
      <w:tr w:rsidR="002A51CA" w:rsidRPr="00787196" w14:paraId="3F8E8881" w14:textId="77777777" w:rsidTr="002A51CA">
        <w:trPr>
          <w:trHeight w:val="273"/>
        </w:trPr>
        <w:tc>
          <w:tcPr>
            <w:tcW w:w="4536" w:type="dxa"/>
            <w:shd w:val="clear" w:color="auto" w:fill="FFFFFF"/>
            <w:vAlign w:val="center"/>
          </w:tcPr>
          <w:p w14:paraId="56C39E51"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Education</w:t>
            </w:r>
          </w:p>
        </w:tc>
        <w:tc>
          <w:tcPr>
            <w:tcW w:w="1560" w:type="dxa"/>
            <w:shd w:val="clear" w:color="auto" w:fill="FFFFFF"/>
            <w:vAlign w:val="center"/>
          </w:tcPr>
          <w:p w14:paraId="299D6D62"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177A07EB"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471E4EBD" w14:textId="77777777" w:rsidTr="002A51CA">
        <w:trPr>
          <w:trHeight w:val="273"/>
        </w:trPr>
        <w:tc>
          <w:tcPr>
            <w:tcW w:w="4536" w:type="dxa"/>
            <w:shd w:val="clear" w:color="auto" w:fill="D9D9D9"/>
            <w:vAlign w:val="center"/>
          </w:tcPr>
          <w:p w14:paraId="5A17974D"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High school and above</w:t>
            </w:r>
          </w:p>
        </w:tc>
        <w:tc>
          <w:tcPr>
            <w:tcW w:w="1560" w:type="dxa"/>
            <w:vMerge w:val="restart"/>
            <w:shd w:val="clear" w:color="auto" w:fill="D9D9D9"/>
            <w:vAlign w:val="center"/>
          </w:tcPr>
          <w:p w14:paraId="56144807"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0.046</w:t>
            </w:r>
          </w:p>
        </w:tc>
        <w:tc>
          <w:tcPr>
            <w:tcW w:w="2295" w:type="dxa"/>
            <w:tcBorders>
              <w:left w:val="nil"/>
              <w:right w:val="nil"/>
            </w:tcBorders>
            <w:shd w:val="clear" w:color="auto" w:fill="D9D9D9"/>
            <w:vAlign w:val="center"/>
          </w:tcPr>
          <w:p w14:paraId="631C1353"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20.81 (8.47)</w:t>
            </w:r>
          </w:p>
        </w:tc>
      </w:tr>
      <w:tr w:rsidR="002A51CA" w:rsidRPr="00787196" w14:paraId="0BE43D60" w14:textId="77777777" w:rsidTr="002A51CA">
        <w:trPr>
          <w:trHeight w:val="273"/>
        </w:trPr>
        <w:tc>
          <w:tcPr>
            <w:tcW w:w="4536" w:type="dxa"/>
            <w:shd w:val="clear" w:color="auto" w:fill="D9D9D9"/>
            <w:vAlign w:val="center"/>
          </w:tcPr>
          <w:p w14:paraId="70BF7E9A"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School dropout/ Illiterate</w:t>
            </w:r>
          </w:p>
        </w:tc>
        <w:tc>
          <w:tcPr>
            <w:tcW w:w="1560" w:type="dxa"/>
            <w:vMerge/>
            <w:shd w:val="clear" w:color="auto" w:fill="D9D9D9"/>
            <w:vAlign w:val="center"/>
          </w:tcPr>
          <w:p w14:paraId="7D68C0E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D9D9D9"/>
            <w:vAlign w:val="center"/>
          </w:tcPr>
          <w:p w14:paraId="36BD0136"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20.75 (8.54)</w:t>
            </w:r>
          </w:p>
        </w:tc>
      </w:tr>
      <w:tr w:rsidR="002A51CA" w:rsidRPr="00787196" w14:paraId="4B299F16" w14:textId="77777777" w:rsidTr="002A51CA">
        <w:trPr>
          <w:trHeight w:val="273"/>
        </w:trPr>
        <w:tc>
          <w:tcPr>
            <w:tcW w:w="4536" w:type="dxa"/>
            <w:shd w:val="clear" w:color="auto" w:fill="FFFFFF"/>
            <w:vAlign w:val="center"/>
          </w:tcPr>
          <w:p w14:paraId="4E134DA9"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Income – (rupees)</w:t>
            </w:r>
          </w:p>
        </w:tc>
        <w:tc>
          <w:tcPr>
            <w:tcW w:w="1560" w:type="dxa"/>
            <w:shd w:val="clear" w:color="auto" w:fill="FFFFFF"/>
            <w:vAlign w:val="center"/>
          </w:tcPr>
          <w:p w14:paraId="559738AA"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2565BDA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49C32A1A" w14:textId="77777777" w:rsidTr="002A51CA">
        <w:trPr>
          <w:trHeight w:val="273"/>
        </w:trPr>
        <w:tc>
          <w:tcPr>
            <w:tcW w:w="4536" w:type="dxa"/>
            <w:shd w:val="clear" w:color="auto" w:fill="FFFFFF"/>
            <w:vAlign w:val="center"/>
          </w:tcPr>
          <w:p w14:paraId="16C8ECA8"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 4556 and above</w:t>
            </w:r>
          </w:p>
        </w:tc>
        <w:tc>
          <w:tcPr>
            <w:tcW w:w="1560" w:type="dxa"/>
            <w:vMerge w:val="restart"/>
            <w:shd w:val="clear" w:color="auto" w:fill="FFFFFF"/>
            <w:vAlign w:val="center"/>
          </w:tcPr>
          <w:p w14:paraId="352B9E75"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0.292</w:t>
            </w:r>
          </w:p>
        </w:tc>
        <w:tc>
          <w:tcPr>
            <w:tcW w:w="2295" w:type="dxa"/>
            <w:tcBorders>
              <w:left w:val="nil"/>
              <w:right w:val="nil"/>
            </w:tcBorders>
            <w:shd w:val="clear" w:color="auto" w:fill="FFFFFF"/>
            <w:vAlign w:val="center"/>
          </w:tcPr>
          <w:p w14:paraId="656AB589"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20.97 (9.16)</w:t>
            </w:r>
          </w:p>
        </w:tc>
      </w:tr>
      <w:tr w:rsidR="002A51CA" w:rsidRPr="00787196" w14:paraId="33E474F5" w14:textId="77777777" w:rsidTr="002A51CA">
        <w:trPr>
          <w:trHeight w:val="273"/>
        </w:trPr>
        <w:tc>
          <w:tcPr>
            <w:tcW w:w="4536" w:type="dxa"/>
            <w:shd w:val="clear" w:color="auto" w:fill="FFFFFF"/>
            <w:vAlign w:val="center"/>
          </w:tcPr>
          <w:p w14:paraId="5F32FF69"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Upto ₹4555 per month</w:t>
            </w:r>
          </w:p>
        </w:tc>
        <w:tc>
          <w:tcPr>
            <w:tcW w:w="1560" w:type="dxa"/>
            <w:vMerge/>
            <w:shd w:val="clear" w:color="auto" w:fill="FFFFFF"/>
            <w:vAlign w:val="center"/>
          </w:tcPr>
          <w:p w14:paraId="427D426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5A6A1CEC"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20.60 (7.90)</w:t>
            </w:r>
          </w:p>
        </w:tc>
      </w:tr>
      <w:tr w:rsidR="002A51CA" w:rsidRPr="00787196" w14:paraId="677CEC50" w14:textId="77777777" w:rsidTr="002A51CA">
        <w:trPr>
          <w:trHeight w:val="273"/>
        </w:trPr>
        <w:tc>
          <w:tcPr>
            <w:tcW w:w="4536" w:type="dxa"/>
            <w:shd w:val="clear" w:color="auto" w:fill="FFFFFF"/>
            <w:vAlign w:val="center"/>
          </w:tcPr>
          <w:p w14:paraId="5E67B212"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Occupation</w:t>
            </w:r>
          </w:p>
        </w:tc>
        <w:tc>
          <w:tcPr>
            <w:tcW w:w="1560" w:type="dxa"/>
            <w:shd w:val="clear" w:color="auto" w:fill="FFFFFF"/>
            <w:vAlign w:val="center"/>
          </w:tcPr>
          <w:p w14:paraId="4B2738E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3ABFB484"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43FCACF8" w14:textId="77777777" w:rsidTr="002A51CA">
        <w:trPr>
          <w:trHeight w:val="273"/>
        </w:trPr>
        <w:tc>
          <w:tcPr>
            <w:tcW w:w="4536" w:type="dxa"/>
            <w:shd w:val="clear" w:color="auto" w:fill="D9D9D9"/>
            <w:vAlign w:val="center"/>
          </w:tcPr>
          <w:p w14:paraId="3E82BA64"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Employed</w:t>
            </w:r>
          </w:p>
        </w:tc>
        <w:tc>
          <w:tcPr>
            <w:tcW w:w="1560" w:type="dxa"/>
            <w:vMerge w:val="restart"/>
            <w:shd w:val="clear" w:color="auto" w:fill="D9D9D9"/>
            <w:vAlign w:val="center"/>
          </w:tcPr>
          <w:p w14:paraId="38355570"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0.441</w:t>
            </w:r>
          </w:p>
        </w:tc>
        <w:tc>
          <w:tcPr>
            <w:tcW w:w="2295" w:type="dxa"/>
            <w:tcBorders>
              <w:left w:val="nil"/>
              <w:right w:val="nil"/>
            </w:tcBorders>
            <w:shd w:val="clear" w:color="auto" w:fill="D9D9D9"/>
            <w:vAlign w:val="center"/>
          </w:tcPr>
          <w:p w14:paraId="711B6B9F"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21.10 (8.97)</w:t>
            </w:r>
          </w:p>
        </w:tc>
      </w:tr>
      <w:tr w:rsidR="002A51CA" w:rsidRPr="00787196" w14:paraId="410CCE09" w14:textId="77777777" w:rsidTr="002A51CA">
        <w:trPr>
          <w:trHeight w:val="273"/>
        </w:trPr>
        <w:tc>
          <w:tcPr>
            <w:tcW w:w="4536" w:type="dxa"/>
            <w:shd w:val="clear" w:color="auto" w:fill="D9D9D9"/>
            <w:vAlign w:val="center"/>
          </w:tcPr>
          <w:p w14:paraId="4F8489D3"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Unemployed/ Retired</w:t>
            </w:r>
          </w:p>
        </w:tc>
        <w:tc>
          <w:tcPr>
            <w:tcW w:w="1560" w:type="dxa"/>
            <w:vMerge/>
            <w:shd w:val="clear" w:color="auto" w:fill="D9D9D9"/>
            <w:vAlign w:val="center"/>
          </w:tcPr>
          <w:p w14:paraId="2AA8346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D9D9D9"/>
            <w:vAlign w:val="center"/>
          </w:tcPr>
          <w:p w14:paraId="11F00C19"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20.55 (8.19)</w:t>
            </w:r>
          </w:p>
        </w:tc>
      </w:tr>
      <w:tr w:rsidR="002A51CA" w:rsidRPr="00787196" w14:paraId="35DE96DD" w14:textId="77777777" w:rsidTr="002A51CA">
        <w:trPr>
          <w:trHeight w:val="273"/>
        </w:trPr>
        <w:tc>
          <w:tcPr>
            <w:tcW w:w="4536" w:type="dxa"/>
            <w:shd w:val="clear" w:color="auto" w:fill="FFFFFF"/>
            <w:vAlign w:val="center"/>
          </w:tcPr>
          <w:p w14:paraId="2348F687" w14:textId="77777777" w:rsidR="002A51CA" w:rsidRPr="00787196" w:rsidRDefault="002A51CA" w:rsidP="002A51CA">
            <w:pPr>
              <w:autoSpaceDE w:val="0"/>
              <w:autoSpaceDN w:val="0"/>
              <w:adjustRightInd w:val="0"/>
              <w:spacing w:before="0" w:after="0" w:line="240" w:lineRule="auto"/>
              <w:rPr>
                <w:rFonts w:cs="Arial"/>
                <w:b/>
                <w:bCs/>
                <w:color w:val="000000"/>
                <w:sz w:val="19"/>
                <w:szCs w:val="19"/>
              </w:rPr>
            </w:pPr>
            <w:r w:rsidRPr="00787196">
              <w:rPr>
                <w:rFonts w:cs="Arial"/>
                <w:b/>
                <w:bCs/>
                <w:color w:val="000000"/>
                <w:sz w:val="19"/>
                <w:szCs w:val="19"/>
              </w:rPr>
              <w:t>Caste</w:t>
            </w:r>
          </w:p>
        </w:tc>
        <w:tc>
          <w:tcPr>
            <w:tcW w:w="1560" w:type="dxa"/>
            <w:shd w:val="clear" w:color="auto" w:fill="FFFFFF"/>
            <w:vAlign w:val="center"/>
          </w:tcPr>
          <w:p w14:paraId="412668EB"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7993CAF8"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r>
      <w:tr w:rsidR="002A51CA" w:rsidRPr="00787196" w14:paraId="1B8E0BC7" w14:textId="77777777" w:rsidTr="002A51CA">
        <w:trPr>
          <w:trHeight w:val="273"/>
        </w:trPr>
        <w:tc>
          <w:tcPr>
            <w:tcW w:w="4536" w:type="dxa"/>
            <w:shd w:val="clear" w:color="auto" w:fill="FFFFFF"/>
            <w:vAlign w:val="center"/>
          </w:tcPr>
          <w:p w14:paraId="374E5F0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Open category (no social benefits)</w:t>
            </w:r>
          </w:p>
        </w:tc>
        <w:tc>
          <w:tcPr>
            <w:tcW w:w="1560" w:type="dxa"/>
            <w:vMerge w:val="restart"/>
            <w:shd w:val="clear" w:color="auto" w:fill="FFFFFF"/>
            <w:vAlign w:val="center"/>
          </w:tcPr>
          <w:p w14:paraId="54A12321"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-1.036</w:t>
            </w:r>
          </w:p>
        </w:tc>
        <w:tc>
          <w:tcPr>
            <w:tcW w:w="2295" w:type="dxa"/>
            <w:tcBorders>
              <w:left w:val="nil"/>
              <w:right w:val="nil"/>
            </w:tcBorders>
            <w:shd w:val="clear" w:color="auto" w:fill="FFFFFF"/>
            <w:vAlign w:val="center"/>
          </w:tcPr>
          <w:p w14:paraId="44CD85A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19.66 (7.98)</w:t>
            </w:r>
          </w:p>
        </w:tc>
      </w:tr>
      <w:tr w:rsidR="002A51CA" w:rsidRPr="00787196" w14:paraId="7AF7B1C9" w14:textId="77777777" w:rsidTr="002A51CA">
        <w:trPr>
          <w:trHeight w:val="273"/>
        </w:trPr>
        <w:tc>
          <w:tcPr>
            <w:tcW w:w="4536" w:type="dxa"/>
            <w:shd w:val="clear" w:color="auto" w:fill="FFFFFF"/>
            <w:vAlign w:val="center"/>
          </w:tcPr>
          <w:p w14:paraId="3366812C" w14:textId="77777777" w:rsidR="002A51CA" w:rsidRPr="00787196" w:rsidRDefault="002A51CA" w:rsidP="002A51CA">
            <w:pPr>
              <w:autoSpaceDE w:val="0"/>
              <w:autoSpaceDN w:val="0"/>
              <w:adjustRightInd w:val="0"/>
              <w:spacing w:before="0" w:after="0" w:line="240" w:lineRule="auto"/>
              <w:rPr>
                <w:rFonts w:cs="Arial"/>
                <w:color w:val="000000"/>
                <w:sz w:val="19"/>
                <w:szCs w:val="19"/>
              </w:rPr>
            </w:pPr>
            <w:r w:rsidRPr="00787196">
              <w:rPr>
                <w:rFonts w:cs="Arial"/>
                <w:color w:val="000000"/>
                <w:sz w:val="19"/>
                <w:szCs w:val="19"/>
              </w:rPr>
              <w:t>Socially oppressed castes (social benefits)</w:t>
            </w:r>
          </w:p>
        </w:tc>
        <w:tc>
          <w:tcPr>
            <w:tcW w:w="1560" w:type="dxa"/>
            <w:vMerge/>
            <w:shd w:val="clear" w:color="auto" w:fill="FFFFFF"/>
            <w:vAlign w:val="center"/>
          </w:tcPr>
          <w:p w14:paraId="7E765171"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p>
        </w:tc>
        <w:tc>
          <w:tcPr>
            <w:tcW w:w="2295" w:type="dxa"/>
            <w:tcBorders>
              <w:left w:val="nil"/>
              <w:right w:val="nil"/>
            </w:tcBorders>
            <w:shd w:val="clear" w:color="auto" w:fill="FFFFFF"/>
            <w:vAlign w:val="center"/>
          </w:tcPr>
          <w:p w14:paraId="1C1F61CD" w14:textId="77777777" w:rsidR="002A51CA" w:rsidRPr="00787196" w:rsidRDefault="002A51CA" w:rsidP="002A51CA">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21.14 (8.65)</w:t>
            </w:r>
          </w:p>
        </w:tc>
      </w:tr>
      <w:tr w:rsidR="002A51CA" w:rsidRPr="00787196" w14:paraId="178247A1" w14:textId="77777777" w:rsidTr="002A51CA">
        <w:trPr>
          <w:trHeight w:val="273"/>
        </w:trPr>
        <w:tc>
          <w:tcPr>
            <w:tcW w:w="4536" w:type="dxa"/>
            <w:tcBorders>
              <w:bottom w:val="single" w:sz="8" w:space="0" w:color="000000"/>
            </w:tcBorders>
            <w:shd w:val="clear" w:color="auto" w:fill="FFFFFF"/>
          </w:tcPr>
          <w:p w14:paraId="0B6C74B1" w14:textId="77777777" w:rsidR="002A51CA" w:rsidRPr="00787196" w:rsidRDefault="002A51CA" w:rsidP="002A51CA">
            <w:pPr>
              <w:autoSpaceDE w:val="0"/>
              <w:autoSpaceDN w:val="0"/>
              <w:adjustRightInd w:val="0"/>
              <w:spacing w:before="0" w:after="0" w:line="240" w:lineRule="auto"/>
              <w:ind w:left="142"/>
              <w:rPr>
                <w:rFonts w:cs="Arial"/>
                <w:color w:val="000000"/>
                <w:sz w:val="19"/>
                <w:szCs w:val="19"/>
              </w:rPr>
            </w:pPr>
          </w:p>
        </w:tc>
        <w:tc>
          <w:tcPr>
            <w:tcW w:w="1560" w:type="dxa"/>
            <w:tcBorders>
              <w:bottom w:val="single" w:sz="8" w:space="0" w:color="000000"/>
            </w:tcBorders>
            <w:shd w:val="clear" w:color="auto" w:fill="FFFFFF"/>
            <w:vAlign w:val="center"/>
          </w:tcPr>
          <w:p w14:paraId="5AC569C4" w14:textId="77777777" w:rsidR="002A51CA" w:rsidRPr="00787196" w:rsidRDefault="002A51CA" w:rsidP="002A51CA">
            <w:pPr>
              <w:autoSpaceDE w:val="0"/>
              <w:autoSpaceDN w:val="0"/>
              <w:adjustRightInd w:val="0"/>
              <w:spacing w:before="0" w:after="0" w:line="240" w:lineRule="auto"/>
              <w:rPr>
                <w:rFonts w:cs="Arial"/>
                <w:color w:val="000000"/>
                <w:sz w:val="19"/>
                <w:szCs w:val="19"/>
              </w:rPr>
            </w:pPr>
          </w:p>
        </w:tc>
        <w:tc>
          <w:tcPr>
            <w:tcW w:w="2295" w:type="dxa"/>
            <w:tcBorders>
              <w:left w:val="nil"/>
              <w:bottom w:val="single" w:sz="8" w:space="0" w:color="000000"/>
              <w:right w:val="nil"/>
            </w:tcBorders>
            <w:shd w:val="clear" w:color="auto" w:fill="FFFFFF"/>
            <w:vAlign w:val="center"/>
          </w:tcPr>
          <w:p w14:paraId="62775845" w14:textId="77777777" w:rsidR="002A51CA" w:rsidRPr="00787196" w:rsidRDefault="002A51CA" w:rsidP="002A51CA">
            <w:pPr>
              <w:autoSpaceDE w:val="0"/>
              <w:autoSpaceDN w:val="0"/>
              <w:adjustRightInd w:val="0"/>
              <w:spacing w:before="0" w:after="0" w:line="240" w:lineRule="auto"/>
              <w:rPr>
                <w:rFonts w:cs="Arial"/>
                <w:color w:val="000000"/>
                <w:sz w:val="19"/>
                <w:szCs w:val="19"/>
              </w:rPr>
            </w:pPr>
          </w:p>
        </w:tc>
      </w:tr>
    </w:tbl>
    <w:p w14:paraId="257C4501" w14:textId="77777777" w:rsidR="0079553A" w:rsidRPr="00787196" w:rsidRDefault="0079553A" w:rsidP="00755F46">
      <w:pPr>
        <w:spacing w:before="0" w:after="0"/>
        <w:rPr>
          <w:i/>
          <w:iCs/>
          <w:sz w:val="20"/>
          <w:szCs w:val="16"/>
          <w:vertAlign w:val="superscript"/>
        </w:rPr>
      </w:pPr>
    </w:p>
    <w:p w14:paraId="3AFDC81F" w14:textId="04AF6533" w:rsidR="007C2260" w:rsidRPr="00787196" w:rsidRDefault="007C2260" w:rsidP="00755F46">
      <w:pPr>
        <w:spacing w:before="0" w:after="0"/>
        <w:rPr>
          <w:i/>
          <w:iCs/>
          <w:sz w:val="20"/>
          <w:szCs w:val="16"/>
        </w:rPr>
      </w:pPr>
      <w:r w:rsidRPr="00787196">
        <w:rPr>
          <w:i/>
          <w:iCs/>
          <w:sz w:val="20"/>
          <w:szCs w:val="16"/>
          <w:vertAlign w:val="superscript"/>
        </w:rPr>
        <w:t>+</w:t>
      </w:r>
      <w:r w:rsidRPr="00787196">
        <w:rPr>
          <w:i/>
          <w:iCs/>
          <w:sz w:val="20"/>
          <w:szCs w:val="16"/>
        </w:rPr>
        <w:t>p value significant at &lt;0.05 (</w:t>
      </w:r>
      <w:r w:rsidR="0022384C" w:rsidRPr="00787196">
        <w:rPr>
          <w:i/>
          <w:iCs/>
          <w:sz w:val="20"/>
          <w:szCs w:val="16"/>
        </w:rPr>
        <w:t>Independent</w:t>
      </w:r>
      <w:r w:rsidRPr="00787196">
        <w:rPr>
          <w:i/>
          <w:iCs/>
          <w:sz w:val="20"/>
          <w:szCs w:val="16"/>
        </w:rPr>
        <w:t xml:space="preserve"> t-test)</w:t>
      </w:r>
    </w:p>
    <w:p w14:paraId="34F326E1" w14:textId="77777777" w:rsidR="00C90FB2" w:rsidRPr="00787196" w:rsidRDefault="00C90FB2" w:rsidP="00755F46">
      <w:pPr>
        <w:spacing w:before="0" w:after="0"/>
        <w:rPr>
          <w:i/>
          <w:iCs/>
          <w:sz w:val="18"/>
          <w:szCs w:val="18"/>
        </w:rPr>
      </w:pPr>
    </w:p>
    <w:p w14:paraId="6F274281" w14:textId="77777777" w:rsidR="00582E55" w:rsidRPr="00787196" w:rsidRDefault="00582E55" w:rsidP="00755F46">
      <w:pPr>
        <w:spacing w:before="0" w:after="0"/>
        <w:rPr>
          <w:i/>
          <w:iCs/>
          <w:sz w:val="22"/>
          <w:szCs w:val="20"/>
        </w:rPr>
      </w:pPr>
    </w:p>
    <w:p w14:paraId="39D8EB6F" w14:textId="69352B32" w:rsidR="00D96309" w:rsidRPr="00787196" w:rsidRDefault="00757446" w:rsidP="0006726F">
      <w:pPr>
        <w:pStyle w:val="Heading3"/>
      </w:pPr>
      <w:bookmarkStart w:id="291" w:name="_Toc456211189"/>
      <w:bookmarkStart w:id="292" w:name="_Toc488655672"/>
      <w:r w:rsidRPr="00787196">
        <w:lastRenderedPageBreak/>
        <w:t>Bivariate analyses</w:t>
      </w:r>
      <w:r w:rsidR="00546730" w:rsidRPr="00787196">
        <w:t xml:space="preserve"> </w:t>
      </w:r>
      <w:r w:rsidR="00582E55" w:rsidRPr="00787196">
        <w:t xml:space="preserve">between clinical </w:t>
      </w:r>
      <w:r w:rsidR="00546730" w:rsidRPr="00787196">
        <w:t>factors</w:t>
      </w:r>
      <w:r w:rsidR="00582E55" w:rsidRPr="00787196">
        <w:t xml:space="preserve">, coping strategies, individual </w:t>
      </w:r>
      <w:r w:rsidR="00546730" w:rsidRPr="00787196">
        <w:t>variables</w:t>
      </w:r>
      <w:r w:rsidR="00582E55" w:rsidRPr="00787196">
        <w:t xml:space="preserve">, environmental </w:t>
      </w:r>
      <w:r w:rsidR="00B04065" w:rsidRPr="00787196">
        <w:t>variables</w:t>
      </w:r>
      <w:r w:rsidR="00582E55" w:rsidRPr="00787196">
        <w:t xml:space="preserve">, </w:t>
      </w:r>
      <w:r w:rsidR="0006726F" w:rsidRPr="00787196">
        <w:t>outcome variables at baseline (T1)</w:t>
      </w:r>
      <w:r w:rsidR="00582E55" w:rsidRPr="00787196">
        <w:t xml:space="preserve"> </w:t>
      </w:r>
      <w:r w:rsidR="0006726F" w:rsidRPr="00787196">
        <w:t xml:space="preserve">and </w:t>
      </w:r>
      <w:r w:rsidR="001B72B3" w:rsidRPr="00787196">
        <w:t>c</w:t>
      </w:r>
      <w:r w:rsidR="00582E55" w:rsidRPr="00787196">
        <w:t>hewing ability at follow-up</w:t>
      </w:r>
      <w:bookmarkEnd w:id="291"/>
      <w:r w:rsidR="00297A9A" w:rsidRPr="00787196">
        <w:t xml:space="preserve"> (T2)</w:t>
      </w:r>
      <w:bookmarkEnd w:id="292"/>
    </w:p>
    <w:p w14:paraId="7BF5EA8E" w14:textId="72347B4C" w:rsidR="00855078" w:rsidRPr="00787196" w:rsidRDefault="00DC7CFB" w:rsidP="0006726F">
      <w:r w:rsidRPr="00787196">
        <w:t>Table 5-2</w:t>
      </w:r>
      <w:r w:rsidR="002C6B34" w:rsidRPr="00787196">
        <w:t>1</w:t>
      </w:r>
      <w:r w:rsidR="00D96309" w:rsidRPr="00787196">
        <w:t xml:space="preserve"> </w:t>
      </w:r>
      <w:r w:rsidR="00855078" w:rsidRPr="00787196">
        <w:t>presents the</w:t>
      </w:r>
      <w:r w:rsidR="00582E55" w:rsidRPr="00787196">
        <w:t xml:space="preserve"> lagged analyses between coping strategies, individual, environmental </w:t>
      </w:r>
      <w:r w:rsidR="003A6AF9" w:rsidRPr="00787196">
        <w:t>and outcome</w:t>
      </w:r>
      <w:r w:rsidR="00546730" w:rsidRPr="00787196">
        <w:t xml:space="preserve"> variables</w:t>
      </w:r>
      <w:r w:rsidR="003A6AF9" w:rsidRPr="00787196">
        <w:t xml:space="preserve"> </w:t>
      </w:r>
      <w:r w:rsidR="00855078" w:rsidRPr="00787196">
        <w:t>at</w:t>
      </w:r>
      <w:r w:rsidR="00582E55" w:rsidRPr="00787196">
        <w:t xml:space="preserve"> baseline with </w:t>
      </w:r>
      <w:r w:rsidR="001B72B3" w:rsidRPr="00787196">
        <w:t xml:space="preserve">chewing ability </w:t>
      </w:r>
      <w:r w:rsidR="00582E55" w:rsidRPr="00787196">
        <w:t>at follow-up.</w:t>
      </w:r>
    </w:p>
    <w:tbl>
      <w:tblPr>
        <w:tblpPr w:leftFromText="180" w:rightFromText="180" w:vertAnchor="text" w:horzAnchor="margin" w:tblpY="1358"/>
        <w:tblW w:w="0" w:type="auto"/>
        <w:tblBorders>
          <w:top w:val="single" w:sz="8" w:space="0" w:color="000000"/>
          <w:bottom w:val="single" w:sz="8" w:space="0" w:color="000000"/>
        </w:tblBorders>
        <w:tblLook w:val="04A0" w:firstRow="1" w:lastRow="0" w:firstColumn="1" w:lastColumn="0" w:noHBand="0" w:noVBand="1"/>
      </w:tblPr>
      <w:tblGrid>
        <w:gridCol w:w="4822"/>
        <w:gridCol w:w="3288"/>
      </w:tblGrid>
      <w:tr w:rsidR="005E58F3" w:rsidRPr="00787196" w14:paraId="38A325DF" w14:textId="77777777" w:rsidTr="00A5430A">
        <w:trPr>
          <w:trHeight w:val="293"/>
        </w:trPr>
        <w:tc>
          <w:tcPr>
            <w:tcW w:w="4822" w:type="dxa"/>
            <w:tcBorders>
              <w:top w:val="single" w:sz="8" w:space="0" w:color="000000"/>
              <w:bottom w:val="single" w:sz="8" w:space="0" w:color="000000"/>
            </w:tcBorders>
            <w:shd w:val="clear" w:color="auto" w:fill="FFFFFF"/>
          </w:tcPr>
          <w:p w14:paraId="59E7170D" w14:textId="77777777" w:rsidR="005E58F3" w:rsidRPr="00787196" w:rsidRDefault="005E58F3"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Independent variables</w:t>
            </w:r>
          </w:p>
          <w:p w14:paraId="116C40F7" w14:textId="77777777" w:rsidR="005E58F3" w:rsidRPr="00787196" w:rsidRDefault="005E58F3"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(baseline)</w:t>
            </w:r>
          </w:p>
        </w:tc>
        <w:tc>
          <w:tcPr>
            <w:tcW w:w="3288" w:type="dxa"/>
            <w:tcBorders>
              <w:top w:val="single" w:sz="8" w:space="0" w:color="000000"/>
              <w:bottom w:val="single" w:sz="8" w:space="0" w:color="000000"/>
            </w:tcBorders>
            <w:shd w:val="clear" w:color="auto" w:fill="FFFFFF"/>
            <w:vAlign w:val="center"/>
          </w:tcPr>
          <w:p w14:paraId="01050526" w14:textId="5A9D147F" w:rsidR="005E58F3" w:rsidRPr="00787196" w:rsidRDefault="005E58F3"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p>
        </w:tc>
      </w:tr>
      <w:tr w:rsidR="005E58F3" w:rsidRPr="00787196" w14:paraId="408CBAD0" w14:textId="77777777" w:rsidTr="00A5430A">
        <w:trPr>
          <w:trHeight w:val="163"/>
        </w:trPr>
        <w:tc>
          <w:tcPr>
            <w:tcW w:w="4822" w:type="dxa"/>
            <w:shd w:val="clear" w:color="auto" w:fill="FFFFFF"/>
            <w:vAlign w:val="bottom"/>
          </w:tcPr>
          <w:p w14:paraId="65F0B626" w14:textId="77777777" w:rsidR="005E58F3" w:rsidRPr="00787196" w:rsidRDefault="005E58F3" w:rsidP="00A5430A">
            <w:pPr>
              <w:autoSpaceDE w:val="0"/>
              <w:autoSpaceDN w:val="0"/>
              <w:adjustRightInd w:val="0"/>
              <w:spacing w:before="0" w:after="0" w:line="240" w:lineRule="auto"/>
              <w:rPr>
                <w:rFonts w:cs="Arial"/>
                <w:b/>
                <w:bCs/>
                <w:color w:val="000000"/>
                <w:sz w:val="20"/>
                <w:szCs w:val="20"/>
              </w:rPr>
            </w:pPr>
          </w:p>
        </w:tc>
        <w:tc>
          <w:tcPr>
            <w:tcW w:w="3288" w:type="dxa"/>
            <w:tcBorders>
              <w:left w:val="nil"/>
              <w:right w:val="nil"/>
            </w:tcBorders>
            <w:shd w:val="clear" w:color="auto" w:fill="FFFFFF"/>
            <w:vAlign w:val="center"/>
          </w:tcPr>
          <w:p w14:paraId="5E88C8D0" w14:textId="77777777" w:rsidR="005E58F3" w:rsidRPr="00787196" w:rsidRDefault="005E58F3" w:rsidP="00A5430A">
            <w:pPr>
              <w:autoSpaceDE w:val="0"/>
              <w:autoSpaceDN w:val="0"/>
              <w:adjustRightInd w:val="0"/>
              <w:spacing w:before="0" w:after="0" w:line="240" w:lineRule="auto"/>
              <w:jc w:val="center"/>
              <w:rPr>
                <w:rFonts w:cs="Arial"/>
                <w:color w:val="000000"/>
                <w:sz w:val="20"/>
                <w:szCs w:val="20"/>
              </w:rPr>
            </w:pPr>
          </w:p>
        </w:tc>
      </w:tr>
      <w:tr w:rsidR="005E58F3" w:rsidRPr="00787196" w14:paraId="17C8E7D7" w14:textId="77777777" w:rsidTr="00A5430A">
        <w:trPr>
          <w:trHeight w:val="269"/>
        </w:trPr>
        <w:tc>
          <w:tcPr>
            <w:tcW w:w="4822" w:type="dxa"/>
            <w:shd w:val="clear" w:color="auto" w:fill="FFFFFF"/>
            <w:vAlign w:val="bottom"/>
          </w:tcPr>
          <w:p w14:paraId="5E62C82C" w14:textId="74F2176C" w:rsidR="005E58F3" w:rsidRPr="00787196" w:rsidRDefault="005E58F3" w:rsidP="00A5430A">
            <w:pPr>
              <w:autoSpaceDE w:val="0"/>
              <w:autoSpaceDN w:val="0"/>
              <w:adjustRightInd w:val="0"/>
              <w:spacing w:before="0" w:after="0"/>
              <w:rPr>
                <w:rFonts w:cs="Arial"/>
                <w:b/>
                <w:bCs/>
                <w:color w:val="000000"/>
                <w:sz w:val="20"/>
                <w:szCs w:val="20"/>
              </w:rPr>
            </w:pPr>
            <w:r w:rsidRPr="00787196">
              <w:rPr>
                <w:rFonts w:cs="Arial"/>
                <w:b/>
                <w:bCs/>
                <w:color w:val="000000"/>
                <w:sz w:val="20"/>
                <w:szCs w:val="20"/>
              </w:rPr>
              <w:t>Coping strategies</w:t>
            </w:r>
          </w:p>
        </w:tc>
        <w:tc>
          <w:tcPr>
            <w:tcW w:w="3288" w:type="dxa"/>
            <w:tcBorders>
              <w:left w:val="nil"/>
              <w:right w:val="nil"/>
            </w:tcBorders>
            <w:shd w:val="clear" w:color="auto" w:fill="FFFFFF"/>
            <w:vAlign w:val="center"/>
          </w:tcPr>
          <w:p w14:paraId="0EA62AE9" w14:textId="77777777" w:rsidR="005E58F3" w:rsidRPr="00787196" w:rsidRDefault="005E58F3" w:rsidP="00A5430A">
            <w:pPr>
              <w:autoSpaceDE w:val="0"/>
              <w:autoSpaceDN w:val="0"/>
              <w:adjustRightInd w:val="0"/>
              <w:spacing w:before="0" w:after="0" w:line="240" w:lineRule="auto"/>
              <w:jc w:val="center"/>
              <w:rPr>
                <w:rFonts w:cs="Arial"/>
                <w:color w:val="000000"/>
                <w:sz w:val="20"/>
                <w:szCs w:val="20"/>
              </w:rPr>
            </w:pPr>
          </w:p>
        </w:tc>
      </w:tr>
      <w:tr w:rsidR="005E58F3" w:rsidRPr="00787196" w14:paraId="3D731917" w14:textId="77777777" w:rsidTr="00A5430A">
        <w:trPr>
          <w:trHeight w:val="269"/>
        </w:trPr>
        <w:tc>
          <w:tcPr>
            <w:tcW w:w="4822" w:type="dxa"/>
            <w:shd w:val="clear" w:color="auto" w:fill="FFFFFF"/>
          </w:tcPr>
          <w:p w14:paraId="1172E99E" w14:textId="77777777" w:rsidR="005E58F3" w:rsidRPr="00787196" w:rsidRDefault="005E58F3" w:rsidP="00A5430A">
            <w:pPr>
              <w:spacing w:before="0" w:after="0" w:line="240" w:lineRule="auto"/>
              <w:ind w:left="142"/>
              <w:rPr>
                <w:sz w:val="20"/>
                <w:szCs w:val="20"/>
              </w:rPr>
            </w:pPr>
            <w:r w:rsidRPr="00787196">
              <w:rPr>
                <w:sz w:val="20"/>
                <w:szCs w:val="20"/>
              </w:rPr>
              <w:t>Inadequate/ negative/ avoidance</w:t>
            </w:r>
          </w:p>
        </w:tc>
        <w:tc>
          <w:tcPr>
            <w:tcW w:w="3288" w:type="dxa"/>
            <w:tcBorders>
              <w:left w:val="nil"/>
              <w:right w:val="nil"/>
            </w:tcBorders>
            <w:shd w:val="clear" w:color="auto" w:fill="FFFFFF"/>
          </w:tcPr>
          <w:p w14:paraId="007902F5" w14:textId="269CA9A7" w:rsidR="005E58F3" w:rsidRPr="00787196" w:rsidRDefault="005E58F3" w:rsidP="00A5430A">
            <w:pPr>
              <w:spacing w:before="0" w:after="0" w:line="240" w:lineRule="auto"/>
              <w:ind w:firstLine="1166"/>
              <w:rPr>
                <w:sz w:val="20"/>
                <w:szCs w:val="20"/>
              </w:rPr>
            </w:pPr>
            <w:r w:rsidRPr="00787196">
              <w:rPr>
                <w:sz w:val="20"/>
                <w:szCs w:val="20"/>
              </w:rPr>
              <w:t xml:space="preserve"> 0.000</w:t>
            </w:r>
          </w:p>
        </w:tc>
      </w:tr>
      <w:tr w:rsidR="005E58F3" w:rsidRPr="00787196" w14:paraId="5FB63765" w14:textId="77777777" w:rsidTr="00A5430A">
        <w:trPr>
          <w:trHeight w:val="269"/>
        </w:trPr>
        <w:tc>
          <w:tcPr>
            <w:tcW w:w="4822" w:type="dxa"/>
            <w:shd w:val="clear" w:color="auto" w:fill="FFFFFF"/>
          </w:tcPr>
          <w:p w14:paraId="03966805" w14:textId="77777777" w:rsidR="005E58F3" w:rsidRPr="00787196" w:rsidRDefault="005E58F3" w:rsidP="00A5430A">
            <w:pPr>
              <w:spacing w:before="0" w:after="0" w:line="240" w:lineRule="auto"/>
              <w:ind w:left="142"/>
              <w:rPr>
                <w:sz w:val="20"/>
                <w:szCs w:val="20"/>
              </w:rPr>
            </w:pPr>
            <w:r w:rsidRPr="00787196">
              <w:rPr>
                <w:sz w:val="20"/>
                <w:szCs w:val="20"/>
              </w:rPr>
              <w:t>Positive/ adequate</w:t>
            </w:r>
          </w:p>
        </w:tc>
        <w:tc>
          <w:tcPr>
            <w:tcW w:w="3288" w:type="dxa"/>
            <w:tcBorders>
              <w:left w:val="nil"/>
              <w:right w:val="nil"/>
            </w:tcBorders>
            <w:shd w:val="clear" w:color="auto" w:fill="FFFFFF"/>
          </w:tcPr>
          <w:p w14:paraId="3C212C88" w14:textId="77777777" w:rsidR="005E58F3" w:rsidRPr="00787196" w:rsidRDefault="005E58F3" w:rsidP="00A5430A">
            <w:pPr>
              <w:spacing w:before="0" w:after="0" w:line="240" w:lineRule="auto"/>
              <w:ind w:firstLine="1166"/>
              <w:rPr>
                <w:sz w:val="20"/>
                <w:szCs w:val="20"/>
              </w:rPr>
            </w:pPr>
            <w:r w:rsidRPr="00787196">
              <w:rPr>
                <w:sz w:val="20"/>
                <w:szCs w:val="20"/>
              </w:rPr>
              <w:t>-0.019</w:t>
            </w:r>
          </w:p>
        </w:tc>
      </w:tr>
      <w:tr w:rsidR="005E58F3" w:rsidRPr="00787196" w14:paraId="136B2850" w14:textId="77777777" w:rsidTr="00A5430A">
        <w:trPr>
          <w:trHeight w:val="269"/>
        </w:trPr>
        <w:tc>
          <w:tcPr>
            <w:tcW w:w="4822" w:type="dxa"/>
            <w:shd w:val="clear" w:color="auto" w:fill="FFFFFF"/>
          </w:tcPr>
          <w:p w14:paraId="6C77FD4C" w14:textId="77777777" w:rsidR="005E58F3" w:rsidRPr="00787196" w:rsidRDefault="005E58F3" w:rsidP="00A5430A">
            <w:pPr>
              <w:spacing w:before="0" w:after="0" w:line="240" w:lineRule="auto"/>
              <w:ind w:left="142"/>
              <w:rPr>
                <w:sz w:val="20"/>
                <w:szCs w:val="20"/>
              </w:rPr>
            </w:pPr>
            <w:r w:rsidRPr="00787196">
              <w:rPr>
                <w:sz w:val="20"/>
                <w:szCs w:val="20"/>
              </w:rPr>
              <w:t>Self-blame</w:t>
            </w:r>
          </w:p>
        </w:tc>
        <w:tc>
          <w:tcPr>
            <w:tcW w:w="3288" w:type="dxa"/>
            <w:tcBorders>
              <w:left w:val="nil"/>
              <w:right w:val="nil"/>
            </w:tcBorders>
            <w:shd w:val="clear" w:color="auto" w:fill="FFFFFF"/>
          </w:tcPr>
          <w:p w14:paraId="523D441F" w14:textId="77777777" w:rsidR="005E58F3" w:rsidRPr="00787196" w:rsidRDefault="005E58F3" w:rsidP="00A5430A">
            <w:pPr>
              <w:spacing w:before="0" w:after="0" w:line="240" w:lineRule="auto"/>
              <w:ind w:firstLine="1166"/>
              <w:rPr>
                <w:sz w:val="20"/>
                <w:szCs w:val="20"/>
              </w:rPr>
            </w:pPr>
            <w:r w:rsidRPr="00787196">
              <w:rPr>
                <w:sz w:val="20"/>
                <w:szCs w:val="20"/>
              </w:rPr>
              <w:t>-0.048</w:t>
            </w:r>
          </w:p>
        </w:tc>
      </w:tr>
      <w:tr w:rsidR="005E58F3" w:rsidRPr="00787196" w14:paraId="72B26DE8" w14:textId="77777777" w:rsidTr="00A5430A">
        <w:trPr>
          <w:trHeight w:val="269"/>
        </w:trPr>
        <w:tc>
          <w:tcPr>
            <w:tcW w:w="4822" w:type="dxa"/>
            <w:shd w:val="clear" w:color="auto" w:fill="FFFFFF"/>
          </w:tcPr>
          <w:p w14:paraId="10F650BE" w14:textId="77777777" w:rsidR="005E58F3" w:rsidRPr="00787196" w:rsidRDefault="005E58F3" w:rsidP="00A5430A">
            <w:pPr>
              <w:spacing w:before="0" w:after="0" w:line="240" w:lineRule="auto"/>
              <w:ind w:left="142"/>
              <w:rPr>
                <w:sz w:val="20"/>
                <w:szCs w:val="20"/>
              </w:rPr>
            </w:pPr>
            <w:r w:rsidRPr="00787196">
              <w:rPr>
                <w:sz w:val="20"/>
                <w:szCs w:val="20"/>
              </w:rPr>
              <w:t>Religion</w:t>
            </w:r>
          </w:p>
        </w:tc>
        <w:tc>
          <w:tcPr>
            <w:tcW w:w="3288" w:type="dxa"/>
            <w:tcBorders>
              <w:left w:val="nil"/>
              <w:right w:val="nil"/>
            </w:tcBorders>
            <w:shd w:val="clear" w:color="auto" w:fill="FFFFFF"/>
          </w:tcPr>
          <w:p w14:paraId="54844E08" w14:textId="77777777" w:rsidR="005E58F3" w:rsidRPr="00787196" w:rsidRDefault="005E58F3" w:rsidP="00A5430A">
            <w:pPr>
              <w:spacing w:before="0" w:after="0" w:line="240" w:lineRule="auto"/>
              <w:ind w:firstLine="1166"/>
              <w:rPr>
                <w:sz w:val="20"/>
                <w:szCs w:val="20"/>
              </w:rPr>
            </w:pPr>
            <w:r w:rsidRPr="00787196">
              <w:rPr>
                <w:sz w:val="20"/>
                <w:szCs w:val="20"/>
              </w:rPr>
              <w:t>-0.090</w:t>
            </w:r>
          </w:p>
        </w:tc>
      </w:tr>
      <w:tr w:rsidR="005E58F3" w:rsidRPr="00787196" w14:paraId="33A8EF6A" w14:textId="77777777" w:rsidTr="00A5430A">
        <w:trPr>
          <w:trHeight w:val="78"/>
        </w:trPr>
        <w:tc>
          <w:tcPr>
            <w:tcW w:w="4822" w:type="dxa"/>
            <w:shd w:val="clear" w:color="auto" w:fill="FFFFFF"/>
            <w:vAlign w:val="bottom"/>
          </w:tcPr>
          <w:p w14:paraId="422F57CA" w14:textId="77777777" w:rsidR="005E58F3" w:rsidRPr="00787196" w:rsidRDefault="005E58F3" w:rsidP="00A5430A">
            <w:pPr>
              <w:autoSpaceDE w:val="0"/>
              <w:autoSpaceDN w:val="0"/>
              <w:adjustRightInd w:val="0"/>
              <w:spacing w:before="0" w:after="0" w:line="240" w:lineRule="auto"/>
              <w:rPr>
                <w:rFonts w:cs="Arial"/>
                <w:b/>
                <w:bCs/>
                <w:color w:val="000000"/>
                <w:sz w:val="20"/>
                <w:szCs w:val="20"/>
              </w:rPr>
            </w:pPr>
          </w:p>
        </w:tc>
        <w:tc>
          <w:tcPr>
            <w:tcW w:w="3288" w:type="dxa"/>
            <w:tcBorders>
              <w:left w:val="nil"/>
              <w:right w:val="nil"/>
            </w:tcBorders>
            <w:shd w:val="clear" w:color="auto" w:fill="FFFFFF"/>
            <w:vAlign w:val="center"/>
          </w:tcPr>
          <w:p w14:paraId="2D47B9A0"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p>
        </w:tc>
      </w:tr>
      <w:tr w:rsidR="005E58F3" w:rsidRPr="00787196" w14:paraId="7A698B47" w14:textId="77777777" w:rsidTr="00A5430A">
        <w:trPr>
          <w:trHeight w:val="269"/>
        </w:trPr>
        <w:tc>
          <w:tcPr>
            <w:tcW w:w="4822" w:type="dxa"/>
            <w:shd w:val="clear" w:color="auto" w:fill="FFFFFF"/>
            <w:vAlign w:val="center"/>
          </w:tcPr>
          <w:p w14:paraId="72F58980" w14:textId="77777777" w:rsidR="005E58F3" w:rsidRPr="00787196" w:rsidRDefault="005E58F3" w:rsidP="00A5430A">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Individual factors</w:t>
            </w:r>
          </w:p>
        </w:tc>
        <w:tc>
          <w:tcPr>
            <w:tcW w:w="3288" w:type="dxa"/>
            <w:tcBorders>
              <w:left w:val="nil"/>
              <w:right w:val="nil"/>
            </w:tcBorders>
            <w:shd w:val="clear" w:color="auto" w:fill="FFFFFF"/>
            <w:vAlign w:val="center"/>
          </w:tcPr>
          <w:p w14:paraId="50A8E517"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p>
        </w:tc>
      </w:tr>
      <w:tr w:rsidR="005E58F3" w:rsidRPr="00787196" w14:paraId="18526371" w14:textId="77777777" w:rsidTr="00A5430A">
        <w:trPr>
          <w:trHeight w:val="140"/>
        </w:trPr>
        <w:tc>
          <w:tcPr>
            <w:tcW w:w="4822" w:type="dxa"/>
            <w:shd w:val="clear" w:color="auto" w:fill="FFFFFF"/>
          </w:tcPr>
          <w:p w14:paraId="3E112086" w14:textId="77777777" w:rsidR="005E58F3" w:rsidRPr="00787196" w:rsidRDefault="005E58F3"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Subjective SES</w:t>
            </w:r>
          </w:p>
        </w:tc>
        <w:tc>
          <w:tcPr>
            <w:tcW w:w="3288" w:type="dxa"/>
            <w:tcBorders>
              <w:left w:val="nil"/>
              <w:right w:val="nil"/>
            </w:tcBorders>
            <w:shd w:val="clear" w:color="auto" w:fill="FFFFFF"/>
            <w:vAlign w:val="center"/>
          </w:tcPr>
          <w:p w14:paraId="321986BA"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-0.016</w:t>
            </w:r>
          </w:p>
        </w:tc>
      </w:tr>
      <w:tr w:rsidR="005E58F3" w:rsidRPr="00787196" w14:paraId="2951ADE8" w14:textId="77777777" w:rsidTr="00A5430A">
        <w:trPr>
          <w:trHeight w:val="101"/>
        </w:trPr>
        <w:tc>
          <w:tcPr>
            <w:tcW w:w="4822" w:type="dxa"/>
            <w:shd w:val="clear" w:color="auto" w:fill="FFFFFF"/>
          </w:tcPr>
          <w:p w14:paraId="2BBD9FAC" w14:textId="77777777" w:rsidR="005E58F3" w:rsidRPr="00787196" w:rsidRDefault="005E58F3" w:rsidP="00A5430A">
            <w:pPr>
              <w:autoSpaceDE w:val="0"/>
              <w:autoSpaceDN w:val="0"/>
              <w:adjustRightInd w:val="0"/>
              <w:spacing w:before="0" w:after="0" w:line="240" w:lineRule="auto"/>
              <w:ind w:firstLine="142"/>
              <w:rPr>
                <w:rFonts w:cs="Arial"/>
                <w:color w:val="000000"/>
                <w:sz w:val="20"/>
                <w:szCs w:val="20"/>
              </w:rPr>
            </w:pPr>
            <w:r w:rsidRPr="00787196">
              <w:rPr>
                <w:rFonts w:cs="Arial"/>
                <w:color w:val="000000"/>
                <w:sz w:val="20"/>
                <w:szCs w:val="20"/>
              </w:rPr>
              <w:t>Concern about oral health</w:t>
            </w:r>
          </w:p>
        </w:tc>
        <w:tc>
          <w:tcPr>
            <w:tcW w:w="3288" w:type="dxa"/>
            <w:shd w:val="clear" w:color="auto" w:fill="FFFFFF"/>
            <w:vAlign w:val="center"/>
          </w:tcPr>
          <w:p w14:paraId="24A3571D"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-0.006</w:t>
            </w:r>
          </w:p>
        </w:tc>
      </w:tr>
      <w:tr w:rsidR="005E58F3" w:rsidRPr="00787196" w14:paraId="6A25A950" w14:textId="77777777" w:rsidTr="00A5430A">
        <w:trPr>
          <w:trHeight w:val="121"/>
        </w:trPr>
        <w:tc>
          <w:tcPr>
            <w:tcW w:w="4822" w:type="dxa"/>
            <w:shd w:val="clear" w:color="auto" w:fill="FFFFFF"/>
          </w:tcPr>
          <w:p w14:paraId="3D8963DD" w14:textId="77777777" w:rsidR="005E58F3" w:rsidRPr="00787196" w:rsidRDefault="005E58F3"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Ageing expectations</w:t>
            </w:r>
          </w:p>
        </w:tc>
        <w:tc>
          <w:tcPr>
            <w:tcW w:w="3288" w:type="dxa"/>
            <w:tcBorders>
              <w:left w:val="nil"/>
              <w:right w:val="nil"/>
            </w:tcBorders>
            <w:shd w:val="clear" w:color="auto" w:fill="FFFFFF"/>
            <w:vAlign w:val="center"/>
          </w:tcPr>
          <w:p w14:paraId="5AC8F32B" w14:textId="599A7306" w:rsidR="005E58F3" w:rsidRPr="00787196" w:rsidRDefault="005E58F3" w:rsidP="00A5430A">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-0.080 (ρ)</w:t>
            </w:r>
          </w:p>
        </w:tc>
      </w:tr>
      <w:tr w:rsidR="005E58F3" w:rsidRPr="00787196" w14:paraId="7082D5BF" w14:textId="77777777" w:rsidTr="00A5430A">
        <w:trPr>
          <w:trHeight w:val="139"/>
        </w:trPr>
        <w:tc>
          <w:tcPr>
            <w:tcW w:w="4822" w:type="dxa"/>
            <w:shd w:val="clear" w:color="auto" w:fill="FFFFFF"/>
          </w:tcPr>
          <w:p w14:paraId="41DD4318" w14:textId="77777777" w:rsidR="005E58F3" w:rsidRPr="00787196" w:rsidRDefault="005E58F3" w:rsidP="00A5430A">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Perceived stress</w:t>
            </w:r>
          </w:p>
        </w:tc>
        <w:tc>
          <w:tcPr>
            <w:tcW w:w="3288" w:type="dxa"/>
            <w:shd w:val="clear" w:color="auto" w:fill="FFFFFF"/>
            <w:vAlign w:val="center"/>
          </w:tcPr>
          <w:p w14:paraId="6063D22C"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-0.104</w:t>
            </w:r>
          </w:p>
        </w:tc>
      </w:tr>
      <w:tr w:rsidR="005E58F3" w:rsidRPr="00787196" w14:paraId="538524E1" w14:textId="77777777" w:rsidTr="00A5430A">
        <w:trPr>
          <w:trHeight w:val="140"/>
        </w:trPr>
        <w:tc>
          <w:tcPr>
            <w:tcW w:w="4822" w:type="dxa"/>
            <w:shd w:val="clear" w:color="auto" w:fill="FFFFFF"/>
          </w:tcPr>
          <w:p w14:paraId="664EF293" w14:textId="77777777" w:rsidR="005E58F3" w:rsidRPr="00787196" w:rsidRDefault="005E58F3" w:rsidP="00A5430A">
            <w:pPr>
              <w:autoSpaceDE w:val="0"/>
              <w:autoSpaceDN w:val="0"/>
              <w:adjustRightInd w:val="0"/>
              <w:spacing w:before="0" w:after="0" w:line="240" w:lineRule="auto"/>
              <w:ind w:left="142"/>
              <w:rPr>
                <w:rFonts w:cs="Arial"/>
                <w:color w:val="000000"/>
                <w:sz w:val="20"/>
                <w:szCs w:val="20"/>
              </w:rPr>
            </w:pPr>
          </w:p>
        </w:tc>
        <w:tc>
          <w:tcPr>
            <w:tcW w:w="3288" w:type="dxa"/>
            <w:tcBorders>
              <w:left w:val="nil"/>
              <w:right w:val="nil"/>
            </w:tcBorders>
            <w:shd w:val="clear" w:color="auto" w:fill="FFFFFF"/>
            <w:vAlign w:val="center"/>
          </w:tcPr>
          <w:p w14:paraId="7DBCEAB5" w14:textId="77777777" w:rsidR="005E58F3" w:rsidRPr="00787196" w:rsidRDefault="005E58F3" w:rsidP="00A5430A">
            <w:pPr>
              <w:autoSpaceDE w:val="0"/>
              <w:autoSpaceDN w:val="0"/>
              <w:adjustRightInd w:val="0"/>
              <w:spacing w:before="0" w:after="0" w:line="240" w:lineRule="auto"/>
              <w:ind w:firstLine="1166"/>
              <w:rPr>
                <w:rFonts w:cs="Arial"/>
                <w:color w:val="000000"/>
                <w:sz w:val="20"/>
                <w:szCs w:val="20"/>
              </w:rPr>
            </w:pPr>
          </w:p>
        </w:tc>
      </w:tr>
      <w:tr w:rsidR="008D4EA6" w:rsidRPr="00787196" w14:paraId="506A5913" w14:textId="77777777" w:rsidTr="00A5430A">
        <w:trPr>
          <w:trHeight w:val="246"/>
        </w:trPr>
        <w:tc>
          <w:tcPr>
            <w:tcW w:w="4822" w:type="dxa"/>
            <w:shd w:val="clear" w:color="auto" w:fill="FFFFFF"/>
          </w:tcPr>
          <w:p w14:paraId="35E4A0C8" w14:textId="2E605FA2" w:rsidR="008D4EA6" w:rsidRPr="00787196" w:rsidRDefault="008D4EA6" w:rsidP="008D4EA6">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Baseline (T1) outcome variables</w:t>
            </w:r>
          </w:p>
        </w:tc>
        <w:tc>
          <w:tcPr>
            <w:tcW w:w="3288" w:type="dxa"/>
            <w:tcBorders>
              <w:left w:val="nil"/>
              <w:right w:val="nil"/>
            </w:tcBorders>
            <w:shd w:val="clear" w:color="auto" w:fill="FFFFFF"/>
            <w:vAlign w:val="center"/>
          </w:tcPr>
          <w:p w14:paraId="1EF8F8B7" w14:textId="77777777" w:rsidR="008D4EA6" w:rsidRPr="00787196" w:rsidRDefault="008D4EA6" w:rsidP="008D4EA6">
            <w:pPr>
              <w:autoSpaceDE w:val="0"/>
              <w:autoSpaceDN w:val="0"/>
              <w:adjustRightInd w:val="0"/>
              <w:spacing w:before="0" w:after="0" w:line="240" w:lineRule="auto"/>
              <w:ind w:firstLine="1166"/>
              <w:rPr>
                <w:rFonts w:cs="Arial"/>
                <w:color w:val="000000"/>
                <w:sz w:val="20"/>
                <w:szCs w:val="20"/>
              </w:rPr>
            </w:pPr>
          </w:p>
        </w:tc>
      </w:tr>
      <w:tr w:rsidR="008D4EA6" w:rsidRPr="00787196" w14:paraId="30A93502" w14:textId="77777777" w:rsidTr="00A5430A">
        <w:trPr>
          <w:trHeight w:val="246"/>
        </w:trPr>
        <w:tc>
          <w:tcPr>
            <w:tcW w:w="4822" w:type="dxa"/>
            <w:shd w:val="clear" w:color="auto" w:fill="FFFFFF"/>
          </w:tcPr>
          <w:p w14:paraId="1AE80A84" w14:textId="77777777" w:rsidR="008D4EA6" w:rsidRPr="00787196" w:rsidRDefault="008D4EA6" w:rsidP="008D4EA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OHQoL </w:t>
            </w:r>
          </w:p>
        </w:tc>
        <w:tc>
          <w:tcPr>
            <w:tcW w:w="3288" w:type="dxa"/>
            <w:tcBorders>
              <w:left w:val="nil"/>
              <w:right w:val="nil"/>
            </w:tcBorders>
            <w:shd w:val="clear" w:color="auto" w:fill="FFFFFF"/>
            <w:vAlign w:val="center"/>
          </w:tcPr>
          <w:p w14:paraId="52E830E9" w14:textId="77777777" w:rsidR="008D4EA6" w:rsidRPr="00787196" w:rsidRDefault="008D4EA6" w:rsidP="008D4EA6">
            <w:pPr>
              <w:autoSpaceDE w:val="0"/>
              <w:autoSpaceDN w:val="0"/>
              <w:adjustRightInd w:val="0"/>
              <w:spacing w:before="0" w:after="0" w:line="240" w:lineRule="auto"/>
              <w:ind w:firstLine="1166"/>
              <w:rPr>
                <w:rFonts w:cs="Arial"/>
                <w:color w:val="000000"/>
                <w:sz w:val="20"/>
                <w:szCs w:val="20"/>
                <w:vertAlign w:val="superscript"/>
              </w:rPr>
            </w:pPr>
            <w:r w:rsidRPr="00787196">
              <w:rPr>
                <w:rFonts w:cs="Arial"/>
                <w:color w:val="000000"/>
                <w:sz w:val="20"/>
                <w:szCs w:val="20"/>
              </w:rPr>
              <w:t>-0.294**</w:t>
            </w:r>
          </w:p>
        </w:tc>
      </w:tr>
      <w:tr w:rsidR="008D4EA6" w:rsidRPr="00787196" w14:paraId="23C65372" w14:textId="77777777" w:rsidTr="00A5430A">
        <w:trPr>
          <w:trHeight w:val="246"/>
        </w:trPr>
        <w:tc>
          <w:tcPr>
            <w:tcW w:w="4822" w:type="dxa"/>
            <w:tcBorders>
              <w:bottom w:val="nil"/>
            </w:tcBorders>
            <w:shd w:val="clear" w:color="auto" w:fill="FFFFFF"/>
          </w:tcPr>
          <w:p w14:paraId="666369D0" w14:textId="77777777" w:rsidR="008D4EA6" w:rsidRPr="00787196" w:rsidRDefault="008D4EA6" w:rsidP="008D4EA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Denture satisfaction</w:t>
            </w:r>
          </w:p>
        </w:tc>
        <w:tc>
          <w:tcPr>
            <w:tcW w:w="3288" w:type="dxa"/>
            <w:tcBorders>
              <w:left w:val="nil"/>
              <w:bottom w:val="nil"/>
              <w:right w:val="nil"/>
            </w:tcBorders>
            <w:shd w:val="clear" w:color="auto" w:fill="FFFFFF"/>
            <w:vAlign w:val="center"/>
          </w:tcPr>
          <w:p w14:paraId="0EDF3379" w14:textId="77777777" w:rsidR="008D4EA6" w:rsidRPr="00787196" w:rsidRDefault="008D4EA6" w:rsidP="008D4EA6">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-0.227**</w:t>
            </w:r>
          </w:p>
        </w:tc>
      </w:tr>
      <w:tr w:rsidR="008D4EA6" w:rsidRPr="00787196" w14:paraId="58FB296F" w14:textId="77777777" w:rsidTr="00A5430A">
        <w:trPr>
          <w:trHeight w:val="251"/>
        </w:trPr>
        <w:tc>
          <w:tcPr>
            <w:tcW w:w="4822" w:type="dxa"/>
            <w:tcBorders>
              <w:top w:val="nil"/>
              <w:bottom w:val="nil"/>
            </w:tcBorders>
            <w:shd w:val="clear" w:color="auto" w:fill="FFFFFF"/>
          </w:tcPr>
          <w:p w14:paraId="0A7BEF85" w14:textId="77777777" w:rsidR="008D4EA6" w:rsidRPr="00787196" w:rsidRDefault="008D4EA6" w:rsidP="008D4EA6">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Chewing ability</w:t>
            </w:r>
          </w:p>
        </w:tc>
        <w:tc>
          <w:tcPr>
            <w:tcW w:w="3288" w:type="dxa"/>
            <w:tcBorders>
              <w:top w:val="nil"/>
              <w:bottom w:val="nil"/>
            </w:tcBorders>
            <w:shd w:val="clear" w:color="auto" w:fill="FFFFFF"/>
            <w:vAlign w:val="center"/>
          </w:tcPr>
          <w:p w14:paraId="4FA07025" w14:textId="66C0CB55" w:rsidR="008D4EA6" w:rsidRPr="00787196" w:rsidRDefault="008D4EA6" w:rsidP="008D4EA6">
            <w:pPr>
              <w:autoSpaceDE w:val="0"/>
              <w:autoSpaceDN w:val="0"/>
              <w:adjustRightInd w:val="0"/>
              <w:spacing w:before="0" w:after="0" w:line="240" w:lineRule="auto"/>
              <w:ind w:firstLine="1166"/>
              <w:rPr>
                <w:rFonts w:cs="Arial"/>
                <w:color w:val="000000"/>
                <w:sz w:val="20"/>
                <w:szCs w:val="20"/>
              </w:rPr>
            </w:pPr>
            <w:r w:rsidRPr="00787196">
              <w:rPr>
                <w:rFonts w:cs="Arial"/>
                <w:color w:val="000000"/>
                <w:sz w:val="20"/>
                <w:szCs w:val="20"/>
              </w:rPr>
              <w:t xml:space="preserve"> 0.669*</w:t>
            </w:r>
          </w:p>
        </w:tc>
      </w:tr>
      <w:tr w:rsidR="008D4EA6" w:rsidRPr="00787196" w14:paraId="1D3D2C8E" w14:textId="77777777" w:rsidTr="00A5430A">
        <w:trPr>
          <w:trHeight w:val="258"/>
        </w:trPr>
        <w:tc>
          <w:tcPr>
            <w:tcW w:w="4822" w:type="dxa"/>
            <w:tcBorders>
              <w:top w:val="nil"/>
              <w:bottom w:val="single" w:sz="8" w:space="0" w:color="000000"/>
            </w:tcBorders>
            <w:shd w:val="clear" w:color="auto" w:fill="FFFFFF"/>
          </w:tcPr>
          <w:p w14:paraId="36717A0A" w14:textId="77777777" w:rsidR="008D4EA6" w:rsidRPr="00787196" w:rsidRDefault="008D4EA6" w:rsidP="008D4EA6">
            <w:pPr>
              <w:autoSpaceDE w:val="0"/>
              <w:autoSpaceDN w:val="0"/>
              <w:adjustRightInd w:val="0"/>
              <w:spacing w:before="0" w:after="0" w:line="240" w:lineRule="auto"/>
              <w:ind w:left="142"/>
              <w:rPr>
                <w:rFonts w:cs="Arial"/>
                <w:color w:val="000000"/>
                <w:sz w:val="22"/>
              </w:rPr>
            </w:pPr>
          </w:p>
        </w:tc>
        <w:tc>
          <w:tcPr>
            <w:tcW w:w="3288" w:type="dxa"/>
            <w:tcBorders>
              <w:top w:val="nil"/>
              <w:bottom w:val="single" w:sz="8" w:space="0" w:color="000000"/>
            </w:tcBorders>
            <w:shd w:val="clear" w:color="auto" w:fill="FFFFFF"/>
          </w:tcPr>
          <w:p w14:paraId="3A63AEFE" w14:textId="77777777" w:rsidR="008D4EA6" w:rsidRPr="00787196" w:rsidRDefault="008D4EA6" w:rsidP="008D4EA6">
            <w:pPr>
              <w:autoSpaceDE w:val="0"/>
              <w:autoSpaceDN w:val="0"/>
              <w:adjustRightInd w:val="0"/>
              <w:spacing w:before="0" w:after="0" w:line="240" w:lineRule="auto"/>
              <w:rPr>
                <w:rFonts w:cs="Arial"/>
                <w:color w:val="000000"/>
                <w:sz w:val="22"/>
              </w:rPr>
            </w:pPr>
          </w:p>
        </w:tc>
      </w:tr>
    </w:tbl>
    <w:p w14:paraId="053359CE" w14:textId="05335810" w:rsidR="00337AF9" w:rsidRPr="00787196" w:rsidRDefault="005E58F3" w:rsidP="0006726F">
      <w:pPr>
        <w:pStyle w:val="Caption"/>
        <w:rPr>
          <w:b/>
          <w:bCs/>
          <w:i w:val="0"/>
          <w:iCs w:val="0"/>
          <w:color w:val="auto"/>
          <w:sz w:val="20"/>
          <w:szCs w:val="20"/>
        </w:rPr>
      </w:pPr>
      <w:bookmarkStart w:id="293" w:name="_Toc488655550"/>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21</w:t>
      </w:r>
      <w:r w:rsidR="000332A1" w:rsidRPr="00787196">
        <w:rPr>
          <w:b/>
          <w:bCs/>
          <w:i w:val="0"/>
          <w:iCs w:val="0"/>
          <w:color w:val="auto"/>
          <w:sz w:val="20"/>
          <w:szCs w:val="20"/>
        </w:rPr>
        <w:fldChar w:fldCharType="end"/>
      </w:r>
      <w:bookmarkStart w:id="294" w:name="_Toc461641239"/>
      <w:r w:rsidRPr="00787196">
        <w:rPr>
          <w:b/>
          <w:bCs/>
          <w:i w:val="0"/>
          <w:iCs w:val="0"/>
          <w:color w:val="auto"/>
          <w:sz w:val="20"/>
          <w:szCs w:val="20"/>
        </w:rPr>
        <w:t xml:space="preserve">. </w:t>
      </w:r>
      <w:r w:rsidR="0006726F" w:rsidRPr="00787196">
        <w:rPr>
          <w:b/>
          <w:bCs/>
          <w:i w:val="0"/>
          <w:iCs w:val="0"/>
          <w:color w:val="auto"/>
          <w:sz w:val="20"/>
          <w:szCs w:val="20"/>
        </w:rPr>
        <w:t>Lagged analysis: Bivariate associations</w:t>
      </w:r>
      <w:r w:rsidRPr="00787196">
        <w:rPr>
          <w:b/>
          <w:bCs/>
          <w:i w:val="0"/>
          <w:iCs w:val="0"/>
          <w:color w:val="auto"/>
          <w:sz w:val="20"/>
          <w:szCs w:val="20"/>
        </w:rPr>
        <w:t xml:space="preserve"> between coping strategies, individual factors, environmental factors, OHQoL, denture satisfaction, chewing ability, clinical factors at baseline</w:t>
      </w:r>
      <w:r w:rsidR="0079553A" w:rsidRPr="00787196">
        <w:rPr>
          <w:b/>
          <w:bCs/>
          <w:i w:val="0"/>
          <w:iCs w:val="0"/>
          <w:color w:val="auto"/>
          <w:sz w:val="20"/>
          <w:szCs w:val="20"/>
        </w:rPr>
        <w:t xml:space="preserve"> (T1)</w:t>
      </w:r>
      <w:r w:rsidR="0006726F" w:rsidRPr="00787196">
        <w:rPr>
          <w:b/>
          <w:bCs/>
          <w:i w:val="0"/>
          <w:iCs w:val="0"/>
          <w:color w:val="auto"/>
          <w:sz w:val="20"/>
          <w:szCs w:val="20"/>
        </w:rPr>
        <w:t xml:space="preserve"> and</w:t>
      </w:r>
      <w:r w:rsidRPr="00787196">
        <w:rPr>
          <w:b/>
          <w:bCs/>
          <w:i w:val="0"/>
          <w:iCs w:val="0"/>
          <w:color w:val="auto"/>
          <w:sz w:val="20"/>
          <w:szCs w:val="20"/>
        </w:rPr>
        <w:t xml:space="preserve"> chewing ability at follow-up</w:t>
      </w:r>
      <w:bookmarkEnd w:id="294"/>
      <w:r w:rsidR="0079553A" w:rsidRPr="00787196">
        <w:rPr>
          <w:b/>
          <w:bCs/>
          <w:i w:val="0"/>
          <w:iCs w:val="0"/>
          <w:color w:val="auto"/>
          <w:sz w:val="20"/>
          <w:szCs w:val="20"/>
        </w:rPr>
        <w:t xml:space="preserve"> (T2)</w:t>
      </w:r>
      <w:bookmarkEnd w:id="293"/>
    </w:p>
    <w:p w14:paraId="25D98444" w14:textId="77777777" w:rsidR="00A5430A" w:rsidRPr="00787196" w:rsidRDefault="00A5430A" w:rsidP="005868C3">
      <w:pPr>
        <w:spacing w:before="0" w:after="0" w:line="240" w:lineRule="auto"/>
        <w:rPr>
          <w:i/>
          <w:iCs/>
          <w:sz w:val="18"/>
          <w:szCs w:val="18"/>
        </w:rPr>
      </w:pPr>
    </w:p>
    <w:p w14:paraId="7A9033B5" w14:textId="77777777" w:rsidR="00337AF9" w:rsidRPr="00787196" w:rsidRDefault="00337AF9" w:rsidP="005868C3">
      <w:pPr>
        <w:spacing w:before="0" w:after="0" w:line="240" w:lineRule="auto"/>
        <w:rPr>
          <w:i/>
          <w:iCs/>
          <w:sz w:val="18"/>
          <w:szCs w:val="18"/>
        </w:rPr>
      </w:pPr>
      <w:r w:rsidRPr="00787196">
        <w:rPr>
          <w:i/>
          <w:iCs/>
          <w:sz w:val="18"/>
          <w:szCs w:val="18"/>
        </w:rPr>
        <w:t xml:space="preserve">**Correlation is significant at the 0.01 level (2-tailed), </w:t>
      </w:r>
    </w:p>
    <w:p w14:paraId="091CA47D" w14:textId="77777777" w:rsidR="00337AF9" w:rsidRPr="00787196" w:rsidRDefault="00337AF9" w:rsidP="005868C3">
      <w:pPr>
        <w:spacing w:before="0" w:after="0" w:line="240" w:lineRule="auto"/>
        <w:rPr>
          <w:i/>
          <w:iCs/>
          <w:sz w:val="18"/>
          <w:szCs w:val="18"/>
        </w:rPr>
      </w:pPr>
      <w:r w:rsidRPr="00787196">
        <w:rPr>
          <w:i/>
          <w:iCs/>
          <w:sz w:val="18"/>
          <w:szCs w:val="18"/>
        </w:rPr>
        <w:t>* Correlation is significant at the 0.05 level (2-tailed)</w:t>
      </w:r>
    </w:p>
    <w:p w14:paraId="74EBC7C5" w14:textId="77777777" w:rsidR="00D96309" w:rsidRPr="00787196" w:rsidRDefault="00D96309" w:rsidP="00755F46">
      <w:pPr>
        <w:pStyle w:val="Caption"/>
        <w:keepNext/>
        <w:spacing w:before="0" w:after="0"/>
        <w:rPr>
          <w:i w:val="0"/>
          <w:iCs w:val="0"/>
          <w:color w:val="auto"/>
          <w:sz w:val="24"/>
          <w:szCs w:val="24"/>
        </w:rPr>
      </w:pPr>
      <w:bookmarkStart w:id="295" w:name="_Ref430907781"/>
      <w:bookmarkStart w:id="296" w:name="_Toc461641240"/>
    </w:p>
    <w:p w14:paraId="17FDF2FF" w14:textId="2067B09B" w:rsidR="00FF4ACA" w:rsidRPr="00787196" w:rsidRDefault="00D96309" w:rsidP="001A247D">
      <w:pPr>
        <w:rPr>
          <w:iCs/>
          <w:szCs w:val="24"/>
        </w:rPr>
      </w:pPr>
      <w:r w:rsidRPr="00787196">
        <w:t xml:space="preserve">Significant associations were seen between lower age, having skilled jobs, better OHQoL (lower OHIP scores), denture satisfaction and good chewing ability at baseline and better (higher scores) chewing ability at follow up. Clinically, </w:t>
      </w:r>
      <w:r w:rsidR="00A60920" w:rsidRPr="00787196">
        <w:t xml:space="preserve">number of </w:t>
      </w:r>
      <w:r w:rsidRPr="00787196">
        <w:t>natural teeth</w:t>
      </w:r>
      <w:r w:rsidR="00A60920" w:rsidRPr="00787196">
        <w:t xml:space="preserve"> present</w:t>
      </w:r>
      <w:r w:rsidRPr="00787196">
        <w:t>, occluding pairs</w:t>
      </w:r>
      <w:r w:rsidR="00A60920" w:rsidRPr="00787196">
        <w:t xml:space="preserve"> and</w:t>
      </w:r>
      <w:r w:rsidRPr="00787196">
        <w:t xml:space="preserve"> needing smaller units of partial dentures in both arches and seeking dentures after a recent tooth loss episode were associated with better chewing ability (i.</w:t>
      </w:r>
      <w:r w:rsidR="001A247D" w:rsidRPr="00787196">
        <w:t>e. higher scores) at follow up.</w:t>
      </w:r>
      <w:r w:rsidR="00FF4ACA" w:rsidRPr="00787196">
        <w:rPr>
          <w:iCs/>
          <w:szCs w:val="24"/>
        </w:rPr>
        <w:br w:type="page"/>
      </w:r>
    </w:p>
    <w:p w14:paraId="32D5F350" w14:textId="0E5D3303" w:rsidR="00D96309" w:rsidRPr="00787196" w:rsidRDefault="00D96309" w:rsidP="00D96309">
      <w:pPr>
        <w:rPr>
          <w:iCs/>
          <w:szCs w:val="24"/>
        </w:rPr>
      </w:pPr>
      <w:r w:rsidRPr="00787196">
        <w:rPr>
          <w:iCs/>
          <w:szCs w:val="24"/>
        </w:rPr>
        <w:lastRenderedPageBreak/>
        <w:t>Tables 5-2</w:t>
      </w:r>
      <w:r w:rsidR="00A60920" w:rsidRPr="00787196">
        <w:rPr>
          <w:iCs/>
          <w:szCs w:val="24"/>
        </w:rPr>
        <w:t>2</w:t>
      </w:r>
      <w:r w:rsidRPr="00787196">
        <w:rPr>
          <w:iCs/>
          <w:szCs w:val="24"/>
        </w:rPr>
        <w:t xml:space="preserve"> and 5-2</w:t>
      </w:r>
      <w:r w:rsidR="00A60920" w:rsidRPr="00787196">
        <w:rPr>
          <w:iCs/>
          <w:szCs w:val="24"/>
        </w:rPr>
        <w:t>3</w:t>
      </w:r>
      <w:r w:rsidRPr="00787196">
        <w:rPr>
          <w:iCs/>
          <w:szCs w:val="24"/>
        </w:rPr>
        <w:t xml:space="preserve"> summarise the possible relationships between independent variables (clinical status, individual factors and environmental factors) at baseline and chewing ability at follow-up. There were significant associations between clinical factors (occluding pairs, prosthetic treatment need in both the arches) and number of teeth present, individual factors (age) and environmental factors (occupation) </w:t>
      </w:r>
    </w:p>
    <w:p w14:paraId="71F0C304" w14:textId="720637B8" w:rsidR="003D6179" w:rsidRPr="00787196" w:rsidRDefault="003D6179" w:rsidP="008D4EA6">
      <w:pPr>
        <w:pStyle w:val="Caption"/>
        <w:spacing w:after="0"/>
        <w:rPr>
          <w:b/>
          <w:bCs/>
          <w:i w:val="0"/>
          <w:iCs w:val="0"/>
          <w:color w:val="auto"/>
          <w:sz w:val="20"/>
          <w:szCs w:val="20"/>
        </w:rPr>
      </w:pPr>
      <w:bookmarkStart w:id="297" w:name="_Toc488655551"/>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22</w:t>
      </w:r>
      <w:r w:rsidR="000332A1" w:rsidRPr="00787196">
        <w:rPr>
          <w:b/>
          <w:bCs/>
          <w:i w:val="0"/>
          <w:iCs w:val="0"/>
          <w:color w:val="auto"/>
          <w:sz w:val="20"/>
          <w:szCs w:val="20"/>
        </w:rPr>
        <w:fldChar w:fldCharType="end"/>
      </w:r>
      <w:r w:rsidRPr="00787196">
        <w:rPr>
          <w:b/>
          <w:bCs/>
          <w:i w:val="0"/>
          <w:iCs w:val="0"/>
          <w:color w:val="auto"/>
          <w:sz w:val="20"/>
          <w:szCs w:val="20"/>
        </w:rPr>
        <w:t xml:space="preserve">. </w:t>
      </w:r>
      <w:bookmarkStart w:id="298" w:name="_Toc461641241"/>
      <w:r w:rsidR="008D4EA6" w:rsidRPr="00787196">
        <w:rPr>
          <w:b/>
          <w:bCs/>
          <w:i w:val="0"/>
          <w:iCs w:val="0"/>
          <w:color w:val="auto"/>
          <w:sz w:val="20"/>
          <w:szCs w:val="20"/>
        </w:rPr>
        <w:t xml:space="preserve">Bivariate association </w:t>
      </w:r>
      <w:r w:rsidRPr="00787196">
        <w:rPr>
          <w:b/>
          <w:bCs/>
          <w:i w:val="0"/>
          <w:iCs w:val="0"/>
          <w:color w:val="auto"/>
          <w:sz w:val="20"/>
          <w:szCs w:val="20"/>
        </w:rPr>
        <w:t xml:space="preserve">number of teeth present </w:t>
      </w:r>
      <w:bookmarkEnd w:id="298"/>
      <w:r w:rsidR="008D4EA6" w:rsidRPr="00787196">
        <w:rPr>
          <w:b/>
          <w:bCs/>
          <w:i w:val="0"/>
          <w:iCs w:val="0"/>
          <w:color w:val="auto"/>
          <w:sz w:val="20"/>
          <w:szCs w:val="20"/>
        </w:rPr>
        <w:t>and chewing ability at follow-up (T2)</w:t>
      </w:r>
      <w:bookmarkEnd w:id="297"/>
    </w:p>
    <w:tbl>
      <w:tblPr>
        <w:tblpPr w:leftFromText="180" w:rightFromText="180" w:vertAnchor="text" w:horzAnchor="margin" w:tblpY="150"/>
        <w:tblW w:w="0" w:type="auto"/>
        <w:tblBorders>
          <w:top w:val="single" w:sz="8" w:space="0" w:color="000000"/>
          <w:bottom w:val="single" w:sz="8" w:space="0" w:color="000000"/>
        </w:tblBorders>
        <w:tblLook w:val="04A0" w:firstRow="1" w:lastRow="0" w:firstColumn="1" w:lastColumn="0" w:noHBand="0" w:noVBand="1"/>
      </w:tblPr>
      <w:tblGrid>
        <w:gridCol w:w="3615"/>
        <w:gridCol w:w="2397"/>
        <w:gridCol w:w="2210"/>
      </w:tblGrid>
      <w:tr w:rsidR="003D6179" w:rsidRPr="00787196" w14:paraId="538E2281" w14:textId="77777777" w:rsidTr="003D6179">
        <w:trPr>
          <w:trHeight w:val="299"/>
        </w:trPr>
        <w:tc>
          <w:tcPr>
            <w:tcW w:w="3740" w:type="dxa"/>
            <w:tcBorders>
              <w:top w:val="single" w:sz="8" w:space="0" w:color="000000"/>
              <w:bottom w:val="single" w:sz="8" w:space="0" w:color="000000"/>
            </w:tcBorders>
            <w:shd w:val="clear" w:color="auto" w:fill="FFFFFF"/>
          </w:tcPr>
          <w:p w14:paraId="3C767441" w14:textId="77777777" w:rsidR="003D6179" w:rsidRPr="00787196" w:rsidRDefault="003D6179" w:rsidP="003D6179">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Clinical status</w:t>
            </w:r>
          </w:p>
        </w:tc>
        <w:tc>
          <w:tcPr>
            <w:tcW w:w="2476" w:type="dxa"/>
            <w:tcBorders>
              <w:top w:val="single" w:sz="8" w:space="0" w:color="000000"/>
              <w:bottom w:val="single" w:sz="8" w:space="0" w:color="000000"/>
            </w:tcBorders>
            <w:shd w:val="clear" w:color="auto" w:fill="FFFFFF"/>
            <w:vAlign w:val="center"/>
          </w:tcPr>
          <w:p w14:paraId="2756A892" w14:textId="77777777" w:rsidR="003D6179" w:rsidRPr="00787196" w:rsidRDefault="003D6179" w:rsidP="003D617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2288" w:type="dxa"/>
            <w:tcBorders>
              <w:top w:val="single" w:sz="8" w:space="0" w:color="000000"/>
              <w:bottom w:val="single" w:sz="8" w:space="0" w:color="000000"/>
            </w:tcBorders>
            <w:shd w:val="clear" w:color="auto" w:fill="FFFFFF"/>
          </w:tcPr>
          <w:p w14:paraId="428DC367" w14:textId="77777777" w:rsidR="003D6179" w:rsidRPr="00787196" w:rsidRDefault="003D6179" w:rsidP="003D617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Mean (SD)</w:t>
            </w:r>
          </w:p>
        </w:tc>
      </w:tr>
      <w:tr w:rsidR="003D6179" w:rsidRPr="00787196" w14:paraId="26706FA7" w14:textId="77777777" w:rsidTr="003D6179">
        <w:trPr>
          <w:trHeight w:val="20"/>
        </w:trPr>
        <w:tc>
          <w:tcPr>
            <w:tcW w:w="3740" w:type="dxa"/>
            <w:shd w:val="clear" w:color="auto" w:fill="FFFFFF"/>
            <w:vAlign w:val="center"/>
          </w:tcPr>
          <w:p w14:paraId="0ECE91C6" w14:textId="77777777" w:rsidR="003D6179" w:rsidRPr="00787196" w:rsidRDefault="003D6179" w:rsidP="003D6179">
            <w:pPr>
              <w:spacing w:before="0" w:after="0"/>
              <w:ind w:left="142"/>
              <w:rPr>
                <w:rFonts w:cs="Arial"/>
                <w:b/>
                <w:bCs/>
                <w:color w:val="000000"/>
                <w:sz w:val="20"/>
                <w:szCs w:val="20"/>
              </w:rPr>
            </w:pPr>
            <w:r w:rsidRPr="00787196">
              <w:rPr>
                <w:rFonts w:cs="Arial"/>
                <w:b/>
                <w:bCs/>
                <w:color w:val="000000"/>
                <w:sz w:val="20"/>
                <w:szCs w:val="20"/>
              </w:rPr>
              <w:t>No. of teeth present)</w:t>
            </w:r>
          </w:p>
        </w:tc>
        <w:tc>
          <w:tcPr>
            <w:tcW w:w="2476" w:type="dxa"/>
            <w:tcBorders>
              <w:left w:val="nil"/>
              <w:right w:val="nil"/>
            </w:tcBorders>
            <w:shd w:val="clear" w:color="auto" w:fill="FFFFFF"/>
          </w:tcPr>
          <w:p w14:paraId="25BB036A" w14:textId="77777777" w:rsidR="003D6179" w:rsidRPr="00787196" w:rsidRDefault="003D6179" w:rsidP="003D6179">
            <w:pPr>
              <w:spacing w:before="0" w:after="0" w:line="240" w:lineRule="auto"/>
              <w:jc w:val="center"/>
              <w:rPr>
                <w:sz w:val="20"/>
                <w:szCs w:val="20"/>
              </w:rPr>
            </w:pPr>
          </w:p>
        </w:tc>
        <w:tc>
          <w:tcPr>
            <w:tcW w:w="2288" w:type="dxa"/>
            <w:tcBorders>
              <w:left w:val="nil"/>
              <w:right w:val="nil"/>
            </w:tcBorders>
            <w:shd w:val="clear" w:color="auto" w:fill="FFFFFF"/>
          </w:tcPr>
          <w:p w14:paraId="127ED2FA" w14:textId="77777777" w:rsidR="003D6179" w:rsidRPr="00787196" w:rsidRDefault="003D6179" w:rsidP="003D6179">
            <w:pPr>
              <w:spacing w:before="0" w:after="0" w:line="240" w:lineRule="auto"/>
              <w:jc w:val="center"/>
              <w:rPr>
                <w:sz w:val="20"/>
                <w:szCs w:val="20"/>
              </w:rPr>
            </w:pPr>
          </w:p>
        </w:tc>
      </w:tr>
      <w:tr w:rsidR="003D6179" w:rsidRPr="00787196" w14:paraId="7579ABDD" w14:textId="77777777" w:rsidTr="003D6179">
        <w:trPr>
          <w:trHeight w:val="20"/>
        </w:trPr>
        <w:tc>
          <w:tcPr>
            <w:tcW w:w="3740" w:type="dxa"/>
            <w:shd w:val="clear" w:color="auto" w:fill="D9D9D9"/>
            <w:vAlign w:val="center"/>
          </w:tcPr>
          <w:p w14:paraId="4278214D" w14:textId="77777777" w:rsidR="003D6179" w:rsidRPr="00787196" w:rsidRDefault="003D6179" w:rsidP="003D6179">
            <w:pPr>
              <w:spacing w:before="0" w:after="0"/>
              <w:ind w:left="142"/>
              <w:rPr>
                <w:sz w:val="20"/>
                <w:szCs w:val="20"/>
              </w:rPr>
            </w:pPr>
            <w:r w:rsidRPr="00787196">
              <w:rPr>
                <w:sz w:val="20"/>
                <w:szCs w:val="20"/>
              </w:rPr>
              <w:t>Functional dentition (&gt;21 teeth)</w:t>
            </w:r>
          </w:p>
        </w:tc>
        <w:tc>
          <w:tcPr>
            <w:tcW w:w="2476" w:type="dxa"/>
            <w:vMerge w:val="restart"/>
            <w:tcBorders>
              <w:left w:val="nil"/>
              <w:right w:val="nil"/>
            </w:tcBorders>
            <w:shd w:val="clear" w:color="auto" w:fill="D9D9D9"/>
            <w:vAlign w:val="center"/>
          </w:tcPr>
          <w:p w14:paraId="15A25354" w14:textId="77777777" w:rsidR="003D6179" w:rsidRPr="00787196" w:rsidRDefault="003D6179" w:rsidP="003D6179">
            <w:pPr>
              <w:spacing w:before="0" w:after="0" w:line="240" w:lineRule="auto"/>
              <w:jc w:val="center"/>
              <w:rPr>
                <w:sz w:val="20"/>
                <w:szCs w:val="20"/>
              </w:rPr>
            </w:pPr>
            <w:r w:rsidRPr="00787196">
              <w:rPr>
                <w:sz w:val="20"/>
                <w:szCs w:val="20"/>
              </w:rPr>
              <w:t>19.158*</w:t>
            </w:r>
          </w:p>
        </w:tc>
        <w:tc>
          <w:tcPr>
            <w:tcW w:w="2288" w:type="dxa"/>
            <w:tcBorders>
              <w:left w:val="nil"/>
              <w:right w:val="nil"/>
            </w:tcBorders>
            <w:shd w:val="clear" w:color="auto" w:fill="D9D9D9"/>
            <w:vAlign w:val="center"/>
          </w:tcPr>
          <w:p w14:paraId="0F637484" w14:textId="77777777" w:rsidR="003D6179" w:rsidRPr="00787196" w:rsidRDefault="003D6179" w:rsidP="003D6179">
            <w:pPr>
              <w:spacing w:before="0" w:after="0" w:line="240" w:lineRule="auto"/>
              <w:jc w:val="center"/>
              <w:rPr>
                <w:sz w:val="20"/>
                <w:szCs w:val="20"/>
              </w:rPr>
            </w:pPr>
            <w:r w:rsidRPr="00787196">
              <w:rPr>
                <w:sz w:val="20"/>
                <w:szCs w:val="20"/>
              </w:rPr>
              <w:t>3.54 (1.64)</w:t>
            </w:r>
          </w:p>
        </w:tc>
      </w:tr>
      <w:tr w:rsidR="003D6179" w:rsidRPr="00787196" w14:paraId="38D060E8" w14:textId="77777777" w:rsidTr="003D6179">
        <w:trPr>
          <w:trHeight w:val="20"/>
        </w:trPr>
        <w:tc>
          <w:tcPr>
            <w:tcW w:w="3740" w:type="dxa"/>
            <w:shd w:val="clear" w:color="auto" w:fill="D9D9D9"/>
            <w:vAlign w:val="center"/>
          </w:tcPr>
          <w:p w14:paraId="57C33B2A" w14:textId="77777777" w:rsidR="003D6179" w:rsidRPr="00787196" w:rsidRDefault="003D6179" w:rsidP="003D6179">
            <w:pPr>
              <w:spacing w:before="0" w:after="0"/>
              <w:ind w:left="142"/>
              <w:rPr>
                <w:sz w:val="20"/>
                <w:szCs w:val="20"/>
              </w:rPr>
            </w:pPr>
            <w:r w:rsidRPr="00787196">
              <w:rPr>
                <w:sz w:val="20"/>
                <w:szCs w:val="20"/>
              </w:rPr>
              <w:t>&lt; 21 teeth</w:t>
            </w:r>
          </w:p>
        </w:tc>
        <w:tc>
          <w:tcPr>
            <w:tcW w:w="2476" w:type="dxa"/>
            <w:vMerge/>
            <w:tcBorders>
              <w:left w:val="nil"/>
              <w:right w:val="nil"/>
            </w:tcBorders>
            <w:shd w:val="clear" w:color="auto" w:fill="D9D9D9"/>
          </w:tcPr>
          <w:p w14:paraId="77C19A17" w14:textId="77777777" w:rsidR="003D6179" w:rsidRPr="00787196" w:rsidRDefault="003D6179" w:rsidP="003D6179">
            <w:pPr>
              <w:spacing w:before="0" w:after="0" w:line="240" w:lineRule="auto"/>
              <w:jc w:val="center"/>
              <w:rPr>
                <w:sz w:val="20"/>
                <w:szCs w:val="20"/>
              </w:rPr>
            </w:pPr>
          </w:p>
        </w:tc>
        <w:tc>
          <w:tcPr>
            <w:tcW w:w="2288" w:type="dxa"/>
            <w:tcBorders>
              <w:left w:val="nil"/>
              <w:right w:val="nil"/>
            </w:tcBorders>
            <w:shd w:val="clear" w:color="auto" w:fill="D9D9D9"/>
            <w:vAlign w:val="center"/>
          </w:tcPr>
          <w:p w14:paraId="59414A68" w14:textId="77777777" w:rsidR="003D6179" w:rsidRPr="00787196" w:rsidRDefault="003D6179" w:rsidP="003D6179">
            <w:pPr>
              <w:spacing w:before="0" w:after="0" w:line="240" w:lineRule="auto"/>
              <w:jc w:val="center"/>
              <w:rPr>
                <w:sz w:val="20"/>
                <w:szCs w:val="20"/>
              </w:rPr>
            </w:pPr>
            <w:r w:rsidRPr="00787196">
              <w:rPr>
                <w:sz w:val="20"/>
                <w:szCs w:val="20"/>
              </w:rPr>
              <w:t>2.44</w:t>
            </w:r>
            <w:r w:rsidRPr="00787196">
              <w:rPr>
                <w:rFonts w:cs="Arial"/>
                <w:color w:val="000000"/>
                <w:sz w:val="20"/>
                <w:szCs w:val="20"/>
              </w:rPr>
              <w:t xml:space="preserve"> (1.30)</w:t>
            </w:r>
          </w:p>
        </w:tc>
      </w:tr>
      <w:tr w:rsidR="003D6179" w:rsidRPr="00787196" w14:paraId="06C989C9" w14:textId="77777777" w:rsidTr="003D6179">
        <w:trPr>
          <w:trHeight w:val="20"/>
        </w:trPr>
        <w:tc>
          <w:tcPr>
            <w:tcW w:w="3740" w:type="dxa"/>
            <w:shd w:val="clear" w:color="auto" w:fill="D9D9D9"/>
            <w:vAlign w:val="center"/>
          </w:tcPr>
          <w:p w14:paraId="2D22780D" w14:textId="77777777" w:rsidR="003D6179" w:rsidRPr="00787196" w:rsidRDefault="003D6179" w:rsidP="003D6179">
            <w:pPr>
              <w:spacing w:before="0" w:after="0"/>
              <w:ind w:left="142"/>
              <w:rPr>
                <w:sz w:val="20"/>
                <w:szCs w:val="20"/>
              </w:rPr>
            </w:pPr>
            <w:r w:rsidRPr="00787196">
              <w:rPr>
                <w:sz w:val="20"/>
                <w:szCs w:val="20"/>
              </w:rPr>
              <w:t>No teeth</w:t>
            </w:r>
          </w:p>
        </w:tc>
        <w:tc>
          <w:tcPr>
            <w:tcW w:w="2476" w:type="dxa"/>
            <w:vMerge/>
            <w:tcBorders>
              <w:left w:val="nil"/>
              <w:right w:val="nil"/>
            </w:tcBorders>
            <w:shd w:val="clear" w:color="auto" w:fill="D9D9D9"/>
          </w:tcPr>
          <w:p w14:paraId="1E646769" w14:textId="77777777" w:rsidR="003D6179" w:rsidRPr="00787196" w:rsidRDefault="003D6179" w:rsidP="003D6179">
            <w:pPr>
              <w:spacing w:before="0" w:after="0" w:line="240" w:lineRule="auto"/>
              <w:jc w:val="center"/>
              <w:rPr>
                <w:sz w:val="20"/>
                <w:szCs w:val="20"/>
              </w:rPr>
            </w:pPr>
          </w:p>
        </w:tc>
        <w:tc>
          <w:tcPr>
            <w:tcW w:w="2288" w:type="dxa"/>
            <w:tcBorders>
              <w:left w:val="nil"/>
              <w:right w:val="nil"/>
            </w:tcBorders>
            <w:shd w:val="clear" w:color="auto" w:fill="D9D9D9"/>
            <w:vAlign w:val="center"/>
          </w:tcPr>
          <w:p w14:paraId="0CDFF513" w14:textId="77777777" w:rsidR="003D6179" w:rsidRPr="00787196" w:rsidRDefault="003D6179" w:rsidP="003D6179">
            <w:pPr>
              <w:spacing w:before="0" w:after="0" w:line="240" w:lineRule="auto"/>
              <w:jc w:val="center"/>
              <w:rPr>
                <w:sz w:val="20"/>
                <w:szCs w:val="20"/>
              </w:rPr>
            </w:pPr>
            <w:r w:rsidRPr="00787196">
              <w:rPr>
                <w:sz w:val="20"/>
                <w:szCs w:val="20"/>
              </w:rPr>
              <w:t>2.05 (1.07)</w:t>
            </w:r>
          </w:p>
        </w:tc>
      </w:tr>
      <w:tr w:rsidR="003D6179" w:rsidRPr="00787196" w14:paraId="793D400C" w14:textId="77777777" w:rsidTr="003D6179">
        <w:trPr>
          <w:trHeight w:val="20"/>
        </w:trPr>
        <w:tc>
          <w:tcPr>
            <w:tcW w:w="3740" w:type="dxa"/>
            <w:shd w:val="clear" w:color="auto" w:fill="FFFFFF"/>
          </w:tcPr>
          <w:p w14:paraId="7CB79A1D" w14:textId="77777777" w:rsidR="003D6179" w:rsidRPr="00787196" w:rsidRDefault="003D6179" w:rsidP="003D6179">
            <w:pPr>
              <w:autoSpaceDE w:val="0"/>
              <w:autoSpaceDN w:val="0"/>
              <w:adjustRightInd w:val="0"/>
              <w:spacing w:before="0" w:after="0" w:line="240" w:lineRule="auto"/>
              <w:ind w:left="142"/>
              <w:rPr>
                <w:rFonts w:cs="Arial"/>
                <w:color w:val="000000"/>
                <w:sz w:val="20"/>
                <w:szCs w:val="20"/>
              </w:rPr>
            </w:pPr>
          </w:p>
        </w:tc>
        <w:tc>
          <w:tcPr>
            <w:tcW w:w="2476" w:type="dxa"/>
            <w:shd w:val="clear" w:color="auto" w:fill="FFFFFF"/>
          </w:tcPr>
          <w:p w14:paraId="2AA05049" w14:textId="77777777" w:rsidR="003D6179" w:rsidRPr="00787196" w:rsidRDefault="003D6179" w:rsidP="003D6179">
            <w:pPr>
              <w:autoSpaceDE w:val="0"/>
              <w:autoSpaceDN w:val="0"/>
              <w:adjustRightInd w:val="0"/>
              <w:spacing w:before="0" w:after="0" w:line="240" w:lineRule="auto"/>
              <w:rPr>
                <w:rFonts w:cs="Arial"/>
                <w:color w:val="000000"/>
                <w:sz w:val="20"/>
                <w:szCs w:val="20"/>
              </w:rPr>
            </w:pPr>
          </w:p>
        </w:tc>
        <w:tc>
          <w:tcPr>
            <w:tcW w:w="2288" w:type="dxa"/>
            <w:shd w:val="clear" w:color="auto" w:fill="FFFFFF"/>
          </w:tcPr>
          <w:p w14:paraId="6334BCD6" w14:textId="77777777" w:rsidR="003D6179" w:rsidRPr="00787196" w:rsidRDefault="003D6179" w:rsidP="003D6179">
            <w:pPr>
              <w:autoSpaceDE w:val="0"/>
              <w:autoSpaceDN w:val="0"/>
              <w:adjustRightInd w:val="0"/>
              <w:spacing w:before="0" w:after="0" w:line="240" w:lineRule="auto"/>
              <w:rPr>
                <w:rFonts w:cs="Arial"/>
                <w:color w:val="000000"/>
                <w:sz w:val="20"/>
                <w:szCs w:val="20"/>
              </w:rPr>
            </w:pPr>
          </w:p>
        </w:tc>
      </w:tr>
    </w:tbl>
    <w:p w14:paraId="3DCEF230" w14:textId="77777777" w:rsidR="003D6179" w:rsidRPr="00787196" w:rsidRDefault="003D6179" w:rsidP="003D6179">
      <w:pPr>
        <w:spacing w:before="0" w:after="0"/>
        <w:rPr>
          <w:i/>
          <w:iCs/>
          <w:sz w:val="20"/>
          <w:szCs w:val="20"/>
        </w:rPr>
      </w:pPr>
      <w:r w:rsidRPr="00787196">
        <w:rPr>
          <w:i/>
          <w:iCs/>
          <w:sz w:val="20"/>
          <w:szCs w:val="20"/>
        </w:rPr>
        <w:t>*p value significant at &lt;0.05 (One Way ANOVA)</w:t>
      </w:r>
    </w:p>
    <w:p w14:paraId="17ADE26B" w14:textId="77777777" w:rsidR="00D96309" w:rsidRPr="00787196" w:rsidRDefault="00D96309">
      <w:pPr>
        <w:spacing w:before="0" w:after="0" w:line="240" w:lineRule="auto"/>
        <w:jc w:val="left"/>
        <w:rPr>
          <w:iCs/>
          <w:szCs w:val="24"/>
        </w:rPr>
      </w:pPr>
      <w:r w:rsidRPr="00787196">
        <w:rPr>
          <w:iCs/>
          <w:szCs w:val="24"/>
        </w:rPr>
        <w:br w:type="page"/>
      </w:r>
    </w:p>
    <w:p w14:paraId="009A8419" w14:textId="12BFAC6A" w:rsidR="002B4A58" w:rsidRPr="00787196" w:rsidRDefault="002B4A58" w:rsidP="008D4EA6">
      <w:pPr>
        <w:pStyle w:val="Caption"/>
        <w:rPr>
          <w:b/>
          <w:bCs/>
          <w:i w:val="0"/>
          <w:iCs w:val="0"/>
          <w:color w:val="auto"/>
          <w:sz w:val="20"/>
          <w:szCs w:val="20"/>
        </w:rPr>
      </w:pPr>
      <w:bookmarkStart w:id="299" w:name="_Toc488655552"/>
      <w:bookmarkEnd w:id="295"/>
      <w:bookmarkEnd w:id="296"/>
      <w:r w:rsidRPr="00787196">
        <w:rPr>
          <w:b/>
          <w:bCs/>
          <w:i w:val="0"/>
          <w:iCs w:val="0"/>
          <w:color w:val="auto"/>
          <w:sz w:val="20"/>
          <w:szCs w:val="20"/>
        </w:rPr>
        <w:lastRenderedPageBreak/>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23</w:t>
      </w:r>
      <w:r w:rsidR="000332A1" w:rsidRPr="00787196">
        <w:rPr>
          <w:b/>
          <w:bCs/>
          <w:i w:val="0"/>
          <w:iCs w:val="0"/>
          <w:color w:val="auto"/>
          <w:sz w:val="20"/>
          <w:szCs w:val="20"/>
        </w:rPr>
        <w:fldChar w:fldCharType="end"/>
      </w:r>
      <w:r w:rsidRPr="00787196">
        <w:rPr>
          <w:b/>
          <w:bCs/>
          <w:i w:val="0"/>
          <w:iCs w:val="0"/>
          <w:color w:val="auto"/>
          <w:sz w:val="20"/>
          <w:szCs w:val="20"/>
        </w:rPr>
        <w:t xml:space="preserve">. </w:t>
      </w:r>
      <w:r w:rsidR="008D4EA6" w:rsidRPr="00787196">
        <w:rPr>
          <w:b/>
          <w:bCs/>
          <w:i w:val="0"/>
          <w:iCs w:val="0"/>
          <w:color w:val="auto"/>
          <w:sz w:val="20"/>
          <w:szCs w:val="20"/>
        </w:rPr>
        <w:t>Bivariate associations</w:t>
      </w:r>
      <w:r w:rsidRPr="00787196">
        <w:rPr>
          <w:b/>
          <w:bCs/>
          <w:i w:val="0"/>
          <w:iCs w:val="0"/>
          <w:color w:val="auto"/>
          <w:sz w:val="20"/>
          <w:szCs w:val="20"/>
        </w:rPr>
        <w:t xml:space="preserve"> between clinical status, demographic variables at baseline </w:t>
      </w:r>
      <w:r w:rsidR="00EA67DB" w:rsidRPr="00787196">
        <w:rPr>
          <w:b/>
          <w:bCs/>
          <w:i w:val="0"/>
          <w:iCs w:val="0"/>
          <w:color w:val="auto"/>
          <w:sz w:val="20"/>
          <w:szCs w:val="20"/>
        </w:rPr>
        <w:t xml:space="preserve">(T1) </w:t>
      </w:r>
      <w:r w:rsidR="008D4EA6" w:rsidRPr="00787196">
        <w:rPr>
          <w:b/>
          <w:bCs/>
          <w:i w:val="0"/>
          <w:iCs w:val="0"/>
          <w:color w:val="auto"/>
          <w:sz w:val="20"/>
          <w:szCs w:val="20"/>
        </w:rPr>
        <w:t xml:space="preserve">and </w:t>
      </w:r>
      <w:r w:rsidRPr="00787196">
        <w:rPr>
          <w:b/>
          <w:bCs/>
          <w:i w:val="0"/>
          <w:iCs w:val="0"/>
          <w:color w:val="auto"/>
          <w:sz w:val="20"/>
          <w:szCs w:val="20"/>
        </w:rPr>
        <w:t>chewing-ability at follow-up</w:t>
      </w:r>
      <w:r w:rsidR="00EA67DB" w:rsidRPr="00787196">
        <w:rPr>
          <w:b/>
          <w:bCs/>
          <w:i w:val="0"/>
          <w:iCs w:val="0"/>
          <w:color w:val="auto"/>
          <w:sz w:val="20"/>
          <w:szCs w:val="20"/>
        </w:rPr>
        <w:t xml:space="preserve"> (T2)</w:t>
      </w:r>
      <w:bookmarkEnd w:id="299"/>
    </w:p>
    <w:tbl>
      <w:tblPr>
        <w:tblpPr w:leftFromText="180" w:rightFromText="180" w:vertAnchor="text" w:horzAnchor="margin" w:tblpY="52"/>
        <w:tblW w:w="8129" w:type="dxa"/>
        <w:tblBorders>
          <w:top w:val="single" w:sz="8" w:space="0" w:color="000000"/>
          <w:bottom w:val="single" w:sz="8" w:space="0" w:color="000000"/>
        </w:tblBorders>
        <w:tblLook w:val="04A0" w:firstRow="1" w:lastRow="0" w:firstColumn="1" w:lastColumn="0" w:noHBand="0" w:noVBand="1"/>
      </w:tblPr>
      <w:tblGrid>
        <w:gridCol w:w="3523"/>
        <w:gridCol w:w="2574"/>
        <w:gridCol w:w="2032"/>
      </w:tblGrid>
      <w:tr w:rsidR="008D4EA6" w:rsidRPr="00787196" w14:paraId="5A12BA66" w14:textId="77777777" w:rsidTr="008D4EA6">
        <w:trPr>
          <w:trHeight w:val="377"/>
        </w:trPr>
        <w:tc>
          <w:tcPr>
            <w:tcW w:w="3523" w:type="dxa"/>
            <w:tcBorders>
              <w:top w:val="single" w:sz="8" w:space="0" w:color="000000"/>
              <w:bottom w:val="single" w:sz="8" w:space="0" w:color="000000"/>
            </w:tcBorders>
            <w:shd w:val="clear" w:color="auto" w:fill="FFFFFF"/>
            <w:vAlign w:val="center"/>
          </w:tcPr>
          <w:p w14:paraId="2FD69F0C" w14:textId="77777777" w:rsidR="008D4EA6" w:rsidRPr="00787196" w:rsidRDefault="008D4EA6" w:rsidP="008D4EA6">
            <w:pPr>
              <w:autoSpaceDE w:val="0"/>
              <w:autoSpaceDN w:val="0"/>
              <w:adjustRightInd w:val="0"/>
              <w:spacing w:before="0" w:after="0" w:line="240" w:lineRule="auto"/>
              <w:rPr>
                <w:rFonts w:cs="Arial"/>
                <w:b/>
                <w:bCs/>
                <w:color w:val="000000"/>
                <w:sz w:val="19"/>
                <w:szCs w:val="19"/>
              </w:rPr>
            </w:pPr>
          </w:p>
        </w:tc>
        <w:tc>
          <w:tcPr>
            <w:tcW w:w="2574" w:type="dxa"/>
            <w:tcBorders>
              <w:top w:val="single" w:sz="8" w:space="0" w:color="000000"/>
              <w:bottom w:val="single" w:sz="8" w:space="0" w:color="000000"/>
            </w:tcBorders>
            <w:shd w:val="clear" w:color="auto" w:fill="FFFFFF"/>
            <w:vAlign w:val="center"/>
          </w:tcPr>
          <w:p w14:paraId="57A04A07" w14:textId="77777777" w:rsidR="008D4EA6" w:rsidRPr="00787196" w:rsidRDefault="008D4EA6" w:rsidP="008D4EA6">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T</w:t>
            </w:r>
          </w:p>
        </w:tc>
        <w:tc>
          <w:tcPr>
            <w:tcW w:w="2032" w:type="dxa"/>
            <w:tcBorders>
              <w:top w:val="single" w:sz="8" w:space="0" w:color="000000"/>
              <w:bottom w:val="single" w:sz="8" w:space="0" w:color="000000"/>
            </w:tcBorders>
            <w:shd w:val="clear" w:color="auto" w:fill="FFFFFF"/>
            <w:vAlign w:val="center"/>
          </w:tcPr>
          <w:p w14:paraId="3B44D100" w14:textId="77777777" w:rsidR="008D4EA6" w:rsidRPr="00787196" w:rsidRDefault="008D4EA6" w:rsidP="008D4EA6">
            <w:pPr>
              <w:autoSpaceDE w:val="0"/>
              <w:autoSpaceDN w:val="0"/>
              <w:adjustRightInd w:val="0"/>
              <w:spacing w:before="0" w:after="0" w:line="240" w:lineRule="auto"/>
              <w:jc w:val="center"/>
              <w:rPr>
                <w:rFonts w:cs="Arial"/>
                <w:b/>
                <w:bCs/>
                <w:color w:val="000000"/>
                <w:sz w:val="19"/>
                <w:szCs w:val="19"/>
              </w:rPr>
            </w:pPr>
            <w:r w:rsidRPr="00787196">
              <w:rPr>
                <w:rFonts w:cs="Arial"/>
                <w:b/>
                <w:bCs/>
                <w:color w:val="000000"/>
                <w:sz w:val="19"/>
                <w:szCs w:val="19"/>
              </w:rPr>
              <w:t>Mean (SD)</w:t>
            </w:r>
          </w:p>
        </w:tc>
      </w:tr>
      <w:tr w:rsidR="008D4EA6" w:rsidRPr="00787196" w14:paraId="59BD7E1F" w14:textId="77777777" w:rsidTr="008D4EA6">
        <w:trPr>
          <w:trHeight w:val="262"/>
        </w:trPr>
        <w:tc>
          <w:tcPr>
            <w:tcW w:w="3523" w:type="dxa"/>
            <w:shd w:val="clear" w:color="auto" w:fill="FFFFFF"/>
            <w:vAlign w:val="center"/>
          </w:tcPr>
          <w:p w14:paraId="1B85CD3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CLINICAL STATUS</w:t>
            </w:r>
          </w:p>
        </w:tc>
        <w:tc>
          <w:tcPr>
            <w:tcW w:w="2574" w:type="dxa"/>
            <w:shd w:val="clear" w:color="auto" w:fill="FFFFFF"/>
            <w:vAlign w:val="center"/>
          </w:tcPr>
          <w:p w14:paraId="771FBCD4"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179C1425"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5662E5F0" w14:textId="77777777" w:rsidTr="008D4EA6">
        <w:trPr>
          <w:trHeight w:val="262"/>
        </w:trPr>
        <w:tc>
          <w:tcPr>
            <w:tcW w:w="3523" w:type="dxa"/>
            <w:shd w:val="clear" w:color="auto" w:fill="FFFFFF"/>
            <w:vAlign w:val="center"/>
          </w:tcPr>
          <w:p w14:paraId="559C4B52" w14:textId="77777777" w:rsidR="008D4EA6" w:rsidRPr="00787196" w:rsidRDefault="008D4EA6" w:rsidP="008D4EA6">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 w:val="19"/>
                <w:szCs w:val="19"/>
              </w:rPr>
              <w:t>Occluding pairs</w:t>
            </w:r>
          </w:p>
        </w:tc>
        <w:tc>
          <w:tcPr>
            <w:tcW w:w="2574" w:type="dxa"/>
            <w:shd w:val="clear" w:color="auto" w:fill="FFFFFF"/>
            <w:vAlign w:val="center"/>
          </w:tcPr>
          <w:p w14:paraId="68025D62"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DC55537"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2629EF28" w14:textId="77777777" w:rsidTr="008D4EA6">
        <w:trPr>
          <w:trHeight w:val="262"/>
        </w:trPr>
        <w:tc>
          <w:tcPr>
            <w:tcW w:w="3523" w:type="dxa"/>
            <w:shd w:val="clear" w:color="auto" w:fill="D9D9D9"/>
            <w:vAlign w:val="center"/>
          </w:tcPr>
          <w:p w14:paraId="2B1C028D"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Present</w:t>
            </w:r>
          </w:p>
        </w:tc>
        <w:tc>
          <w:tcPr>
            <w:tcW w:w="2574" w:type="dxa"/>
            <w:vMerge w:val="restart"/>
            <w:shd w:val="clear" w:color="auto" w:fill="D9D9D9"/>
            <w:vAlign w:val="center"/>
          </w:tcPr>
          <w:p w14:paraId="6C9AB74F"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vertAlign w:val="superscript"/>
              </w:rPr>
            </w:pPr>
            <w:r w:rsidRPr="00787196">
              <w:rPr>
                <w:rFonts w:cs="Arial"/>
                <w:color w:val="000000"/>
                <w:sz w:val="19"/>
                <w:szCs w:val="19"/>
              </w:rPr>
              <w:t xml:space="preserve">  5.853*</w:t>
            </w:r>
          </w:p>
        </w:tc>
        <w:tc>
          <w:tcPr>
            <w:tcW w:w="2032" w:type="dxa"/>
            <w:tcBorders>
              <w:left w:val="nil"/>
              <w:right w:val="nil"/>
            </w:tcBorders>
            <w:shd w:val="clear" w:color="auto" w:fill="D9D9D9"/>
            <w:vAlign w:val="center"/>
          </w:tcPr>
          <w:p w14:paraId="0677349C"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3.23 (1.63)*</w:t>
            </w:r>
          </w:p>
        </w:tc>
      </w:tr>
      <w:tr w:rsidR="008D4EA6" w:rsidRPr="00787196" w14:paraId="37CA3B71" w14:textId="77777777" w:rsidTr="008D4EA6">
        <w:trPr>
          <w:trHeight w:val="262"/>
        </w:trPr>
        <w:tc>
          <w:tcPr>
            <w:tcW w:w="3523" w:type="dxa"/>
            <w:shd w:val="clear" w:color="auto" w:fill="D9D9D9"/>
            <w:vAlign w:val="center"/>
          </w:tcPr>
          <w:p w14:paraId="31C8AAF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None</w:t>
            </w:r>
          </w:p>
        </w:tc>
        <w:tc>
          <w:tcPr>
            <w:tcW w:w="2574" w:type="dxa"/>
            <w:vMerge/>
            <w:shd w:val="clear" w:color="auto" w:fill="D9D9D9"/>
            <w:vAlign w:val="center"/>
          </w:tcPr>
          <w:p w14:paraId="7A54CDD4"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D9D9D9"/>
            <w:vAlign w:val="center"/>
          </w:tcPr>
          <w:p w14:paraId="22692C03"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2.08 (1.06)*</w:t>
            </w:r>
          </w:p>
        </w:tc>
      </w:tr>
      <w:tr w:rsidR="008D4EA6" w:rsidRPr="00787196" w14:paraId="4B7A2C96" w14:textId="77777777" w:rsidTr="008D4EA6">
        <w:trPr>
          <w:trHeight w:val="262"/>
        </w:trPr>
        <w:tc>
          <w:tcPr>
            <w:tcW w:w="3523" w:type="dxa"/>
            <w:shd w:val="clear" w:color="auto" w:fill="FFFFFF"/>
            <w:vAlign w:val="center"/>
          </w:tcPr>
          <w:p w14:paraId="64573B69"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 xml:space="preserve">Prosthetic status </w:t>
            </w:r>
          </w:p>
        </w:tc>
        <w:tc>
          <w:tcPr>
            <w:tcW w:w="2574" w:type="dxa"/>
            <w:shd w:val="clear" w:color="auto" w:fill="FFFFFF"/>
            <w:vAlign w:val="center"/>
          </w:tcPr>
          <w:p w14:paraId="018F116D"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689C33C0"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35D3CD98" w14:textId="77777777" w:rsidTr="008D4EA6">
        <w:trPr>
          <w:trHeight w:val="262"/>
        </w:trPr>
        <w:tc>
          <w:tcPr>
            <w:tcW w:w="3523" w:type="dxa"/>
            <w:shd w:val="clear" w:color="auto" w:fill="FFFFFF"/>
            <w:vAlign w:val="center"/>
          </w:tcPr>
          <w:p w14:paraId="290D41A6"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No dentures (upper)</w:t>
            </w:r>
          </w:p>
        </w:tc>
        <w:tc>
          <w:tcPr>
            <w:tcW w:w="2574" w:type="dxa"/>
            <w:vMerge w:val="restart"/>
            <w:shd w:val="clear" w:color="auto" w:fill="FFFFFF"/>
            <w:vAlign w:val="center"/>
          </w:tcPr>
          <w:p w14:paraId="7C9C37E5"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- 0.318</w:t>
            </w:r>
          </w:p>
        </w:tc>
        <w:tc>
          <w:tcPr>
            <w:tcW w:w="2032" w:type="dxa"/>
            <w:tcBorders>
              <w:left w:val="nil"/>
              <w:right w:val="nil"/>
            </w:tcBorders>
            <w:shd w:val="clear" w:color="auto" w:fill="FFFFFF"/>
            <w:vAlign w:val="center"/>
          </w:tcPr>
          <w:p w14:paraId="10194E0C"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2.41 (1.47)</w:t>
            </w:r>
          </w:p>
        </w:tc>
      </w:tr>
      <w:tr w:rsidR="008D4EA6" w:rsidRPr="00787196" w14:paraId="29F271D2" w14:textId="77777777" w:rsidTr="008D4EA6">
        <w:trPr>
          <w:trHeight w:val="262"/>
        </w:trPr>
        <w:tc>
          <w:tcPr>
            <w:tcW w:w="3523" w:type="dxa"/>
            <w:shd w:val="clear" w:color="auto" w:fill="FFFFFF"/>
            <w:vAlign w:val="center"/>
          </w:tcPr>
          <w:p w14:paraId="198312A4"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previous experience  (upper)</w:t>
            </w:r>
          </w:p>
        </w:tc>
        <w:tc>
          <w:tcPr>
            <w:tcW w:w="2574" w:type="dxa"/>
            <w:vMerge/>
            <w:shd w:val="clear" w:color="auto" w:fill="FFFFFF"/>
            <w:vAlign w:val="center"/>
          </w:tcPr>
          <w:p w14:paraId="546EEFEC"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EF7227A"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2.47 (1.29)</w:t>
            </w:r>
          </w:p>
        </w:tc>
      </w:tr>
      <w:tr w:rsidR="008D4EA6" w:rsidRPr="00787196" w14:paraId="4E2C1240" w14:textId="77777777" w:rsidTr="008D4EA6">
        <w:trPr>
          <w:trHeight w:val="262"/>
        </w:trPr>
        <w:tc>
          <w:tcPr>
            <w:tcW w:w="3523" w:type="dxa"/>
            <w:shd w:val="clear" w:color="auto" w:fill="D9D9D9"/>
            <w:vAlign w:val="center"/>
          </w:tcPr>
          <w:p w14:paraId="5505546A"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No dentures (lower)</w:t>
            </w:r>
          </w:p>
        </w:tc>
        <w:tc>
          <w:tcPr>
            <w:tcW w:w="2574" w:type="dxa"/>
            <w:vMerge w:val="restart"/>
            <w:shd w:val="clear" w:color="auto" w:fill="D9D9D9"/>
            <w:vAlign w:val="center"/>
          </w:tcPr>
          <w:p w14:paraId="48843927"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1.103</w:t>
            </w:r>
          </w:p>
        </w:tc>
        <w:tc>
          <w:tcPr>
            <w:tcW w:w="2032" w:type="dxa"/>
            <w:tcBorders>
              <w:left w:val="nil"/>
              <w:right w:val="nil"/>
            </w:tcBorders>
            <w:shd w:val="clear" w:color="auto" w:fill="D9D9D9"/>
            <w:vAlign w:val="center"/>
          </w:tcPr>
          <w:p w14:paraId="1391746C"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 55 (1. 51)</w:t>
            </w:r>
          </w:p>
        </w:tc>
      </w:tr>
      <w:tr w:rsidR="008D4EA6" w:rsidRPr="00787196" w14:paraId="677A921B" w14:textId="77777777" w:rsidTr="008D4EA6">
        <w:trPr>
          <w:trHeight w:val="262"/>
        </w:trPr>
        <w:tc>
          <w:tcPr>
            <w:tcW w:w="3523" w:type="dxa"/>
            <w:shd w:val="clear" w:color="auto" w:fill="D9D9D9"/>
            <w:vAlign w:val="center"/>
          </w:tcPr>
          <w:p w14:paraId="0BC4F1E0"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Previous experience (lower)</w:t>
            </w:r>
          </w:p>
        </w:tc>
        <w:tc>
          <w:tcPr>
            <w:tcW w:w="2574" w:type="dxa"/>
            <w:vMerge/>
            <w:shd w:val="clear" w:color="auto" w:fill="D9D9D9"/>
            <w:vAlign w:val="center"/>
          </w:tcPr>
          <w:p w14:paraId="1D7FE2F0"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D9D9D9"/>
            <w:vAlign w:val="center"/>
          </w:tcPr>
          <w:p w14:paraId="4E31CC61"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2.33 (1.21)</w:t>
            </w:r>
          </w:p>
        </w:tc>
      </w:tr>
      <w:tr w:rsidR="008D4EA6" w:rsidRPr="00787196" w14:paraId="448CC9C0" w14:textId="77777777" w:rsidTr="008D4EA6">
        <w:trPr>
          <w:trHeight w:val="262"/>
        </w:trPr>
        <w:tc>
          <w:tcPr>
            <w:tcW w:w="3523" w:type="dxa"/>
            <w:shd w:val="clear" w:color="auto" w:fill="FFFFFF"/>
            <w:vAlign w:val="center"/>
          </w:tcPr>
          <w:p w14:paraId="64441316"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Prosthetic need</w:t>
            </w:r>
          </w:p>
        </w:tc>
        <w:tc>
          <w:tcPr>
            <w:tcW w:w="2574" w:type="dxa"/>
            <w:shd w:val="clear" w:color="auto" w:fill="FFFFFF"/>
            <w:vAlign w:val="center"/>
          </w:tcPr>
          <w:p w14:paraId="229D27CF"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shd w:val="clear" w:color="auto" w:fill="FFFFFF"/>
            <w:vAlign w:val="center"/>
          </w:tcPr>
          <w:p w14:paraId="020CEA7F"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61DE8D15" w14:textId="77777777" w:rsidTr="008D4EA6">
        <w:trPr>
          <w:trHeight w:val="262"/>
        </w:trPr>
        <w:tc>
          <w:tcPr>
            <w:tcW w:w="3523" w:type="dxa"/>
            <w:shd w:val="clear" w:color="auto" w:fill="FFFFFF"/>
            <w:vAlign w:val="center"/>
          </w:tcPr>
          <w:p w14:paraId="6824ACC2"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Partial or no dentures (Upper)</w:t>
            </w:r>
          </w:p>
        </w:tc>
        <w:tc>
          <w:tcPr>
            <w:tcW w:w="2574" w:type="dxa"/>
            <w:vMerge w:val="restart"/>
            <w:shd w:val="clear" w:color="auto" w:fill="FFFFFF"/>
            <w:vAlign w:val="center"/>
          </w:tcPr>
          <w:p w14:paraId="62046F6F"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4.900*</w:t>
            </w:r>
          </w:p>
        </w:tc>
        <w:tc>
          <w:tcPr>
            <w:tcW w:w="2032" w:type="dxa"/>
            <w:tcBorders>
              <w:left w:val="nil"/>
              <w:right w:val="nil"/>
            </w:tcBorders>
            <w:shd w:val="clear" w:color="auto" w:fill="FFFFFF"/>
            <w:vAlign w:val="center"/>
          </w:tcPr>
          <w:p w14:paraId="5F33D0CF"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3.06 (1.62)*</w:t>
            </w:r>
          </w:p>
        </w:tc>
      </w:tr>
      <w:tr w:rsidR="008D4EA6" w:rsidRPr="00787196" w14:paraId="3DCB56D4" w14:textId="77777777" w:rsidTr="008D4EA6">
        <w:trPr>
          <w:trHeight w:val="262"/>
        </w:trPr>
        <w:tc>
          <w:tcPr>
            <w:tcW w:w="3523" w:type="dxa"/>
            <w:shd w:val="clear" w:color="auto" w:fill="FFFFFF"/>
            <w:vAlign w:val="center"/>
          </w:tcPr>
          <w:p w14:paraId="31D75072"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Full dentures (upper)</w:t>
            </w:r>
          </w:p>
        </w:tc>
        <w:tc>
          <w:tcPr>
            <w:tcW w:w="2574" w:type="dxa"/>
            <w:vMerge/>
            <w:shd w:val="clear" w:color="auto" w:fill="FFFFFF"/>
            <w:vAlign w:val="center"/>
          </w:tcPr>
          <w:p w14:paraId="2C35FBE2"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shd w:val="clear" w:color="auto" w:fill="FFFFFF"/>
            <w:vAlign w:val="center"/>
          </w:tcPr>
          <w:p w14:paraId="2E0CD81B"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2.10 (1.08)*</w:t>
            </w:r>
          </w:p>
        </w:tc>
      </w:tr>
      <w:tr w:rsidR="008D4EA6" w:rsidRPr="00787196" w14:paraId="229CFEA5" w14:textId="77777777" w:rsidTr="008D4EA6">
        <w:trPr>
          <w:trHeight w:val="262"/>
        </w:trPr>
        <w:tc>
          <w:tcPr>
            <w:tcW w:w="3523" w:type="dxa"/>
            <w:shd w:val="clear" w:color="auto" w:fill="D9D9D9"/>
            <w:vAlign w:val="center"/>
          </w:tcPr>
          <w:p w14:paraId="3CCEE6B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Partial or no dentures (lower)</w:t>
            </w:r>
          </w:p>
        </w:tc>
        <w:tc>
          <w:tcPr>
            <w:tcW w:w="2574" w:type="dxa"/>
            <w:vMerge w:val="restart"/>
            <w:shd w:val="clear" w:color="auto" w:fill="D9D9D9"/>
            <w:vAlign w:val="center"/>
          </w:tcPr>
          <w:p w14:paraId="6876FE28"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vertAlign w:val="superscript"/>
              </w:rPr>
            </w:pPr>
            <w:r w:rsidRPr="00787196">
              <w:rPr>
                <w:rFonts w:cs="Arial"/>
                <w:color w:val="000000"/>
                <w:sz w:val="19"/>
                <w:szCs w:val="19"/>
              </w:rPr>
              <w:t xml:space="preserve">  5.147*</w:t>
            </w:r>
          </w:p>
        </w:tc>
        <w:tc>
          <w:tcPr>
            <w:tcW w:w="2032" w:type="dxa"/>
            <w:shd w:val="clear" w:color="auto" w:fill="D9D9D9"/>
            <w:vAlign w:val="center"/>
          </w:tcPr>
          <w:p w14:paraId="38013D64"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3.00 (1.55)*</w:t>
            </w:r>
          </w:p>
        </w:tc>
      </w:tr>
      <w:tr w:rsidR="008D4EA6" w:rsidRPr="00787196" w14:paraId="61AAC9F6" w14:textId="77777777" w:rsidTr="008D4EA6">
        <w:trPr>
          <w:trHeight w:val="262"/>
        </w:trPr>
        <w:tc>
          <w:tcPr>
            <w:tcW w:w="3523" w:type="dxa"/>
            <w:shd w:val="clear" w:color="auto" w:fill="D9D9D9"/>
            <w:vAlign w:val="center"/>
          </w:tcPr>
          <w:p w14:paraId="7BE1C732"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Full dentures (lower)</w:t>
            </w:r>
          </w:p>
        </w:tc>
        <w:tc>
          <w:tcPr>
            <w:tcW w:w="2574" w:type="dxa"/>
            <w:vMerge/>
            <w:shd w:val="clear" w:color="auto" w:fill="D9D9D9"/>
            <w:vAlign w:val="center"/>
          </w:tcPr>
          <w:p w14:paraId="1FA3BF67"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shd w:val="clear" w:color="auto" w:fill="D9D9D9"/>
            <w:vAlign w:val="center"/>
          </w:tcPr>
          <w:p w14:paraId="67F29E2B" w14:textId="77777777" w:rsidR="008D4EA6" w:rsidRPr="00787196" w:rsidRDefault="008D4EA6" w:rsidP="008D4EA6">
            <w:pPr>
              <w:autoSpaceDE w:val="0"/>
              <w:autoSpaceDN w:val="0"/>
              <w:adjustRightInd w:val="0"/>
              <w:spacing w:before="0" w:after="0" w:line="240" w:lineRule="auto"/>
              <w:jc w:val="center"/>
              <w:rPr>
                <w:rFonts w:cs="Arial"/>
                <w:color w:val="000000"/>
                <w:szCs w:val="24"/>
              </w:rPr>
            </w:pPr>
            <w:r w:rsidRPr="00787196">
              <w:rPr>
                <w:rFonts w:cs="Arial"/>
                <w:color w:val="000000"/>
                <w:sz w:val="19"/>
                <w:szCs w:val="19"/>
              </w:rPr>
              <w:t>2.03 (1.05)*</w:t>
            </w:r>
          </w:p>
        </w:tc>
      </w:tr>
      <w:tr w:rsidR="008D4EA6" w:rsidRPr="00787196" w14:paraId="7B48C3B1" w14:textId="77777777" w:rsidTr="008D4EA6">
        <w:trPr>
          <w:trHeight w:val="262"/>
        </w:trPr>
        <w:tc>
          <w:tcPr>
            <w:tcW w:w="3523" w:type="dxa"/>
            <w:shd w:val="clear" w:color="auto" w:fill="FFFFFF"/>
            <w:vAlign w:val="center"/>
          </w:tcPr>
          <w:p w14:paraId="7012C33F"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Time since last tooth loss episode</w:t>
            </w:r>
          </w:p>
        </w:tc>
        <w:tc>
          <w:tcPr>
            <w:tcW w:w="2574" w:type="dxa"/>
            <w:shd w:val="clear" w:color="auto" w:fill="FFFFFF"/>
            <w:vAlign w:val="center"/>
          </w:tcPr>
          <w:p w14:paraId="1AD942C6"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1BE35536"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6915E16A" w14:textId="77777777" w:rsidTr="008D4EA6">
        <w:trPr>
          <w:trHeight w:val="262"/>
        </w:trPr>
        <w:tc>
          <w:tcPr>
            <w:tcW w:w="3523" w:type="dxa"/>
            <w:shd w:val="clear" w:color="auto" w:fill="FFFFFF"/>
            <w:vAlign w:val="center"/>
          </w:tcPr>
          <w:p w14:paraId="31885DA7"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Within a year</w:t>
            </w:r>
          </w:p>
        </w:tc>
        <w:tc>
          <w:tcPr>
            <w:tcW w:w="2574" w:type="dxa"/>
            <w:vMerge w:val="restart"/>
            <w:shd w:val="clear" w:color="auto" w:fill="FFFFFF"/>
            <w:vAlign w:val="center"/>
          </w:tcPr>
          <w:p w14:paraId="577DAF5A"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-1.653</w:t>
            </w:r>
          </w:p>
        </w:tc>
        <w:tc>
          <w:tcPr>
            <w:tcW w:w="2032" w:type="dxa"/>
            <w:tcBorders>
              <w:left w:val="nil"/>
              <w:right w:val="nil"/>
            </w:tcBorders>
            <w:shd w:val="clear" w:color="auto" w:fill="FFFFFF"/>
            <w:vAlign w:val="center"/>
          </w:tcPr>
          <w:p w14:paraId="0BBCE7D1"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2.30 (1.38)</w:t>
            </w:r>
          </w:p>
        </w:tc>
      </w:tr>
      <w:tr w:rsidR="008D4EA6" w:rsidRPr="00787196" w14:paraId="79AEC1FC" w14:textId="77777777" w:rsidTr="008D4EA6">
        <w:trPr>
          <w:trHeight w:val="262"/>
        </w:trPr>
        <w:tc>
          <w:tcPr>
            <w:tcW w:w="3523" w:type="dxa"/>
            <w:shd w:val="clear" w:color="auto" w:fill="FFFFFF"/>
            <w:vAlign w:val="center"/>
          </w:tcPr>
          <w:p w14:paraId="07758AF5"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More than a year</w:t>
            </w:r>
          </w:p>
        </w:tc>
        <w:tc>
          <w:tcPr>
            <w:tcW w:w="2574" w:type="dxa"/>
            <w:vMerge/>
            <w:shd w:val="clear" w:color="auto" w:fill="FFFFFF"/>
            <w:vAlign w:val="center"/>
          </w:tcPr>
          <w:p w14:paraId="43609E9D"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6CB1BD0E"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2.63 (1.34)</w:t>
            </w:r>
          </w:p>
        </w:tc>
      </w:tr>
      <w:tr w:rsidR="008D4EA6" w:rsidRPr="00787196" w14:paraId="7D7C0FBA" w14:textId="77777777" w:rsidTr="008D4EA6">
        <w:trPr>
          <w:trHeight w:val="262"/>
        </w:trPr>
        <w:tc>
          <w:tcPr>
            <w:tcW w:w="3523" w:type="dxa"/>
            <w:shd w:val="clear" w:color="auto" w:fill="FFFFFF"/>
            <w:vAlign w:val="center"/>
          </w:tcPr>
          <w:p w14:paraId="4054E326"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Operator expertise</w:t>
            </w:r>
          </w:p>
        </w:tc>
        <w:tc>
          <w:tcPr>
            <w:tcW w:w="2574" w:type="dxa"/>
            <w:shd w:val="clear" w:color="auto" w:fill="FFFFFF"/>
            <w:vAlign w:val="center"/>
          </w:tcPr>
          <w:p w14:paraId="139AF35D"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A76DFFF"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4F4C3AD9" w14:textId="77777777" w:rsidTr="008D4EA6">
        <w:trPr>
          <w:trHeight w:val="262"/>
        </w:trPr>
        <w:tc>
          <w:tcPr>
            <w:tcW w:w="3523" w:type="dxa"/>
            <w:shd w:val="clear" w:color="auto" w:fill="D9D9D9"/>
            <w:vAlign w:val="center"/>
          </w:tcPr>
          <w:p w14:paraId="1B744776"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Graduates and above</w:t>
            </w:r>
          </w:p>
        </w:tc>
        <w:tc>
          <w:tcPr>
            <w:tcW w:w="2574" w:type="dxa"/>
            <w:vMerge w:val="restart"/>
            <w:shd w:val="clear" w:color="auto" w:fill="D9D9D9"/>
            <w:vAlign w:val="center"/>
          </w:tcPr>
          <w:p w14:paraId="56E63B21"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- 0.492</w:t>
            </w:r>
          </w:p>
        </w:tc>
        <w:tc>
          <w:tcPr>
            <w:tcW w:w="2032" w:type="dxa"/>
            <w:tcBorders>
              <w:left w:val="nil"/>
              <w:right w:val="nil"/>
            </w:tcBorders>
            <w:shd w:val="clear" w:color="auto" w:fill="D9D9D9"/>
            <w:vAlign w:val="center"/>
          </w:tcPr>
          <w:p w14:paraId="597742D8"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2.35 (1.19)</w:t>
            </w:r>
          </w:p>
        </w:tc>
      </w:tr>
      <w:tr w:rsidR="008D4EA6" w:rsidRPr="00787196" w14:paraId="52C71242" w14:textId="77777777" w:rsidTr="008D4EA6">
        <w:trPr>
          <w:trHeight w:val="262"/>
        </w:trPr>
        <w:tc>
          <w:tcPr>
            <w:tcW w:w="3523" w:type="dxa"/>
            <w:tcBorders>
              <w:bottom w:val="nil"/>
            </w:tcBorders>
            <w:shd w:val="clear" w:color="auto" w:fill="D9D9D9"/>
            <w:vAlign w:val="center"/>
          </w:tcPr>
          <w:p w14:paraId="3A7A83A1"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Undergraduate students</w:t>
            </w:r>
          </w:p>
        </w:tc>
        <w:tc>
          <w:tcPr>
            <w:tcW w:w="2574" w:type="dxa"/>
            <w:vMerge/>
            <w:tcBorders>
              <w:bottom w:val="nil"/>
            </w:tcBorders>
            <w:shd w:val="clear" w:color="auto" w:fill="D9D9D9"/>
            <w:vAlign w:val="center"/>
          </w:tcPr>
          <w:p w14:paraId="09188771"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bottom w:val="nil"/>
              <w:right w:val="nil"/>
            </w:tcBorders>
            <w:shd w:val="clear" w:color="auto" w:fill="D9D9D9"/>
            <w:vAlign w:val="center"/>
          </w:tcPr>
          <w:p w14:paraId="0D10A643"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2.47 (1.42)</w:t>
            </w:r>
          </w:p>
        </w:tc>
      </w:tr>
      <w:tr w:rsidR="008D4EA6" w:rsidRPr="00787196" w14:paraId="7F3E650F" w14:textId="77777777" w:rsidTr="008D4EA6">
        <w:trPr>
          <w:trHeight w:val="262"/>
        </w:trPr>
        <w:tc>
          <w:tcPr>
            <w:tcW w:w="3523" w:type="dxa"/>
            <w:tcBorders>
              <w:top w:val="nil"/>
            </w:tcBorders>
            <w:shd w:val="clear" w:color="auto" w:fill="FFFFFF"/>
            <w:vAlign w:val="center"/>
          </w:tcPr>
          <w:p w14:paraId="3A14577A" w14:textId="77777777" w:rsidR="008D4EA6" w:rsidRPr="00787196" w:rsidRDefault="008D4EA6" w:rsidP="008D4EA6">
            <w:pPr>
              <w:autoSpaceDE w:val="0"/>
              <w:autoSpaceDN w:val="0"/>
              <w:adjustRightInd w:val="0"/>
              <w:spacing w:after="0" w:line="240" w:lineRule="auto"/>
              <w:jc w:val="left"/>
              <w:rPr>
                <w:rFonts w:cs="Arial"/>
                <w:color w:val="000000"/>
                <w:sz w:val="19"/>
                <w:szCs w:val="19"/>
              </w:rPr>
            </w:pPr>
            <w:r w:rsidRPr="00787196">
              <w:rPr>
                <w:rFonts w:cs="Arial"/>
                <w:color w:val="000000"/>
                <w:sz w:val="19"/>
                <w:szCs w:val="19"/>
              </w:rPr>
              <w:t>DEMOGRAPHIC FACTORS</w:t>
            </w:r>
          </w:p>
        </w:tc>
        <w:tc>
          <w:tcPr>
            <w:tcW w:w="2574" w:type="dxa"/>
            <w:tcBorders>
              <w:top w:val="nil"/>
            </w:tcBorders>
            <w:shd w:val="clear" w:color="auto" w:fill="FFFFFF"/>
            <w:vAlign w:val="center"/>
          </w:tcPr>
          <w:p w14:paraId="396CB392"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top w:val="nil"/>
              <w:left w:val="nil"/>
              <w:right w:val="nil"/>
            </w:tcBorders>
            <w:shd w:val="clear" w:color="auto" w:fill="FFFFFF"/>
            <w:vAlign w:val="center"/>
          </w:tcPr>
          <w:p w14:paraId="1A31B01F"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090FBD7C" w14:textId="77777777" w:rsidTr="008D4EA6">
        <w:trPr>
          <w:trHeight w:val="262"/>
        </w:trPr>
        <w:tc>
          <w:tcPr>
            <w:tcW w:w="3523" w:type="dxa"/>
            <w:shd w:val="clear" w:color="auto" w:fill="FFFFFF"/>
            <w:vAlign w:val="center"/>
          </w:tcPr>
          <w:p w14:paraId="17B7DB73"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Age – years</w:t>
            </w:r>
          </w:p>
        </w:tc>
        <w:tc>
          <w:tcPr>
            <w:tcW w:w="2574" w:type="dxa"/>
            <w:shd w:val="clear" w:color="auto" w:fill="FFFFFF"/>
            <w:vAlign w:val="center"/>
          </w:tcPr>
          <w:p w14:paraId="036A8CF1"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29ADBBF0"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27764ADE" w14:textId="77777777" w:rsidTr="008D4EA6">
        <w:trPr>
          <w:trHeight w:val="262"/>
        </w:trPr>
        <w:tc>
          <w:tcPr>
            <w:tcW w:w="3523" w:type="dxa"/>
            <w:shd w:val="clear" w:color="auto" w:fill="D9D9D9"/>
            <w:vAlign w:val="center"/>
          </w:tcPr>
          <w:p w14:paraId="3BE4E29D"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 xml:space="preserve">18- </w:t>
            </w:r>
            <w:r w:rsidRPr="00787196">
              <w:rPr>
                <w:sz w:val="19"/>
                <w:szCs w:val="19"/>
              </w:rPr>
              <w:t>58 years</w:t>
            </w:r>
          </w:p>
        </w:tc>
        <w:tc>
          <w:tcPr>
            <w:tcW w:w="2574" w:type="dxa"/>
            <w:vMerge w:val="restart"/>
            <w:shd w:val="clear" w:color="auto" w:fill="D9D9D9"/>
            <w:vAlign w:val="center"/>
          </w:tcPr>
          <w:p w14:paraId="56D66D16"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vertAlign w:val="superscript"/>
              </w:rPr>
            </w:pPr>
            <w:r w:rsidRPr="00787196">
              <w:rPr>
                <w:rFonts w:cs="Arial"/>
                <w:color w:val="000000"/>
                <w:sz w:val="19"/>
                <w:szCs w:val="19"/>
              </w:rPr>
              <w:t xml:space="preserve">  3.177*</w:t>
            </w:r>
          </w:p>
        </w:tc>
        <w:tc>
          <w:tcPr>
            <w:tcW w:w="2032" w:type="dxa"/>
            <w:tcBorders>
              <w:left w:val="nil"/>
              <w:right w:val="nil"/>
            </w:tcBorders>
            <w:shd w:val="clear" w:color="auto" w:fill="D9D9D9"/>
            <w:vAlign w:val="center"/>
          </w:tcPr>
          <w:p w14:paraId="7B23CCD7"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2.74 (1.46)*</w:t>
            </w:r>
          </w:p>
        </w:tc>
      </w:tr>
      <w:tr w:rsidR="008D4EA6" w:rsidRPr="00787196" w14:paraId="4D5D4A4A" w14:textId="77777777" w:rsidTr="008D4EA6">
        <w:trPr>
          <w:trHeight w:val="262"/>
        </w:trPr>
        <w:tc>
          <w:tcPr>
            <w:tcW w:w="3523" w:type="dxa"/>
            <w:shd w:val="clear" w:color="auto" w:fill="D9D9D9"/>
            <w:vAlign w:val="center"/>
          </w:tcPr>
          <w:p w14:paraId="0022FCB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sz w:val="19"/>
                <w:szCs w:val="19"/>
              </w:rPr>
              <w:t>59 and above</w:t>
            </w:r>
          </w:p>
        </w:tc>
        <w:tc>
          <w:tcPr>
            <w:tcW w:w="2574" w:type="dxa"/>
            <w:vMerge/>
            <w:shd w:val="clear" w:color="auto" w:fill="D9D9D9"/>
            <w:vAlign w:val="center"/>
          </w:tcPr>
          <w:p w14:paraId="5946D38C"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D9D9D9"/>
            <w:vAlign w:val="center"/>
          </w:tcPr>
          <w:p w14:paraId="0D2E897D"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2.12 (1.19)*</w:t>
            </w:r>
          </w:p>
        </w:tc>
      </w:tr>
      <w:tr w:rsidR="008D4EA6" w:rsidRPr="00787196" w14:paraId="3D078B5A" w14:textId="77777777" w:rsidTr="008D4EA6">
        <w:trPr>
          <w:trHeight w:val="262"/>
        </w:trPr>
        <w:tc>
          <w:tcPr>
            <w:tcW w:w="3523" w:type="dxa"/>
            <w:shd w:val="clear" w:color="auto" w:fill="FFFFFF"/>
            <w:vAlign w:val="center"/>
          </w:tcPr>
          <w:p w14:paraId="0EF7D679" w14:textId="77777777" w:rsidR="008D4EA6" w:rsidRPr="00787196" w:rsidRDefault="008D4EA6" w:rsidP="008D4EA6">
            <w:pPr>
              <w:autoSpaceDE w:val="0"/>
              <w:autoSpaceDN w:val="0"/>
              <w:adjustRightInd w:val="0"/>
              <w:spacing w:after="0" w:line="240" w:lineRule="auto"/>
              <w:jc w:val="left"/>
              <w:rPr>
                <w:rFonts w:cs="Arial"/>
                <w:b/>
                <w:bCs/>
                <w:color w:val="000000"/>
                <w:sz w:val="19"/>
                <w:szCs w:val="19"/>
              </w:rPr>
            </w:pPr>
            <w:r w:rsidRPr="00787196">
              <w:rPr>
                <w:rFonts w:cs="Arial"/>
                <w:b/>
                <w:bCs/>
                <w:color w:val="000000"/>
                <w:sz w:val="19"/>
                <w:szCs w:val="19"/>
              </w:rPr>
              <w:t>Marital status</w:t>
            </w:r>
          </w:p>
        </w:tc>
        <w:tc>
          <w:tcPr>
            <w:tcW w:w="2574" w:type="dxa"/>
            <w:shd w:val="clear" w:color="auto" w:fill="FFFFFF"/>
            <w:vAlign w:val="center"/>
          </w:tcPr>
          <w:p w14:paraId="54EB8E69"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6BC343A9"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3B73F425" w14:textId="77777777" w:rsidTr="008D4EA6">
        <w:trPr>
          <w:trHeight w:val="262"/>
        </w:trPr>
        <w:tc>
          <w:tcPr>
            <w:tcW w:w="3523" w:type="dxa"/>
            <w:shd w:val="clear" w:color="auto" w:fill="FFFFFF"/>
            <w:vAlign w:val="center"/>
          </w:tcPr>
          <w:p w14:paraId="6579D755"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Married with living partner</w:t>
            </w:r>
          </w:p>
        </w:tc>
        <w:tc>
          <w:tcPr>
            <w:tcW w:w="2574" w:type="dxa"/>
            <w:vMerge w:val="restart"/>
            <w:shd w:val="clear" w:color="auto" w:fill="FFFFFF"/>
            <w:vAlign w:val="center"/>
          </w:tcPr>
          <w:p w14:paraId="0E46B757"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1.287</w:t>
            </w:r>
          </w:p>
        </w:tc>
        <w:tc>
          <w:tcPr>
            <w:tcW w:w="2032" w:type="dxa"/>
            <w:tcBorders>
              <w:left w:val="nil"/>
              <w:right w:val="nil"/>
            </w:tcBorders>
            <w:shd w:val="clear" w:color="auto" w:fill="FFFFFF"/>
            <w:vAlign w:val="center"/>
          </w:tcPr>
          <w:p w14:paraId="49F447D1"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 52 (1.41)</w:t>
            </w:r>
          </w:p>
        </w:tc>
      </w:tr>
      <w:tr w:rsidR="008D4EA6" w:rsidRPr="00787196" w14:paraId="04CC2EE1" w14:textId="77777777" w:rsidTr="008D4EA6">
        <w:trPr>
          <w:trHeight w:val="262"/>
        </w:trPr>
        <w:tc>
          <w:tcPr>
            <w:tcW w:w="3523" w:type="dxa"/>
            <w:shd w:val="clear" w:color="auto" w:fill="FFFFFF"/>
            <w:vAlign w:val="center"/>
          </w:tcPr>
          <w:p w14:paraId="6A69F366"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Single/ separated or divorced /widowed</w:t>
            </w:r>
          </w:p>
        </w:tc>
        <w:tc>
          <w:tcPr>
            <w:tcW w:w="2574" w:type="dxa"/>
            <w:vMerge/>
            <w:shd w:val="clear" w:color="auto" w:fill="FFFFFF"/>
            <w:vAlign w:val="center"/>
          </w:tcPr>
          <w:p w14:paraId="7DAB8696"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8573655"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2.23 (1.26)</w:t>
            </w:r>
          </w:p>
        </w:tc>
      </w:tr>
      <w:tr w:rsidR="008D4EA6" w:rsidRPr="00787196" w14:paraId="623FC222" w14:textId="77777777" w:rsidTr="008D4EA6">
        <w:trPr>
          <w:trHeight w:val="262"/>
        </w:trPr>
        <w:tc>
          <w:tcPr>
            <w:tcW w:w="3523" w:type="dxa"/>
            <w:shd w:val="clear" w:color="auto" w:fill="FFFFFF"/>
            <w:vAlign w:val="center"/>
          </w:tcPr>
          <w:p w14:paraId="282F129B" w14:textId="77777777" w:rsidR="008D4EA6" w:rsidRPr="00787196" w:rsidRDefault="008D4EA6" w:rsidP="008D4EA6">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 w:val="19"/>
                <w:szCs w:val="19"/>
              </w:rPr>
              <w:t>Education</w:t>
            </w:r>
          </w:p>
        </w:tc>
        <w:tc>
          <w:tcPr>
            <w:tcW w:w="2574" w:type="dxa"/>
            <w:shd w:val="clear" w:color="auto" w:fill="FFFFFF"/>
            <w:vAlign w:val="center"/>
          </w:tcPr>
          <w:p w14:paraId="30E985DF"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09C19362"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6E9D27E9" w14:textId="77777777" w:rsidTr="008D4EA6">
        <w:trPr>
          <w:trHeight w:val="262"/>
        </w:trPr>
        <w:tc>
          <w:tcPr>
            <w:tcW w:w="3523" w:type="dxa"/>
            <w:shd w:val="clear" w:color="auto" w:fill="D9D9D9"/>
            <w:vAlign w:val="center"/>
          </w:tcPr>
          <w:p w14:paraId="430780A5"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High school and above</w:t>
            </w:r>
          </w:p>
        </w:tc>
        <w:tc>
          <w:tcPr>
            <w:tcW w:w="2574" w:type="dxa"/>
            <w:vMerge w:val="restart"/>
            <w:shd w:val="clear" w:color="auto" w:fill="D9D9D9"/>
            <w:vAlign w:val="center"/>
          </w:tcPr>
          <w:p w14:paraId="11DF222B"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1.390</w:t>
            </w:r>
          </w:p>
        </w:tc>
        <w:tc>
          <w:tcPr>
            <w:tcW w:w="2032" w:type="dxa"/>
            <w:tcBorders>
              <w:left w:val="nil"/>
              <w:right w:val="nil"/>
            </w:tcBorders>
            <w:shd w:val="clear" w:color="auto" w:fill="D9D9D9"/>
            <w:vAlign w:val="center"/>
          </w:tcPr>
          <w:p w14:paraId="382E9880"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2.62 (1.44)</w:t>
            </w:r>
          </w:p>
        </w:tc>
      </w:tr>
      <w:tr w:rsidR="008D4EA6" w:rsidRPr="00787196" w14:paraId="2126946F" w14:textId="77777777" w:rsidTr="008D4EA6">
        <w:trPr>
          <w:trHeight w:val="262"/>
        </w:trPr>
        <w:tc>
          <w:tcPr>
            <w:tcW w:w="3523" w:type="dxa"/>
            <w:shd w:val="clear" w:color="auto" w:fill="D9D9D9"/>
            <w:vAlign w:val="center"/>
          </w:tcPr>
          <w:p w14:paraId="1E110571"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School dropout/ Illiterate</w:t>
            </w:r>
          </w:p>
        </w:tc>
        <w:tc>
          <w:tcPr>
            <w:tcW w:w="2574" w:type="dxa"/>
            <w:vMerge/>
            <w:shd w:val="clear" w:color="auto" w:fill="D9D9D9"/>
            <w:vAlign w:val="center"/>
          </w:tcPr>
          <w:p w14:paraId="0E0A73D4"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D9D9D9"/>
            <w:vAlign w:val="center"/>
          </w:tcPr>
          <w:p w14:paraId="420A5333"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2.34 (1.32)</w:t>
            </w:r>
          </w:p>
        </w:tc>
      </w:tr>
      <w:tr w:rsidR="008D4EA6" w:rsidRPr="00787196" w14:paraId="0E2C010D" w14:textId="77777777" w:rsidTr="008D4EA6">
        <w:trPr>
          <w:trHeight w:val="262"/>
        </w:trPr>
        <w:tc>
          <w:tcPr>
            <w:tcW w:w="3523" w:type="dxa"/>
            <w:shd w:val="clear" w:color="auto" w:fill="FFFFFF"/>
            <w:vAlign w:val="center"/>
          </w:tcPr>
          <w:p w14:paraId="6019360C" w14:textId="77777777" w:rsidR="008D4EA6" w:rsidRPr="00787196" w:rsidRDefault="008D4EA6" w:rsidP="008D4EA6">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 w:val="19"/>
                <w:szCs w:val="19"/>
              </w:rPr>
              <w:t>Income – rupees</w:t>
            </w:r>
          </w:p>
        </w:tc>
        <w:tc>
          <w:tcPr>
            <w:tcW w:w="2574" w:type="dxa"/>
            <w:shd w:val="clear" w:color="auto" w:fill="FFFFFF"/>
            <w:vAlign w:val="center"/>
          </w:tcPr>
          <w:p w14:paraId="423B4E64"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783B189C"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43D78683" w14:textId="77777777" w:rsidTr="008D4EA6">
        <w:trPr>
          <w:trHeight w:val="262"/>
        </w:trPr>
        <w:tc>
          <w:tcPr>
            <w:tcW w:w="3523" w:type="dxa"/>
            <w:shd w:val="clear" w:color="auto" w:fill="FFFFFF"/>
            <w:vAlign w:val="center"/>
          </w:tcPr>
          <w:p w14:paraId="4931043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 4556 and above</w:t>
            </w:r>
          </w:p>
        </w:tc>
        <w:tc>
          <w:tcPr>
            <w:tcW w:w="2574" w:type="dxa"/>
            <w:vMerge w:val="restart"/>
            <w:shd w:val="clear" w:color="auto" w:fill="FFFFFF"/>
            <w:vAlign w:val="center"/>
          </w:tcPr>
          <w:p w14:paraId="787CCB63"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0.723</w:t>
            </w:r>
          </w:p>
        </w:tc>
        <w:tc>
          <w:tcPr>
            <w:tcW w:w="2032" w:type="dxa"/>
            <w:tcBorders>
              <w:left w:val="nil"/>
              <w:right w:val="nil"/>
            </w:tcBorders>
            <w:shd w:val="clear" w:color="auto" w:fill="FFFFFF"/>
            <w:vAlign w:val="center"/>
          </w:tcPr>
          <w:p w14:paraId="66938162"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2.52 (1.44)</w:t>
            </w:r>
          </w:p>
        </w:tc>
      </w:tr>
      <w:tr w:rsidR="008D4EA6" w:rsidRPr="00787196" w14:paraId="60EE79E1" w14:textId="77777777" w:rsidTr="008D4EA6">
        <w:trPr>
          <w:trHeight w:val="262"/>
        </w:trPr>
        <w:tc>
          <w:tcPr>
            <w:tcW w:w="3523" w:type="dxa"/>
            <w:shd w:val="clear" w:color="auto" w:fill="FFFFFF"/>
            <w:vAlign w:val="center"/>
          </w:tcPr>
          <w:p w14:paraId="3E50175F"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Upto ₹4555 per month</w:t>
            </w:r>
          </w:p>
        </w:tc>
        <w:tc>
          <w:tcPr>
            <w:tcW w:w="2574" w:type="dxa"/>
            <w:vMerge/>
            <w:shd w:val="clear" w:color="auto" w:fill="FFFFFF"/>
            <w:vAlign w:val="center"/>
          </w:tcPr>
          <w:p w14:paraId="219D71CD"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0239A98"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2.37 (1.31)</w:t>
            </w:r>
          </w:p>
        </w:tc>
      </w:tr>
      <w:tr w:rsidR="008D4EA6" w:rsidRPr="00787196" w14:paraId="5E8ABAF6" w14:textId="77777777" w:rsidTr="008D4EA6">
        <w:trPr>
          <w:trHeight w:val="262"/>
        </w:trPr>
        <w:tc>
          <w:tcPr>
            <w:tcW w:w="3523" w:type="dxa"/>
            <w:shd w:val="clear" w:color="auto" w:fill="FFFFFF"/>
            <w:vAlign w:val="center"/>
          </w:tcPr>
          <w:p w14:paraId="37C6A393" w14:textId="77777777" w:rsidR="008D4EA6" w:rsidRPr="00787196" w:rsidRDefault="008D4EA6" w:rsidP="008D4EA6">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 w:val="19"/>
                <w:szCs w:val="19"/>
              </w:rPr>
              <w:t>Occupation</w:t>
            </w:r>
          </w:p>
        </w:tc>
        <w:tc>
          <w:tcPr>
            <w:tcW w:w="2574" w:type="dxa"/>
            <w:shd w:val="clear" w:color="auto" w:fill="FFFFFF"/>
            <w:vAlign w:val="center"/>
          </w:tcPr>
          <w:p w14:paraId="5A7E1B63"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32ED8EC4"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27734CCA" w14:textId="77777777" w:rsidTr="008D4EA6">
        <w:trPr>
          <w:trHeight w:val="262"/>
        </w:trPr>
        <w:tc>
          <w:tcPr>
            <w:tcW w:w="3523" w:type="dxa"/>
            <w:shd w:val="clear" w:color="auto" w:fill="D9D9D9"/>
            <w:vAlign w:val="center"/>
          </w:tcPr>
          <w:p w14:paraId="0B334D55"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Employed</w:t>
            </w:r>
          </w:p>
        </w:tc>
        <w:tc>
          <w:tcPr>
            <w:tcW w:w="2574" w:type="dxa"/>
            <w:vMerge w:val="restart"/>
            <w:shd w:val="clear" w:color="auto" w:fill="D9D9D9"/>
            <w:vAlign w:val="center"/>
          </w:tcPr>
          <w:p w14:paraId="4A2A60D0"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vertAlign w:val="superscript"/>
              </w:rPr>
            </w:pPr>
            <w:r w:rsidRPr="00787196">
              <w:rPr>
                <w:rFonts w:cs="Arial"/>
                <w:color w:val="000000"/>
                <w:sz w:val="19"/>
                <w:szCs w:val="19"/>
              </w:rPr>
              <w:t xml:space="preserve"> 2.857*</w:t>
            </w:r>
          </w:p>
        </w:tc>
        <w:tc>
          <w:tcPr>
            <w:tcW w:w="2032" w:type="dxa"/>
            <w:tcBorders>
              <w:left w:val="nil"/>
              <w:right w:val="nil"/>
            </w:tcBorders>
            <w:shd w:val="clear" w:color="auto" w:fill="D9D9D9"/>
            <w:vAlign w:val="center"/>
          </w:tcPr>
          <w:p w14:paraId="56D0E879"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2.78 (1.42)*</w:t>
            </w:r>
          </w:p>
        </w:tc>
      </w:tr>
      <w:tr w:rsidR="008D4EA6" w:rsidRPr="00787196" w14:paraId="509AB086" w14:textId="77777777" w:rsidTr="008D4EA6">
        <w:trPr>
          <w:trHeight w:val="262"/>
        </w:trPr>
        <w:tc>
          <w:tcPr>
            <w:tcW w:w="3523" w:type="dxa"/>
            <w:shd w:val="clear" w:color="auto" w:fill="D9D9D9"/>
            <w:vAlign w:val="center"/>
          </w:tcPr>
          <w:p w14:paraId="0D55AB44"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Unemployed/ Retired</w:t>
            </w:r>
          </w:p>
        </w:tc>
        <w:tc>
          <w:tcPr>
            <w:tcW w:w="2574" w:type="dxa"/>
            <w:vMerge/>
            <w:shd w:val="clear" w:color="auto" w:fill="D9D9D9"/>
            <w:vAlign w:val="center"/>
          </w:tcPr>
          <w:p w14:paraId="2A9806ED"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D9D9D9"/>
            <w:vAlign w:val="center"/>
          </w:tcPr>
          <w:p w14:paraId="254E86EB"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vertAlign w:val="superscript"/>
              </w:rPr>
            </w:pPr>
            <w:r w:rsidRPr="00787196">
              <w:rPr>
                <w:rFonts w:cs="Arial"/>
                <w:color w:val="000000"/>
                <w:sz w:val="19"/>
                <w:szCs w:val="19"/>
              </w:rPr>
              <w:t>2.21 (1.30)*</w:t>
            </w:r>
          </w:p>
        </w:tc>
      </w:tr>
      <w:tr w:rsidR="008D4EA6" w:rsidRPr="00787196" w14:paraId="30343F76" w14:textId="77777777" w:rsidTr="008D4EA6">
        <w:trPr>
          <w:trHeight w:val="262"/>
        </w:trPr>
        <w:tc>
          <w:tcPr>
            <w:tcW w:w="3523" w:type="dxa"/>
            <w:shd w:val="clear" w:color="auto" w:fill="FFFFFF"/>
            <w:vAlign w:val="center"/>
          </w:tcPr>
          <w:p w14:paraId="5972E5A3" w14:textId="77777777" w:rsidR="008D4EA6" w:rsidRPr="00787196" w:rsidRDefault="008D4EA6" w:rsidP="008D4EA6">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 w:val="19"/>
                <w:szCs w:val="19"/>
              </w:rPr>
              <w:t>Caste</w:t>
            </w:r>
          </w:p>
        </w:tc>
        <w:tc>
          <w:tcPr>
            <w:tcW w:w="2574" w:type="dxa"/>
            <w:shd w:val="clear" w:color="auto" w:fill="FFFFFF"/>
            <w:vAlign w:val="center"/>
          </w:tcPr>
          <w:p w14:paraId="27E079B4"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p>
        </w:tc>
        <w:tc>
          <w:tcPr>
            <w:tcW w:w="2032" w:type="dxa"/>
            <w:tcBorders>
              <w:left w:val="nil"/>
              <w:right w:val="nil"/>
            </w:tcBorders>
            <w:shd w:val="clear" w:color="auto" w:fill="FFFFFF"/>
            <w:vAlign w:val="center"/>
          </w:tcPr>
          <w:p w14:paraId="69A9BFE9"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r>
      <w:tr w:rsidR="008D4EA6" w:rsidRPr="00787196" w14:paraId="0D58A504" w14:textId="77777777" w:rsidTr="008D4EA6">
        <w:trPr>
          <w:trHeight w:val="262"/>
        </w:trPr>
        <w:tc>
          <w:tcPr>
            <w:tcW w:w="3523" w:type="dxa"/>
            <w:shd w:val="clear" w:color="auto" w:fill="FFFFFF"/>
            <w:vAlign w:val="center"/>
          </w:tcPr>
          <w:p w14:paraId="5F736855"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Open category (no social benefits)</w:t>
            </w:r>
          </w:p>
        </w:tc>
        <w:tc>
          <w:tcPr>
            <w:tcW w:w="2574" w:type="dxa"/>
            <w:vMerge w:val="restart"/>
            <w:shd w:val="clear" w:color="auto" w:fill="FFFFFF"/>
            <w:vAlign w:val="center"/>
          </w:tcPr>
          <w:p w14:paraId="6976763E" w14:textId="77777777" w:rsidR="008D4EA6" w:rsidRPr="00787196" w:rsidRDefault="008D4EA6" w:rsidP="008D4EA6">
            <w:pPr>
              <w:autoSpaceDE w:val="0"/>
              <w:autoSpaceDN w:val="0"/>
              <w:adjustRightInd w:val="0"/>
              <w:spacing w:before="0" w:after="0" w:line="240" w:lineRule="auto"/>
              <w:ind w:firstLine="905"/>
              <w:jc w:val="left"/>
              <w:rPr>
                <w:rFonts w:cs="Arial"/>
                <w:color w:val="000000"/>
                <w:sz w:val="19"/>
                <w:szCs w:val="19"/>
              </w:rPr>
            </w:pPr>
            <w:r w:rsidRPr="00787196">
              <w:rPr>
                <w:rFonts w:cs="Arial"/>
                <w:color w:val="000000"/>
                <w:sz w:val="19"/>
                <w:szCs w:val="19"/>
              </w:rPr>
              <w:t xml:space="preserve"> 0.592</w:t>
            </w:r>
          </w:p>
        </w:tc>
        <w:tc>
          <w:tcPr>
            <w:tcW w:w="2032" w:type="dxa"/>
            <w:tcBorders>
              <w:left w:val="nil"/>
              <w:right w:val="nil"/>
            </w:tcBorders>
            <w:shd w:val="clear" w:color="auto" w:fill="FFFFFF"/>
            <w:vAlign w:val="center"/>
          </w:tcPr>
          <w:p w14:paraId="00A321E9"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2.54 (1.38)</w:t>
            </w:r>
          </w:p>
        </w:tc>
      </w:tr>
      <w:tr w:rsidR="008D4EA6" w:rsidRPr="00787196" w14:paraId="119BF6F9" w14:textId="77777777" w:rsidTr="008D4EA6">
        <w:trPr>
          <w:trHeight w:val="262"/>
        </w:trPr>
        <w:tc>
          <w:tcPr>
            <w:tcW w:w="3523" w:type="dxa"/>
            <w:shd w:val="clear" w:color="auto" w:fill="FFFFFF"/>
            <w:vAlign w:val="center"/>
          </w:tcPr>
          <w:p w14:paraId="1CBF34DE" w14:textId="77777777" w:rsidR="008D4EA6" w:rsidRPr="00787196" w:rsidRDefault="008D4EA6" w:rsidP="008D4EA6">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Socially oppressed castes (social benefits)</w:t>
            </w:r>
          </w:p>
        </w:tc>
        <w:tc>
          <w:tcPr>
            <w:tcW w:w="2574" w:type="dxa"/>
            <w:vMerge/>
            <w:shd w:val="clear" w:color="auto" w:fill="FFFFFF"/>
            <w:vAlign w:val="center"/>
          </w:tcPr>
          <w:p w14:paraId="6E5BE048"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p>
        </w:tc>
        <w:tc>
          <w:tcPr>
            <w:tcW w:w="2032" w:type="dxa"/>
            <w:tcBorders>
              <w:left w:val="nil"/>
              <w:right w:val="nil"/>
            </w:tcBorders>
            <w:shd w:val="clear" w:color="auto" w:fill="FFFFFF"/>
            <w:vAlign w:val="center"/>
          </w:tcPr>
          <w:p w14:paraId="55B8121E" w14:textId="77777777" w:rsidR="008D4EA6" w:rsidRPr="00787196" w:rsidRDefault="008D4EA6" w:rsidP="008D4EA6">
            <w:pPr>
              <w:autoSpaceDE w:val="0"/>
              <w:autoSpaceDN w:val="0"/>
              <w:adjustRightInd w:val="0"/>
              <w:spacing w:before="0" w:after="0" w:line="240" w:lineRule="auto"/>
              <w:jc w:val="center"/>
              <w:rPr>
                <w:rFonts w:cs="Arial"/>
                <w:color w:val="000000"/>
                <w:sz w:val="19"/>
                <w:szCs w:val="19"/>
              </w:rPr>
            </w:pPr>
            <w:r w:rsidRPr="00787196">
              <w:rPr>
                <w:rFonts w:cs="Arial"/>
                <w:color w:val="000000"/>
                <w:sz w:val="19"/>
                <w:szCs w:val="19"/>
              </w:rPr>
              <w:t>2.41 (1.37)</w:t>
            </w:r>
          </w:p>
        </w:tc>
      </w:tr>
    </w:tbl>
    <w:p w14:paraId="7CEE7262" w14:textId="7D5B86E6" w:rsidR="00EF2C98" w:rsidRPr="00787196" w:rsidRDefault="002B4A58" w:rsidP="00755F46">
      <w:pPr>
        <w:spacing w:before="0" w:after="0"/>
        <w:rPr>
          <w:i/>
          <w:iCs/>
          <w:sz w:val="22"/>
          <w:szCs w:val="20"/>
        </w:rPr>
      </w:pPr>
      <w:r w:rsidRPr="00787196">
        <w:rPr>
          <w:i/>
          <w:iCs/>
          <w:sz w:val="18"/>
          <w:szCs w:val="16"/>
          <w:vertAlign w:val="superscript"/>
        </w:rPr>
        <w:t>*</w:t>
      </w:r>
      <w:r w:rsidR="0022384C" w:rsidRPr="00787196">
        <w:rPr>
          <w:i/>
          <w:iCs/>
          <w:sz w:val="18"/>
          <w:szCs w:val="16"/>
        </w:rPr>
        <w:t>p value significant at &lt;0.05 (Independent t-test)</w:t>
      </w:r>
      <w:r w:rsidR="00174352" w:rsidRPr="00787196">
        <w:rPr>
          <w:i/>
          <w:iCs/>
          <w:sz w:val="22"/>
          <w:szCs w:val="20"/>
        </w:rPr>
        <w:br w:type="page"/>
      </w:r>
    </w:p>
    <w:p w14:paraId="369C0127" w14:textId="1E600541" w:rsidR="006141F9" w:rsidRPr="00787196" w:rsidRDefault="007959C4" w:rsidP="008D4EA6">
      <w:pPr>
        <w:pStyle w:val="Heading3"/>
      </w:pPr>
      <w:bookmarkStart w:id="300" w:name="_Toc488655673"/>
      <w:r w:rsidRPr="00787196">
        <w:lastRenderedPageBreak/>
        <w:t xml:space="preserve">Associations </w:t>
      </w:r>
      <w:r w:rsidR="006141F9" w:rsidRPr="00787196">
        <w:t xml:space="preserve">between </w:t>
      </w:r>
      <w:r w:rsidR="00596CDC" w:rsidRPr="00787196">
        <w:t xml:space="preserve">baseline </w:t>
      </w:r>
      <w:r w:rsidR="006141F9" w:rsidRPr="00787196">
        <w:t xml:space="preserve">clinical </w:t>
      </w:r>
      <w:r w:rsidRPr="00787196">
        <w:t>factors</w:t>
      </w:r>
      <w:r w:rsidR="006141F9" w:rsidRPr="00787196">
        <w:t xml:space="preserve">, coping strategies, individual </w:t>
      </w:r>
      <w:r w:rsidRPr="00787196">
        <w:t>variables</w:t>
      </w:r>
      <w:r w:rsidR="006141F9" w:rsidRPr="00787196">
        <w:t>, environmental</w:t>
      </w:r>
      <w:r w:rsidRPr="00787196">
        <w:t xml:space="preserve"> variables</w:t>
      </w:r>
      <w:r w:rsidR="006141F9" w:rsidRPr="00787196">
        <w:t xml:space="preserve"> with coping strategies at follow-up</w:t>
      </w:r>
      <w:r w:rsidR="008D4EA6" w:rsidRPr="00787196">
        <w:t xml:space="preserve"> (T2)</w:t>
      </w:r>
      <w:bookmarkEnd w:id="300"/>
    </w:p>
    <w:p w14:paraId="6CE992EC" w14:textId="770013D6" w:rsidR="00596CDC" w:rsidRPr="00787196" w:rsidRDefault="00596CDC" w:rsidP="00596CDC">
      <w:pPr>
        <w:rPr>
          <w:lang w:bidi="hi-IN"/>
        </w:rPr>
      </w:pPr>
      <w:r w:rsidRPr="00787196">
        <w:t>In the bivariate analyses between clinical status and the coping strategies at follow-up is described in Table 5.</w:t>
      </w:r>
      <w:r w:rsidR="001468B4" w:rsidRPr="00787196">
        <w:t>2</w:t>
      </w:r>
      <w:r w:rsidR="006358D2" w:rsidRPr="00787196">
        <w:t>4</w:t>
      </w:r>
      <w:r w:rsidR="0050671A" w:rsidRPr="00787196">
        <w:t>. In</w:t>
      </w:r>
      <w:r w:rsidRPr="00787196">
        <w:t xml:space="preserve">dividuals who </w:t>
      </w:r>
      <w:r w:rsidR="0050671A" w:rsidRPr="00787196">
        <w:t>likely</w:t>
      </w:r>
      <w:r w:rsidR="00EA3F5F" w:rsidRPr="00787196">
        <w:t xml:space="preserve"> </w:t>
      </w:r>
      <w:r w:rsidR="0050671A" w:rsidRPr="00787196">
        <w:t>w</w:t>
      </w:r>
      <w:r w:rsidR="00EA3F5F" w:rsidRPr="00787196">
        <w:t>ore dentures in</w:t>
      </w:r>
      <w:r w:rsidR="0050671A" w:rsidRPr="00787196">
        <w:t xml:space="preserve"> the past, </w:t>
      </w:r>
      <w:r w:rsidR="00EA3F5F" w:rsidRPr="00787196">
        <w:t xml:space="preserve">who </w:t>
      </w:r>
      <w:r w:rsidRPr="00787196">
        <w:t xml:space="preserve">required </w:t>
      </w:r>
      <w:r w:rsidR="00EA3F5F" w:rsidRPr="00787196">
        <w:t>partial</w:t>
      </w:r>
      <w:r w:rsidRPr="00787196">
        <w:t xml:space="preserve"> dentures in the upper arch used lesser negative/adequate/avoidance coping strategies at baseline. Individuals with more teeth (functional dentition and above)</w:t>
      </w:r>
      <w:r w:rsidR="00EA3F5F" w:rsidRPr="00787196">
        <w:t xml:space="preserve"> and occluding pairs</w:t>
      </w:r>
      <w:r w:rsidRPr="00787196">
        <w:t xml:space="preserve"> also used less inadequate/negative coping strategies. </w:t>
      </w:r>
      <w:r w:rsidR="00EA3F5F" w:rsidRPr="00787196">
        <w:t xml:space="preserve">Individuals </w:t>
      </w:r>
      <w:r w:rsidR="00E10C49" w:rsidRPr="00787196">
        <w:t xml:space="preserve">who required partial dentures </w:t>
      </w:r>
      <w:r w:rsidR="00EA3F5F" w:rsidRPr="00787196">
        <w:t>with more occluding pairs used more positive coping strategies.</w:t>
      </w:r>
    </w:p>
    <w:p w14:paraId="07C6077D" w14:textId="659A8B0E" w:rsidR="00596CDC" w:rsidRPr="00787196" w:rsidRDefault="006358D2" w:rsidP="008D4EA6">
      <w:pPr>
        <w:pStyle w:val="Caption"/>
        <w:rPr>
          <w:b/>
          <w:bCs/>
          <w:i w:val="0"/>
          <w:iCs w:val="0"/>
          <w:color w:val="auto"/>
          <w:sz w:val="20"/>
          <w:szCs w:val="20"/>
        </w:rPr>
      </w:pPr>
      <w:bookmarkStart w:id="301" w:name="_Toc488655553"/>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24</w:t>
      </w:r>
      <w:r w:rsidR="000332A1" w:rsidRPr="00787196">
        <w:rPr>
          <w:b/>
          <w:bCs/>
          <w:i w:val="0"/>
          <w:iCs w:val="0"/>
          <w:color w:val="auto"/>
          <w:sz w:val="20"/>
          <w:szCs w:val="20"/>
        </w:rPr>
        <w:fldChar w:fldCharType="end"/>
      </w:r>
      <w:r w:rsidRPr="00787196">
        <w:rPr>
          <w:b/>
          <w:bCs/>
          <w:i w:val="0"/>
          <w:iCs w:val="0"/>
          <w:color w:val="auto"/>
          <w:sz w:val="20"/>
          <w:szCs w:val="20"/>
        </w:rPr>
        <w:t xml:space="preserve">. </w:t>
      </w:r>
      <w:r w:rsidR="008D4EA6" w:rsidRPr="00787196">
        <w:rPr>
          <w:b/>
          <w:bCs/>
          <w:i w:val="0"/>
          <w:iCs w:val="0"/>
          <w:color w:val="auto"/>
          <w:sz w:val="20"/>
          <w:szCs w:val="20"/>
        </w:rPr>
        <w:t>Bivariate a</w:t>
      </w:r>
      <w:r w:rsidRPr="00787196">
        <w:rPr>
          <w:b/>
          <w:bCs/>
          <w:i w:val="0"/>
          <w:iCs w:val="0"/>
          <w:color w:val="auto"/>
          <w:sz w:val="20"/>
          <w:szCs w:val="20"/>
        </w:rPr>
        <w:t>ssociation</w:t>
      </w:r>
      <w:r w:rsidR="008D4EA6" w:rsidRPr="00787196">
        <w:rPr>
          <w:b/>
          <w:bCs/>
          <w:i w:val="0"/>
          <w:iCs w:val="0"/>
          <w:color w:val="auto"/>
          <w:sz w:val="20"/>
          <w:szCs w:val="20"/>
        </w:rPr>
        <w:t>s</w:t>
      </w:r>
      <w:r w:rsidRPr="00787196">
        <w:rPr>
          <w:b/>
          <w:bCs/>
          <w:i w:val="0"/>
          <w:iCs w:val="0"/>
          <w:color w:val="auto"/>
          <w:sz w:val="20"/>
          <w:szCs w:val="20"/>
        </w:rPr>
        <w:t xml:space="preserve"> between clinical status</w:t>
      </w:r>
      <w:r w:rsidR="002850E3" w:rsidRPr="00787196">
        <w:rPr>
          <w:b/>
          <w:bCs/>
          <w:i w:val="0"/>
          <w:iCs w:val="0"/>
          <w:color w:val="auto"/>
          <w:sz w:val="20"/>
          <w:szCs w:val="20"/>
        </w:rPr>
        <w:t xml:space="preserve"> at baseline</w:t>
      </w:r>
      <w:r w:rsidRPr="00787196">
        <w:rPr>
          <w:b/>
          <w:bCs/>
          <w:i w:val="0"/>
          <w:iCs w:val="0"/>
          <w:color w:val="auto"/>
          <w:sz w:val="20"/>
          <w:szCs w:val="20"/>
        </w:rPr>
        <w:t xml:space="preserve"> </w:t>
      </w:r>
      <w:r w:rsidR="00EA67DB" w:rsidRPr="00787196">
        <w:rPr>
          <w:b/>
          <w:bCs/>
          <w:i w:val="0"/>
          <w:iCs w:val="0"/>
          <w:color w:val="auto"/>
          <w:sz w:val="20"/>
          <w:szCs w:val="20"/>
        </w:rPr>
        <w:t xml:space="preserve">(T1) </w:t>
      </w:r>
      <w:r w:rsidRPr="00787196">
        <w:rPr>
          <w:b/>
          <w:bCs/>
          <w:i w:val="0"/>
          <w:iCs w:val="0"/>
          <w:color w:val="auto"/>
          <w:sz w:val="20"/>
          <w:szCs w:val="20"/>
        </w:rPr>
        <w:t xml:space="preserve">and </w:t>
      </w:r>
      <w:r w:rsidR="008D4EA6" w:rsidRPr="00787196">
        <w:rPr>
          <w:b/>
          <w:bCs/>
          <w:i w:val="0"/>
          <w:iCs w:val="0"/>
          <w:color w:val="auto"/>
          <w:sz w:val="20"/>
          <w:szCs w:val="20"/>
        </w:rPr>
        <w:t>Brief COPE</w:t>
      </w:r>
      <w:r w:rsidR="002850E3" w:rsidRPr="00787196">
        <w:rPr>
          <w:b/>
          <w:bCs/>
          <w:i w:val="0"/>
          <w:iCs w:val="0"/>
          <w:color w:val="auto"/>
          <w:sz w:val="20"/>
          <w:szCs w:val="20"/>
        </w:rPr>
        <w:t xml:space="preserve"> </w:t>
      </w:r>
      <w:r w:rsidRPr="00787196">
        <w:rPr>
          <w:b/>
          <w:bCs/>
          <w:i w:val="0"/>
          <w:iCs w:val="0"/>
          <w:color w:val="auto"/>
          <w:sz w:val="20"/>
          <w:szCs w:val="20"/>
        </w:rPr>
        <w:t xml:space="preserve">factors at </w:t>
      </w:r>
      <w:r w:rsidR="001468B4" w:rsidRPr="00787196">
        <w:rPr>
          <w:b/>
          <w:bCs/>
          <w:i w:val="0"/>
          <w:iCs w:val="0"/>
          <w:color w:val="auto"/>
          <w:sz w:val="20"/>
          <w:szCs w:val="20"/>
        </w:rPr>
        <w:t>follow-up</w:t>
      </w:r>
      <w:r w:rsidR="00EA67DB" w:rsidRPr="00787196">
        <w:rPr>
          <w:b/>
          <w:bCs/>
          <w:i w:val="0"/>
          <w:iCs w:val="0"/>
          <w:color w:val="auto"/>
          <w:sz w:val="20"/>
          <w:szCs w:val="20"/>
        </w:rPr>
        <w:t xml:space="preserve"> (T2)</w:t>
      </w:r>
      <w:bookmarkEnd w:id="301"/>
    </w:p>
    <w:tbl>
      <w:tblPr>
        <w:tblpPr w:leftFromText="180" w:rightFromText="180" w:vertAnchor="text" w:horzAnchor="margin" w:tblpY="249"/>
        <w:tblW w:w="8443" w:type="dxa"/>
        <w:tblBorders>
          <w:top w:val="single" w:sz="8" w:space="0" w:color="000000"/>
          <w:bottom w:val="single" w:sz="8" w:space="0" w:color="000000"/>
        </w:tblBorders>
        <w:tblLayout w:type="fixed"/>
        <w:tblLook w:val="04A0" w:firstRow="1" w:lastRow="0" w:firstColumn="1" w:lastColumn="0" w:noHBand="0" w:noVBand="1"/>
      </w:tblPr>
      <w:tblGrid>
        <w:gridCol w:w="1857"/>
        <w:gridCol w:w="735"/>
        <w:gridCol w:w="704"/>
        <w:gridCol w:w="815"/>
        <w:gridCol w:w="851"/>
        <w:gridCol w:w="850"/>
        <w:gridCol w:w="855"/>
        <w:gridCol w:w="831"/>
        <w:gridCol w:w="945"/>
      </w:tblGrid>
      <w:tr w:rsidR="00D53EBC" w:rsidRPr="00787196" w14:paraId="084CC986" w14:textId="77777777" w:rsidTr="00A5430A">
        <w:trPr>
          <w:trHeight w:val="627"/>
        </w:trPr>
        <w:tc>
          <w:tcPr>
            <w:tcW w:w="1857" w:type="dxa"/>
            <w:vMerge w:val="restart"/>
            <w:tcBorders>
              <w:top w:val="single" w:sz="8" w:space="0" w:color="000000"/>
              <w:right w:val="single" w:sz="8" w:space="0" w:color="000000"/>
            </w:tcBorders>
            <w:shd w:val="clear" w:color="auto" w:fill="FFFFFF"/>
            <w:vAlign w:val="center"/>
          </w:tcPr>
          <w:p w14:paraId="56A446C1" w14:textId="77777777" w:rsidR="006358D2" w:rsidRPr="00787196" w:rsidRDefault="006358D2"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Factors</w:t>
            </w:r>
          </w:p>
          <w:p w14:paraId="773B30E1" w14:textId="71C6ED82" w:rsidR="006358D2" w:rsidRPr="00787196" w:rsidRDefault="006358D2" w:rsidP="008D4EA6">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w:t>
            </w:r>
            <w:r w:rsidR="008D4EA6" w:rsidRPr="00787196">
              <w:rPr>
                <w:rFonts w:cs="Arial"/>
                <w:color w:val="000000"/>
                <w:sz w:val="20"/>
                <w:szCs w:val="20"/>
              </w:rPr>
              <w:t>Brief COPE</w:t>
            </w:r>
            <w:r w:rsidRPr="00787196">
              <w:rPr>
                <w:rFonts w:cs="Arial"/>
                <w:color w:val="000000"/>
                <w:sz w:val="20"/>
                <w:szCs w:val="20"/>
              </w:rPr>
              <w:t>)</w:t>
            </w:r>
          </w:p>
          <w:p w14:paraId="34CF0E9E" w14:textId="37913F88" w:rsidR="006358D2" w:rsidRPr="00787196" w:rsidRDefault="008D4EA6" w:rsidP="00A5430A">
            <w:pPr>
              <w:autoSpaceDE w:val="0"/>
              <w:autoSpaceDN w:val="0"/>
              <w:adjustRightInd w:val="0"/>
              <w:spacing w:before="0" w:after="0" w:line="240" w:lineRule="auto"/>
              <w:jc w:val="left"/>
              <w:rPr>
                <w:rFonts w:cs="Arial"/>
                <w:b/>
                <w:bCs/>
                <w:color w:val="000000"/>
                <w:sz w:val="20"/>
                <w:szCs w:val="20"/>
              </w:rPr>
            </w:pPr>
            <w:r w:rsidRPr="00787196">
              <w:rPr>
                <w:rFonts w:cs="Arial"/>
                <w:color w:val="000000"/>
                <w:sz w:val="20"/>
                <w:szCs w:val="20"/>
              </w:rPr>
              <w:t xml:space="preserve">At </w:t>
            </w:r>
            <w:r w:rsidR="00E10C49" w:rsidRPr="00787196">
              <w:rPr>
                <w:rFonts w:cs="Arial"/>
                <w:color w:val="000000"/>
                <w:sz w:val="20"/>
                <w:szCs w:val="20"/>
              </w:rPr>
              <w:t>follow-up</w:t>
            </w:r>
            <w:r w:rsidRPr="00787196">
              <w:rPr>
                <w:rFonts w:cs="Arial"/>
                <w:color w:val="000000"/>
                <w:sz w:val="20"/>
                <w:szCs w:val="20"/>
              </w:rPr>
              <w:t xml:space="preserve"> (T2</w:t>
            </w:r>
            <w:r w:rsidR="00E10C49" w:rsidRPr="00787196">
              <w:rPr>
                <w:rFonts w:cs="Arial"/>
                <w:color w:val="000000"/>
                <w:sz w:val="20"/>
                <w:szCs w:val="20"/>
              </w:rPr>
              <w:t>)</w:t>
            </w:r>
          </w:p>
        </w:tc>
        <w:tc>
          <w:tcPr>
            <w:tcW w:w="143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6708603"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Prosthetic status</w:t>
            </w:r>
          </w:p>
        </w:tc>
        <w:tc>
          <w:tcPr>
            <w:tcW w:w="166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5D1E6ED"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Prosthetic Rx need</w:t>
            </w:r>
          </w:p>
        </w:tc>
        <w:tc>
          <w:tcPr>
            <w:tcW w:w="850" w:type="dxa"/>
            <w:vMerge w:val="restart"/>
            <w:tcBorders>
              <w:top w:val="single" w:sz="8" w:space="0" w:color="000000"/>
              <w:left w:val="single" w:sz="8" w:space="0" w:color="000000"/>
              <w:right w:val="single" w:sz="8" w:space="0" w:color="000000"/>
            </w:tcBorders>
            <w:shd w:val="clear" w:color="auto" w:fill="FFFFFF"/>
            <w:vAlign w:val="center"/>
          </w:tcPr>
          <w:p w14:paraId="0094D0AB"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Teeth present</w:t>
            </w:r>
          </w:p>
        </w:tc>
        <w:tc>
          <w:tcPr>
            <w:tcW w:w="855" w:type="dxa"/>
            <w:vMerge w:val="restart"/>
            <w:tcBorders>
              <w:top w:val="single" w:sz="8" w:space="0" w:color="000000"/>
              <w:left w:val="single" w:sz="8" w:space="0" w:color="000000"/>
              <w:right w:val="single" w:sz="8" w:space="0" w:color="000000"/>
            </w:tcBorders>
            <w:shd w:val="clear" w:color="auto" w:fill="FFFFFF"/>
            <w:vAlign w:val="center"/>
          </w:tcPr>
          <w:p w14:paraId="6815D6EF" w14:textId="77777777" w:rsidR="006358D2" w:rsidRPr="00787196" w:rsidRDefault="006358D2" w:rsidP="00A5430A">
            <w:pPr>
              <w:autoSpaceDE w:val="0"/>
              <w:autoSpaceDN w:val="0"/>
              <w:adjustRightInd w:val="0"/>
              <w:spacing w:before="0" w:after="0" w:line="240" w:lineRule="auto"/>
              <w:jc w:val="center"/>
              <w:rPr>
                <w:rFonts w:cs="Arial"/>
                <w:color w:val="000000"/>
                <w:sz w:val="14"/>
                <w:szCs w:val="14"/>
              </w:rPr>
            </w:pPr>
            <w:r w:rsidRPr="00787196">
              <w:rPr>
                <w:rFonts w:cs="Arial"/>
                <w:color w:val="000000"/>
                <w:sz w:val="14"/>
                <w:szCs w:val="14"/>
              </w:rPr>
              <w:t>Occluding</w:t>
            </w:r>
          </w:p>
          <w:p w14:paraId="28E36C1D"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 xml:space="preserve"> pairs</w:t>
            </w:r>
          </w:p>
        </w:tc>
        <w:tc>
          <w:tcPr>
            <w:tcW w:w="831" w:type="dxa"/>
            <w:vMerge w:val="restart"/>
            <w:tcBorders>
              <w:top w:val="single" w:sz="8" w:space="0" w:color="000000"/>
              <w:left w:val="single" w:sz="8" w:space="0" w:color="000000"/>
              <w:right w:val="single" w:sz="8" w:space="0" w:color="000000"/>
            </w:tcBorders>
            <w:shd w:val="clear" w:color="auto" w:fill="FFFFFF"/>
            <w:vAlign w:val="center"/>
          </w:tcPr>
          <w:p w14:paraId="37B758F2"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Time since tooth loss</w:t>
            </w:r>
          </w:p>
        </w:tc>
        <w:tc>
          <w:tcPr>
            <w:tcW w:w="945" w:type="dxa"/>
            <w:vMerge w:val="restart"/>
            <w:tcBorders>
              <w:top w:val="single" w:sz="8" w:space="0" w:color="000000"/>
              <w:left w:val="single" w:sz="8" w:space="0" w:color="000000"/>
            </w:tcBorders>
            <w:shd w:val="clear" w:color="auto" w:fill="FFFFFF"/>
            <w:vAlign w:val="center"/>
          </w:tcPr>
          <w:p w14:paraId="0FDC0F8A"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Operator expertise</w:t>
            </w:r>
          </w:p>
        </w:tc>
      </w:tr>
      <w:tr w:rsidR="00D53EBC" w:rsidRPr="00787196" w14:paraId="5628CCA6" w14:textId="77777777" w:rsidTr="00A5430A">
        <w:trPr>
          <w:trHeight w:val="279"/>
        </w:trPr>
        <w:tc>
          <w:tcPr>
            <w:tcW w:w="1857" w:type="dxa"/>
            <w:vMerge/>
            <w:tcBorders>
              <w:bottom w:val="single" w:sz="8" w:space="0" w:color="000000"/>
              <w:right w:val="single" w:sz="8" w:space="0" w:color="000000"/>
            </w:tcBorders>
            <w:shd w:val="clear" w:color="auto" w:fill="FFFFFF"/>
            <w:vAlign w:val="center"/>
          </w:tcPr>
          <w:p w14:paraId="04DBC97D" w14:textId="77777777" w:rsidR="006358D2" w:rsidRPr="00787196" w:rsidRDefault="006358D2" w:rsidP="00A5430A">
            <w:pPr>
              <w:autoSpaceDE w:val="0"/>
              <w:autoSpaceDN w:val="0"/>
              <w:adjustRightInd w:val="0"/>
              <w:spacing w:before="0" w:after="0" w:line="240" w:lineRule="auto"/>
              <w:jc w:val="left"/>
              <w:rPr>
                <w:rFonts w:cs="Arial"/>
                <w:b/>
                <w:bCs/>
                <w:color w:val="000000"/>
                <w:sz w:val="20"/>
                <w:szCs w:val="20"/>
              </w:rPr>
            </w:pPr>
          </w:p>
        </w:tc>
        <w:tc>
          <w:tcPr>
            <w:tcW w:w="735" w:type="dxa"/>
            <w:tcBorders>
              <w:top w:val="single" w:sz="8" w:space="0" w:color="000000"/>
              <w:left w:val="single" w:sz="8" w:space="0" w:color="000000"/>
              <w:bottom w:val="single" w:sz="8" w:space="0" w:color="000000"/>
            </w:tcBorders>
            <w:shd w:val="clear" w:color="auto" w:fill="FFFFFF"/>
            <w:vAlign w:val="center"/>
          </w:tcPr>
          <w:p w14:paraId="7ECD6F89" w14:textId="77777777" w:rsidR="006358D2" w:rsidRPr="00787196" w:rsidRDefault="006358D2" w:rsidP="00A5430A">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Upper</w:t>
            </w:r>
          </w:p>
        </w:tc>
        <w:tc>
          <w:tcPr>
            <w:tcW w:w="7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3CE4A4" w14:textId="77777777" w:rsidR="006358D2" w:rsidRPr="00787196" w:rsidRDefault="006358D2" w:rsidP="00A5430A">
            <w:pPr>
              <w:autoSpaceDE w:val="0"/>
              <w:autoSpaceDN w:val="0"/>
              <w:adjustRightInd w:val="0"/>
              <w:spacing w:before="0" w:after="0" w:line="240" w:lineRule="auto"/>
              <w:rPr>
                <w:rFonts w:cs="Arial"/>
                <w:color w:val="000000"/>
                <w:sz w:val="16"/>
                <w:szCs w:val="16"/>
              </w:rPr>
            </w:pPr>
            <w:r w:rsidRPr="00787196">
              <w:rPr>
                <w:rFonts w:cs="Arial"/>
                <w:color w:val="000000"/>
                <w:sz w:val="16"/>
                <w:szCs w:val="16"/>
              </w:rPr>
              <w:t>Lower</w:t>
            </w:r>
          </w:p>
        </w:tc>
        <w:tc>
          <w:tcPr>
            <w:tcW w:w="8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1C2371"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Upper</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88AB46" w14:textId="77777777" w:rsidR="006358D2" w:rsidRPr="00787196" w:rsidRDefault="006358D2"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16"/>
                <w:szCs w:val="16"/>
              </w:rPr>
              <w:t>Lower</w:t>
            </w:r>
          </w:p>
        </w:tc>
        <w:tc>
          <w:tcPr>
            <w:tcW w:w="850" w:type="dxa"/>
            <w:vMerge/>
            <w:tcBorders>
              <w:left w:val="single" w:sz="8" w:space="0" w:color="000000"/>
              <w:bottom w:val="single" w:sz="8" w:space="0" w:color="000000"/>
              <w:right w:val="single" w:sz="8" w:space="0" w:color="000000"/>
            </w:tcBorders>
            <w:shd w:val="clear" w:color="auto" w:fill="FFFFFF"/>
            <w:vAlign w:val="center"/>
          </w:tcPr>
          <w:p w14:paraId="051F74C6" w14:textId="77777777" w:rsidR="006358D2" w:rsidRPr="00787196" w:rsidRDefault="006358D2" w:rsidP="00A5430A">
            <w:pPr>
              <w:autoSpaceDE w:val="0"/>
              <w:autoSpaceDN w:val="0"/>
              <w:adjustRightInd w:val="0"/>
              <w:spacing w:before="0" w:after="0" w:line="240" w:lineRule="auto"/>
              <w:rPr>
                <w:rFonts w:cs="Arial"/>
                <w:color w:val="000000"/>
                <w:sz w:val="16"/>
                <w:szCs w:val="16"/>
                <w:vertAlign w:val="superscript"/>
              </w:rPr>
            </w:pPr>
          </w:p>
        </w:tc>
        <w:tc>
          <w:tcPr>
            <w:tcW w:w="855" w:type="dxa"/>
            <w:vMerge/>
            <w:tcBorders>
              <w:left w:val="single" w:sz="8" w:space="0" w:color="000000"/>
              <w:bottom w:val="single" w:sz="8" w:space="0" w:color="000000"/>
              <w:right w:val="single" w:sz="8" w:space="0" w:color="000000"/>
            </w:tcBorders>
            <w:shd w:val="clear" w:color="auto" w:fill="FFFFFF"/>
            <w:vAlign w:val="center"/>
          </w:tcPr>
          <w:p w14:paraId="22CF8954" w14:textId="77777777" w:rsidR="006358D2" w:rsidRPr="00787196" w:rsidRDefault="006358D2" w:rsidP="00A5430A">
            <w:pPr>
              <w:autoSpaceDE w:val="0"/>
              <w:autoSpaceDN w:val="0"/>
              <w:adjustRightInd w:val="0"/>
              <w:spacing w:before="0" w:after="0" w:line="240" w:lineRule="auto"/>
              <w:rPr>
                <w:rFonts w:cs="Arial"/>
                <w:color w:val="000000"/>
                <w:sz w:val="16"/>
                <w:szCs w:val="16"/>
                <w:vertAlign w:val="superscript"/>
              </w:rPr>
            </w:pPr>
          </w:p>
        </w:tc>
        <w:tc>
          <w:tcPr>
            <w:tcW w:w="831" w:type="dxa"/>
            <w:vMerge/>
            <w:tcBorders>
              <w:left w:val="single" w:sz="8" w:space="0" w:color="000000"/>
              <w:bottom w:val="single" w:sz="8" w:space="0" w:color="000000"/>
              <w:right w:val="single" w:sz="8" w:space="0" w:color="000000"/>
            </w:tcBorders>
            <w:shd w:val="clear" w:color="auto" w:fill="FFFFFF"/>
            <w:vAlign w:val="center"/>
          </w:tcPr>
          <w:p w14:paraId="0ED4143D" w14:textId="77777777" w:rsidR="006358D2" w:rsidRPr="00787196" w:rsidRDefault="006358D2" w:rsidP="00A5430A">
            <w:pPr>
              <w:autoSpaceDE w:val="0"/>
              <w:autoSpaceDN w:val="0"/>
              <w:adjustRightInd w:val="0"/>
              <w:spacing w:before="0" w:after="0" w:line="240" w:lineRule="auto"/>
              <w:rPr>
                <w:rFonts w:cs="Arial"/>
                <w:color w:val="000000"/>
                <w:sz w:val="16"/>
                <w:szCs w:val="16"/>
                <w:vertAlign w:val="superscript"/>
              </w:rPr>
            </w:pPr>
          </w:p>
        </w:tc>
        <w:tc>
          <w:tcPr>
            <w:tcW w:w="945" w:type="dxa"/>
            <w:vMerge/>
            <w:tcBorders>
              <w:left w:val="single" w:sz="8" w:space="0" w:color="000000"/>
              <w:bottom w:val="single" w:sz="8" w:space="0" w:color="000000"/>
            </w:tcBorders>
            <w:shd w:val="clear" w:color="auto" w:fill="FFFFFF"/>
            <w:vAlign w:val="center"/>
          </w:tcPr>
          <w:p w14:paraId="79192EE4" w14:textId="77777777" w:rsidR="006358D2" w:rsidRPr="00787196" w:rsidRDefault="006358D2" w:rsidP="00A5430A">
            <w:pPr>
              <w:autoSpaceDE w:val="0"/>
              <w:autoSpaceDN w:val="0"/>
              <w:adjustRightInd w:val="0"/>
              <w:spacing w:before="0" w:after="0" w:line="240" w:lineRule="auto"/>
              <w:rPr>
                <w:rFonts w:cs="Arial"/>
                <w:color w:val="000000"/>
                <w:sz w:val="16"/>
                <w:szCs w:val="16"/>
                <w:vertAlign w:val="superscript"/>
              </w:rPr>
            </w:pPr>
          </w:p>
        </w:tc>
      </w:tr>
      <w:tr w:rsidR="00D53EBC" w:rsidRPr="00787196" w14:paraId="692EC3C4" w14:textId="77777777" w:rsidTr="00A5430A">
        <w:trPr>
          <w:trHeight w:val="379"/>
        </w:trPr>
        <w:tc>
          <w:tcPr>
            <w:tcW w:w="1857" w:type="dxa"/>
            <w:tcBorders>
              <w:right w:val="single" w:sz="8" w:space="0" w:color="000000"/>
            </w:tcBorders>
            <w:shd w:val="clear" w:color="auto" w:fill="FFFFFF"/>
            <w:vAlign w:val="center"/>
          </w:tcPr>
          <w:p w14:paraId="763FE4D4" w14:textId="77777777" w:rsidR="006358D2" w:rsidRPr="00787196" w:rsidRDefault="006358D2"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Inadequate/negative/avoidance</w:t>
            </w:r>
          </w:p>
        </w:tc>
        <w:tc>
          <w:tcPr>
            <w:tcW w:w="735" w:type="dxa"/>
            <w:tcBorders>
              <w:left w:val="single" w:sz="8" w:space="0" w:color="000000"/>
              <w:right w:val="nil"/>
            </w:tcBorders>
            <w:shd w:val="clear" w:color="auto" w:fill="FFFFFF"/>
            <w:vAlign w:val="center"/>
          </w:tcPr>
          <w:p w14:paraId="0C3A81C5" w14:textId="0AC65C27" w:rsidR="006358D2" w:rsidRPr="00787196" w:rsidRDefault="006F2609" w:rsidP="00A5430A">
            <w:pPr>
              <w:autoSpaceDE w:val="0"/>
              <w:autoSpaceDN w:val="0"/>
              <w:adjustRightInd w:val="0"/>
              <w:spacing w:before="0" w:after="0" w:line="240" w:lineRule="auto"/>
              <w:ind w:right="-68"/>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w:t>
            </w:r>
            <w:r w:rsidRPr="00787196">
              <w:rPr>
                <w:rFonts w:cs="Arial"/>
                <w:color w:val="000000"/>
                <w:sz w:val="18"/>
                <w:szCs w:val="18"/>
              </w:rPr>
              <w:t>174*</w:t>
            </w:r>
          </w:p>
        </w:tc>
        <w:tc>
          <w:tcPr>
            <w:tcW w:w="704" w:type="dxa"/>
            <w:tcBorders>
              <w:left w:val="single" w:sz="8" w:space="0" w:color="000000"/>
              <w:right w:val="single" w:sz="8" w:space="0" w:color="000000"/>
            </w:tcBorders>
            <w:shd w:val="clear" w:color="auto" w:fill="FFFFFF"/>
            <w:vAlign w:val="center"/>
          </w:tcPr>
          <w:p w14:paraId="3B9113A5" w14:textId="6825FC78" w:rsidR="006358D2" w:rsidRPr="00787196" w:rsidRDefault="006F2609" w:rsidP="00A5430A">
            <w:pPr>
              <w:autoSpaceDE w:val="0"/>
              <w:autoSpaceDN w:val="0"/>
              <w:adjustRightInd w:val="0"/>
              <w:spacing w:before="0" w:after="0" w:line="240" w:lineRule="auto"/>
              <w:ind w:right="-73"/>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w:t>
            </w:r>
            <w:r w:rsidRPr="00787196">
              <w:rPr>
                <w:rFonts w:cs="Arial"/>
                <w:color w:val="000000"/>
                <w:sz w:val="18"/>
                <w:szCs w:val="18"/>
              </w:rPr>
              <w:t>.110</w:t>
            </w:r>
          </w:p>
        </w:tc>
        <w:tc>
          <w:tcPr>
            <w:tcW w:w="815" w:type="dxa"/>
            <w:tcBorders>
              <w:left w:val="single" w:sz="8" w:space="0" w:color="000000"/>
              <w:right w:val="single" w:sz="8" w:space="0" w:color="000000"/>
            </w:tcBorders>
            <w:shd w:val="clear" w:color="auto" w:fill="FFFFFF"/>
            <w:vAlign w:val="center"/>
          </w:tcPr>
          <w:p w14:paraId="47AB79CE" w14:textId="02998C3B" w:rsidR="006358D2" w:rsidRPr="00787196" w:rsidRDefault="006358D2" w:rsidP="00A5430A">
            <w:pPr>
              <w:autoSpaceDE w:val="0"/>
              <w:autoSpaceDN w:val="0"/>
              <w:adjustRightInd w:val="0"/>
              <w:spacing w:before="0" w:after="0" w:line="240" w:lineRule="auto"/>
              <w:ind w:right="-66"/>
              <w:jc w:val="center"/>
              <w:rPr>
                <w:rFonts w:cs="Arial"/>
                <w:color w:val="000000"/>
                <w:sz w:val="18"/>
                <w:szCs w:val="18"/>
                <w:vertAlign w:val="superscript"/>
              </w:rPr>
            </w:pPr>
            <w:r w:rsidRPr="00787196">
              <w:rPr>
                <w:rFonts w:cs="Arial"/>
                <w:color w:val="000000"/>
                <w:sz w:val="18"/>
                <w:szCs w:val="18"/>
              </w:rPr>
              <w:t>- 0.</w:t>
            </w:r>
            <w:r w:rsidR="006F2609" w:rsidRPr="00787196">
              <w:rPr>
                <w:rFonts w:cs="Arial"/>
                <w:color w:val="000000"/>
                <w:sz w:val="18"/>
                <w:szCs w:val="18"/>
              </w:rPr>
              <w:t>233</w:t>
            </w:r>
            <w:r w:rsidRPr="00787196">
              <w:rPr>
                <w:rFonts w:cs="Arial"/>
                <w:color w:val="000000"/>
                <w:sz w:val="18"/>
                <w:szCs w:val="18"/>
                <w:vertAlign w:val="superscript"/>
              </w:rPr>
              <w:t>**</w:t>
            </w:r>
          </w:p>
        </w:tc>
        <w:tc>
          <w:tcPr>
            <w:tcW w:w="851" w:type="dxa"/>
            <w:tcBorders>
              <w:left w:val="single" w:sz="8" w:space="0" w:color="000000"/>
              <w:right w:val="single" w:sz="8" w:space="0" w:color="000000"/>
            </w:tcBorders>
            <w:shd w:val="clear" w:color="auto" w:fill="FFFFFF"/>
            <w:vAlign w:val="center"/>
          </w:tcPr>
          <w:p w14:paraId="186CBE03" w14:textId="4E2CAC93"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-0.1</w:t>
            </w:r>
            <w:r w:rsidR="006F2609" w:rsidRPr="00787196">
              <w:rPr>
                <w:rFonts w:cs="Arial"/>
                <w:color w:val="000000"/>
                <w:sz w:val="18"/>
                <w:szCs w:val="18"/>
              </w:rPr>
              <w:t>31</w:t>
            </w:r>
          </w:p>
        </w:tc>
        <w:tc>
          <w:tcPr>
            <w:tcW w:w="850" w:type="dxa"/>
            <w:tcBorders>
              <w:left w:val="single" w:sz="8" w:space="0" w:color="000000"/>
              <w:right w:val="single" w:sz="8" w:space="0" w:color="000000"/>
            </w:tcBorders>
            <w:shd w:val="clear" w:color="auto" w:fill="FFFFFF"/>
            <w:vAlign w:val="center"/>
          </w:tcPr>
          <w:p w14:paraId="1EC23B54" w14:textId="639AF61D" w:rsidR="006358D2" w:rsidRPr="00787196" w:rsidRDefault="00B80341" w:rsidP="00A5430A">
            <w:pPr>
              <w:autoSpaceDE w:val="0"/>
              <w:autoSpaceDN w:val="0"/>
              <w:adjustRightInd w:val="0"/>
              <w:spacing w:before="0" w:after="0" w:line="240" w:lineRule="auto"/>
              <w:ind w:right="-245"/>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w:t>
            </w:r>
            <w:r w:rsidRPr="00787196">
              <w:rPr>
                <w:rFonts w:cs="Arial"/>
                <w:color w:val="000000"/>
                <w:sz w:val="18"/>
                <w:szCs w:val="18"/>
              </w:rPr>
              <w:t>.231</w:t>
            </w:r>
            <w:r w:rsidR="006358D2" w:rsidRPr="00787196">
              <w:rPr>
                <w:rFonts w:cs="Arial"/>
                <w:color w:val="000000"/>
                <w:sz w:val="18"/>
                <w:szCs w:val="18"/>
                <w:vertAlign w:val="superscript"/>
              </w:rPr>
              <w:t>**</w:t>
            </w:r>
          </w:p>
        </w:tc>
        <w:tc>
          <w:tcPr>
            <w:tcW w:w="855" w:type="dxa"/>
            <w:tcBorders>
              <w:left w:val="single" w:sz="8" w:space="0" w:color="000000"/>
              <w:right w:val="single" w:sz="8" w:space="0" w:color="000000"/>
            </w:tcBorders>
            <w:shd w:val="clear" w:color="auto" w:fill="FFFFFF"/>
            <w:vAlign w:val="center"/>
          </w:tcPr>
          <w:p w14:paraId="1C6ACEDF" w14:textId="544F21BF" w:rsidR="006358D2" w:rsidRPr="00787196" w:rsidRDefault="006358D2" w:rsidP="00A5430A">
            <w:pPr>
              <w:autoSpaceDE w:val="0"/>
              <w:autoSpaceDN w:val="0"/>
              <w:adjustRightInd w:val="0"/>
              <w:spacing w:before="0" w:after="0" w:line="240" w:lineRule="auto"/>
              <w:ind w:right="-18"/>
              <w:jc w:val="center"/>
              <w:rPr>
                <w:rFonts w:cs="Arial"/>
                <w:color w:val="000000"/>
                <w:sz w:val="18"/>
                <w:szCs w:val="18"/>
              </w:rPr>
            </w:pPr>
            <w:r w:rsidRPr="00787196">
              <w:rPr>
                <w:rFonts w:cs="Arial"/>
                <w:color w:val="000000"/>
                <w:sz w:val="18"/>
                <w:szCs w:val="18"/>
              </w:rPr>
              <w:t>-0.1</w:t>
            </w:r>
            <w:r w:rsidR="00B80341" w:rsidRPr="00787196">
              <w:rPr>
                <w:rFonts w:cs="Arial"/>
                <w:color w:val="000000"/>
                <w:sz w:val="18"/>
                <w:szCs w:val="18"/>
              </w:rPr>
              <w:t>95**</w:t>
            </w:r>
          </w:p>
        </w:tc>
        <w:tc>
          <w:tcPr>
            <w:tcW w:w="831" w:type="dxa"/>
            <w:tcBorders>
              <w:left w:val="single" w:sz="8" w:space="0" w:color="000000"/>
              <w:right w:val="single" w:sz="8" w:space="0" w:color="000000"/>
            </w:tcBorders>
            <w:shd w:val="clear" w:color="auto" w:fill="FFFFFF"/>
            <w:vAlign w:val="center"/>
          </w:tcPr>
          <w:p w14:paraId="488F142F" w14:textId="20F2603A"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0.0</w:t>
            </w:r>
            <w:r w:rsidR="00B80341" w:rsidRPr="00787196">
              <w:rPr>
                <w:rFonts w:cs="Arial"/>
                <w:color w:val="000000"/>
                <w:sz w:val="18"/>
                <w:szCs w:val="18"/>
              </w:rPr>
              <w:t>11</w:t>
            </w:r>
          </w:p>
        </w:tc>
        <w:tc>
          <w:tcPr>
            <w:tcW w:w="945" w:type="dxa"/>
            <w:tcBorders>
              <w:left w:val="single" w:sz="8" w:space="0" w:color="000000"/>
              <w:right w:val="nil"/>
            </w:tcBorders>
            <w:shd w:val="clear" w:color="auto" w:fill="FFFFFF"/>
            <w:vAlign w:val="center"/>
          </w:tcPr>
          <w:p w14:paraId="34061A61" w14:textId="7838A985"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0.0</w:t>
            </w:r>
            <w:r w:rsidR="00B80341" w:rsidRPr="00787196">
              <w:rPr>
                <w:rFonts w:cs="Arial"/>
                <w:color w:val="000000"/>
                <w:sz w:val="18"/>
                <w:szCs w:val="18"/>
              </w:rPr>
              <w:t>86</w:t>
            </w:r>
          </w:p>
        </w:tc>
      </w:tr>
      <w:tr w:rsidR="00D53EBC" w:rsidRPr="00787196" w14:paraId="65A55B9E" w14:textId="77777777" w:rsidTr="00A5430A">
        <w:trPr>
          <w:trHeight w:val="255"/>
        </w:trPr>
        <w:tc>
          <w:tcPr>
            <w:tcW w:w="1857" w:type="dxa"/>
            <w:tcBorders>
              <w:right w:val="single" w:sz="8" w:space="0" w:color="000000"/>
            </w:tcBorders>
            <w:shd w:val="clear" w:color="auto" w:fill="FFFFFF"/>
            <w:vAlign w:val="center"/>
          </w:tcPr>
          <w:p w14:paraId="42192FD0" w14:textId="77777777" w:rsidR="006358D2" w:rsidRPr="00787196" w:rsidRDefault="006358D2"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Adequate/positive</w:t>
            </w:r>
          </w:p>
        </w:tc>
        <w:tc>
          <w:tcPr>
            <w:tcW w:w="735" w:type="dxa"/>
            <w:tcBorders>
              <w:left w:val="single" w:sz="8" w:space="0" w:color="000000"/>
              <w:right w:val="nil"/>
            </w:tcBorders>
            <w:shd w:val="clear" w:color="auto" w:fill="FFFFFF"/>
            <w:vAlign w:val="center"/>
          </w:tcPr>
          <w:p w14:paraId="5B4C10D5" w14:textId="783FE11A" w:rsidR="006358D2" w:rsidRPr="00787196" w:rsidRDefault="001915E3" w:rsidP="00A5430A">
            <w:pPr>
              <w:autoSpaceDE w:val="0"/>
              <w:autoSpaceDN w:val="0"/>
              <w:adjustRightInd w:val="0"/>
              <w:spacing w:before="0" w:after="0" w:line="240" w:lineRule="auto"/>
              <w:ind w:right="-68"/>
              <w:jc w:val="center"/>
              <w:rPr>
                <w:rFonts w:cs="Arial"/>
                <w:color w:val="000000"/>
                <w:sz w:val="18"/>
                <w:szCs w:val="18"/>
              </w:rPr>
            </w:pPr>
            <w:r w:rsidRPr="00787196">
              <w:rPr>
                <w:rFonts w:cs="Arial"/>
                <w:color w:val="000000"/>
                <w:sz w:val="18"/>
                <w:szCs w:val="18"/>
              </w:rPr>
              <w:t>0.082</w:t>
            </w:r>
          </w:p>
        </w:tc>
        <w:tc>
          <w:tcPr>
            <w:tcW w:w="704" w:type="dxa"/>
            <w:tcBorders>
              <w:left w:val="single" w:sz="8" w:space="0" w:color="000000"/>
              <w:right w:val="single" w:sz="8" w:space="0" w:color="000000"/>
            </w:tcBorders>
            <w:shd w:val="clear" w:color="auto" w:fill="FFFFFF"/>
            <w:vAlign w:val="center"/>
          </w:tcPr>
          <w:p w14:paraId="102EA628" w14:textId="27650F3A" w:rsidR="006358D2" w:rsidRPr="00787196" w:rsidRDefault="006358D2" w:rsidP="00A5430A">
            <w:pPr>
              <w:autoSpaceDE w:val="0"/>
              <w:autoSpaceDN w:val="0"/>
              <w:adjustRightInd w:val="0"/>
              <w:spacing w:before="0" w:after="0" w:line="240" w:lineRule="auto"/>
              <w:ind w:right="-73"/>
              <w:jc w:val="center"/>
              <w:rPr>
                <w:rFonts w:cs="Arial"/>
                <w:color w:val="000000"/>
                <w:sz w:val="18"/>
                <w:szCs w:val="18"/>
              </w:rPr>
            </w:pPr>
            <w:r w:rsidRPr="00787196">
              <w:rPr>
                <w:rFonts w:cs="Arial"/>
                <w:color w:val="000000"/>
                <w:sz w:val="18"/>
                <w:szCs w:val="18"/>
              </w:rPr>
              <w:t>0.0</w:t>
            </w:r>
            <w:r w:rsidR="001915E3" w:rsidRPr="00787196">
              <w:rPr>
                <w:rFonts w:cs="Arial"/>
                <w:color w:val="000000"/>
                <w:sz w:val="18"/>
                <w:szCs w:val="18"/>
              </w:rPr>
              <w:t>77</w:t>
            </w:r>
          </w:p>
        </w:tc>
        <w:tc>
          <w:tcPr>
            <w:tcW w:w="815" w:type="dxa"/>
            <w:tcBorders>
              <w:left w:val="single" w:sz="8" w:space="0" w:color="000000"/>
              <w:right w:val="single" w:sz="8" w:space="0" w:color="000000"/>
            </w:tcBorders>
            <w:shd w:val="clear" w:color="auto" w:fill="FFFFFF"/>
            <w:vAlign w:val="center"/>
          </w:tcPr>
          <w:p w14:paraId="68A8F9C9" w14:textId="50D79840" w:rsidR="006358D2" w:rsidRPr="00787196" w:rsidRDefault="006358D2" w:rsidP="00A5430A">
            <w:pPr>
              <w:autoSpaceDE w:val="0"/>
              <w:autoSpaceDN w:val="0"/>
              <w:adjustRightInd w:val="0"/>
              <w:spacing w:before="0" w:after="0" w:line="240" w:lineRule="auto"/>
              <w:ind w:right="-66"/>
              <w:jc w:val="center"/>
              <w:rPr>
                <w:rFonts w:cs="Arial"/>
                <w:color w:val="000000"/>
                <w:sz w:val="18"/>
                <w:szCs w:val="18"/>
              </w:rPr>
            </w:pPr>
            <w:r w:rsidRPr="00787196">
              <w:rPr>
                <w:rFonts w:cs="Arial"/>
                <w:color w:val="000000"/>
                <w:sz w:val="18"/>
                <w:szCs w:val="18"/>
              </w:rPr>
              <w:t>0.</w:t>
            </w:r>
            <w:r w:rsidR="001915E3" w:rsidRPr="00787196">
              <w:rPr>
                <w:rFonts w:cs="Arial"/>
                <w:color w:val="000000"/>
                <w:sz w:val="18"/>
                <w:szCs w:val="18"/>
              </w:rPr>
              <w:t>178*</w:t>
            </w:r>
          </w:p>
        </w:tc>
        <w:tc>
          <w:tcPr>
            <w:tcW w:w="851" w:type="dxa"/>
            <w:tcBorders>
              <w:left w:val="single" w:sz="8" w:space="0" w:color="000000"/>
              <w:right w:val="single" w:sz="8" w:space="0" w:color="000000"/>
            </w:tcBorders>
            <w:shd w:val="clear" w:color="auto" w:fill="FFFFFF"/>
            <w:vAlign w:val="center"/>
          </w:tcPr>
          <w:p w14:paraId="35838922" w14:textId="6E8169F6"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w:t>
            </w:r>
            <w:r w:rsidR="001915E3" w:rsidRPr="00787196">
              <w:rPr>
                <w:rFonts w:cs="Arial"/>
                <w:color w:val="000000"/>
                <w:sz w:val="18"/>
                <w:szCs w:val="18"/>
              </w:rPr>
              <w:t>170*</w:t>
            </w:r>
          </w:p>
        </w:tc>
        <w:tc>
          <w:tcPr>
            <w:tcW w:w="850" w:type="dxa"/>
            <w:tcBorders>
              <w:left w:val="single" w:sz="8" w:space="0" w:color="000000"/>
              <w:right w:val="single" w:sz="8" w:space="0" w:color="000000"/>
            </w:tcBorders>
            <w:shd w:val="clear" w:color="auto" w:fill="FFFFFF"/>
            <w:vAlign w:val="center"/>
          </w:tcPr>
          <w:p w14:paraId="1230B386" w14:textId="5393465D" w:rsidR="006358D2" w:rsidRPr="00787196" w:rsidRDefault="006358D2" w:rsidP="00A5430A">
            <w:pPr>
              <w:autoSpaceDE w:val="0"/>
              <w:autoSpaceDN w:val="0"/>
              <w:adjustRightInd w:val="0"/>
              <w:spacing w:before="0" w:after="0" w:line="240" w:lineRule="auto"/>
              <w:ind w:right="-245"/>
              <w:jc w:val="center"/>
              <w:rPr>
                <w:rFonts w:cs="Arial"/>
                <w:color w:val="000000"/>
                <w:sz w:val="18"/>
                <w:szCs w:val="18"/>
              </w:rPr>
            </w:pPr>
            <w:r w:rsidRPr="00787196">
              <w:rPr>
                <w:rFonts w:cs="Arial"/>
                <w:color w:val="000000"/>
                <w:sz w:val="18"/>
                <w:szCs w:val="18"/>
              </w:rPr>
              <w:t>0.</w:t>
            </w:r>
            <w:r w:rsidR="001915E3" w:rsidRPr="00787196">
              <w:rPr>
                <w:rFonts w:cs="Arial"/>
                <w:color w:val="000000"/>
                <w:sz w:val="18"/>
                <w:szCs w:val="18"/>
              </w:rPr>
              <w:t>176</w:t>
            </w:r>
            <w:r w:rsidR="002B4124" w:rsidRPr="00787196">
              <w:rPr>
                <w:rFonts w:cs="Arial"/>
                <w:color w:val="000000"/>
                <w:sz w:val="18"/>
                <w:szCs w:val="18"/>
              </w:rPr>
              <w:t>*</w:t>
            </w:r>
          </w:p>
        </w:tc>
        <w:tc>
          <w:tcPr>
            <w:tcW w:w="855" w:type="dxa"/>
            <w:tcBorders>
              <w:left w:val="single" w:sz="8" w:space="0" w:color="000000"/>
              <w:right w:val="single" w:sz="8" w:space="0" w:color="000000"/>
            </w:tcBorders>
            <w:shd w:val="clear" w:color="auto" w:fill="FFFFFF"/>
            <w:vAlign w:val="center"/>
          </w:tcPr>
          <w:p w14:paraId="7163CACF" w14:textId="05EDEEFC" w:rsidR="006358D2" w:rsidRPr="00787196" w:rsidRDefault="006358D2" w:rsidP="00A5430A">
            <w:pPr>
              <w:autoSpaceDE w:val="0"/>
              <w:autoSpaceDN w:val="0"/>
              <w:adjustRightInd w:val="0"/>
              <w:spacing w:before="0" w:after="0" w:line="240" w:lineRule="auto"/>
              <w:ind w:right="-18"/>
              <w:jc w:val="center"/>
              <w:rPr>
                <w:rFonts w:cs="Arial"/>
                <w:color w:val="000000"/>
                <w:sz w:val="18"/>
                <w:szCs w:val="18"/>
              </w:rPr>
            </w:pPr>
            <w:r w:rsidRPr="00787196">
              <w:rPr>
                <w:rFonts w:cs="Arial"/>
                <w:color w:val="000000"/>
                <w:sz w:val="18"/>
                <w:szCs w:val="18"/>
              </w:rPr>
              <w:t>0.</w:t>
            </w:r>
            <w:r w:rsidR="002B4124" w:rsidRPr="00787196">
              <w:rPr>
                <w:rFonts w:cs="Arial"/>
                <w:color w:val="000000"/>
                <w:sz w:val="18"/>
                <w:szCs w:val="18"/>
              </w:rPr>
              <w:t>194**</w:t>
            </w:r>
          </w:p>
        </w:tc>
        <w:tc>
          <w:tcPr>
            <w:tcW w:w="831" w:type="dxa"/>
            <w:tcBorders>
              <w:left w:val="single" w:sz="8" w:space="0" w:color="000000"/>
              <w:right w:val="single" w:sz="8" w:space="0" w:color="000000"/>
            </w:tcBorders>
            <w:shd w:val="clear" w:color="auto" w:fill="FFFFFF"/>
            <w:vAlign w:val="center"/>
          </w:tcPr>
          <w:p w14:paraId="1C684AB5" w14:textId="32FDD40B"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-0.0</w:t>
            </w:r>
            <w:r w:rsidR="002B4124" w:rsidRPr="00787196">
              <w:rPr>
                <w:rFonts w:cs="Arial"/>
                <w:color w:val="000000"/>
                <w:sz w:val="18"/>
                <w:szCs w:val="18"/>
              </w:rPr>
              <w:t>58</w:t>
            </w:r>
          </w:p>
        </w:tc>
        <w:tc>
          <w:tcPr>
            <w:tcW w:w="945" w:type="dxa"/>
            <w:tcBorders>
              <w:left w:val="single" w:sz="8" w:space="0" w:color="000000"/>
              <w:right w:val="nil"/>
            </w:tcBorders>
            <w:shd w:val="clear" w:color="auto" w:fill="FFFFFF"/>
            <w:vAlign w:val="center"/>
          </w:tcPr>
          <w:p w14:paraId="6806BD9F" w14:textId="565B7570"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0.0</w:t>
            </w:r>
            <w:r w:rsidR="002A00BA" w:rsidRPr="00787196">
              <w:rPr>
                <w:rFonts w:cs="Arial"/>
                <w:color w:val="000000"/>
                <w:sz w:val="18"/>
                <w:szCs w:val="18"/>
              </w:rPr>
              <w:t>62</w:t>
            </w:r>
          </w:p>
        </w:tc>
      </w:tr>
      <w:tr w:rsidR="00D53EBC" w:rsidRPr="00787196" w14:paraId="59F5A698" w14:textId="77777777" w:rsidTr="00A5430A">
        <w:trPr>
          <w:trHeight w:val="451"/>
        </w:trPr>
        <w:tc>
          <w:tcPr>
            <w:tcW w:w="1857" w:type="dxa"/>
            <w:tcBorders>
              <w:right w:val="single" w:sz="8" w:space="0" w:color="000000"/>
            </w:tcBorders>
            <w:shd w:val="clear" w:color="auto" w:fill="FFFFFF"/>
            <w:vAlign w:val="center"/>
          </w:tcPr>
          <w:p w14:paraId="13B8BAF5" w14:textId="77777777" w:rsidR="006358D2" w:rsidRPr="00787196" w:rsidRDefault="006358D2"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Self-blame</w:t>
            </w:r>
          </w:p>
        </w:tc>
        <w:tc>
          <w:tcPr>
            <w:tcW w:w="735" w:type="dxa"/>
            <w:tcBorders>
              <w:left w:val="single" w:sz="8" w:space="0" w:color="000000"/>
              <w:right w:val="nil"/>
            </w:tcBorders>
            <w:shd w:val="clear" w:color="auto" w:fill="FFFFFF"/>
            <w:vAlign w:val="center"/>
          </w:tcPr>
          <w:p w14:paraId="30E8F477" w14:textId="3D783A29" w:rsidR="006358D2" w:rsidRPr="00787196" w:rsidRDefault="0063798D" w:rsidP="00A5430A">
            <w:pPr>
              <w:autoSpaceDE w:val="0"/>
              <w:autoSpaceDN w:val="0"/>
              <w:adjustRightInd w:val="0"/>
              <w:spacing w:before="0" w:after="0" w:line="240" w:lineRule="auto"/>
              <w:ind w:right="-68"/>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w:t>
            </w:r>
            <w:r w:rsidRPr="00787196">
              <w:rPr>
                <w:rFonts w:cs="Arial"/>
                <w:color w:val="000000"/>
                <w:sz w:val="18"/>
                <w:szCs w:val="18"/>
              </w:rPr>
              <w:t>120</w:t>
            </w:r>
          </w:p>
        </w:tc>
        <w:tc>
          <w:tcPr>
            <w:tcW w:w="704" w:type="dxa"/>
            <w:tcBorders>
              <w:left w:val="single" w:sz="8" w:space="0" w:color="000000"/>
              <w:right w:val="single" w:sz="8" w:space="0" w:color="000000"/>
            </w:tcBorders>
            <w:shd w:val="clear" w:color="auto" w:fill="FFFFFF"/>
            <w:vAlign w:val="center"/>
          </w:tcPr>
          <w:p w14:paraId="73F73A31" w14:textId="78D8EA67" w:rsidR="006358D2" w:rsidRPr="00787196" w:rsidRDefault="0063798D" w:rsidP="00A5430A">
            <w:pPr>
              <w:autoSpaceDE w:val="0"/>
              <w:autoSpaceDN w:val="0"/>
              <w:adjustRightInd w:val="0"/>
              <w:spacing w:before="0" w:after="0" w:line="240" w:lineRule="auto"/>
              <w:ind w:right="-73"/>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0.0</w:t>
            </w:r>
            <w:r w:rsidRPr="00787196">
              <w:rPr>
                <w:rFonts w:cs="Arial"/>
                <w:color w:val="000000"/>
                <w:sz w:val="18"/>
                <w:szCs w:val="18"/>
              </w:rPr>
              <w:t>62</w:t>
            </w:r>
          </w:p>
        </w:tc>
        <w:tc>
          <w:tcPr>
            <w:tcW w:w="815" w:type="dxa"/>
            <w:tcBorders>
              <w:left w:val="single" w:sz="8" w:space="0" w:color="000000"/>
              <w:right w:val="single" w:sz="8" w:space="0" w:color="000000"/>
            </w:tcBorders>
            <w:shd w:val="clear" w:color="auto" w:fill="FFFFFF"/>
            <w:vAlign w:val="center"/>
          </w:tcPr>
          <w:p w14:paraId="6E805625" w14:textId="34400681" w:rsidR="006358D2" w:rsidRPr="00787196" w:rsidRDefault="0063798D" w:rsidP="00A5430A">
            <w:pPr>
              <w:autoSpaceDE w:val="0"/>
              <w:autoSpaceDN w:val="0"/>
              <w:adjustRightInd w:val="0"/>
              <w:spacing w:before="0" w:after="0" w:line="240" w:lineRule="auto"/>
              <w:ind w:right="-66"/>
              <w:jc w:val="center"/>
              <w:rPr>
                <w:rFonts w:cs="Arial"/>
                <w:color w:val="000000"/>
                <w:sz w:val="18"/>
                <w:szCs w:val="18"/>
              </w:rPr>
            </w:pPr>
            <w:r w:rsidRPr="00787196">
              <w:rPr>
                <w:rFonts w:cs="Arial"/>
                <w:color w:val="000000"/>
                <w:sz w:val="18"/>
                <w:szCs w:val="18"/>
              </w:rPr>
              <w:t>-0.071</w:t>
            </w:r>
          </w:p>
        </w:tc>
        <w:tc>
          <w:tcPr>
            <w:tcW w:w="851" w:type="dxa"/>
            <w:tcBorders>
              <w:left w:val="single" w:sz="8" w:space="0" w:color="000000"/>
              <w:right w:val="single" w:sz="8" w:space="0" w:color="000000"/>
            </w:tcBorders>
            <w:shd w:val="clear" w:color="auto" w:fill="FFFFFF"/>
            <w:vAlign w:val="center"/>
          </w:tcPr>
          <w:p w14:paraId="4C75BC75" w14:textId="2456F4F4"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w:t>
            </w:r>
            <w:r w:rsidR="002A00BA" w:rsidRPr="00787196">
              <w:rPr>
                <w:rFonts w:cs="Arial"/>
                <w:color w:val="000000"/>
                <w:sz w:val="18"/>
                <w:szCs w:val="18"/>
              </w:rPr>
              <w:t>100</w:t>
            </w:r>
          </w:p>
        </w:tc>
        <w:tc>
          <w:tcPr>
            <w:tcW w:w="850" w:type="dxa"/>
            <w:tcBorders>
              <w:left w:val="single" w:sz="8" w:space="0" w:color="000000"/>
              <w:right w:val="single" w:sz="8" w:space="0" w:color="000000"/>
            </w:tcBorders>
            <w:shd w:val="clear" w:color="auto" w:fill="FFFFFF"/>
            <w:vAlign w:val="center"/>
          </w:tcPr>
          <w:p w14:paraId="5BCBA773" w14:textId="15EDF0BE" w:rsidR="006358D2" w:rsidRPr="00787196" w:rsidRDefault="006358D2" w:rsidP="00A5430A">
            <w:pPr>
              <w:autoSpaceDE w:val="0"/>
              <w:autoSpaceDN w:val="0"/>
              <w:adjustRightInd w:val="0"/>
              <w:spacing w:before="0" w:after="0" w:line="240" w:lineRule="auto"/>
              <w:ind w:right="-245"/>
              <w:jc w:val="center"/>
              <w:rPr>
                <w:rFonts w:cs="Arial"/>
                <w:color w:val="000000"/>
                <w:sz w:val="18"/>
                <w:szCs w:val="18"/>
              </w:rPr>
            </w:pPr>
            <w:r w:rsidRPr="00787196">
              <w:rPr>
                <w:rFonts w:cs="Arial"/>
                <w:color w:val="000000"/>
                <w:sz w:val="18"/>
                <w:szCs w:val="18"/>
              </w:rPr>
              <w:t>-0.</w:t>
            </w:r>
            <w:r w:rsidR="0063798D" w:rsidRPr="00787196">
              <w:rPr>
                <w:rFonts w:cs="Arial"/>
                <w:color w:val="000000"/>
                <w:sz w:val="18"/>
                <w:szCs w:val="18"/>
              </w:rPr>
              <w:t>10</w:t>
            </w:r>
            <w:r w:rsidR="002A00BA" w:rsidRPr="00787196">
              <w:rPr>
                <w:rFonts w:cs="Arial"/>
                <w:color w:val="000000"/>
                <w:sz w:val="18"/>
                <w:szCs w:val="18"/>
              </w:rPr>
              <w:t>1</w:t>
            </w:r>
          </w:p>
        </w:tc>
        <w:tc>
          <w:tcPr>
            <w:tcW w:w="855" w:type="dxa"/>
            <w:tcBorders>
              <w:left w:val="single" w:sz="8" w:space="0" w:color="000000"/>
              <w:right w:val="single" w:sz="8" w:space="0" w:color="000000"/>
            </w:tcBorders>
            <w:shd w:val="clear" w:color="auto" w:fill="FFFFFF"/>
            <w:vAlign w:val="center"/>
          </w:tcPr>
          <w:p w14:paraId="2EE3C38A" w14:textId="34285FF6" w:rsidR="006358D2" w:rsidRPr="00787196" w:rsidRDefault="006358D2" w:rsidP="00A5430A">
            <w:pPr>
              <w:autoSpaceDE w:val="0"/>
              <w:autoSpaceDN w:val="0"/>
              <w:adjustRightInd w:val="0"/>
              <w:spacing w:before="0" w:after="0" w:line="240" w:lineRule="auto"/>
              <w:ind w:right="-39"/>
              <w:rPr>
                <w:rFonts w:cs="Arial"/>
                <w:color w:val="000000"/>
                <w:sz w:val="18"/>
                <w:szCs w:val="18"/>
              </w:rPr>
            </w:pPr>
            <w:r w:rsidRPr="00787196">
              <w:rPr>
                <w:rFonts w:cs="Arial"/>
                <w:color w:val="000000"/>
                <w:sz w:val="18"/>
                <w:szCs w:val="18"/>
              </w:rPr>
              <w:t>-0.</w:t>
            </w:r>
            <w:r w:rsidR="002A00BA" w:rsidRPr="00787196">
              <w:rPr>
                <w:rFonts w:cs="Arial"/>
                <w:color w:val="000000"/>
                <w:sz w:val="18"/>
                <w:szCs w:val="18"/>
              </w:rPr>
              <w:t>033</w:t>
            </w:r>
          </w:p>
        </w:tc>
        <w:tc>
          <w:tcPr>
            <w:tcW w:w="831" w:type="dxa"/>
            <w:tcBorders>
              <w:left w:val="single" w:sz="8" w:space="0" w:color="000000"/>
              <w:right w:val="single" w:sz="8" w:space="0" w:color="000000"/>
            </w:tcBorders>
            <w:shd w:val="clear" w:color="auto" w:fill="FFFFFF"/>
            <w:vAlign w:val="center"/>
          </w:tcPr>
          <w:p w14:paraId="72D15A06" w14:textId="016B8630"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w:t>
            </w:r>
            <w:r w:rsidR="002A00BA" w:rsidRPr="00787196">
              <w:rPr>
                <w:rFonts w:cs="Arial"/>
                <w:color w:val="000000"/>
                <w:sz w:val="18"/>
                <w:szCs w:val="18"/>
              </w:rPr>
              <w:t>0.083</w:t>
            </w:r>
          </w:p>
        </w:tc>
        <w:tc>
          <w:tcPr>
            <w:tcW w:w="945" w:type="dxa"/>
            <w:tcBorders>
              <w:left w:val="single" w:sz="8" w:space="0" w:color="000000"/>
              <w:right w:val="nil"/>
            </w:tcBorders>
            <w:shd w:val="clear" w:color="auto" w:fill="FFFFFF"/>
            <w:vAlign w:val="center"/>
          </w:tcPr>
          <w:p w14:paraId="647790AA" w14:textId="4E2A472E"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w:t>
            </w:r>
            <w:r w:rsidR="002A00BA" w:rsidRPr="00787196">
              <w:rPr>
                <w:rFonts w:cs="Arial"/>
                <w:color w:val="000000"/>
                <w:sz w:val="18"/>
                <w:szCs w:val="18"/>
              </w:rPr>
              <w:t>050</w:t>
            </w:r>
          </w:p>
        </w:tc>
      </w:tr>
      <w:tr w:rsidR="00D53EBC" w:rsidRPr="00787196" w14:paraId="0E8B87FD" w14:textId="77777777" w:rsidTr="00A5430A">
        <w:trPr>
          <w:trHeight w:val="297"/>
        </w:trPr>
        <w:tc>
          <w:tcPr>
            <w:tcW w:w="1857" w:type="dxa"/>
            <w:tcBorders>
              <w:right w:val="single" w:sz="8" w:space="0" w:color="000000"/>
            </w:tcBorders>
            <w:shd w:val="clear" w:color="auto" w:fill="FFFFFF"/>
            <w:vAlign w:val="center"/>
          </w:tcPr>
          <w:p w14:paraId="4004F115" w14:textId="77777777" w:rsidR="006358D2" w:rsidRPr="00787196" w:rsidRDefault="006358D2"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Religion</w:t>
            </w:r>
          </w:p>
        </w:tc>
        <w:tc>
          <w:tcPr>
            <w:tcW w:w="735" w:type="dxa"/>
            <w:tcBorders>
              <w:left w:val="single" w:sz="8" w:space="0" w:color="000000"/>
              <w:right w:val="nil"/>
            </w:tcBorders>
            <w:shd w:val="clear" w:color="auto" w:fill="FFFFFF"/>
            <w:vAlign w:val="center"/>
          </w:tcPr>
          <w:p w14:paraId="18A180A2" w14:textId="4B26CA04" w:rsidR="006358D2" w:rsidRPr="00787196" w:rsidRDefault="006358D2" w:rsidP="00A5430A">
            <w:pPr>
              <w:autoSpaceDE w:val="0"/>
              <w:autoSpaceDN w:val="0"/>
              <w:adjustRightInd w:val="0"/>
              <w:spacing w:before="0" w:after="0" w:line="240" w:lineRule="auto"/>
              <w:ind w:right="-68"/>
              <w:jc w:val="center"/>
              <w:rPr>
                <w:rFonts w:cs="Arial"/>
                <w:color w:val="000000"/>
                <w:sz w:val="18"/>
                <w:szCs w:val="18"/>
              </w:rPr>
            </w:pPr>
            <w:r w:rsidRPr="00787196">
              <w:rPr>
                <w:rFonts w:cs="Arial"/>
                <w:color w:val="000000"/>
                <w:sz w:val="18"/>
                <w:szCs w:val="18"/>
              </w:rPr>
              <w:t>0.0</w:t>
            </w:r>
            <w:r w:rsidR="002363F6" w:rsidRPr="00787196">
              <w:rPr>
                <w:rFonts w:cs="Arial"/>
                <w:color w:val="000000"/>
                <w:sz w:val="18"/>
                <w:szCs w:val="18"/>
              </w:rPr>
              <w:t>32</w:t>
            </w:r>
          </w:p>
        </w:tc>
        <w:tc>
          <w:tcPr>
            <w:tcW w:w="704" w:type="dxa"/>
            <w:tcBorders>
              <w:left w:val="single" w:sz="8" w:space="0" w:color="000000"/>
              <w:right w:val="single" w:sz="8" w:space="0" w:color="000000"/>
            </w:tcBorders>
            <w:shd w:val="clear" w:color="auto" w:fill="FFFFFF"/>
            <w:vAlign w:val="center"/>
          </w:tcPr>
          <w:p w14:paraId="06D07DB4" w14:textId="6C565A72" w:rsidR="006358D2" w:rsidRPr="00787196" w:rsidRDefault="002363F6" w:rsidP="00A5430A">
            <w:pPr>
              <w:autoSpaceDE w:val="0"/>
              <w:autoSpaceDN w:val="0"/>
              <w:adjustRightInd w:val="0"/>
              <w:spacing w:before="0" w:after="0" w:line="240" w:lineRule="auto"/>
              <w:ind w:right="-73"/>
              <w:jc w:val="center"/>
              <w:rPr>
                <w:rFonts w:cs="Arial"/>
                <w:color w:val="000000"/>
                <w:sz w:val="18"/>
                <w:szCs w:val="18"/>
              </w:rPr>
            </w:pPr>
            <w:r w:rsidRPr="00787196">
              <w:rPr>
                <w:rFonts w:cs="Arial"/>
                <w:color w:val="000000"/>
                <w:sz w:val="18"/>
                <w:szCs w:val="18"/>
              </w:rPr>
              <w:t>0.046</w:t>
            </w:r>
          </w:p>
        </w:tc>
        <w:tc>
          <w:tcPr>
            <w:tcW w:w="815" w:type="dxa"/>
            <w:tcBorders>
              <w:left w:val="single" w:sz="8" w:space="0" w:color="000000"/>
              <w:right w:val="single" w:sz="8" w:space="0" w:color="000000"/>
            </w:tcBorders>
            <w:shd w:val="clear" w:color="auto" w:fill="FFFFFF"/>
            <w:vAlign w:val="center"/>
          </w:tcPr>
          <w:p w14:paraId="0773145F" w14:textId="615DB65B" w:rsidR="006358D2" w:rsidRPr="00787196" w:rsidRDefault="006358D2" w:rsidP="00A5430A">
            <w:pPr>
              <w:autoSpaceDE w:val="0"/>
              <w:autoSpaceDN w:val="0"/>
              <w:adjustRightInd w:val="0"/>
              <w:spacing w:before="0" w:after="0" w:line="240" w:lineRule="auto"/>
              <w:ind w:right="-66"/>
              <w:jc w:val="center"/>
              <w:rPr>
                <w:rFonts w:cs="Arial"/>
                <w:color w:val="000000"/>
                <w:sz w:val="18"/>
                <w:szCs w:val="18"/>
              </w:rPr>
            </w:pPr>
            <w:r w:rsidRPr="00787196">
              <w:rPr>
                <w:rFonts w:cs="Arial"/>
                <w:color w:val="000000"/>
                <w:sz w:val="18"/>
                <w:szCs w:val="18"/>
              </w:rPr>
              <w:t>0.0</w:t>
            </w:r>
            <w:r w:rsidR="002363F6" w:rsidRPr="00787196">
              <w:rPr>
                <w:rFonts w:cs="Arial"/>
                <w:color w:val="000000"/>
                <w:sz w:val="18"/>
                <w:szCs w:val="18"/>
              </w:rPr>
              <w:t>1</w:t>
            </w:r>
            <w:r w:rsidRPr="00787196">
              <w:rPr>
                <w:rFonts w:cs="Arial"/>
                <w:color w:val="000000"/>
                <w:sz w:val="18"/>
                <w:szCs w:val="18"/>
              </w:rPr>
              <w:t>9</w:t>
            </w:r>
          </w:p>
        </w:tc>
        <w:tc>
          <w:tcPr>
            <w:tcW w:w="851" w:type="dxa"/>
            <w:tcBorders>
              <w:left w:val="single" w:sz="8" w:space="0" w:color="000000"/>
              <w:right w:val="single" w:sz="8" w:space="0" w:color="000000"/>
            </w:tcBorders>
            <w:shd w:val="clear" w:color="auto" w:fill="FFFFFF"/>
            <w:vAlign w:val="center"/>
          </w:tcPr>
          <w:p w14:paraId="64E139E8" w14:textId="09BDF414" w:rsidR="006358D2" w:rsidRPr="00787196" w:rsidRDefault="006B600E"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0.0</w:t>
            </w:r>
            <w:r w:rsidRPr="00787196">
              <w:rPr>
                <w:rFonts w:cs="Arial"/>
                <w:color w:val="000000"/>
                <w:sz w:val="18"/>
                <w:szCs w:val="18"/>
              </w:rPr>
              <w:t>34</w:t>
            </w:r>
          </w:p>
        </w:tc>
        <w:tc>
          <w:tcPr>
            <w:tcW w:w="850" w:type="dxa"/>
            <w:tcBorders>
              <w:left w:val="single" w:sz="8" w:space="0" w:color="000000"/>
              <w:right w:val="single" w:sz="8" w:space="0" w:color="000000"/>
            </w:tcBorders>
            <w:shd w:val="clear" w:color="auto" w:fill="FFFFFF"/>
            <w:vAlign w:val="center"/>
          </w:tcPr>
          <w:p w14:paraId="2F77585E" w14:textId="34B0FBC4" w:rsidR="006358D2" w:rsidRPr="00787196" w:rsidRDefault="006B600E" w:rsidP="00A5430A">
            <w:pPr>
              <w:autoSpaceDE w:val="0"/>
              <w:autoSpaceDN w:val="0"/>
              <w:adjustRightInd w:val="0"/>
              <w:spacing w:before="0" w:after="0" w:line="240" w:lineRule="auto"/>
              <w:ind w:right="-245"/>
              <w:jc w:val="center"/>
              <w:rPr>
                <w:rFonts w:cs="Arial"/>
                <w:color w:val="000000"/>
                <w:sz w:val="18"/>
                <w:szCs w:val="18"/>
              </w:rPr>
            </w:pPr>
            <w:r w:rsidRPr="00787196">
              <w:rPr>
                <w:rFonts w:cs="Arial"/>
                <w:color w:val="000000"/>
                <w:sz w:val="18"/>
                <w:szCs w:val="18"/>
              </w:rPr>
              <w:t>0.033</w:t>
            </w:r>
          </w:p>
        </w:tc>
        <w:tc>
          <w:tcPr>
            <w:tcW w:w="855" w:type="dxa"/>
            <w:tcBorders>
              <w:left w:val="single" w:sz="8" w:space="0" w:color="000000"/>
              <w:right w:val="single" w:sz="8" w:space="0" w:color="000000"/>
            </w:tcBorders>
            <w:shd w:val="clear" w:color="auto" w:fill="FFFFFF"/>
            <w:vAlign w:val="center"/>
          </w:tcPr>
          <w:p w14:paraId="1085D4E2" w14:textId="1A21F73B" w:rsidR="006358D2" w:rsidRPr="00787196" w:rsidRDefault="005F6C24" w:rsidP="00A5430A">
            <w:pPr>
              <w:autoSpaceDE w:val="0"/>
              <w:autoSpaceDN w:val="0"/>
              <w:adjustRightInd w:val="0"/>
              <w:spacing w:before="0" w:after="0" w:line="240" w:lineRule="auto"/>
              <w:ind w:right="-39"/>
              <w:rPr>
                <w:rFonts w:cs="Arial"/>
                <w:color w:val="000000"/>
                <w:sz w:val="18"/>
                <w:szCs w:val="18"/>
              </w:rPr>
            </w:pPr>
            <w:r w:rsidRPr="00787196">
              <w:rPr>
                <w:rFonts w:cs="Arial"/>
                <w:color w:val="000000"/>
                <w:sz w:val="18"/>
                <w:szCs w:val="18"/>
              </w:rPr>
              <w:t xml:space="preserve"> </w:t>
            </w:r>
            <w:r w:rsidR="006B600E" w:rsidRPr="00787196">
              <w:rPr>
                <w:rFonts w:cs="Arial"/>
                <w:color w:val="000000"/>
                <w:sz w:val="18"/>
                <w:szCs w:val="18"/>
              </w:rPr>
              <w:t>0.04</w:t>
            </w:r>
            <w:r w:rsidR="006358D2" w:rsidRPr="00787196">
              <w:rPr>
                <w:rFonts w:cs="Arial"/>
                <w:color w:val="000000"/>
                <w:sz w:val="18"/>
                <w:szCs w:val="18"/>
              </w:rPr>
              <w:t>3</w:t>
            </w:r>
          </w:p>
        </w:tc>
        <w:tc>
          <w:tcPr>
            <w:tcW w:w="831" w:type="dxa"/>
            <w:tcBorders>
              <w:left w:val="single" w:sz="8" w:space="0" w:color="000000"/>
              <w:right w:val="single" w:sz="8" w:space="0" w:color="000000"/>
            </w:tcBorders>
            <w:shd w:val="clear" w:color="auto" w:fill="FFFFFF"/>
            <w:vAlign w:val="center"/>
          </w:tcPr>
          <w:p w14:paraId="7944A78F" w14:textId="6624AFFD" w:rsidR="006358D2" w:rsidRPr="00787196" w:rsidRDefault="006B600E"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w:t>
            </w:r>
            <w:r w:rsidR="006358D2" w:rsidRPr="00787196">
              <w:rPr>
                <w:rFonts w:cs="Arial"/>
                <w:color w:val="000000"/>
                <w:sz w:val="18"/>
                <w:szCs w:val="18"/>
              </w:rPr>
              <w:t>0.0</w:t>
            </w:r>
            <w:r w:rsidRPr="00787196">
              <w:rPr>
                <w:rFonts w:cs="Arial"/>
                <w:color w:val="000000"/>
                <w:sz w:val="18"/>
                <w:szCs w:val="18"/>
              </w:rPr>
              <w:t>29</w:t>
            </w:r>
          </w:p>
        </w:tc>
        <w:tc>
          <w:tcPr>
            <w:tcW w:w="945" w:type="dxa"/>
            <w:tcBorders>
              <w:left w:val="single" w:sz="8" w:space="0" w:color="000000"/>
              <w:right w:val="nil"/>
            </w:tcBorders>
            <w:shd w:val="clear" w:color="auto" w:fill="FFFFFF"/>
            <w:vAlign w:val="center"/>
          </w:tcPr>
          <w:p w14:paraId="59DD0166" w14:textId="4D9B4452" w:rsidR="006358D2" w:rsidRPr="00787196" w:rsidRDefault="006358D2" w:rsidP="00A5430A">
            <w:pPr>
              <w:autoSpaceDE w:val="0"/>
              <w:autoSpaceDN w:val="0"/>
              <w:adjustRightInd w:val="0"/>
              <w:spacing w:before="0" w:after="0" w:line="240" w:lineRule="auto"/>
              <w:jc w:val="center"/>
              <w:rPr>
                <w:rFonts w:cs="Arial"/>
                <w:color w:val="000000"/>
                <w:sz w:val="18"/>
                <w:szCs w:val="18"/>
              </w:rPr>
            </w:pPr>
            <w:r w:rsidRPr="00787196">
              <w:rPr>
                <w:rFonts w:cs="Arial"/>
                <w:color w:val="000000"/>
                <w:sz w:val="18"/>
                <w:szCs w:val="18"/>
              </w:rPr>
              <w:t>-0.0</w:t>
            </w:r>
            <w:r w:rsidR="006B600E" w:rsidRPr="00787196">
              <w:rPr>
                <w:rFonts w:cs="Arial"/>
                <w:color w:val="000000"/>
                <w:sz w:val="18"/>
                <w:szCs w:val="18"/>
              </w:rPr>
              <w:t>20</w:t>
            </w:r>
          </w:p>
        </w:tc>
      </w:tr>
    </w:tbl>
    <w:p w14:paraId="274D36C6" w14:textId="77777777" w:rsidR="00A5430A" w:rsidRPr="00787196" w:rsidRDefault="00A5430A" w:rsidP="00596CDC">
      <w:pPr>
        <w:spacing w:before="0" w:after="0" w:line="240" w:lineRule="auto"/>
        <w:rPr>
          <w:i/>
          <w:iCs/>
          <w:sz w:val="18"/>
          <w:szCs w:val="16"/>
        </w:rPr>
      </w:pPr>
    </w:p>
    <w:p w14:paraId="7F5F96D7" w14:textId="77777777" w:rsidR="00596CDC" w:rsidRPr="00787196" w:rsidRDefault="00596CDC" w:rsidP="00596CDC">
      <w:pPr>
        <w:spacing w:before="0" w:after="0" w:line="240" w:lineRule="auto"/>
        <w:rPr>
          <w:i/>
          <w:iCs/>
          <w:sz w:val="18"/>
          <w:szCs w:val="16"/>
        </w:rPr>
      </w:pPr>
      <w:r w:rsidRPr="00787196">
        <w:rPr>
          <w:i/>
          <w:iCs/>
          <w:sz w:val="18"/>
          <w:szCs w:val="16"/>
        </w:rPr>
        <w:t>**Correlation is significant at the 0.01 level (2-tailed)</w:t>
      </w:r>
    </w:p>
    <w:p w14:paraId="112AC393" w14:textId="77777777" w:rsidR="00596CDC" w:rsidRPr="00787196" w:rsidRDefault="00596CDC" w:rsidP="00596CDC">
      <w:pPr>
        <w:spacing w:before="0" w:line="240" w:lineRule="auto"/>
      </w:pPr>
      <w:r w:rsidRPr="00787196">
        <w:rPr>
          <w:i/>
          <w:iCs/>
          <w:sz w:val="18"/>
          <w:szCs w:val="16"/>
        </w:rPr>
        <w:t>* Correlation is significant at the 0.05 level (2-tailed</w:t>
      </w:r>
    </w:p>
    <w:p w14:paraId="22688999" w14:textId="77777777" w:rsidR="00C41AA2" w:rsidRPr="00787196" w:rsidRDefault="00C41AA2" w:rsidP="008F7DFE">
      <w:pPr>
        <w:spacing w:after="0"/>
      </w:pPr>
    </w:p>
    <w:p w14:paraId="19E4F529" w14:textId="046ACE55" w:rsidR="006141F9" w:rsidRPr="00787196" w:rsidRDefault="006141F9" w:rsidP="008F7DFE">
      <w:pPr>
        <w:spacing w:before="0"/>
      </w:pPr>
      <w:r w:rsidRPr="00787196">
        <w:t>Table 5-</w:t>
      </w:r>
      <w:r w:rsidR="00C41AA2" w:rsidRPr="00787196">
        <w:t>2</w:t>
      </w:r>
      <w:r w:rsidR="008329DC" w:rsidRPr="00787196">
        <w:t>5</w:t>
      </w:r>
      <w:r w:rsidRPr="00787196">
        <w:t xml:space="preserve"> presents the lagged bivariate analyses between coping strategies, individual factors at baseline</w:t>
      </w:r>
      <w:r w:rsidR="00BB6D24" w:rsidRPr="00787196">
        <w:t xml:space="preserve"> (T1)</w:t>
      </w:r>
      <w:r w:rsidRPr="00787196">
        <w:t xml:space="preserve"> with coping strategies at follow-up using Pearson’s correlation</w:t>
      </w:r>
      <w:r w:rsidR="0092064E" w:rsidRPr="00787196">
        <w:t xml:space="preserve"> (</w:t>
      </w:r>
      <w:r w:rsidRPr="00787196">
        <w:t>S</w:t>
      </w:r>
      <w:r w:rsidR="0092064E" w:rsidRPr="00787196">
        <w:t>pearman’s correlation for ageing expectations)</w:t>
      </w:r>
      <w:r w:rsidRPr="00787196">
        <w:t xml:space="preserve">. </w:t>
      </w:r>
      <w:r w:rsidR="0092064E" w:rsidRPr="00787196">
        <w:t xml:space="preserve">All coping strategy factors at baseline (T1) were associated significantly with their respective factors at follow-up (T2). </w:t>
      </w:r>
      <w:r w:rsidRPr="00787196">
        <w:t xml:space="preserve"> </w:t>
      </w:r>
      <w:r w:rsidR="0092064E" w:rsidRPr="00787196">
        <w:t>Self-blame</w:t>
      </w:r>
      <w:r w:rsidR="00504110" w:rsidRPr="00787196">
        <w:t xml:space="preserve"> </w:t>
      </w:r>
      <w:r w:rsidR="0092064E" w:rsidRPr="00787196">
        <w:t>coping factor</w:t>
      </w:r>
      <w:r w:rsidR="00504110" w:rsidRPr="00787196">
        <w:t xml:space="preserve"> during baseline</w:t>
      </w:r>
      <w:r w:rsidR="0092064E" w:rsidRPr="00787196">
        <w:t xml:space="preserve"> was significantly </w:t>
      </w:r>
      <w:r w:rsidR="00504110" w:rsidRPr="00787196">
        <w:t>associated</w:t>
      </w:r>
      <w:r w:rsidR="0092064E" w:rsidRPr="00787196">
        <w:t xml:space="preserve"> with Negative/adequate</w:t>
      </w:r>
      <w:r w:rsidR="00504110" w:rsidRPr="00787196">
        <w:t xml:space="preserve">/avoidance coping factor at follow-up. This suggested that people who tend to cope using self-blaming methods whilst receiving dentures tend to cope inadequately, in a negative and avoidant way over a period of time. </w:t>
      </w:r>
    </w:p>
    <w:p w14:paraId="665B1B2A" w14:textId="30EECC09" w:rsidR="006141F9" w:rsidRPr="00787196" w:rsidRDefault="006141F9" w:rsidP="006141F9">
      <w:pPr>
        <w:spacing w:before="0" w:after="0" w:line="240" w:lineRule="auto"/>
        <w:jc w:val="left"/>
        <w:rPr>
          <w:sz w:val="22"/>
        </w:rPr>
      </w:pPr>
      <w:bookmarkStart w:id="302" w:name="_Ref424116536"/>
    </w:p>
    <w:tbl>
      <w:tblPr>
        <w:tblpPr w:leftFromText="180" w:rightFromText="180" w:vertAnchor="text" w:horzAnchor="margin" w:tblpY="1139"/>
        <w:tblW w:w="8374"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46"/>
        <w:gridCol w:w="1359"/>
        <w:gridCol w:w="1510"/>
        <w:gridCol w:w="1444"/>
        <w:gridCol w:w="1215"/>
      </w:tblGrid>
      <w:tr w:rsidR="00773041" w:rsidRPr="00787196" w14:paraId="0CF7A87B" w14:textId="77777777" w:rsidTr="00A5430A">
        <w:trPr>
          <w:trHeight w:val="384"/>
        </w:trPr>
        <w:tc>
          <w:tcPr>
            <w:tcW w:w="2846" w:type="dxa"/>
            <w:vMerge w:val="restart"/>
            <w:tcBorders>
              <w:top w:val="single" w:sz="8" w:space="0" w:color="000000"/>
              <w:left w:val="nil"/>
              <w:bottom w:val="single" w:sz="8" w:space="0" w:color="000000"/>
              <w:right w:val="single" w:sz="8" w:space="0" w:color="000000"/>
            </w:tcBorders>
            <w:shd w:val="clear" w:color="auto" w:fill="FFFFFF"/>
            <w:vAlign w:val="center"/>
          </w:tcPr>
          <w:bookmarkEnd w:id="302"/>
          <w:p w14:paraId="6F966C11" w14:textId="77777777" w:rsidR="00773041" w:rsidRPr="00787196" w:rsidRDefault="00773041" w:rsidP="00A5430A">
            <w:pPr>
              <w:autoSpaceDE w:val="0"/>
              <w:autoSpaceDN w:val="0"/>
              <w:adjustRightInd w:val="0"/>
              <w:spacing w:before="0" w:after="0" w:line="240" w:lineRule="auto"/>
              <w:jc w:val="left"/>
              <w:rPr>
                <w:rFonts w:cs="Arial"/>
                <w:b/>
                <w:bCs/>
                <w:color w:val="000000"/>
                <w:szCs w:val="24"/>
              </w:rPr>
            </w:pPr>
            <w:r w:rsidRPr="00787196">
              <w:rPr>
                <w:rFonts w:cs="Arial"/>
                <w:b/>
                <w:bCs/>
                <w:color w:val="000000"/>
                <w:szCs w:val="24"/>
              </w:rPr>
              <w:lastRenderedPageBreak/>
              <w:t>Independent variables</w:t>
            </w:r>
          </w:p>
          <w:p w14:paraId="78BCC12F" w14:textId="77777777" w:rsidR="00773041" w:rsidRPr="00787196" w:rsidRDefault="00773041" w:rsidP="00A5430A">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Cs w:val="24"/>
              </w:rPr>
              <w:t xml:space="preserve">(baseline) </w:t>
            </w:r>
          </w:p>
        </w:tc>
        <w:tc>
          <w:tcPr>
            <w:tcW w:w="5528" w:type="dxa"/>
            <w:gridSpan w:val="4"/>
            <w:tcBorders>
              <w:top w:val="single" w:sz="8" w:space="0" w:color="000000"/>
              <w:left w:val="single" w:sz="8" w:space="0" w:color="000000"/>
              <w:bottom w:val="single" w:sz="8" w:space="0" w:color="000000"/>
              <w:right w:val="nil"/>
            </w:tcBorders>
            <w:shd w:val="clear" w:color="auto" w:fill="FFFFFF"/>
            <w:vAlign w:val="center"/>
          </w:tcPr>
          <w:p w14:paraId="7C4C0F66" w14:textId="686E8498" w:rsidR="00773041" w:rsidRPr="00787196" w:rsidRDefault="008D4EA6" w:rsidP="008D4EA6">
            <w:pPr>
              <w:autoSpaceDE w:val="0"/>
              <w:autoSpaceDN w:val="0"/>
              <w:adjustRightInd w:val="0"/>
              <w:spacing w:before="0" w:after="0" w:line="240" w:lineRule="auto"/>
              <w:jc w:val="center"/>
              <w:rPr>
                <w:rFonts w:cs="Arial"/>
                <w:color w:val="000000"/>
                <w:sz w:val="16"/>
                <w:szCs w:val="16"/>
              </w:rPr>
            </w:pPr>
            <w:r w:rsidRPr="00787196">
              <w:rPr>
                <w:rFonts w:cs="Arial"/>
                <w:color w:val="000000"/>
                <w:szCs w:val="24"/>
              </w:rPr>
              <w:t xml:space="preserve">Brief COPE factors </w:t>
            </w:r>
            <w:r w:rsidR="00773041" w:rsidRPr="00787196">
              <w:rPr>
                <w:rFonts w:cs="Arial"/>
                <w:color w:val="000000"/>
                <w:szCs w:val="24"/>
              </w:rPr>
              <w:t>at follow-up (T2)</w:t>
            </w:r>
            <w:r w:rsidR="008329DC" w:rsidRPr="00787196">
              <w:rPr>
                <w:rFonts w:cs="Arial"/>
                <w:color w:val="000000"/>
                <w:szCs w:val="24"/>
              </w:rPr>
              <w:t xml:space="preserve"> - R</w:t>
            </w:r>
          </w:p>
        </w:tc>
      </w:tr>
      <w:tr w:rsidR="00773041" w:rsidRPr="00787196" w14:paraId="14D8235F" w14:textId="77777777" w:rsidTr="00A5430A">
        <w:trPr>
          <w:trHeight w:val="775"/>
        </w:trPr>
        <w:tc>
          <w:tcPr>
            <w:tcW w:w="2846" w:type="dxa"/>
            <w:vMerge/>
            <w:tcBorders>
              <w:top w:val="single" w:sz="8" w:space="0" w:color="000000"/>
              <w:left w:val="nil"/>
              <w:bottom w:val="single" w:sz="8" w:space="0" w:color="000000"/>
              <w:right w:val="single" w:sz="8" w:space="0" w:color="000000"/>
            </w:tcBorders>
            <w:shd w:val="clear" w:color="auto" w:fill="FFFFFF"/>
            <w:vAlign w:val="center"/>
          </w:tcPr>
          <w:p w14:paraId="140723DE" w14:textId="77777777" w:rsidR="00773041" w:rsidRPr="00787196" w:rsidRDefault="00773041" w:rsidP="00A5430A">
            <w:pPr>
              <w:autoSpaceDE w:val="0"/>
              <w:autoSpaceDN w:val="0"/>
              <w:adjustRightInd w:val="0"/>
              <w:spacing w:before="0" w:after="0" w:line="240" w:lineRule="auto"/>
              <w:jc w:val="left"/>
              <w:rPr>
                <w:rFonts w:cs="Arial"/>
                <w:b/>
                <w:bCs/>
                <w:color w:val="000000"/>
                <w:sz w:val="20"/>
                <w:szCs w:val="20"/>
              </w:rPr>
            </w:pPr>
          </w:p>
        </w:tc>
        <w:tc>
          <w:tcPr>
            <w:tcW w:w="135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F7C36D" w14:textId="77777777" w:rsidR="00773041" w:rsidRPr="00787196" w:rsidRDefault="00773041"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Inadequate/negative/  avoidance</w:t>
            </w:r>
          </w:p>
        </w:tc>
        <w:tc>
          <w:tcPr>
            <w:tcW w:w="15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112D3F" w14:textId="77777777" w:rsidR="00773041" w:rsidRPr="00787196" w:rsidRDefault="00773041"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Adequate/</w:t>
            </w:r>
          </w:p>
          <w:p w14:paraId="6A01C571" w14:textId="77777777" w:rsidR="00773041" w:rsidRPr="00787196" w:rsidRDefault="00773041"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20"/>
                <w:szCs w:val="20"/>
              </w:rPr>
              <w:t>positive</w:t>
            </w:r>
          </w:p>
        </w:tc>
        <w:tc>
          <w:tcPr>
            <w:tcW w:w="144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006E1E" w14:textId="77777777" w:rsidR="00773041" w:rsidRPr="00787196" w:rsidRDefault="00773041" w:rsidP="00A5430A">
            <w:pPr>
              <w:autoSpaceDE w:val="0"/>
              <w:autoSpaceDN w:val="0"/>
              <w:adjustRightInd w:val="0"/>
              <w:spacing w:before="0" w:after="0" w:line="240" w:lineRule="auto"/>
              <w:jc w:val="center"/>
              <w:rPr>
                <w:rFonts w:cs="Arial"/>
                <w:color w:val="000000"/>
                <w:sz w:val="16"/>
                <w:szCs w:val="16"/>
              </w:rPr>
            </w:pPr>
            <w:r w:rsidRPr="00787196">
              <w:rPr>
                <w:rFonts w:cs="Arial"/>
                <w:color w:val="000000"/>
                <w:sz w:val="20"/>
                <w:szCs w:val="20"/>
              </w:rPr>
              <w:t>Self-blame</w:t>
            </w:r>
          </w:p>
        </w:tc>
        <w:tc>
          <w:tcPr>
            <w:tcW w:w="1215" w:type="dxa"/>
            <w:tcBorders>
              <w:top w:val="single" w:sz="8" w:space="0" w:color="000000"/>
              <w:left w:val="single" w:sz="8" w:space="0" w:color="000000"/>
              <w:bottom w:val="single" w:sz="8" w:space="0" w:color="000000"/>
              <w:right w:val="nil"/>
            </w:tcBorders>
            <w:shd w:val="clear" w:color="auto" w:fill="FFFFFF"/>
            <w:vAlign w:val="center"/>
          </w:tcPr>
          <w:p w14:paraId="688D6E94" w14:textId="77777777" w:rsidR="00773041" w:rsidRPr="00787196" w:rsidRDefault="00773041" w:rsidP="00A5430A">
            <w:pPr>
              <w:autoSpaceDE w:val="0"/>
              <w:autoSpaceDN w:val="0"/>
              <w:adjustRightInd w:val="0"/>
              <w:spacing w:before="0" w:after="0" w:line="240" w:lineRule="auto"/>
              <w:ind w:right="179"/>
              <w:jc w:val="center"/>
              <w:rPr>
                <w:rFonts w:cs="Arial"/>
                <w:color w:val="000000"/>
                <w:sz w:val="16"/>
                <w:szCs w:val="16"/>
              </w:rPr>
            </w:pPr>
            <w:r w:rsidRPr="00787196">
              <w:rPr>
                <w:rFonts w:cs="Arial"/>
                <w:color w:val="000000"/>
                <w:sz w:val="20"/>
                <w:szCs w:val="20"/>
              </w:rPr>
              <w:t>Religion</w:t>
            </w:r>
          </w:p>
        </w:tc>
      </w:tr>
      <w:tr w:rsidR="00773041" w:rsidRPr="00787196" w14:paraId="4CCC8286" w14:textId="77777777" w:rsidTr="00A5430A">
        <w:trPr>
          <w:trHeight w:val="334"/>
        </w:trPr>
        <w:tc>
          <w:tcPr>
            <w:tcW w:w="2846" w:type="dxa"/>
            <w:tcBorders>
              <w:top w:val="single" w:sz="8" w:space="0" w:color="000000"/>
              <w:left w:val="nil"/>
              <w:bottom w:val="nil"/>
              <w:right w:val="single" w:sz="8" w:space="0" w:color="000000"/>
            </w:tcBorders>
            <w:shd w:val="clear" w:color="auto" w:fill="FFFFFF"/>
            <w:vAlign w:val="center"/>
          </w:tcPr>
          <w:p w14:paraId="44679476" w14:textId="77777777" w:rsidR="008D4EA6" w:rsidRPr="00787196" w:rsidRDefault="008D4EA6" w:rsidP="00A5430A">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Baseline (T1)</w:t>
            </w:r>
          </w:p>
          <w:p w14:paraId="42D1B3CD" w14:textId="22318E56" w:rsidR="00773041" w:rsidRPr="00787196" w:rsidRDefault="008D4EA6" w:rsidP="00A5430A">
            <w:pPr>
              <w:autoSpaceDE w:val="0"/>
              <w:autoSpaceDN w:val="0"/>
              <w:adjustRightInd w:val="0"/>
              <w:spacing w:before="0" w:after="0" w:line="240" w:lineRule="auto"/>
              <w:jc w:val="left"/>
              <w:rPr>
                <w:rFonts w:cs="Arial"/>
                <w:color w:val="000000"/>
                <w:sz w:val="20"/>
                <w:szCs w:val="20"/>
              </w:rPr>
            </w:pPr>
            <w:r w:rsidRPr="00787196">
              <w:rPr>
                <w:rFonts w:cs="Arial"/>
                <w:b/>
                <w:bCs/>
                <w:color w:val="000000"/>
                <w:sz w:val="20"/>
                <w:szCs w:val="20"/>
              </w:rPr>
              <w:t xml:space="preserve">Brief COPE factors </w:t>
            </w:r>
          </w:p>
        </w:tc>
        <w:tc>
          <w:tcPr>
            <w:tcW w:w="1359" w:type="dxa"/>
            <w:tcBorders>
              <w:top w:val="single" w:sz="8" w:space="0" w:color="000000"/>
              <w:left w:val="single" w:sz="8" w:space="0" w:color="000000"/>
              <w:bottom w:val="nil"/>
              <w:right w:val="single" w:sz="8" w:space="0" w:color="000000"/>
            </w:tcBorders>
            <w:shd w:val="clear" w:color="auto" w:fill="FFFFFF"/>
            <w:vAlign w:val="center"/>
          </w:tcPr>
          <w:p w14:paraId="01EB9379" w14:textId="77777777" w:rsidR="00773041" w:rsidRPr="00787196" w:rsidRDefault="00773041" w:rsidP="00A5430A">
            <w:pPr>
              <w:autoSpaceDE w:val="0"/>
              <w:autoSpaceDN w:val="0"/>
              <w:adjustRightInd w:val="0"/>
              <w:spacing w:before="0" w:after="0" w:line="240" w:lineRule="auto"/>
              <w:ind w:right="-68"/>
              <w:jc w:val="center"/>
              <w:rPr>
                <w:rFonts w:cs="Arial"/>
                <w:color w:val="000000"/>
                <w:sz w:val="18"/>
                <w:szCs w:val="18"/>
              </w:rPr>
            </w:pPr>
          </w:p>
        </w:tc>
        <w:tc>
          <w:tcPr>
            <w:tcW w:w="1510" w:type="dxa"/>
            <w:tcBorders>
              <w:top w:val="single" w:sz="8" w:space="0" w:color="000000"/>
              <w:left w:val="single" w:sz="8" w:space="0" w:color="000000"/>
              <w:bottom w:val="nil"/>
              <w:right w:val="single" w:sz="8" w:space="0" w:color="000000"/>
            </w:tcBorders>
            <w:shd w:val="clear" w:color="auto" w:fill="FFFFFF"/>
            <w:vAlign w:val="center"/>
          </w:tcPr>
          <w:p w14:paraId="45852DD2" w14:textId="77777777" w:rsidR="00773041" w:rsidRPr="00787196" w:rsidRDefault="00773041" w:rsidP="00A5430A">
            <w:pPr>
              <w:autoSpaceDE w:val="0"/>
              <w:autoSpaceDN w:val="0"/>
              <w:adjustRightInd w:val="0"/>
              <w:spacing w:before="0" w:after="0" w:line="240" w:lineRule="auto"/>
              <w:ind w:right="-73"/>
              <w:jc w:val="center"/>
              <w:rPr>
                <w:rFonts w:cs="Arial"/>
                <w:color w:val="000000"/>
                <w:sz w:val="18"/>
                <w:szCs w:val="18"/>
              </w:rPr>
            </w:pPr>
          </w:p>
        </w:tc>
        <w:tc>
          <w:tcPr>
            <w:tcW w:w="1444" w:type="dxa"/>
            <w:tcBorders>
              <w:top w:val="single" w:sz="8" w:space="0" w:color="000000"/>
              <w:left w:val="single" w:sz="8" w:space="0" w:color="000000"/>
              <w:bottom w:val="nil"/>
              <w:right w:val="single" w:sz="8" w:space="0" w:color="000000"/>
            </w:tcBorders>
            <w:shd w:val="clear" w:color="auto" w:fill="FFFFFF"/>
            <w:vAlign w:val="center"/>
          </w:tcPr>
          <w:p w14:paraId="213BB938" w14:textId="77777777" w:rsidR="00773041" w:rsidRPr="00787196" w:rsidRDefault="00773041" w:rsidP="00A5430A">
            <w:pPr>
              <w:autoSpaceDE w:val="0"/>
              <w:autoSpaceDN w:val="0"/>
              <w:adjustRightInd w:val="0"/>
              <w:spacing w:before="0" w:after="0" w:line="240" w:lineRule="auto"/>
              <w:ind w:right="-66"/>
              <w:jc w:val="center"/>
              <w:rPr>
                <w:rFonts w:cs="Arial"/>
                <w:color w:val="000000"/>
                <w:sz w:val="20"/>
                <w:szCs w:val="20"/>
              </w:rPr>
            </w:pPr>
          </w:p>
        </w:tc>
        <w:tc>
          <w:tcPr>
            <w:tcW w:w="1215" w:type="dxa"/>
            <w:tcBorders>
              <w:top w:val="single" w:sz="8" w:space="0" w:color="000000"/>
              <w:left w:val="single" w:sz="8" w:space="0" w:color="000000"/>
              <w:bottom w:val="nil"/>
              <w:right w:val="nil"/>
            </w:tcBorders>
            <w:shd w:val="clear" w:color="auto" w:fill="FFFFFF"/>
            <w:vAlign w:val="center"/>
          </w:tcPr>
          <w:p w14:paraId="0B3D615A" w14:textId="77777777" w:rsidR="00773041" w:rsidRPr="00787196" w:rsidRDefault="00773041" w:rsidP="00A5430A">
            <w:pPr>
              <w:autoSpaceDE w:val="0"/>
              <w:autoSpaceDN w:val="0"/>
              <w:adjustRightInd w:val="0"/>
              <w:spacing w:before="0" w:after="0" w:line="240" w:lineRule="auto"/>
              <w:ind w:right="179"/>
              <w:jc w:val="center"/>
              <w:rPr>
                <w:rFonts w:cs="Arial"/>
                <w:color w:val="000000"/>
                <w:sz w:val="20"/>
                <w:szCs w:val="20"/>
              </w:rPr>
            </w:pPr>
          </w:p>
        </w:tc>
      </w:tr>
      <w:tr w:rsidR="00773041" w:rsidRPr="00787196" w14:paraId="6ED93919" w14:textId="77777777" w:rsidTr="00A5430A">
        <w:trPr>
          <w:trHeight w:val="301"/>
        </w:trPr>
        <w:tc>
          <w:tcPr>
            <w:tcW w:w="2846" w:type="dxa"/>
            <w:tcBorders>
              <w:top w:val="nil"/>
              <w:left w:val="nil"/>
              <w:bottom w:val="nil"/>
              <w:right w:val="single" w:sz="8" w:space="0" w:color="000000"/>
            </w:tcBorders>
            <w:shd w:val="clear" w:color="auto" w:fill="FFFFFF"/>
            <w:vAlign w:val="center"/>
          </w:tcPr>
          <w:p w14:paraId="5CB83DCC" w14:textId="77777777" w:rsidR="00773041" w:rsidRPr="00787196" w:rsidRDefault="00773041" w:rsidP="00A5430A">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Inadequate/negative/</w:t>
            </w:r>
          </w:p>
          <w:p w14:paraId="2327A343" w14:textId="77777777" w:rsidR="00773041" w:rsidRPr="00787196" w:rsidRDefault="00773041" w:rsidP="00A5430A">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avoidance</w:t>
            </w:r>
          </w:p>
        </w:tc>
        <w:tc>
          <w:tcPr>
            <w:tcW w:w="1359" w:type="dxa"/>
            <w:tcBorders>
              <w:top w:val="nil"/>
              <w:left w:val="single" w:sz="8" w:space="0" w:color="000000"/>
              <w:bottom w:val="nil"/>
              <w:right w:val="single" w:sz="8" w:space="0" w:color="000000"/>
            </w:tcBorders>
            <w:shd w:val="clear" w:color="auto" w:fill="FFFFFF"/>
            <w:vAlign w:val="center"/>
          </w:tcPr>
          <w:p w14:paraId="42AF0740"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 xml:space="preserve"> 0.211**</w:t>
            </w:r>
          </w:p>
        </w:tc>
        <w:tc>
          <w:tcPr>
            <w:tcW w:w="1510" w:type="dxa"/>
            <w:tcBorders>
              <w:top w:val="nil"/>
              <w:left w:val="single" w:sz="8" w:space="0" w:color="000000"/>
              <w:bottom w:val="nil"/>
              <w:right w:val="single" w:sz="8" w:space="0" w:color="000000"/>
            </w:tcBorders>
            <w:shd w:val="clear" w:color="auto" w:fill="FFFFFF"/>
            <w:vAlign w:val="center"/>
          </w:tcPr>
          <w:p w14:paraId="4FB5E7C8"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 xml:space="preserve"> 0.019</w:t>
            </w:r>
          </w:p>
        </w:tc>
        <w:tc>
          <w:tcPr>
            <w:tcW w:w="1444" w:type="dxa"/>
            <w:tcBorders>
              <w:top w:val="nil"/>
              <w:left w:val="single" w:sz="8" w:space="0" w:color="000000"/>
              <w:bottom w:val="nil"/>
              <w:right w:val="single" w:sz="8" w:space="0" w:color="000000"/>
            </w:tcBorders>
            <w:shd w:val="clear" w:color="auto" w:fill="FFFFFF"/>
            <w:vAlign w:val="center"/>
          </w:tcPr>
          <w:p w14:paraId="1089D314"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 xml:space="preserve"> 0.126</w:t>
            </w:r>
          </w:p>
        </w:tc>
        <w:tc>
          <w:tcPr>
            <w:tcW w:w="1215" w:type="dxa"/>
            <w:tcBorders>
              <w:top w:val="nil"/>
              <w:left w:val="single" w:sz="8" w:space="0" w:color="000000"/>
              <w:bottom w:val="nil"/>
              <w:right w:val="nil"/>
            </w:tcBorders>
            <w:shd w:val="clear" w:color="auto" w:fill="FFFFFF"/>
            <w:vAlign w:val="center"/>
          </w:tcPr>
          <w:p w14:paraId="12735D91"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0.080</w:t>
            </w:r>
          </w:p>
        </w:tc>
      </w:tr>
      <w:tr w:rsidR="00773041" w:rsidRPr="00787196" w14:paraId="37379F12" w14:textId="77777777" w:rsidTr="00A5430A">
        <w:trPr>
          <w:trHeight w:val="265"/>
        </w:trPr>
        <w:tc>
          <w:tcPr>
            <w:tcW w:w="2846" w:type="dxa"/>
            <w:tcBorders>
              <w:top w:val="nil"/>
              <w:left w:val="nil"/>
              <w:bottom w:val="nil"/>
              <w:right w:val="single" w:sz="8" w:space="0" w:color="000000"/>
            </w:tcBorders>
            <w:shd w:val="clear" w:color="auto" w:fill="FFFFFF"/>
            <w:vAlign w:val="center"/>
          </w:tcPr>
          <w:p w14:paraId="1E70617B" w14:textId="77777777" w:rsidR="00773041" w:rsidRPr="00787196" w:rsidRDefault="00773041" w:rsidP="00A5430A">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Adequate/positive</w:t>
            </w:r>
          </w:p>
        </w:tc>
        <w:tc>
          <w:tcPr>
            <w:tcW w:w="1359" w:type="dxa"/>
            <w:tcBorders>
              <w:top w:val="nil"/>
              <w:left w:val="single" w:sz="8" w:space="0" w:color="000000"/>
              <w:bottom w:val="nil"/>
              <w:right w:val="single" w:sz="8" w:space="0" w:color="000000"/>
            </w:tcBorders>
            <w:shd w:val="clear" w:color="auto" w:fill="FFFFFF"/>
            <w:vAlign w:val="center"/>
          </w:tcPr>
          <w:p w14:paraId="585866A7"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-0.069</w:t>
            </w:r>
          </w:p>
        </w:tc>
        <w:tc>
          <w:tcPr>
            <w:tcW w:w="1510" w:type="dxa"/>
            <w:tcBorders>
              <w:top w:val="nil"/>
              <w:left w:val="single" w:sz="8" w:space="0" w:color="000000"/>
              <w:bottom w:val="nil"/>
              <w:right w:val="single" w:sz="8" w:space="0" w:color="000000"/>
            </w:tcBorders>
            <w:shd w:val="clear" w:color="auto" w:fill="FFFFFF"/>
            <w:vAlign w:val="center"/>
          </w:tcPr>
          <w:p w14:paraId="5266ECA2"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 xml:space="preserve"> 0.159*</w:t>
            </w:r>
          </w:p>
        </w:tc>
        <w:tc>
          <w:tcPr>
            <w:tcW w:w="1444" w:type="dxa"/>
            <w:tcBorders>
              <w:top w:val="nil"/>
              <w:left w:val="single" w:sz="8" w:space="0" w:color="000000"/>
              <w:bottom w:val="nil"/>
              <w:right w:val="single" w:sz="8" w:space="0" w:color="000000"/>
            </w:tcBorders>
            <w:shd w:val="clear" w:color="auto" w:fill="FFFFFF"/>
            <w:vAlign w:val="center"/>
          </w:tcPr>
          <w:p w14:paraId="5190E621"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-0.047</w:t>
            </w:r>
          </w:p>
        </w:tc>
        <w:tc>
          <w:tcPr>
            <w:tcW w:w="1215" w:type="dxa"/>
            <w:tcBorders>
              <w:top w:val="nil"/>
              <w:left w:val="single" w:sz="8" w:space="0" w:color="000000"/>
              <w:bottom w:val="nil"/>
              <w:right w:val="nil"/>
            </w:tcBorders>
            <w:shd w:val="clear" w:color="auto" w:fill="FFFFFF"/>
            <w:vAlign w:val="center"/>
          </w:tcPr>
          <w:p w14:paraId="3ED973AE"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0.063</w:t>
            </w:r>
          </w:p>
        </w:tc>
      </w:tr>
      <w:tr w:rsidR="00773041" w:rsidRPr="00787196" w14:paraId="1DE95279" w14:textId="77777777" w:rsidTr="00A5430A">
        <w:trPr>
          <w:trHeight w:val="427"/>
        </w:trPr>
        <w:tc>
          <w:tcPr>
            <w:tcW w:w="2846" w:type="dxa"/>
            <w:tcBorders>
              <w:top w:val="nil"/>
              <w:left w:val="nil"/>
              <w:bottom w:val="nil"/>
              <w:right w:val="single" w:sz="8" w:space="0" w:color="000000"/>
            </w:tcBorders>
            <w:shd w:val="clear" w:color="auto" w:fill="FFFFFF"/>
            <w:vAlign w:val="center"/>
          </w:tcPr>
          <w:p w14:paraId="6BDE4C9A" w14:textId="77777777" w:rsidR="00773041" w:rsidRPr="00787196" w:rsidRDefault="00773041" w:rsidP="00A5430A">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Self-blame</w:t>
            </w:r>
          </w:p>
        </w:tc>
        <w:tc>
          <w:tcPr>
            <w:tcW w:w="1359" w:type="dxa"/>
            <w:tcBorders>
              <w:top w:val="nil"/>
              <w:left w:val="single" w:sz="8" w:space="0" w:color="000000"/>
              <w:bottom w:val="nil"/>
              <w:right w:val="single" w:sz="8" w:space="0" w:color="000000"/>
            </w:tcBorders>
            <w:shd w:val="clear" w:color="auto" w:fill="FFFFFF"/>
            <w:vAlign w:val="center"/>
          </w:tcPr>
          <w:p w14:paraId="4A2DB2B2"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-0.150*</w:t>
            </w:r>
          </w:p>
        </w:tc>
        <w:tc>
          <w:tcPr>
            <w:tcW w:w="1510" w:type="dxa"/>
            <w:tcBorders>
              <w:top w:val="nil"/>
              <w:left w:val="single" w:sz="8" w:space="0" w:color="000000"/>
              <w:bottom w:val="nil"/>
              <w:right w:val="single" w:sz="8" w:space="0" w:color="000000"/>
            </w:tcBorders>
            <w:shd w:val="clear" w:color="auto" w:fill="FFFFFF"/>
            <w:vAlign w:val="center"/>
          </w:tcPr>
          <w:p w14:paraId="562D2F27"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 xml:space="preserve"> 0.056</w:t>
            </w:r>
          </w:p>
        </w:tc>
        <w:tc>
          <w:tcPr>
            <w:tcW w:w="1444" w:type="dxa"/>
            <w:tcBorders>
              <w:top w:val="nil"/>
              <w:left w:val="single" w:sz="8" w:space="0" w:color="000000"/>
              <w:bottom w:val="nil"/>
              <w:right w:val="single" w:sz="8" w:space="0" w:color="000000"/>
            </w:tcBorders>
            <w:shd w:val="clear" w:color="auto" w:fill="FFFFFF"/>
            <w:vAlign w:val="center"/>
          </w:tcPr>
          <w:p w14:paraId="1E76D8DE"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 xml:space="preserve"> 0.332**</w:t>
            </w:r>
          </w:p>
        </w:tc>
        <w:tc>
          <w:tcPr>
            <w:tcW w:w="1215" w:type="dxa"/>
            <w:tcBorders>
              <w:top w:val="nil"/>
              <w:left w:val="single" w:sz="8" w:space="0" w:color="000000"/>
              <w:bottom w:val="nil"/>
              <w:right w:val="nil"/>
            </w:tcBorders>
            <w:shd w:val="clear" w:color="auto" w:fill="FFFFFF"/>
            <w:vAlign w:val="center"/>
          </w:tcPr>
          <w:p w14:paraId="506A6D20"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0.042</w:t>
            </w:r>
          </w:p>
        </w:tc>
      </w:tr>
      <w:tr w:rsidR="00773041" w:rsidRPr="00787196" w14:paraId="2F18A500" w14:textId="77777777" w:rsidTr="00A5430A">
        <w:trPr>
          <w:trHeight w:val="201"/>
        </w:trPr>
        <w:tc>
          <w:tcPr>
            <w:tcW w:w="2846" w:type="dxa"/>
            <w:tcBorders>
              <w:top w:val="nil"/>
              <w:left w:val="nil"/>
              <w:bottom w:val="nil"/>
              <w:right w:val="single" w:sz="8" w:space="0" w:color="000000"/>
            </w:tcBorders>
            <w:shd w:val="clear" w:color="auto" w:fill="FFFFFF"/>
            <w:vAlign w:val="center"/>
          </w:tcPr>
          <w:p w14:paraId="1B0DAA60" w14:textId="77777777" w:rsidR="00773041" w:rsidRPr="00787196" w:rsidRDefault="00773041" w:rsidP="00A5430A">
            <w:pPr>
              <w:autoSpaceDE w:val="0"/>
              <w:autoSpaceDN w:val="0"/>
              <w:adjustRightInd w:val="0"/>
              <w:spacing w:before="0" w:after="0" w:line="240" w:lineRule="auto"/>
              <w:jc w:val="left"/>
              <w:rPr>
                <w:rFonts w:cs="Arial"/>
                <w:color w:val="000000"/>
                <w:sz w:val="19"/>
                <w:szCs w:val="19"/>
              </w:rPr>
            </w:pPr>
            <w:r w:rsidRPr="00787196">
              <w:rPr>
                <w:rFonts w:cs="Arial"/>
                <w:color w:val="000000"/>
                <w:sz w:val="19"/>
                <w:szCs w:val="19"/>
              </w:rPr>
              <w:t>Religion</w:t>
            </w:r>
          </w:p>
        </w:tc>
        <w:tc>
          <w:tcPr>
            <w:tcW w:w="1359" w:type="dxa"/>
            <w:tcBorders>
              <w:top w:val="nil"/>
              <w:left w:val="single" w:sz="8" w:space="0" w:color="000000"/>
              <w:bottom w:val="nil"/>
              <w:right w:val="single" w:sz="8" w:space="0" w:color="000000"/>
            </w:tcBorders>
            <w:shd w:val="clear" w:color="auto" w:fill="FFFFFF"/>
            <w:vAlign w:val="center"/>
          </w:tcPr>
          <w:p w14:paraId="764DE41D"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 xml:space="preserve"> 0.029</w:t>
            </w:r>
          </w:p>
        </w:tc>
        <w:tc>
          <w:tcPr>
            <w:tcW w:w="1510" w:type="dxa"/>
            <w:tcBorders>
              <w:top w:val="nil"/>
              <w:left w:val="single" w:sz="8" w:space="0" w:color="000000"/>
              <w:bottom w:val="nil"/>
              <w:right w:val="single" w:sz="8" w:space="0" w:color="000000"/>
            </w:tcBorders>
            <w:shd w:val="clear" w:color="auto" w:fill="FFFFFF"/>
            <w:vAlign w:val="center"/>
          </w:tcPr>
          <w:p w14:paraId="25351211"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 xml:space="preserve"> 0.048</w:t>
            </w:r>
          </w:p>
        </w:tc>
        <w:tc>
          <w:tcPr>
            <w:tcW w:w="1444" w:type="dxa"/>
            <w:tcBorders>
              <w:top w:val="nil"/>
              <w:left w:val="single" w:sz="8" w:space="0" w:color="000000"/>
              <w:bottom w:val="nil"/>
              <w:right w:val="single" w:sz="8" w:space="0" w:color="000000"/>
            </w:tcBorders>
            <w:shd w:val="clear" w:color="auto" w:fill="FFFFFF"/>
            <w:vAlign w:val="center"/>
          </w:tcPr>
          <w:p w14:paraId="0002CE73"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 xml:space="preserve"> 0.017</w:t>
            </w:r>
          </w:p>
        </w:tc>
        <w:tc>
          <w:tcPr>
            <w:tcW w:w="1215" w:type="dxa"/>
            <w:tcBorders>
              <w:top w:val="nil"/>
              <w:left w:val="single" w:sz="8" w:space="0" w:color="000000"/>
              <w:bottom w:val="nil"/>
              <w:right w:val="nil"/>
            </w:tcBorders>
            <w:shd w:val="clear" w:color="auto" w:fill="FFFFFF"/>
            <w:vAlign w:val="center"/>
          </w:tcPr>
          <w:p w14:paraId="06B6D511"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0.693**</w:t>
            </w:r>
          </w:p>
        </w:tc>
      </w:tr>
      <w:tr w:rsidR="00773041" w:rsidRPr="00787196" w14:paraId="2B24D758" w14:textId="77777777" w:rsidTr="00A5430A">
        <w:trPr>
          <w:trHeight w:val="426"/>
        </w:trPr>
        <w:tc>
          <w:tcPr>
            <w:tcW w:w="2846" w:type="dxa"/>
            <w:tcBorders>
              <w:top w:val="nil"/>
              <w:left w:val="nil"/>
              <w:bottom w:val="nil"/>
              <w:right w:val="single" w:sz="8" w:space="0" w:color="000000"/>
            </w:tcBorders>
            <w:shd w:val="clear" w:color="auto" w:fill="FFFFFF"/>
            <w:vAlign w:val="center"/>
          </w:tcPr>
          <w:p w14:paraId="5F7EBEAC"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r w:rsidRPr="00787196">
              <w:rPr>
                <w:rFonts w:cs="Arial"/>
                <w:b/>
                <w:bCs/>
                <w:color w:val="000000"/>
                <w:sz w:val="20"/>
                <w:szCs w:val="20"/>
              </w:rPr>
              <w:t>Individual factors</w:t>
            </w:r>
          </w:p>
        </w:tc>
        <w:tc>
          <w:tcPr>
            <w:tcW w:w="1359" w:type="dxa"/>
            <w:tcBorders>
              <w:top w:val="nil"/>
              <w:left w:val="single" w:sz="8" w:space="0" w:color="000000"/>
              <w:bottom w:val="nil"/>
              <w:right w:val="single" w:sz="8" w:space="0" w:color="000000"/>
            </w:tcBorders>
            <w:shd w:val="clear" w:color="auto" w:fill="FFFFFF"/>
            <w:vAlign w:val="center"/>
          </w:tcPr>
          <w:p w14:paraId="1C65ACC5"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p>
        </w:tc>
        <w:tc>
          <w:tcPr>
            <w:tcW w:w="1510" w:type="dxa"/>
            <w:tcBorders>
              <w:top w:val="nil"/>
              <w:left w:val="single" w:sz="8" w:space="0" w:color="000000"/>
              <w:bottom w:val="nil"/>
              <w:right w:val="single" w:sz="8" w:space="0" w:color="000000"/>
            </w:tcBorders>
            <w:shd w:val="clear" w:color="auto" w:fill="FFFFFF"/>
            <w:vAlign w:val="center"/>
          </w:tcPr>
          <w:p w14:paraId="03A1C4B5"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p>
        </w:tc>
        <w:tc>
          <w:tcPr>
            <w:tcW w:w="1444" w:type="dxa"/>
            <w:tcBorders>
              <w:top w:val="nil"/>
              <w:left w:val="single" w:sz="8" w:space="0" w:color="000000"/>
              <w:bottom w:val="nil"/>
              <w:right w:val="single" w:sz="8" w:space="0" w:color="000000"/>
            </w:tcBorders>
            <w:shd w:val="clear" w:color="auto" w:fill="FFFFFF"/>
            <w:vAlign w:val="center"/>
          </w:tcPr>
          <w:p w14:paraId="7003FDA3"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p>
        </w:tc>
        <w:tc>
          <w:tcPr>
            <w:tcW w:w="1215" w:type="dxa"/>
            <w:tcBorders>
              <w:top w:val="nil"/>
              <w:left w:val="single" w:sz="8" w:space="0" w:color="000000"/>
              <w:bottom w:val="nil"/>
              <w:right w:val="nil"/>
            </w:tcBorders>
            <w:shd w:val="clear" w:color="auto" w:fill="FFFFFF"/>
            <w:vAlign w:val="center"/>
          </w:tcPr>
          <w:p w14:paraId="642644A8"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p>
        </w:tc>
      </w:tr>
      <w:tr w:rsidR="00773041" w:rsidRPr="00787196" w14:paraId="36E6B2B8" w14:textId="77777777" w:rsidTr="00A5430A">
        <w:trPr>
          <w:trHeight w:val="355"/>
        </w:trPr>
        <w:tc>
          <w:tcPr>
            <w:tcW w:w="2846" w:type="dxa"/>
            <w:tcBorders>
              <w:top w:val="nil"/>
              <w:left w:val="nil"/>
              <w:bottom w:val="nil"/>
              <w:right w:val="single" w:sz="8" w:space="0" w:color="000000"/>
            </w:tcBorders>
            <w:shd w:val="clear" w:color="auto" w:fill="FFFFFF"/>
            <w:vAlign w:val="center"/>
          </w:tcPr>
          <w:p w14:paraId="3F661D8A"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Subjective SES</w:t>
            </w:r>
          </w:p>
        </w:tc>
        <w:tc>
          <w:tcPr>
            <w:tcW w:w="1359" w:type="dxa"/>
            <w:tcBorders>
              <w:top w:val="nil"/>
              <w:left w:val="single" w:sz="8" w:space="0" w:color="000000"/>
              <w:bottom w:val="nil"/>
              <w:right w:val="single" w:sz="8" w:space="0" w:color="000000"/>
            </w:tcBorders>
            <w:shd w:val="clear" w:color="auto" w:fill="FFFFFF"/>
            <w:vAlign w:val="center"/>
          </w:tcPr>
          <w:p w14:paraId="4B88176A"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-0.001</w:t>
            </w:r>
          </w:p>
        </w:tc>
        <w:tc>
          <w:tcPr>
            <w:tcW w:w="1510" w:type="dxa"/>
            <w:tcBorders>
              <w:top w:val="nil"/>
              <w:left w:val="single" w:sz="8" w:space="0" w:color="000000"/>
              <w:bottom w:val="nil"/>
              <w:right w:val="single" w:sz="8" w:space="0" w:color="000000"/>
            </w:tcBorders>
            <w:shd w:val="clear" w:color="auto" w:fill="FFFFFF"/>
            <w:vAlign w:val="center"/>
          </w:tcPr>
          <w:p w14:paraId="3EF72702"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-0.056</w:t>
            </w:r>
          </w:p>
        </w:tc>
        <w:tc>
          <w:tcPr>
            <w:tcW w:w="1444" w:type="dxa"/>
            <w:tcBorders>
              <w:top w:val="nil"/>
              <w:left w:val="single" w:sz="8" w:space="0" w:color="000000"/>
              <w:bottom w:val="nil"/>
              <w:right w:val="single" w:sz="8" w:space="0" w:color="000000"/>
            </w:tcBorders>
            <w:shd w:val="clear" w:color="auto" w:fill="FFFFFF"/>
            <w:vAlign w:val="center"/>
          </w:tcPr>
          <w:p w14:paraId="2AA047FA"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-0.022</w:t>
            </w:r>
          </w:p>
        </w:tc>
        <w:tc>
          <w:tcPr>
            <w:tcW w:w="1215" w:type="dxa"/>
            <w:tcBorders>
              <w:top w:val="nil"/>
              <w:left w:val="single" w:sz="8" w:space="0" w:color="000000"/>
              <w:bottom w:val="nil"/>
              <w:right w:val="nil"/>
            </w:tcBorders>
            <w:shd w:val="clear" w:color="auto" w:fill="FFFFFF"/>
            <w:vAlign w:val="center"/>
          </w:tcPr>
          <w:p w14:paraId="61F609E6"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0.113</w:t>
            </w:r>
          </w:p>
        </w:tc>
      </w:tr>
      <w:tr w:rsidR="00773041" w:rsidRPr="00787196" w14:paraId="3DA6827E" w14:textId="77777777" w:rsidTr="00A5430A">
        <w:trPr>
          <w:trHeight w:val="274"/>
        </w:trPr>
        <w:tc>
          <w:tcPr>
            <w:tcW w:w="2846" w:type="dxa"/>
            <w:tcBorders>
              <w:top w:val="nil"/>
              <w:left w:val="nil"/>
              <w:bottom w:val="nil"/>
              <w:right w:val="single" w:sz="8" w:space="0" w:color="000000"/>
            </w:tcBorders>
            <w:shd w:val="clear" w:color="auto" w:fill="FFFFFF"/>
            <w:vAlign w:val="center"/>
          </w:tcPr>
          <w:p w14:paraId="4B63017A"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Concern about oral health</w:t>
            </w:r>
          </w:p>
        </w:tc>
        <w:tc>
          <w:tcPr>
            <w:tcW w:w="1359" w:type="dxa"/>
            <w:tcBorders>
              <w:top w:val="nil"/>
              <w:left w:val="single" w:sz="8" w:space="0" w:color="000000"/>
              <w:bottom w:val="nil"/>
              <w:right w:val="single" w:sz="8" w:space="0" w:color="000000"/>
            </w:tcBorders>
            <w:shd w:val="clear" w:color="auto" w:fill="FFFFFF"/>
            <w:vAlign w:val="center"/>
          </w:tcPr>
          <w:p w14:paraId="303C8DD9"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-0.037</w:t>
            </w:r>
          </w:p>
        </w:tc>
        <w:tc>
          <w:tcPr>
            <w:tcW w:w="1510" w:type="dxa"/>
            <w:tcBorders>
              <w:top w:val="nil"/>
              <w:left w:val="single" w:sz="8" w:space="0" w:color="000000"/>
              <w:bottom w:val="nil"/>
              <w:right w:val="single" w:sz="8" w:space="0" w:color="000000"/>
            </w:tcBorders>
            <w:shd w:val="clear" w:color="auto" w:fill="FFFFFF"/>
            <w:vAlign w:val="center"/>
          </w:tcPr>
          <w:p w14:paraId="1E1A8039"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 xml:space="preserve"> 0.021</w:t>
            </w:r>
          </w:p>
        </w:tc>
        <w:tc>
          <w:tcPr>
            <w:tcW w:w="1444" w:type="dxa"/>
            <w:tcBorders>
              <w:top w:val="nil"/>
              <w:left w:val="single" w:sz="8" w:space="0" w:color="000000"/>
              <w:bottom w:val="nil"/>
              <w:right w:val="single" w:sz="8" w:space="0" w:color="000000"/>
            </w:tcBorders>
            <w:shd w:val="clear" w:color="auto" w:fill="FFFFFF"/>
            <w:vAlign w:val="center"/>
          </w:tcPr>
          <w:p w14:paraId="79B5BBA2"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-0.092</w:t>
            </w:r>
          </w:p>
        </w:tc>
        <w:tc>
          <w:tcPr>
            <w:tcW w:w="1215" w:type="dxa"/>
            <w:tcBorders>
              <w:top w:val="nil"/>
              <w:left w:val="single" w:sz="8" w:space="0" w:color="000000"/>
              <w:bottom w:val="nil"/>
              <w:right w:val="nil"/>
            </w:tcBorders>
            <w:shd w:val="clear" w:color="auto" w:fill="FFFFFF"/>
            <w:vAlign w:val="center"/>
          </w:tcPr>
          <w:p w14:paraId="4BEC2725"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0.096</w:t>
            </w:r>
          </w:p>
        </w:tc>
      </w:tr>
      <w:tr w:rsidR="00773041" w:rsidRPr="00787196" w14:paraId="6688BF01" w14:textId="77777777" w:rsidTr="00A5430A">
        <w:trPr>
          <w:trHeight w:val="279"/>
        </w:trPr>
        <w:tc>
          <w:tcPr>
            <w:tcW w:w="2846" w:type="dxa"/>
            <w:tcBorders>
              <w:top w:val="nil"/>
              <w:left w:val="nil"/>
              <w:bottom w:val="nil"/>
              <w:right w:val="single" w:sz="8" w:space="0" w:color="000000"/>
            </w:tcBorders>
            <w:shd w:val="clear" w:color="auto" w:fill="FFFFFF"/>
            <w:vAlign w:val="center"/>
          </w:tcPr>
          <w:p w14:paraId="37E903A0"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Perceived stress</w:t>
            </w:r>
          </w:p>
        </w:tc>
        <w:tc>
          <w:tcPr>
            <w:tcW w:w="1359" w:type="dxa"/>
            <w:tcBorders>
              <w:top w:val="nil"/>
              <w:left w:val="single" w:sz="8" w:space="0" w:color="000000"/>
              <w:bottom w:val="nil"/>
              <w:right w:val="single" w:sz="8" w:space="0" w:color="000000"/>
            </w:tcBorders>
            <w:shd w:val="clear" w:color="auto" w:fill="FFFFFF"/>
            <w:vAlign w:val="center"/>
          </w:tcPr>
          <w:p w14:paraId="013CE187"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-0.068</w:t>
            </w:r>
          </w:p>
        </w:tc>
        <w:tc>
          <w:tcPr>
            <w:tcW w:w="1510" w:type="dxa"/>
            <w:tcBorders>
              <w:top w:val="nil"/>
              <w:left w:val="single" w:sz="8" w:space="0" w:color="000000"/>
              <w:bottom w:val="nil"/>
              <w:right w:val="single" w:sz="8" w:space="0" w:color="000000"/>
            </w:tcBorders>
            <w:shd w:val="clear" w:color="auto" w:fill="FFFFFF"/>
            <w:vAlign w:val="center"/>
          </w:tcPr>
          <w:p w14:paraId="17A4A7B3"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-0.025</w:t>
            </w:r>
          </w:p>
        </w:tc>
        <w:tc>
          <w:tcPr>
            <w:tcW w:w="1444" w:type="dxa"/>
            <w:tcBorders>
              <w:top w:val="nil"/>
              <w:left w:val="single" w:sz="8" w:space="0" w:color="000000"/>
              <w:bottom w:val="nil"/>
              <w:right w:val="single" w:sz="8" w:space="0" w:color="000000"/>
            </w:tcBorders>
            <w:shd w:val="clear" w:color="auto" w:fill="FFFFFF"/>
            <w:vAlign w:val="center"/>
          </w:tcPr>
          <w:p w14:paraId="22C24596"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 xml:space="preserve"> 0.027</w:t>
            </w:r>
          </w:p>
        </w:tc>
        <w:tc>
          <w:tcPr>
            <w:tcW w:w="1215" w:type="dxa"/>
            <w:tcBorders>
              <w:top w:val="nil"/>
              <w:left w:val="single" w:sz="8" w:space="0" w:color="000000"/>
              <w:bottom w:val="nil"/>
              <w:right w:val="nil"/>
            </w:tcBorders>
            <w:shd w:val="clear" w:color="auto" w:fill="FFFFFF"/>
            <w:vAlign w:val="center"/>
          </w:tcPr>
          <w:p w14:paraId="11F45C61"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0.116</w:t>
            </w:r>
          </w:p>
        </w:tc>
      </w:tr>
      <w:tr w:rsidR="00773041" w:rsidRPr="00787196" w14:paraId="38A01462" w14:textId="77777777" w:rsidTr="00A5430A">
        <w:trPr>
          <w:trHeight w:val="234"/>
        </w:trPr>
        <w:tc>
          <w:tcPr>
            <w:tcW w:w="2846" w:type="dxa"/>
            <w:tcBorders>
              <w:top w:val="nil"/>
              <w:left w:val="nil"/>
              <w:bottom w:val="nil"/>
              <w:right w:val="single" w:sz="8" w:space="0" w:color="000000"/>
            </w:tcBorders>
            <w:shd w:val="clear" w:color="auto" w:fill="FFFFFF"/>
            <w:vAlign w:val="center"/>
          </w:tcPr>
          <w:p w14:paraId="27146FAE"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 xml:space="preserve">Ageing expectations (ρ)  </w:t>
            </w:r>
          </w:p>
        </w:tc>
        <w:tc>
          <w:tcPr>
            <w:tcW w:w="1359" w:type="dxa"/>
            <w:tcBorders>
              <w:top w:val="nil"/>
              <w:left w:val="single" w:sz="8" w:space="0" w:color="000000"/>
              <w:bottom w:val="nil"/>
              <w:right w:val="single" w:sz="8" w:space="0" w:color="000000"/>
            </w:tcBorders>
            <w:shd w:val="clear" w:color="auto" w:fill="FFFFFF"/>
            <w:vAlign w:val="center"/>
          </w:tcPr>
          <w:p w14:paraId="560D2DFE" w14:textId="77777777" w:rsidR="00773041" w:rsidRPr="00787196" w:rsidRDefault="00773041" w:rsidP="00A5430A">
            <w:pPr>
              <w:autoSpaceDE w:val="0"/>
              <w:autoSpaceDN w:val="0"/>
              <w:adjustRightInd w:val="0"/>
              <w:spacing w:before="0" w:after="0" w:line="240" w:lineRule="auto"/>
              <w:ind w:right="-68" w:firstLine="307"/>
              <w:jc w:val="left"/>
              <w:rPr>
                <w:rFonts w:cs="Arial"/>
                <w:color w:val="000000"/>
                <w:sz w:val="20"/>
                <w:szCs w:val="20"/>
              </w:rPr>
            </w:pPr>
            <w:r w:rsidRPr="00787196">
              <w:rPr>
                <w:rFonts w:cs="Arial"/>
                <w:color w:val="000000"/>
                <w:sz w:val="20"/>
                <w:szCs w:val="20"/>
              </w:rPr>
              <w:t xml:space="preserve"> 0.025</w:t>
            </w:r>
          </w:p>
        </w:tc>
        <w:tc>
          <w:tcPr>
            <w:tcW w:w="1510" w:type="dxa"/>
            <w:tcBorders>
              <w:top w:val="nil"/>
              <w:left w:val="single" w:sz="8" w:space="0" w:color="000000"/>
              <w:bottom w:val="nil"/>
              <w:right w:val="single" w:sz="8" w:space="0" w:color="000000"/>
            </w:tcBorders>
            <w:shd w:val="clear" w:color="auto" w:fill="FFFFFF"/>
            <w:vAlign w:val="center"/>
          </w:tcPr>
          <w:p w14:paraId="52AA4390" w14:textId="77777777" w:rsidR="00773041" w:rsidRPr="00787196" w:rsidRDefault="00773041" w:rsidP="00A5430A">
            <w:pPr>
              <w:autoSpaceDE w:val="0"/>
              <w:autoSpaceDN w:val="0"/>
              <w:adjustRightInd w:val="0"/>
              <w:spacing w:before="0" w:after="0" w:line="240" w:lineRule="auto"/>
              <w:ind w:right="-73" w:firstLine="365"/>
              <w:jc w:val="left"/>
              <w:rPr>
                <w:rFonts w:cs="Arial"/>
                <w:color w:val="000000"/>
                <w:sz w:val="20"/>
                <w:szCs w:val="20"/>
              </w:rPr>
            </w:pPr>
            <w:r w:rsidRPr="00787196">
              <w:rPr>
                <w:rFonts w:cs="Arial"/>
                <w:color w:val="000000"/>
                <w:sz w:val="20"/>
                <w:szCs w:val="20"/>
              </w:rPr>
              <w:t>-0.042</w:t>
            </w:r>
          </w:p>
        </w:tc>
        <w:tc>
          <w:tcPr>
            <w:tcW w:w="1444" w:type="dxa"/>
            <w:tcBorders>
              <w:top w:val="nil"/>
              <w:left w:val="single" w:sz="8" w:space="0" w:color="000000"/>
              <w:bottom w:val="nil"/>
              <w:right w:val="single" w:sz="8" w:space="0" w:color="000000"/>
            </w:tcBorders>
            <w:shd w:val="clear" w:color="auto" w:fill="FFFFFF"/>
            <w:vAlign w:val="center"/>
          </w:tcPr>
          <w:p w14:paraId="68EEC06E" w14:textId="77777777" w:rsidR="00773041" w:rsidRPr="00787196" w:rsidRDefault="00773041" w:rsidP="00A5430A">
            <w:pPr>
              <w:autoSpaceDE w:val="0"/>
              <w:autoSpaceDN w:val="0"/>
              <w:adjustRightInd w:val="0"/>
              <w:spacing w:before="0" w:after="0" w:line="240" w:lineRule="auto"/>
              <w:ind w:right="-66" w:firstLine="273"/>
              <w:jc w:val="left"/>
              <w:rPr>
                <w:rFonts w:cs="Arial"/>
                <w:color w:val="000000"/>
                <w:sz w:val="20"/>
                <w:szCs w:val="20"/>
              </w:rPr>
            </w:pPr>
            <w:r w:rsidRPr="00787196">
              <w:rPr>
                <w:rFonts w:cs="Arial"/>
                <w:color w:val="000000"/>
                <w:sz w:val="20"/>
                <w:szCs w:val="20"/>
              </w:rPr>
              <w:t xml:space="preserve"> 0.096</w:t>
            </w:r>
          </w:p>
        </w:tc>
        <w:tc>
          <w:tcPr>
            <w:tcW w:w="1215" w:type="dxa"/>
            <w:tcBorders>
              <w:top w:val="nil"/>
              <w:left w:val="single" w:sz="8" w:space="0" w:color="000000"/>
              <w:bottom w:val="nil"/>
              <w:right w:val="nil"/>
            </w:tcBorders>
            <w:shd w:val="clear" w:color="auto" w:fill="FFFFFF"/>
            <w:vAlign w:val="center"/>
          </w:tcPr>
          <w:p w14:paraId="2A5922FD" w14:textId="77777777" w:rsidR="00773041" w:rsidRPr="00787196" w:rsidRDefault="00773041" w:rsidP="00A5430A">
            <w:pPr>
              <w:autoSpaceDE w:val="0"/>
              <w:autoSpaceDN w:val="0"/>
              <w:adjustRightInd w:val="0"/>
              <w:spacing w:before="0" w:after="0" w:line="240" w:lineRule="auto"/>
              <w:ind w:right="179" w:firstLine="104"/>
              <w:jc w:val="left"/>
              <w:rPr>
                <w:rFonts w:cs="Arial"/>
                <w:color w:val="000000"/>
                <w:sz w:val="20"/>
                <w:szCs w:val="20"/>
              </w:rPr>
            </w:pPr>
            <w:r w:rsidRPr="00787196">
              <w:rPr>
                <w:rFonts w:cs="Arial"/>
                <w:color w:val="000000"/>
                <w:sz w:val="20"/>
                <w:szCs w:val="20"/>
              </w:rPr>
              <w:t>0.020</w:t>
            </w:r>
          </w:p>
        </w:tc>
      </w:tr>
      <w:tr w:rsidR="00773041" w:rsidRPr="00787196" w14:paraId="2745DC6E" w14:textId="77777777" w:rsidTr="00A5430A">
        <w:trPr>
          <w:trHeight w:val="156"/>
        </w:trPr>
        <w:tc>
          <w:tcPr>
            <w:tcW w:w="2846" w:type="dxa"/>
            <w:tcBorders>
              <w:top w:val="nil"/>
              <w:left w:val="nil"/>
              <w:bottom w:val="single" w:sz="8" w:space="0" w:color="000000"/>
              <w:right w:val="single" w:sz="8" w:space="0" w:color="000000"/>
            </w:tcBorders>
            <w:shd w:val="clear" w:color="auto" w:fill="FFFFFF"/>
            <w:vAlign w:val="center"/>
          </w:tcPr>
          <w:p w14:paraId="703AD096" w14:textId="77777777" w:rsidR="00773041" w:rsidRPr="00787196" w:rsidRDefault="00773041" w:rsidP="00A5430A">
            <w:pPr>
              <w:autoSpaceDE w:val="0"/>
              <w:autoSpaceDN w:val="0"/>
              <w:adjustRightInd w:val="0"/>
              <w:spacing w:before="0" w:after="0" w:line="240" w:lineRule="auto"/>
              <w:jc w:val="left"/>
              <w:rPr>
                <w:rFonts w:cs="Arial"/>
                <w:color w:val="000000"/>
                <w:sz w:val="20"/>
                <w:szCs w:val="20"/>
              </w:rPr>
            </w:pPr>
          </w:p>
        </w:tc>
        <w:tc>
          <w:tcPr>
            <w:tcW w:w="1359" w:type="dxa"/>
            <w:tcBorders>
              <w:top w:val="nil"/>
              <w:left w:val="single" w:sz="8" w:space="0" w:color="000000"/>
              <w:bottom w:val="single" w:sz="8" w:space="0" w:color="000000"/>
              <w:right w:val="single" w:sz="8" w:space="0" w:color="000000"/>
            </w:tcBorders>
            <w:shd w:val="clear" w:color="auto" w:fill="FFFFFF"/>
            <w:vAlign w:val="center"/>
          </w:tcPr>
          <w:p w14:paraId="1B60F44B" w14:textId="77777777" w:rsidR="00773041" w:rsidRPr="00787196" w:rsidRDefault="00773041" w:rsidP="00A5430A">
            <w:pPr>
              <w:autoSpaceDE w:val="0"/>
              <w:autoSpaceDN w:val="0"/>
              <w:adjustRightInd w:val="0"/>
              <w:spacing w:before="0" w:after="0" w:line="240" w:lineRule="auto"/>
              <w:ind w:right="-68"/>
              <w:jc w:val="center"/>
              <w:rPr>
                <w:rFonts w:cs="Arial"/>
                <w:color w:val="000000"/>
                <w:sz w:val="18"/>
                <w:szCs w:val="18"/>
              </w:rPr>
            </w:pPr>
          </w:p>
        </w:tc>
        <w:tc>
          <w:tcPr>
            <w:tcW w:w="1510" w:type="dxa"/>
            <w:tcBorders>
              <w:top w:val="nil"/>
              <w:left w:val="single" w:sz="8" w:space="0" w:color="000000"/>
              <w:bottom w:val="single" w:sz="8" w:space="0" w:color="000000"/>
              <w:right w:val="single" w:sz="8" w:space="0" w:color="000000"/>
            </w:tcBorders>
            <w:shd w:val="clear" w:color="auto" w:fill="FFFFFF"/>
            <w:vAlign w:val="center"/>
          </w:tcPr>
          <w:p w14:paraId="7188A700" w14:textId="77777777" w:rsidR="00773041" w:rsidRPr="00787196" w:rsidRDefault="00773041" w:rsidP="00A5430A">
            <w:pPr>
              <w:autoSpaceDE w:val="0"/>
              <w:autoSpaceDN w:val="0"/>
              <w:adjustRightInd w:val="0"/>
              <w:spacing w:before="0" w:after="0" w:line="240" w:lineRule="auto"/>
              <w:ind w:right="-73"/>
              <w:jc w:val="center"/>
              <w:rPr>
                <w:rFonts w:cs="Arial"/>
                <w:color w:val="000000"/>
                <w:sz w:val="18"/>
                <w:szCs w:val="18"/>
              </w:rPr>
            </w:pPr>
          </w:p>
        </w:tc>
        <w:tc>
          <w:tcPr>
            <w:tcW w:w="1444" w:type="dxa"/>
            <w:tcBorders>
              <w:top w:val="nil"/>
              <w:left w:val="single" w:sz="8" w:space="0" w:color="000000"/>
              <w:bottom w:val="single" w:sz="8" w:space="0" w:color="000000"/>
              <w:right w:val="single" w:sz="8" w:space="0" w:color="000000"/>
            </w:tcBorders>
            <w:shd w:val="clear" w:color="auto" w:fill="FFFFFF"/>
            <w:vAlign w:val="center"/>
          </w:tcPr>
          <w:p w14:paraId="227BAF53" w14:textId="77777777" w:rsidR="00773041" w:rsidRPr="00787196" w:rsidRDefault="00773041" w:rsidP="00A5430A">
            <w:pPr>
              <w:autoSpaceDE w:val="0"/>
              <w:autoSpaceDN w:val="0"/>
              <w:adjustRightInd w:val="0"/>
              <w:spacing w:before="0" w:after="0" w:line="240" w:lineRule="auto"/>
              <w:ind w:right="-66"/>
              <w:jc w:val="center"/>
              <w:rPr>
                <w:rFonts w:cs="Arial"/>
                <w:color w:val="000000"/>
                <w:sz w:val="18"/>
                <w:szCs w:val="18"/>
              </w:rPr>
            </w:pPr>
          </w:p>
        </w:tc>
        <w:tc>
          <w:tcPr>
            <w:tcW w:w="1215" w:type="dxa"/>
            <w:tcBorders>
              <w:top w:val="nil"/>
              <w:left w:val="single" w:sz="8" w:space="0" w:color="000000"/>
              <w:bottom w:val="single" w:sz="8" w:space="0" w:color="000000"/>
              <w:right w:val="nil"/>
            </w:tcBorders>
            <w:shd w:val="clear" w:color="auto" w:fill="FFFFFF"/>
            <w:vAlign w:val="center"/>
          </w:tcPr>
          <w:p w14:paraId="7E01D499" w14:textId="77777777" w:rsidR="00773041" w:rsidRPr="00787196" w:rsidRDefault="00773041" w:rsidP="00A5430A">
            <w:pPr>
              <w:autoSpaceDE w:val="0"/>
              <w:autoSpaceDN w:val="0"/>
              <w:adjustRightInd w:val="0"/>
              <w:spacing w:before="0" w:after="0" w:line="240" w:lineRule="auto"/>
              <w:ind w:right="179" w:firstLine="104"/>
              <w:jc w:val="center"/>
              <w:rPr>
                <w:rFonts w:cs="Arial"/>
                <w:color w:val="000000"/>
                <w:sz w:val="18"/>
                <w:szCs w:val="18"/>
              </w:rPr>
            </w:pPr>
          </w:p>
        </w:tc>
      </w:tr>
    </w:tbl>
    <w:p w14:paraId="7888E89A" w14:textId="7078CC1B" w:rsidR="00BB6D24" w:rsidRPr="00787196" w:rsidRDefault="00473AEA" w:rsidP="008D4EA6">
      <w:pPr>
        <w:pStyle w:val="Caption"/>
        <w:spacing w:line="276" w:lineRule="auto"/>
        <w:jc w:val="left"/>
        <w:rPr>
          <w:sz w:val="21"/>
          <w:szCs w:val="21"/>
        </w:rPr>
      </w:pPr>
      <w:bookmarkStart w:id="303" w:name="_Toc488655554"/>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25</w:t>
      </w:r>
      <w:r w:rsidR="000332A1" w:rsidRPr="00787196">
        <w:rPr>
          <w:b/>
          <w:bCs/>
          <w:i w:val="0"/>
          <w:iCs w:val="0"/>
          <w:color w:val="auto"/>
          <w:sz w:val="20"/>
          <w:szCs w:val="20"/>
        </w:rPr>
        <w:fldChar w:fldCharType="end"/>
      </w:r>
      <w:r w:rsidRPr="00787196">
        <w:rPr>
          <w:b/>
          <w:bCs/>
          <w:i w:val="0"/>
          <w:iCs w:val="0"/>
          <w:color w:val="auto"/>
          <w:sz w:val="20"/>
          <w:szCs w:val="20"/>
        </w:rPr>
        <w:t xml:space="preserve">. </w:t>
      </w:r>
      <w:r w:rsidR="008D4EA6" w:rsidRPr="00787196">
        <w:rPr>
          <w:b/>
          <w:bCs/>
          <w:i w:val="0"/>
          <w:iCs w:val="0"/>
          <w:color w:val="auto"/>
          <w:sz w:val="20"/>
          <w:szCs w:val="20"/>
        </w:rPr>
        <w:t xml:space="preserve">Bivariate associations </w:t>
      </w:r>
      <w:r w:rsidRPr="00787196">
        <w:rPr>
          <w:b/>
          <w:bCs/>
          <w:i w:val="0"/>
          <w:iCs w:val="0"/>
          <w:color w:val="auto"/>
          <w:sz w:val="20"/>
          <w:szCs w:val="20"/>
        </w:rPr>
        <w:t xml:space="preserve">between </w:t>
      </w:r>
      <w:r w:rsidR="008D4EA6" w:rsidRPr="00787196">
        <w:rPr>
          <w:b/>
          <w:bCs/>
          <w:i w:val="0"/>
          <w:iCs w:val="0"/>
          <w:color w:val="auto"/>
          <w:sz w:val="20"/>
          <w:szCs w:val="20"/>
        </w:rPr>
        <w:t>Brief COPE factors</w:t>
      </w:r>
      <w:r w:rsidRPr="00787196">
        <w:rPr>
          <w:b/>
          <w:bCs/>
          <w:i w:val="0"/>
          <w:iCs w:val="0"/>
          <w:color w:val="auto"/>
          <w:sz w:val="20"/>
          <w:szCs w:val="20"/>
        </w:rPr>
        <w:t xml:space="preserve"> and individual factors at baseline</w:t>
      </w:r>
      <w:r w:rsidR="00DF658C" w:rsidRPr="00787196">
        <w:rPr>
          <w:b/>
          <w:bCs/>
          <w:i w:val="0"/>
          <w:iCs w:val="0"/>
          <w:color w:val="auto"/>
          <w:sz w:val="20"/>
          <w:szCs w:val="20"/>
        </w:rPr>
        <w:t xml:space="preserve"> (T1)</w:t>
      </w:r>
      <w:r w:rsidRPr="00787196">
        <w:rPr>
          <w:b/>
          <w:bCs/>
          <w:i w:val="0"/>
          <w:iCs w:val="0"/>
          <w:color w:val="auto"/>
          <w:sz w:val="20"/>
          <w:szCs w:val="20"/>
        </w:rPr>
        <w:t xml:space="preserve"> </w:t>
      </w:r>
      <w:r w:rsidR="008D4EA6" w:rsidRPr="00787196">
        <w:rPr>
          <w:b/>
          <w:bCs/>
          <w:i w:val="0"/>
          <w:iCs w:val="0"/>
          <w:color w:val="auto"/>
          <w:sz w:val="20"/>
          <w:szCs w:val="20"/>
        </w:rPr>
        <w:t>and Brief COPE factors</w:t>
      </w:r>
      <w:r w:rsidRPr="00787196">
        <w:rPr>
          <w:b/>
          <w:bCs/>
          <w:i w:val="0"/>
          <w:iCs w:val="0"/>
          <w:color w:val="auto"/>
          <w:sz w:val="20"/>
          <w:szCs w:val="20"/>
        </w:rPr>
        <w:t xml:space="preserve"> at follow-up</w:t>
      </w:r>
      <w:r w:rsidR="00DF658C" w:rsidRPr="00787196">
        <w:rPr>
          <w:b/>
          <w:bCs/>
          <w:i w:val="0"/>
          <w:iCs w:val="0"/>
          <w:color w:val="auto"/>
          <w:sz w:val="20"/>
          <w:szCs w:val="20"/>
        </w:rPr>
        <w:t xml:space="preserve"> (T2)</w:t>
      </w:r>
      <w:bookmarkEnd w:id="303"/>
    </w:p>
    <w:p w14:paraId="583B1BFA" w14:textId="77777777" w:rsidR="00A5430A" w:rsidRPr="00787196" w:rsidRDefault="00A5430A" w:rsidP="00672BFD">
      <w:pPr>
        <w:spacing w:before="0" w:after="0" w:line="240" w:lineRule="auto"/>
        <w:rPr>
          <w:i/>
          <w:iCs/>
          <w:sz w:val="18"/>
          <w:szCs w:val="18"/>
        </w:rPr>
      </w:pPr>
    </w:p>
    <w:p w14:paraId="2726F31F" w14:textId="458AA0BC" w:rsidR="00672BFD" w:rsidRPr="00787196" w:rsidRDefault="00672BFD" w:rsidP="00672BFD">
      <w:pPr>
        <w:spacing w:before="0" w:after="0" w:line="240" w:lineRule="auto"/>
        <w:rPr>
          <w:i/>
          <w:iCs/>
          <w:sz w:val="18"/>
          <w:szCs w:val="18"/>
        </w:rPr>
      </w:pPr>
      <w:r w:rsidRPr="00787196">
        <w:rPr>
          <w:i/>
          <w:iCs/>
          <w:sz w:val="18"/>
          <w:szCs w:val="18"/>
        </w:rPr>
        <w:t xml:space="preserve">**Correlation is significant at the 0.01 level (2-tailed) </w:t>
      </w:r>
    </w:p>
    <w:p w14:paraId="1C49A97B" w14:textId="77777777" w:rsidR="00672BFD" w:rsidRPr="00787196" w:rsidRDefault="00672BFD" w:rsidP="00672BFD">
      <w:pPr>
        <w:spacing w:before="0" w:after="0" w:line="240" w:lineRule="auto"/>
        <w:rPr>
          <w:i/>
          <w:iCs/>
          <w:sz w:val="18"/>
          <w:szCs w:val="18"/>
        </w:rPr>
      </w:pPr>
      <w:r w:rsidRPr="00787196">
        <w:rPr>
          <w:i/>
          <w:iCs/>
          <w:sz w:val="18"/>
          <w:szCs w:val="18"/>
        </w:rPr>
        <w:t>* Correlation is significant at the 0.05 level (2-tailed)</w:t>
      </w:r>
    </w:p>
    <w:p w14:paraId="21CE8D2C" w14:textId="77777777" w:rsidR="006141F9" w:rsidRPr="00787196" w:rsidRDefault="006141F9" w:rsidP="006141F9">
      <w:pPr>
        <w:spacing w:before="0" w:after="0" w:line="240" w:lineRule="auto"/>
        <w:rPr>
          <w:szCs w:val="24"/>
        </w:rPr>
      </w:pPr>
    </w:p>
    <w:p w14:paraId="7AFE4F11" w14:textId="49498333" w:rsidR="009848A9" w:rsidRPr="00787196" w:rsidRDefault="00526C17" w:rsidP="00DF658C">
      <w:pPr>
        <w:spacing w:before="0" w:after="0"/>
        <w:rPr>
          <w:szCs w:val="24"/>
        </w:rPr>
      </w:pPr>
      <w:r w:rsidRPr="00787196">
        <w:rPr>
          <w:iCs/>
          <w:szCs w:val="24"/>
        </w:rPr>
        <w:t>Table 5-26 summarises the relationships between demographic factors and environmental factors at baseline</w:t>
      </w:r>
      <w:r w:rsidR="00DF658C" w:rsidRPr="00787196">
        <w:rPr>
          <w:iCs/>
          <w:szCs w:val="24"/>
        </w:rPr>
        <w:t xml:space="preserve"> (T1)</w:t>
      </w:r>
      <w:r w:rsidRPr="00787196">
        <w:rPr>
          <w:iCs/>
          <w:szCs w:val="24"/>
        </w:rPr>
        <w:t xml:space="preserve"> and coping strategies at follow-up</w:t>
      </w:r>
      <w:r w:rsidR="00DF658C" w:rsidRPr="00787196">
        <w:rPr>
          <w:iCs/>
          <w:szCs w:val="24"/>
        </w:rPr>
        <w:t xml:space="preserve"> (T2)</w:t>
      </w:r>
      <w:r w:rsidRPr="00787196">
        <w:rPr>
          <w:iCs/>
          <w:szCs w:val="24"/>
        </w:rPr>
        <w:t>. There</w:t>
      </w:r>
      <w:r w:rsidR="00DF658C" w:rsidRPr="00787196">
        <w:rPr>
          <w:iCs/>
          <w:szCs w:val="24"/>
        </w:rPr>
        <w:t xml:space="preserve"> was significant association between occupational status and religious coping factor at follow-up. This suggested that people who were still in active employment used significantly lesser ways to cope with their dentures using religious/spiritual beliefs.</w:t>
      </w:r>
    </w:p>
    <w:p w14:paraId="243B1884" w14:textId="227DFCCC" w:rsidR="00DF658C" w:rsidRPr="00787196" w:rsidRDefault="00DF658C" w:rsidP="008D4EA6">
      <w:pPr>
        <w:pStyle w:val="Caption"/>
        <w:spacing w:before="0" w:after="0" w:line="276" w:lineRule="auto"/>
        <w:rPr>
          <w:b/>
          <w:bCs/>
          <w:i w:val="0"/>
          <w:iCs w:val="0"/>
          <w:color w:val="auto"/>
          <w:sz w:val="20"/>
          <w:szCs w:val="20"/>
        </w:rPr>
      </w:pPr>
      <w:bookmarkStart w:id="304" w:name="_Toc488655555"/>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26</w:t>
      </w:r>
      <w:r w:rsidR="000332A1" w:rsidRPr="00787196">
        <w:rPr>
          <w:b/>
          <w:bCs/>
          <w:i w:val="0"/>
          <w:iCs w:val="0"/>
          <w:color w:val="auto"/>
          <w:sz w:val="20"/>
          <w:szCs w:val="20"/>
        </w:rPr>
        <w:fldChar w:fldCharType="end"/>
      </w:r>
      <w:r w:rsidRPr="00787196">
        <w:rPr>
          <w:b/>
          <w:bCs/>
          <w:i w:val="0"/>
          <w:iCs w:val="0"/>
          <w:color w:val="auto"/>
          <w:sz w:val="20"/>
          <w:szCs w:val="20"/>
        </w:rPr>
        <w:t xml:space="preserve">. </w:t>
      </w:r>
      <w:r w:rsidR="008D4EA6" w:rsidRPr="00787196">
        <w:rPr>
          <w:b/>
          <w:bCs/>
          <w:i w:val="0"/>
          <w:iCs w:val="0"/>
          <w:color w:val="auto"/>
          <w:sz w:val="20"/>
          <w:szCs w:val="20"/>
        </w:rPr>
        <w:t>Bivariate associations b</w:t>
      </w:r>
      <w:r w:rsidRPr="00787196">
        <w:rPr>
          <w:b/>
          <w:bCs/>
          <w:i w:val="0"/>
          <w:iCs w:val="0"/>
          <w:color w:val="auto"/>
          <w:sz w:val="20"/>
          <w:szCs w:val="20"/>
        </w:rPr>
        <w:t xml:space="preserve">etween demographic and environmental factors </w:t>
      </w:r>
      <w:r w:rsidR="008D4EA6" w:rsidRPr="00787196">
        <w:rPr>
          <w:b/>
          <w:bCs/>
          <w:i w:val="0"/>
          <w:iCs w:val="0"/>
          <w:color w:val="auto"/>
          <w:sz w:val="20"/>
          <w:szCs w:val="20"/>
        </w:rPr>
        <w:t xml:space="preserve">and </w:t>
      </w:r>
      <w:r w:rsidRPr="00787196">
        <w:rPr>
          <w:b/>
          <w:bCs/>
          <w:i w:val="0"/>
          <w:iCs w:val="0"/>
          <w:color w:val="auto"/>
          <w:sz w:val="20"/>
          <w:szCs w:val="20"/>
        </w:rPr>
        <w:t>coping strategies at follow-up (T2</w:t>
      </w:r>
      <w:r w:rsidR="00C86D0C" w:rsidRPr="00787196">
        <w:rPr>
          <w:b/>
          <w:bCs/>
          <w:i w:val="0"/>
          <w:iCs w:val="0"/>
          <w:color w:val="auto"/>
          <w:sz w:val="20"/>
          <w:szCs w:val="20"/>
        </w:rPr>
        <w:t>)</w:t>
      </w:r>
      <w:bookmarkEnd w:id="304"/>
    </w:p>
    <w:p w14:paraId="7314917F" w14:textId="77777777" w:rsidR="00A5430A" w:rsidRPr="00787196" w:rsidRDefault="00A5430A" w:rsidP="006141F9">
      <w:pPr>
        <w:spacing w:before="0" w:after="0" w:line="240" w:lineRule="auto"/>
        <w:rPr>
          <w:i/>
          <w:iCs/>
          <w:sz w:val="22"/>
        </w:rPr>
      </w:pPr>
    </w:p>
    <w:tbl>
      <w:tblPr>
        <w:tblpPr w:leftFromText="180" w:rightFromText="180" w:vertAnchor="text" w:horzAnchor="margin" w:tblpY="9"/>
        <w:tblW w:w="7959"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705"/>
        <w:gridCol w:w="1292"/>
        <w:gridCol w:w="1435"/>
        <w:gridCol w:w="1372"/>
        <w:gridCol w:w="1155"/>
      </w:tblGrid>
      <w:tr w:rsidR="00ED23DE" w:rsidRPr="00787196" w14:paraId="0FAE6BFA" w14:textId="77777777" w:rsidTr="00ED23DE">
        <w:trPr>
          <w:trHeight w:val="52"/>
        </w:trPr>
        <w:tc>
          <w:tcPr>
            <w:tcW w:w="2705" w:type="dxa"/>
            <w:vMerge w:val="restart"/>
            <w:tcBorders>
              <w:top w:val="single" w:sz="8" w:space="0" w:color="000000"/>
              <w:left w:val="nil"/>
              <w:bottom w:val="single" w:sz="8" w:space="0" w:color="000000"/>
              <w:right w:val="single" w:sz="8" w:space="0" w:color="000000"/>
            </w:tcBorders>
            <w:shd w:val="clear" w:color="auto" w:fill="FFFFFF"/>
            <w:vAlign w:val="center"/>
          </w:tcPr>
          <w:p w14:paraId="3B80B408" w14:textId="77777777" w:rsidR="00ED23DE" w:rsidRPr="00787196" w:rsidRDefault="00ED23DE" w:rsidP="00ED23DE">
            <w:pPr>
              <w:autoSpaceDE w:val="0"/>
              <w:autoSpaceDN w:val="0"/>
              <w:adjustRightInd w:val="0"/>
              <w:spacing w:before="0" w:after="0" w:line="240" w:lineRule="auto"/>
              <w:jc w:val="left"/>
              <w:rPr>
                <w:rFonts w:cs="Arial"/>
                <w:b/>
                <w:bCs/>
                <w:color w:val="000000"/>
                <w:szCs w:val="24"/>
              </w:rPr>
            </w:pPr>
            <w:r w:rsidRPr="00787196">
              <w:rPr>
                <w:rFonts w:cs="Arial"/>
                <w:b/>
                <w:bCs/>
                <w:color w:val="000000"/>
                <w:szCs w:val="24"/>
              </w:rPr>
              <w:t>Independent variables</w:t>
            </w:r>
          </w:p>
          <w:p w14:paraId="53876641" w14:textId="77777777" w:rsidR="00ED23DE" w:rsidRPr="00787196" w:rsidRDefault="00ED23DE" w:rsidP="00ED23DE">
            <w:pPr>
              <w:autoSpaceDE w:val="0"/>
              <w:autoSpaceDN w:val="0"/>
              <w:adjustRightInd w:val="0"/>
              <w:spacing w:before="0" w:after="0" w:line="240" w:lineRule="auto"/>
              <w:jc w:val="left"/>
              <w:rPr>
                <w:rFonts w:cs="Arial"/>
                <w:b/>
                <w:bCs/>
                <w:color w:val="000000"/>
                <w:sz w:val="19"/>
                <w:szCs w:val="19"/>
              </w:rPr>
            </w:pPr>
            <w:r w:rsidRPr="00787196">
              <w:rPr>
                <w:rFonts w:cs="Arial"/>
                <w:b/>
                <w:bCs/>
                <w:color w:val="000000"/>
                <w:szCs w:val="24"/>
              </w:rPr>
              <w:t>(baseline)</w:t>
            </w:r>
          </w:p>
          <w:p w14:paraId="0C6AB32B" w14:textId="77777777" w:rsidR="00ED23DE" w:rsidRPr="00787196" w:rsidRDefault="00ED23DE" w:rsidP="00ED23DE">
            <w:pPr>
              <w:autoSpaceDE w:val="0"/>
              <w:autoSpaceDN w:val="0"/>
              <w:adjustRightInd w:val="0"/>
              <w:spacing w:before="0" w:after="0" w:line="240" w:lineRule="auto"/>
              <w:jc w:val="left"/>
              <w:rPr>
                <w:rFonts w:cs="Arial"/>
                <w:b/>
                <w:bCs/>
                <w:color w:val="000000"/>
                <w:sz w:val="19"/>
                <w:szCs w:val="19"/>
              </w:rPr>
            </w:pPr>
          </w:p>
        </w:tc>
        <w:tc>
          <w:tcPr>
            <w:tcW w:w="5254" w:type="dxa"/>
            <w:gridSpan w:val="4"/>
            <w:tcBorders>
              <w:top w:val="single" w:sz="8" w:space="0" w:color="000000"/>
              <w:left w:val="single" w:sz="8" w:space="0" w:color="000000"/>
              <w:bottom w:val="single" w:sz="8" w:space="0" w:color="000000"/>
              <w:right w:val="nil"/>
            </w:tcBorders>
            <w:shd w:val="clear" w:color="auto" w:fill="FFFFFF"/>
            <w:vAlign w:val="center"/>
          </w:tcPr>
          <w:p w14:paraId="74682D25" w14:textId="77777777" w:rsidR="00ED23DE" w:rsidRPr="00787196" w:rsidRDefault="00ED23DE" w:rsidP="00ED23DE">
            <w:pPr>
              <w:autoSpaceDE w:val="0"/>
              <w:autoSpaceDN w:val="0"/>
              <w:adjustRightInd w:val="0"/>
              <w:spacing w:before="0" w:after="0" w:line="240" w:lineRule="auto"/>
              <w:ind w:right="-73"/>
              <w:jc w:val="center"/>
              <w:rPr>
                <w:rFonts w:cs="Arial"/>
                <w:color w:val="000000"/>
                <w:sz w:val="18"/>
                <w:szCs w:val="18"/>
              </w:rPr>
            </w:pPr>
            <w:r w:rsidRPr="00787196">
              <w:rPr>
                <w:rFonts w:cs="Arial"/>
                <w:color w:val="000000"/>
                <w:szCs w:val="24"/>
              </w:rPr>
              <w:t>Coping strategies at follow-up (T2) - t</w:t>
            </w:r>
          </w:p>
          <w:p w14:paraId="5B98CAF1" w14:textId="77777777" w:rsidR="00ED23DE" w:rsidRPr="00787196" w:rsidRDefault="00ED23DE" w:rsidP="00ED23DE">
            <w:pPr>
              <w:autoSpaceDE w:val="0"/>
              <w:autoSpaceDN w:val="0"/>
              <w:adjustRightInd w:val="0"/>
              <w:spacing w:before="0" w:after="0" w:line="240" w:lineRule="auto"/>
              <w:jc w:val="center"/>
              <w:rPr>
                <w:rFonts w:cs="Arial"/>
                <w:color w:val="000000"/>
                <w:sz w:val="18"/>
                <w:szCs w:val="18"/>
              </w:rPr>
            </w:pPr>
          </w:p>
        </w:tc>
      </w:tr>
      <w:tr w:rsidR="00ED23DE" w:rsidRPr="00787196" w14:paraId="5E02E389" w14:textId="77777777" w:rsidTr="00ED23DE">
        <w:trPr>
          <w:trHeight w:val="52"/>
        </w:trPr>
        <w:tc>
          <w:tcPr>
            <w:tcW w:w="2705" w:type="dxa"/>
            <w:vMerge/>
            <w:tcBorders>
              <w:top w:val="single" w:sz="8" w:space="0" w:color="000000"/>
              <w:left w:val="nil"/>
              <w:bottom w:val="single" w:sz="8" w:space="0" w:color="000000"/>
              <w:right w:val="single" w:sz="8" w:space="0" w:color="000000"/>
            </w:tcBorders>
            <w:shd w:val="clear" w:color="auto" w:fill="FFFFFF"/>
            <w:vAlign w:val="center"/>
          </w:tcPr>
          <w:p w14:paraId="317102EE" w14:textId="77777777" w:rsidR="00ED23DE" w:rsidRPr="00787196" w:rsidRDefault="00ED23DE" w:rsidP="00ED23DE">
            <w:pPr>
              <w:autoSpaceDE w:val="0"/>
              <w:autoSpaceDN w:val="0"/>
              <w:adjustRightInd w:val="0"/>
              <w:spacing w:before="0" w:after="0" w:line="240" w:lineRule="auto"/>
              <w:jc w:val="left"/>
              <w:rPr>
                <w:rFonts w:cs="Arial"/>
                <w:b/>
                <w:bCs/>
                <w:color w:val="000000"/>
                <w:sz w:val="19"/>
                <w:szCs w:val="19"/>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8A2546" w14:textId="77777777" w:rsidR="00ED23DE" w:rsidRPr="00787196" w:rsidRDefault="00ED23DE" w:rsidP="00ED23DE">
            <w:pPr>
              <w:autoSpaceDE w:val="0"/>
              <w:autoSpaceDN w:val="0"/>
              <w:adjustRightInd w:val="0"/>
              <w:spacing w:before="0" w:after="0" w:line="240" w:lineRule="auto"/>
              <w:ind w:right="-68"/>
              <w:jc w:val="center"/>
              <w:rPr>
                <w:rFonts w:cs="Arial"/>
                <w:color w:val="000000"/>
                <w:sz w:val="20"/>
                <w:szCs w:val="20"/>
              </w:rPr>
            </w:pPr>
            <w:r w:rsidRPr="00787196">
              <w:rPr>
                <w:rFonts w:cs="Arial"/>
                <w:color w:val="000000"/>
                <w:sz w:val="20"/>
                <w:szCs w:val="20"/>
              </w:rPr>
              <w:t>Inadequate/negative/  avoidance</w:t>
            </w:r>
          </w:p>
        </w:tc>
        <w:tc>
          <w:tcPr>
            <w:tcW w:w="14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C4CCD6" w14:textId="77777777" w:rsidR="00ED23DE" w:rsidRPr="00787196" w:rsidRDefault="00ED23DE" w:rsidP="00ED23D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Adequate/</w:t>
            </w:r>
          </w:p>
          <w:p w14:paraId="3DF328DA" w14:textId="77777777" w:rsidR="00ED23DE" w:rsidRPr="00787196" w:rsidRDefault="00ED23DE" w:rsidP="00ED23DE">
            <w:pPr>
              <w:autoSpaceDE w:val="0"/>
              <w:autoSpaceDN w:val="0"/>
              <w:adjustRightInd w:val="0"/>
              <w:spacing w:before="0" w:after="0" w:line="240" w:lineRule="auto"/>
              <w:ind w:right="-73"/>
              <w:jc w:val="center"/>
              <w:rPr>
                <w:rFonts w:cs="Arial"/>
                <w:color w:val="000000"/>
                <w:sz w:val="20"/>
                <w:szCs w:val="20"/>
              </w:rPr>
            </w:pPr>
            <w:r w:rsidRPr="00787196">
              <w:rPr>
                <w:rFonts w:cs="Arial"/>
                <w:color w:val="000000"/>
                <w:sz w:val="20"/>
                <w:szCs w:val="20"/>
              </w:rPr>
              <w:t>positive</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72F762" w14:textId="77777777" w:rsidR="00ED23DE" w:rsidRPr="00787196" w:rsidRDefault="00ED23DE" w:rsidP="00ED23DE">
            <w:pPr>
              <w:autoSpaceDE w:val="0"/>
              <w:autoSpaceDN w:val="0"/>
              <w:adjustRightInd w:val="0"/>
              <w:spacing w:before="0" w:after="0" w:line="240" w:lineRule="auto"/>
              <w:ind w:right="-66"/>
              <w:jc w:val="center"/>
              <w:rPr>
                <w:rFonts w:cs="Arial"/>
                <w:color w:val="000000"/>
                <w:sz w:val="20"/>
                <w:szCs w:val="20"/>
              </w:rPr>
            </w:pPr>
            <w:r w:rsidRPr="00787196">
              <w:rPr>
                <w:rFonts w:cs="Arial"/>
                <w:color w:val="000000"/>
                <w:sz w:val="20"/>
                <w:szCs w:val="20"/>
              </w:rPr>
              <w:t>Self-blame</w:t>
            </w:r>
          </w:p>
        </w:tc>
        <w:tc>
          <w:tcPr>
            <w:tcW w:w="1155" w:type="dxa"/>
            <w:tcBorders>
              <w:top w:val="single" w:sz="8" w:space="0" w:color="000000"/>
              <w:left w:val="single" w:sz="8" w:space="0" w:color="000000"/>
              <w:bottom w:val="single" w:sz="8" w:space="0" w:color="000000"/>
              <w:right w:val="nil"/>
            </w:tcBorders>
            <w:shd w:val="clear" w:color="auto" w:fill="FFFFFF"/>
            <w:vAlign w:val="center"/>
          </w:tcPr>
          <w:p w14:paraId="39892951" w14:textId="77777777" w:rsidR="00ED23DE" w:rsidRPr="00787196" w:rsidRDefault="00ED23DE" w:rsidP="00ED23D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Religion</w:t>
            </w:r>
          </w:p>
        </w:tc>
      </w:tr>
      <w:tr w:rsidR="00ED23DE" w:rsidRPr="00787196" w14:paraId="1BA72384" w14:textId="77777777" w:rsidTr="00ED23DE">
        <w:trPr>
          <w:trHeight w:val="52"/>
        </w:trPr>
        <w:tc>
          <w:tcPr>
            <w:tcW w:w="2705" w:type="dxa"/>
            <w:tcBorders>
              <w:top w:val="nil"/>
              <w:left w:val="nil"/>
              <w:bottom w:val="nil"/>
              <w:right w:val="single" w:sz="8" w:space="0" w:color="000000"/>
            </w:tcBorders>
            <w:shd w:val="clear" w:color="auto" w:fill="FFFFFF"/>
            <w:vAlign w:val="center"/>
          </w:tcPr>
          <w:p w14:paraId="2FDFFA2E"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 xml:space="preserve">Age </w:t>
            </w:r>
          </w:p>
        </w:tc>
        <w:tc>
          <w:tcPr>
            <w:tcW w:w="1292" w:type="dxa"/>
            <w:tcBorders>
              <w:top w:val="nil"/>
              <w:left w:val="single" w:sz="8" w:space="0" w:color="000000"/>
              <w:bottom w:val="nil"/>
              <w:right w:val="single" w:sz="8" w:space="0" w:color="000000"/>
            </w:tcBorders>
            <w:shd w:val="clear" w:color="auto" w:fill="FFFFFF"/>
            <w:vAlign w:val="center"/>
          </w:tcPr>
          <w:p w14:paraId="3E8D7068" w14:textId="77777777" w:rsidR="00ED23DE" w:rsidRPr="00787196" w:rsidRDefault="00ED23DE" w:rsidP="00ED23DE">
            <w:pPr>
              <w:autoSpaceDE w:val="0"/>
              <w:autoSpaceDN w:val="0"/>
              <w:adjustRightInd w:val="0"/>
              <w:spacing w:before="0" w:after="0" w:line="240" w:lineRule="auto"/>
              <w:ind w:right="-68" w:firstLine="308"/>
              <w:jc w:val="left"/>
              <w:rPr>
                <w:rFonts w:cs="Arial"/>
                <w:color w:val="000000"/>
                <w:sz w:val="20"/>
                <w:szCs w:val="20"/>
              </w:rPr>
            </w:pPr>
            <w:r w:rsidRPr="00787196">
              <w:rPr>
                <w:rFonts w:cs="Arial"/>
                <w:color w:val="000000"/>
                <w:sz w:val="20"/>
                <w:szCs w:val="20"/>
              </w:rPr>
              <w:t>0.976</w:t>
            </w:r>
          </w:p>
        </w:tc>
        <w:tc>
          <w:tcPr>
            <w:tcW w:w="1435" w:type="dxa"/>
            <w:tcBorders>
              <w:top w:val="nil"/>
              <w:left w:val="single" w:sz="8" w:space="0" w:color="000000"/>
              <w:bottom w:val="nil"/>
              <w:right w:val="single" w:sz="8" w:space="0" w:color="000000"/>
            </w:tcBorders>
            <w:shd w:val="clear" w:color="auto" w:fill="FFFFFF"/>
            <w:vAlign w:val="center"/>
          </w:tcPr>
          <w:p w14:paraId="531E1A60" w14:textId="77777777" w:rsidR="00ED23DE" w:rsidRPr="00787196" w:rsidRDefault="00ED23DE" w:rsidP="00ED23DE">
            <w:pPr>
              <w:autoSpaceDE w:val="0"/>
              <w:autoSpaceDN w:val="0"/>
              <w:adjustRightInd w:val="0"/>
              <w:spacing w:before="0" w:after="0" w:line="240" w:lineRule="auto"/>
              <w:ind w:right="-73"/>
              <w:jc w:val="left"/>
              <w:rPr>
                <w:rFonts w:cs="Arial"/>
                <w:color w:val="000000"/>
                <w:sz w:val="20"/>
                <w:szCs w:val="20"/>
              </w:rPr>
            </w:pPr>
            <w:r w:rsidRPr="00787196">
              <w:rPr>
                <w:rFonts w:cs="Arial"/>
                <w:color w:val="000000"/>
                <w:sz w:val="20"/>
                <w:szCs w:val="20"/>
              </w:rPr>
              <w:t xml:space="preserve">     -0.303</w:t>
            </w:r>
          </w:p>
        </w:tc>
        <w:tc>
          <w:tcPr>
            <w:tcW w:w="1372" w:type="dxa"/>
            <w:tcBorders>
              <w:top w:val="nil"/>
              <w:left w:val="single" w:sz="8" w:space="0" w:color="000000"/>
              <w:bottom w:val="nil"/>
              <w:right w:val="single" w:sz="8" w:space="0" w:color="000000"/>
            </w:tcBorders>
            <w:shd w:val="clear" w:color="auto" w:fill="FFFFFF"/>
            <w:vAlign w:val="center"/>
          </w:tcPr>
          <w:p w14:paraId="44E6B17D" w14:textId="77777777" w:rsidR="00ED23DE" w:rsidRPr="00787196" w:rsidRDefault="00ED23DE" w:rsidP="00ED23DE">
            <w:pPr>
              <w:autoSpaceDE w:val="0"/>
              <w:autoSpaceDN w:val="0"/>
              <w:adjustRightInd w:val="0"/>
              <w:spacing w:before="0" w:after="0" w:line="240" w:lineRule="auto"/>
              <w:ind w:right="-66" w:firstLine="308"/>
              <w:jc w:val="left"/>
              <w:rPr>
                <w:rFonts w:cs="Arial"/>
                <w:color w:val="000000"/>
                <w:sz w:val="20"/>
                <w:szCs w:val="20"/>
              </w:rPr>
            </w:pPr>
            <w:r w:rsidRPr="00787196">
              <w:rPr>
                <w:rFonts w:cs="Arial"/>
                <w:color w:val="000000"/>
                <w:sz w:val="20"/>
                <w:szCs w:val="20"/>
              </w:rPr>
              <w:t>1.826</w:t>
            </w:r>
          </w:p>
        </w:tc>
        <w:tc>
          <w:tcPr>
            <w:tcW w:w="1155" w:type="dxa"/>
            <w:tcBorders>
              <w:top w:val="nil"/>
              <w:left w:val="single" w:sz="8" w:space="0" w:color="000000"/>
              <w:bottom w:val="nil"/>
              <w:right w:val="nil"/>
            </w:tcBorders>
            <w:shd w:val="clear" w:color="auto" w:fill="FFFFFF"/>
            <w:vAlign w:val="center"/>
          </w:tcPr>
          <w:p w14:paraId="6133CF5E"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-0.640</w:t>
            </w:r>
          </w:p>
        </w:tc>
      </w:tr>
      <w:tr w:rsidR="00ED23DE" w:rsidRPr="00787196" w14:paraId="544D103F" w14:textId="77777777" w:rsidTr="00ED23DE">
        <w:trPr>
          <w:trHeight w:val="52"/>
        </w:trPr>
        <w:tc>
          <w:tcPr>
            <w:tcW w:w="2705" w:type="dxa"/>
            <w:tcBorders>
              <w:top w:val="nil"/>
              <w:left w:val="nil"/>
              <w:bottom w:val="nil"/>
              <w:right w:val="single" w:sz="8" w:space="0" w:color="000000"/>
            </w:tcBorders>
            <w:shd w:val="clear" w:color="auto" w:fill="FFFFFF"/>
            <w:vAlign w:val="center"/>
          </w:tcPr>
          <w:p w14:paraId="760A34AC"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Marital status</w:t>
            </w:r>
          </w:p>
        </w:tc>
        <w:tc>
          <w:tcPr>
            <w:tcW w:w="1292" w:type="dxa"/>
            <w:tcBorders>
              <w:top w:val="nil"/>
              <w:left w:val="single" w:sz="8" w:space="0" w:color="000000"/>
              <w:bottom w:val="nil"/>
              <w:right w:val="single" w:sz="8" w:space="0" w:color="000000"/>
            </w:tcBorders>
            <w:shd w:val="clear" w:color="auto" w:fill="FFFFFF"/>
            <w:vAlign w:val="center"/>
          </w:tcPr>
          <w:p w14:paraId="0093B3C2" w14:textId="77777777" w:rsidR="00ED23DE" w:rsidRPr="00787196" w:rsidRDefault="00ED23DE" w:rsidP="00ED23DE">
            <w:pPr>
              <w:autoSpaceDE w:val="0"/>
              <w:autoSpaceDN w:val="0"/>
              <w:adjustRightInd w:val="0"/>
              <w:spacing w:before="0" w:after="0" w:line="240" w:lineRule="auto"/>
              <w:ind w:right="-68" w:firstLine="308"/>
              <w:jc w:val="left"/>
              <w:rPr>
                <w:rFonts w:cs="Arial"/>
                <w:color w:val="000000"/>
                <w:sz w:val="20"/>
                <w:szCs w:val="20"/>
              </w:rPr>
            </w:pPr>
            <w:r w:rsidRPr="00787196">
              <w:rPr>
                <w:rFonts w:cs="Arial"/>
                <w:color w:val="000000"/>
                <w:sz w:val="20"/>
                <w:szCs w:val="20"/>
              </w:rPr>
              <w:t>0.598</w:t>
            </w:r>
          </w:p>
        </w:tc>
        <w:tc>
          <w:tcPr>
            <w:tcW w:w="1435" w:type="dxa"/>
            <w:tcBorders>
              <w:top w:val="nil"/>
              <w:left w:val="single" w:sz="8" w:space="0" w:color="000000"/>
              <w:bottom w:val="nil"/>
              <w:right w:val="single" w:sz="8" w:space="0" w:color="000000"/>
            </w:tcBorders>
            <w:shd w:val="clear" w:color="auto" w:fill="FFFFFF"/>
            <w:vAlign w:val="center"/>
          </w:tcPr>
          <w:p w14:paraId="3D63C3F6" w14:textId="77777777" w:rsidR="00ED23DE" w:rsidRPr="00787196" w:rsidRDefault="00ED23DE" w:rsidP="00ED23DE">
            <w:pPr>
              <w:autoSpaceDE w:val="0"/>
              <w:autoSpaceDN w:val="0"/>
              <w:adjustRightInd w:val="0"/>
              <w:spacing w:before="0" w:after="0" w:line="240" w:lineRule="auto"/>
              <w:ind w:right="-73" w:firstLine="308"/>
              <w:jc w:val="left"/>
              <w:rPr>
                <w:rFonts w:cs="Arial"/>
                <w:color w:val="000000"/>
                <w:sz w:val="20"/>
                <w:szCs w:val="20"/>
              </w:rPr>
            </w:pPr>
            <w:r w:rsidRPr="00787196">
              <w:rPr>
                <w:rFonts w:cs="Arial"/>
                <w:color w:val="000000"/>
                <w:sz w:val="20"/>
                <w:szCs w:val="20"/>
              </w:rPr>
              <w:t>0.063</w:t>
            </w:r>
          </w:p>
        </w:tc>
        <w:tc>
          <w:tcPr>
            <w:tcW w:w="1372" w:type="dxa"/>
            <w:tcBorders>
              <w:top w:val="nil"/>
              <w:left w:val="single" w:sz="8" w:space="0" w:color="000000"/>
              <w:bottom w:val="nil"/>
              <w:right w:val="single" w:sz="8" w:space="0" w:color="000000"/>
            </w:tcBorders>
            <w:shd w:val="clear" w:color="auto" w:fill="FFFFFF"/>
            <w:vAlign w:val="center"/>
          </w:tcPr>
          <w:p w14:paraId="37618DD5" w14:textId="77777777" w:rsidR="00ED23DE" w:rsidRPr="00787196" w:rsidRDefault="00ED23DE" w:rsidP="00ED23DE">
            <w:pPr>
              <w:autoSpaceDE w:val="0"/>
              <w:autoSpaceDN w:val="0"/>
              <w:adjustRightInd w:val="0"/>
              <w:spacing w:before="0" w:after="0" w:line="240" w:lineRule="auto"/>
              <w:ind w:right="-66" w:firstLine="308"/>
              <w:jc w:val="left"/>
              <w:rPr>
                <w:rFonts w:cs="Arial"/>
                <w:color w:val="000000"/>
                <w:sz w:val="20"/>
                <w:szCs w:val="20"/>
              </w:rPr>
            </w:pPr>
            <w:r w:rsidRPr="00787196">
              <w:rPr>
                <w:rFonts w:cs="Arial"/>
                <w:color w:val="000000"/>
                <w:sz w:val="20"/>
                <w:szCs w:val="20"/>
              </w:rPr>
              <w:t>0.379</w:t>
            </w:r>
          </w:p>
        </w:tc>
        <w:tc>
          <w:tcPr>
            <w:tcW w:w="1155" w:type="dxa"/>
            <w:tcBorders>
              <w:top w:val="nil"/>
              <w:left w:val="single" w:sz="8" w:space="0" w:color="000000"/>
              <w:bottom w:val="nil"/>
              <w:right w:val="nil"/>
            </w:tcBorders>
            <w:shd w:val="clear" w:color="auto" w:fill="FFFFFF"/>
            <w:vAlign w:val="center"/>
          </w:tcPr>
          <w:p w14:paraId="348B050A"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-1.265</w:t>
            </w:r>
          </w:p>
        </w:tc>
      </w:tr>
      <w:tr w:rsidR="00ED23DE" w:rsidRPr="00787196" w14:paraId="505FA7DF" w14:textId="77777777" w:rsidTr="00ED23DE">
        <w:trPr>
          <w:trHeight w:val="52"/>
        </w:trPr>
        <w:tc>
          <w:tcPr>
            <w:tcW w:w="2705" w:type="dxa"/>
            <w:tcBorders>
              <w:top w:val="nil"/>
              <w:left w:val="nil"/>
              <w:bottom w:val="nil"/>
              <w:right w:val="single" w:sz="8" w:space="0" w:color="000000"/>
            </w:tcBorders>
            <w:shd w:val="clear" w:color="auto" w:fill="FFFFFF"/>
            <w:vAlign w:val="center"/>
          </w:tcPr>
          <w:p w14:paraId="2B7522E5"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Education</w:t>
            </w:r>
          </w:p>
        </w:tc>
        <w:tc>
          <w:tcPr>
            <w:tcW w:w="1292" w:type="dxa"/>
            <w:tcBorders>
              <w:top w:val="nil"/>
              <w:left w:val="single" w:sz="8" w:space="0" w:color="000000"/>
              <w:bottom w:val="nil"/>
              <w:right w:val="single" w:sz="8" w:space="0" w:color="000000"/>
            </w:tcBorders>
            <w:shd w:val="clear" w:color="auto" w:fill="FFFFFF"/>
            <w:vAlign w:val="center"/>
          </w:tcPr>
          <w:p w14:paraId="47C87525" w14:textId="77777777" w:rsidR="00ED23DE" w:rsidRPr="00787196" w:rsidRDefault="00ED23DE" w:rsidP="00ED23DE">
            <w:pPr>
              <w:autoSpaceDE w:val="0"/>
              <w:autoSpaceDN w:val="0"/>
              <w:adjustRightInd w:val="0"/>
              <w:spacing w:before="0" w:after="0" w:line="240" w:lineRule="auto"/>
              <w:ind w:right="-68"/>
              <w:jc w:val="left"/>
              <w:rPr>
                <w:rFonts w:cs="Arial"/>
                <w:color w:val="000000"/>
                <w:sz w:val="20"/>
                <w:szCs w:val="20"/>
              </w:rPr>
            </w:pPr>
            <w:r w:rsidRPr="00787196">
              <w:rPr>
                <w:rFonts w:cs="Arial"/>
                <w:color w:val="000000"/>
                <w:sz w:val="20"/>
                <w:szCs w:val="20"/>
              </w:rPr>
              <w:t xml:space="preserve">     -1.131</w:t>
            </w:r>
          </w:p>
        </w:tc>
        <w:tc>
          <w:tcPr>
            <w:tcW w:w="1435" w:type="dxa"/>
            <w:tcBorders>
              <w:top w:val="nil"/>
              <w:left w:val="single" w:sz="8" w:space="0" w:color="000000"/>
              <w:bottom w:val="nil"/>
              <w:right w:val="single" w:sz="8" w:space="0" w:color="000000"/>
            </w:tcBorders>
            <w:shd w:val="clear" w:color="auto" w:fill="FFFFFF"/>
            <w:vAlign w:val="center"/>
          </w:tcPr>
          <w:p w14:paraId="7042F0FE" w14:textId="77777777" w:rsidR="00ED23DE" w:rsidRPr="00787196" w:rsidRDefault="00ED23DE" w:rsidP="00ED23DE">
            <w:pPr>
              <w:autoSpaceDE w:val="0"/>
              <w:autoSpaceDN w:val="0"/>
              <w:adjustRightInd w:val="0"/>
              <w:spacing w:before="0" w:after="0" w:line="240" w:lineRule="auto"/>
              <w:ind w:right="-73" w:firstLine="308"/>
              <w:jc w:val="left"/>
              <w:rPr>
                <w:rFonts w:cs="Arial"/>
                <w:color w:val="000000"/>
                <w:sz w:val="20"/>
                <w:szCs w:val="20"/>
              </w:rPr>
            </w:pPr>
            <w:r w:rsidRPr="00787196">
              <w:rPr>
                <w:rFonts w:cs="Arial"/>
                <w:color w:val="000000"/>
                <w:sz w:val="20"/>
                <w:szCs w:val="20"/>
              </w:rPr>
              <w:t>1.228</w:t>
            </w:r>
          </w:p>
        </w:tc>
        <w:tc>
          <w:tcPr>
            <w:tcW w:w="1372" w:type="dxa"/>
            <w:tcBorders>
              <w:top w:val="nil"/>
              <w:left w:val="single" w:sz="8" w:space="0" w:color="000000"/>
              <w:bottom w:val="nil"/>
              <w:right w:val="single" w:sz="8" w:space="0" w:color="000000"/>
            </w:tcBorders>
            <w:shd w:val="clear" w:color="auto" w:fill="FFFFFF"/>
            <w:vAlign w:val="center"/>
          </w:tcPr>
          <w:p w14:paraId="53243755" w14:textId="77777777" w:rsidR="00ED23DE" w:rsidRPr="00787196" w:rsidRDefault="00ED23DE" w:rsidP="00ED23DE">
            <w:pPr>
              <w:autoSpaceDE w:val="0"/>
              <w:autoSpaceDN w:val="0"/>
              <w:adjustRightInd w:val="0"/>
              <w:spacing w:before="0" w:after="0" w:line="240" w:lineRule="auto"/>
              <w:ind w:right="-66"/>
              <w:jc w:val="left"/>
              <w:rPr>
                <w:rFonts w:cs="Arial"/>
                <w:color w:val="000000"/>
                <w:sz w:val="20"/>
                <w:szCs w:val="20"/>
              </w:rPr>
            </w:pPr>
            <w:r w:rsidRPr="00787196">
              <w:rPr>
                <w:rFonts w:cs="Arial"/>
                <w:color w:val="000000"/>
                <w:sz w:val="20"/>
                <w:szCs w:val="20"/>
              </w:rPr>
              <w:t xml:space="preserve">     -1.262</w:t>
            </w:r>
          </w:p>
        </w:tc>
        <w:tc>
          <w:tcPr>
            <w:tcW w:w="1155" w:type="dxa"/>
            <w:tcBorders>
              <w:top w:val="nil"/>
              <w:left w:val="single" w:sz="8" w:space="0" w:color="000000"/>
              <w:bottom w:val="nil"/>
              <w:right w:val="nil"/>
            </w:tcBorders>
            <w:shd w:val="clear" w:color="auto" w:fill="FFFFFF"/>
            <w:vAlign w:val="center"/>
          </w:tcPr>
          <w:p w14:paraId="2F6BA9D9"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-0.893</w:t>
            </w:r>
          </w:p>
        </w:tc>
      </w:tr>
      <w:tr w:rsidR="00ED23DE" w:rsidRPr="00787196" w14:paraId="4CA97905" w14:textId="77777777" w:rsidTr="00ED23DE">
        <w:trPr>
          <w:trHeight w:val="52"/>
        </w:trPr>
        <w:tc>
          <w:tcPr>
            <w:tcW w:w="2705" w:type="dxa"/>
            <w:tcBorders>
              <w:top w:val="nil"/>
              <w:left w:val="nil"/>
              <w:bottom w:val="nil"/>
              <w:right w:val="single" w:sz="8" w:space="0" w:color="000000"/>
            </w:tcBorders>
            <w:shd w:val="clear" w:color="auto" w:fill="FFFFFF"/>
            <w:vAlign w:val="center"/>
          </w:tcPr>
          <w:p w14:paraId="00B7FF24"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 xml:space="preserve">Income </w:t>
            </w:r>
          </w:p>
        </w:tc>
        <w:tc>
          <w:tcPr>
            <w:tcW w:w="1292" w:type="dxa"/>
            <w:tcBorders>
              <w:top w:val="nil"/>
              <w:left w:val="single" w:sz="8" w:space="0" w:color="000000"/>
              <w:bottom w:val="nil"/>
              <w:right w:val="single" w:sz="8" w:space="0" w:color="000000"/>
            </w:tcBorders>
            <w:shd w:val="clear" w:color="auto" w:fill="FFFFFF"/>
            <w:vAlign w:val="center"/>
          </w:tcPr>
          <w:p w14:paraId="2DC3B57C" w14:textId="77777777" w:rsidR="00ED23DE" w:rsidRPr="00787196" w:rsidRDefault="00ED23DE" w:rsidP="00ED23DE">
            <w:pPr>
              <w:autoSpaceDE w:val="0"/>
              <w:autoSpaceDN w:val="0"/>
              <w:adjustRightInd w:val="0"/>
              <w:spacing w:before="0" w:after="0" w:line="240" w:lineRule="auto"/>
              <w:ind w:right="-68" w:firstLine="308"/>
              <w:jc w:val="left"/>
              <w:rPr>
                <w:rFonts w:cs="Arial"/>
                <w:color w:val="000000"/>
                <w:sz w:val="20"/>
                <w:szCs w:val="20"/>
              </w:rPr>
            </w:pPr>
            <w:r w:rsidRPr="00787196">
              <w:rPr>
                <w:rFonts w:cs="Arial"/>
                <w:color w:val="000000"/>
                <w:sz w:val="20"/>
                <w:szCs w:val="20"/>
              </w:rPr>
              <w:t>1.363</w:t>
            </w:r>
          </w:p>
        </w:tc>
        <w:tc>
          <w:tcPr>
            <w:tcW w:w="1435" w:type="dxa"/>
            <w:tcBorders>
              <w:top w:val="nil"/>
              <w:left w:val="single" w:sz="8" w:space="0" w:color="000000"/>
              <w:bottom w:val="nil"/>
              <w:right w:val="single" w:sz="8" w:space="0" w:color="000000"/>
            </w:tcBorders>
            <w:shd w:val="clear" w:color="auto" w:fill="FFFFFF"/>
            <w:vAlign w:val="center"/>
          </w:tcPr>
          <w:p w14:paraId="481632BC" w14:textId="77777777" w:rsidR="00ED23DE" w:rsidRPr="00787196" w:rsidRDefault="00ED23DE" w:rsidP="00ED23DE">
            <w:pPr>
              <w:autoSpaceDE w:val="0"/>
              <w:autoSpaceDN w:val="0"/>
              <w:adjustRightInd w:val="0"/>
              <w:spacing w:before="0" w:after="0" w:line="240" w:lineRule="auto"/>
              <w:ind w:right="-73"/>
              <w:jc w:val="left"/>
              <w:rPr>
                <w:rFonts w:cs="Arial"/>
                <w:color w:val="000000"/>
                <w:sz w:val="20"/>
                <w:szCs w:val="20"/>
              </w:rPr>
            </w:pPr>
            <w:r w:rsidRPr="00787196">
              <w:rPr>
                <w:rFonts w:cs="Arial"/>
                <w:color w:val="000000"/>
                <w:sz w:val="20"/>
                <w:szCs w:val="20"/>
              </w:rPr>
              <w:t xml:space="preserve">     -0.021</w:t>
            </w:r>
          </w:p>
        </w:tc>
        <w:tc>
          <w:tcPr>
            <w:tcW w:w="1372" w:type="dxa"/>
            <w:tcBorders>
              <w:top w:val="nil"/>
              <w:left w:val="single" w:sz="8" w:space="0" w:color="000000"/>
              <w:bottom w:val="nil"/>
              <w:right w:val="single" w:sz="8" w:space="0" w:color="000000"/>
            </w:tcBorders>
            <w:shd w:val="clear" w:color="auto" w:fill="FFFFFF"/>
            <w:vAlign w:val="center"/>
          </w:tcPr>
          <w:p w14:paraId="16A52FBA" w14:textId="77777777" w:rsidR="00ED23DE" w:rsidRPr="00787196" w:rsidRDefault="00ED23DE" w:rsidP="00ED23DE">
            <w:pPr>
              <w:autoSpaceDE w:val="0"/>
              <w:autoSpaceDN w:val="0"/>
              <w:adjustRightInd w:val="0"/>
              <w:spacing w:before="0" w:after="0" w:line="240" w:lineRule="auto"/>
              <w:ind w:right="-66" w:firstLine="308"/>
              <w:jc w:val="left"/>
              <w:rPr>
                <w:rFonts w:cs="Arial"/>
                <w:color w:val="000000"/>
                <w:sz w:val="20"/>
                <w:szCs w:val="20"/>
              </w:rPr>
            </w:pPr>
            <w:r w:rsidRPr="00787196">
              <w:rPr>
                <w:rFonts w:cs="Arial"/>
                <w:color w:val="000000"/>
                <w:sz w:val="20"/>
                <w:szCs w:val="20"/>
              </w:rPr>
              <w:t>1.168</w:t>
            </w:r>
          </w:p>
        </w:tc>
        <w:tc>
          <w:tcPr>
            <w:tcW w:w="1155" w:type="dxa"/>
            <w:tcBorders>
              <w:top w:val="nil"/>
              <w:left w:val="single" w:sz="8" w:space="0" w:color="000000"/>
              <w:bottom w:val="nil"/>
              <w:right w:val="nil"/>
            </w:tcBorders>
            <w:shd w:val="clear" w:color="auto" w:fill="FFFFFF"/>
            <w:vAlign w:val="center"/>
          </w:tcPr>
          <w:p w14:paraId="5A24B10F"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 xml:space="preserve"> 0.344</w:t>
            </w:r>
          </w:p>
        </w:tc>
      </w:tr>
      <w:tr w:rsidR="00ED23DE" w:rsidRPr="00787196" w14:paraId="1A2FCC17" w14:textId="77777777" w:rsidTr="00ED23DE">
        <w:trPr>
          <w:trHeight w:val="52"/>
        </w:trPr>
        <w:tc>
          <w:tcPr>
            <w:tcW w:w="2705" w:type="dxa"/>
            <w:tcBorders>
              <w:top w:val="nil"/>
              <w:left w:val="nil"/>
              <w:bottom w:val="nil"/>
              <w:right w:val="single" w:sz="8" w:space="0" w:color="000000"/>
            </w:tcBorders>
            <w:shd w:val="clear" w:color="auto" w:fill="FFFFFF"/>
            <w:vAlign w:val="center"/>
          </w:tcPr>
          <w:p w14:paraId="1C94963A"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Occupation</w:t>
            </w:r>
          </w:p>
        </w:tc>
        <w:tc>
          <w:tcPr>
            <w:tcW w:w="1292" w:type="dxa"/>
            <w:tcBorders>
              <w:top w:val="nil"/>
              <w:left w:val="single" w:sz="8" w:space="0" w:color="000000"/>
              <w:bottom w:val="nil"/>
              <w:right w:val="single" w:sz="8" w:space="0" w:color="000000"/>
            </w:tcBorders>
            <w:shd w:val="clear" w:color="auto" w:fill="FFFFFF"/>
            <w:vAlign w:val="center"/>
          </w:tcPr>
          <w:p w14:paraId="0B53E7A5" w14:textId="77777777" w:rsidR="00ED23DE" w:rsidRPr="00787196" w:rsidRDefault="00ED23DE" w:rsidP="00ED23DE">
            <w:pPr>
              <w:autoSpaceDE w:val="0"/>
              <w:autoSpaceDN w:val="0"/>
              <w:adjustRightInd w:val="0"/>
              <w:spacing w:before="0" w:after="0" w:line="240" w:lineRule="auto"/>
              <w:ind w:right="-68" w:firstLine="308"/>
              <w:jc w:val="left"/>
              <w:rPr>
                <w:rFonts w:cs="Arial"/>
                <w:color w:val="000000"/>
                <w:sz w:val="20"/>
                <w:szCs w:val="20"/>
              </w:rPr>
            </w:pPr>
            <w:r w:rsidRPr="00787196">
              <w:rPr>
                <w:rFonts w:cs="Arial"/>
                <w:color w:val="000000"/>
                <w:sz w:val="20"/>
                <w:szCs w:val="20"/>
              </w:rPr>
              <w:t>0.669</w:t>
            </w:r>
          </w:p>
        </w:tc>
        <w:tc>
          <w:tcPr>
            <w:tcW w:w="1435" w:type="dxa"/>
            <w:tcBorders>
              <w:top w:val="nil"/>
              <w:left w:val="single" w:sz="8" w:space="0" w:color="000000"/>
              <w:bottom w:val="nil"/>
              <w:right w:val="single" w:sz="8" w:space="0" w:color="000000"/>
            </w:tcBorders>
            <w:shd w:val="clear" w:color="auto" w:fill="FFFFFF"/>
            <w:vAlign w:val="center"/>
          </w:tcPr>
          <w:p w14:paraId="2CEA5DBD" w14:textId="77777777" w:rsidR="00ED23DE" w:rsidRPr="00787196" w:rsidRDefault="00ED23DE" w:rsidP="00ED23DE">
            <w:pPr>
              <w:autoSpaceDE w:val="0"/>
              <w:autoSpaceDN w:val="0"/>
              <w:adjustRightInd w:val="0"/>
              <w:spacing w:before="0" w:after="0" w:line="240" w:lineRule="auto"/>
              <w:ind w:right="-73" w:firstLine="308"/>
              <w:jc w:val="left"/>
              <w:rPr>
                <w:rFonts w:cs="Arial"/>
                <w:color w:val="000000"/>
                <w:sz w:val="20"/>
                <w:szCs w:val="20"/>
              </w:rPr>
            </w:pPr>
            <w:r w:rsidRPr="00787196">
              <w:rPr>
                <w:rFonts w:cs="Arial"/>
                <w:color w:val="000000"/>
                <w:sz w:val="20"/>
                <w:szCs w:val="20"/>
              </w:rPr>
              <w:t>0.627</w:t>
            </w:r>
          </w:p>
        </w:tc>
        <w:tc>
          <w:tcPr>
            <w:tcW w:w="1372" w:type="dxa"/>
            <w:tcBorders>
              <w:top w:val="nil"/>
              <w:left w:val="single" w:sz="8" w:space="0" w:color="000000"/>
              <w:bottom w:val="nil"/>
              <w:right w:val="single" w:sz="8" w:space="0" w:color="000000"/>
            </w:tcBorders>
            <w:shd w:val="clear" w:color="auto" w:fill="FFFFFF"/>
            <w:vAlign w:val="center"/>
          </w:tcPr>
          <w:p w14:paraId="361AE95D" w14:textId="77777777" w:rsidR="00ED23DE" w:rsidRPr="00787196" w:rsidRDefault="00ED23DE" w:rsidP="00ED23DE">
            <w:pPr>
              <w:autoSpaceDE w:val="0"/>
              <w:autoSpaceDN w:val="0"/>
              <w:adjustRightInd w:val="0"/>
              <w:spacing w:before="0" w:after="0" w:line="240" w:lineRule="auto"/>
              <w:ind w:right="-66" w:firstLine="308"/>
              <w:jc w:val="left"/>
              <w:rPr>
                <w:rFonts w:cs="Arial"/>
                <w:color w:val="000000"/>
                <w:sz w:val="20"/>
                <w:szCs w:val="20"/>
              </w:rPr>
            </w:pPr>
            <w:r w:rsidRPr="00787196">
              <w:rPr>
                <w:rFonts w:cs="Arial"/>
                <w:color w:val="000000"/>
                <w:sz w:val="20"/>
                <w:szCs w:val="20"/>
              </w:rPr>
              <w:t>1.004</w:t>
            </w:r>
          </w:p>
        </w:tc>
        <w:tc>
          <w:tcPr>
            <w:tcW w:w="1155" w:type="dxa"/>
            <w:tcBorders>
              <w:top w:val="nil"/>
              <w:left w:val="single" w:sz="8" w:space="0" w:color="000000"/>
              <w:bottom w:val="nil"/>
              <w:right w:val="nil"/>
            </w:tcBorders>
            <w:shd w:val="clear" w:color="auto" w:fill="FFFFFF"/>
            <w:vAlign w:val="center"/>
          </w:tcPr>
          <w:p w14:paraId="4177561F"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-2.231*</w:t>
            </w:r>
          </w:p>
        </w:tc>
      </w:tr>
      <w:tr w:rsidR="00ED23DE" w:rsidRPr="00787196" w14:paraId="22D9BEAE" w14:textId="77777777" w:rsidTr="00ED23DE">
        <w:trPr>
          <w:trHeight w:val="52"/>
        </w:trPr>
        <w:tc>
          <w:tcPr>
            <w:tcW w:w="2705" w:type="dxa"/>
            <w:tcBorders>
              <w:top w:val="nil"/>
              <w:left w:val="nil"/>
              <w:bottom w:val="nil"/>
              <w:right w:val="single" w:sz="8" w:space="0" w:color="000000"/>
            </w:tcBorders>
            <w:shd w:val="clear" w:color="auto" w:fill="FFFFFF"/>
            <w:vAlign w:val="center"/>
          </w:tcPr>
          <w:p w14:paraId="36B54641" w14:textId="77777777" w:rsidR="00ED23DE" w:rsidRPr="00787196" w:rsidRDefault="00ED23DE" w:rsidP="00ED23D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Caste</w:t>
            </w:r>
          </w:p>
        </w:tc>
        <w:tc>
          <w:tcPr>
            <w:tcW w:w="1292" w:type="dxa"/>
            <w:tcBorders>
              <w:top w:val="nil"/>
              <w:left w:val="single" w:sz="8" w:space="0" w:color="000000"/>
              <w:bottom w:val="nil"/>
              <w:right w:val="single" w:sz="8" w:space="0" w:color="000000"/>
            </w:tcBorders>
            <w:shd w:val="clear" w:color="auto" w:fill="FFFFFF"/>
            <w:vAlign w:val="center"/>
          </w:tcPr>
          <w:p w14:paraId="6354F26B" w14:textId="77777777" w:rsidR="00ED23DE" w:rsidRPr="00787196" w:rsidRDefault="00ED23DE" w:rsidP="00ED23DE">
            <w:pPr>
              <w:autoSpaceDE w:val="0"/>
              <w:autoSpaceDN w:val="0"/>
              <w:adjustRightInd w:val="0"/>
              <w:spacing w:before="0" w:after="0" w:line="240" w:lineRule="auto"/>
              <w:ind w:right="-68"/>
              <w:jc w:val="left"/>
              <w:rPr>
                <w:rFonts w:cs="Arial"/>
                <w:color w:val="000000"/>
                <w:sz w:val="20"/>
                <w:szCs w:val="20"/>
              </w:rPr>
            </w:pPr>
            <w:r w:rsidRPr="00787196">
              <w:rPr>
                <w:rFonts w:cs="Arial"/>
                <w:color w:val="000000"/>
                <w:sz w:val="20"/>
                <w:szCs w:val="20"/>
              </w:rPr>
              <w:t xml:space="preserve">     -1.773</w:t>
            </w:r>
          </w:p>
        </w:tc>
        <w:tc>
          <w:tcPr>
            <w:tcW w:w="1435" w:type="dxa"/>
            <w:tcBorders>
              <w:top w:val="nil"/>
              <w:left w:val="single" w:sz="8" w:space="0" w:color="000000"/>
              <w:bottom w:val="nil"/>
              <w:right w:val="single" w:sz="8" w:space="0" w:color="000000"/>
            </w:tcBorders>
            <w:shd w:val="clear" w:color="auto" w:fill="FFFFFF"/>
            <w:vAlign w:val="center"/>
          </w:tcPr>
          <w:p w14:paraId="4CE4E5A9" w14:textId="77777777" w:rsidR="00ED23DE" w:rsidRPr="00787196" w:rsidRDefault="00ED23DE" w:rsidP="00ED23DE">
            <w:pPr>
              <w:autoSpaceDE w:val="0"/>
              <w:autoSpaceDN w:val="0"/>
              <w:adjustRightInd w:val="0"/>
              <w:spacing w:before="0" w:after="0" w:line="240" w:lineRule="auto"/>
              <w:ind w:right="-73" w:firstLine="308"/>
              <w:jc w:val="left"/>
              <w:rPr>
                <w:rFonts w:cs="Arial"/>
                <w:color w:val="000000"/>
                <w:sz w:val="20"/>
                <w:szCs w:val="20"/>
              </w:rPr>
            </w:pPr>
            <w:r w:rsidRPr="00787196">
              <w:rPr>
                <w:rFonts w:cs="Arial"/>
                <w:color w:val="000000"/>
                <w:sz w:val="20"/>
                <w:szCs w:val="20"/>
              </w:rPr>
              <w:t>1.082</w:t>
            </w:r>
          </w:p>
        </w:tc>
        <w:tc>
          <w:tcPr>
            <w:tcW w:w="1372" w:type="dxa"/>
            <w:tcBorders>
              <w:top w:val="nil"/>
              <w:left w:val="single" w:sz="8" w:space="0" w:color="000000"/>
              <w:bottom w:val="nil"/>
              <w:right w:val="single" w:sz="8" w:space="0" w:color="000000"/>
            </w:tcBorders>
            <w:shd w:val="clear" w:color="auto" w:fill="FFFFFF"/>
            <w:vAlign w:val="center"/>
          </w:tcPr>
          <w:p w14:paraId="044B68BA" w14:textId="77777777" w:rsidR="00ED23DE" w:rsidRPr="00787196" w:rsidRDefault="00ED23DE" w:rsidP="00ED23DE">
            <w:pPr>
              <w:autoSpaceDE w:val="0"/>
              <w:autoSpaceDN w:val="0"/>
              <w:adjustRightInd w:val="0"/>
              <w:spacing w:before="0" w:after="0" w:line="240" w:lineRule="auto"/>
              <w:ind w:right="-66"/>
              <w:jc w:val="left"/>
              <w:rPr>
                <w:rFonts w:cs="Arial"/>
                <w:color w:val="000000"/>
                <w:sz w:val="20"/>
                <w:szCs w:val="20"/>
              </w:rPr>
            </w:pPr>
            <w:r w:rsidRPr="00787196">
              <w:rPr>
                <w:rFonts w:cs="Arial"/>
                <w:color w:val="000000"/>
                <w:sz w:val="20"/>
                <w:szCs w:val="20"/>
              </w:rPr>
              <w:t xml:space="preserve">     -0.274</w:t>
            </w:r>
          </w:p>
        </w:tc>
        <w:tc>
          <w:tcPr>
            <w:tcW w:w="1155" w:type="dxa"/>
            <w:tcBorders>
              <w:top w:val="nil"/>
              <w:left w:val="single" w:sz="8" w:space="0" w:color="000000"/>
              <w:bottom w:val="nil"/>
              <w:right w:val="nil"/>
            </w:tcBorders>
            <w:shd w:val="clear" w:color="auto" w:fill="FFFFFF"/>
            <w:vAlign w:val="center"/>
          </w:tcPr>
          <w:p w14:paraId="5BFD635D" w14:textId="77777777" w:rsidR="00ED23DE" w:rsidRPr="00787196" w:rsidRDefault="00ED23DE" w:rsidP="00ED23DE">
            <w:pPr>
              <w:autoSpaceDE w:val="0"/>
              <w:autoSpaceDN w:val="0"/>
              <w:adjustRightInd w:val="0"/>
              <w:spacing w:before="0" w:after="0" w:line="240" w:lineRule="auto"/>
              <w:ind w:firstLine="103"/>
              <w:jc w:val="left"/>
              <w:rPr>
                <w:rFonts w:cs="Arial"/>
                <w:color w:val="000000"/>
                <w:sz w:val="20"/>
                <w:szCs w:val="20"/>
              </w:rPr>
            </w:pPr>
            <w:r w:rsidRPr="00787196">
              <w:rPr>
                <w:rFonts w:cs="Arial"/>
                <w:color w:val="000000"/>
                <w:sz w:val="20"/>
                <w:szCs w:val="20"/>
              </w:rPr>
              <w:t xml:space="preserve"> 0.434</w:t>
            </w:r>
          </w:p>
        </w:tc>
      </w:tr>
      <w:tr w:rsidR="00ED23DE" w:rsidRPr="00787196" w14:paraId="129D53DC" w14:textId="77777777" w:rsidTr="00ED23DE">
        <w:trPr>
          <w:trHeight w:val="31"/>
        </w:trPr>
        <w:tc>
          <w:tcPr>
            <w:tcW w:w="2705" w:type="dxa"/>
            <w:tcBorders>
              <w:top w:val="nil"/>
              <w:left w:val="nil"/>
              <w:bottom w:val="single" w:sz="8" w:space="0" w:color="auto"/>
              <w:right w:val="single" w:sz="8" w:space="0" w:color="000000"/>
            </w:tcBorders>
            <w:shd w:val="clear" w:color="auto" w:fill="auto"/>
            <w:vAlign w:val="center"/>
          </w:tcPr>
          <w:p w14:paraId="1674CF2A" w14:textId="77777777" w:rsidR="00ED23DE" w:rsidRPr="00787196" w:rsidRDefault="00ED23DE" w:rsidP="00ED23DE">
            <w:pPr>
              <w:autoSpaceDE w:val="0"/>
              <w:autoSpaceDN w:val="0"/>
              <w:adjustRightInd w:val="0"/>
              <w:spacing w:before="0" w:after="0" w:line="240" w:lineRule="auto"/>
              <w:jc w:val="left"/>
              <w:rPr>
                <w:rFonts w:cs="Arial"/>
                <w:color w:val="000000"/>
                <w:sz w:val="19"/>
                <w:szCs w:val="19"/>
              </w:rPr>
            </w:pPr>
          </w:p>
        </w:tc>
        <w:tc>
          <w:tcPr>
            <w:tcW w:w="1292" w:type="dxa"/>
            <w:tcBorders>
              <w:top w:val="nil"/>
              <w:left w:val="single" w:sz="8" w:space="0" w:color="000000"/>
              <w:bottom w:val="single" w:sz="8" w:space="0" w:color="auto"/>
              <w:right w:val="single" w:sz="8" w:space="0" w:color="000000"/>
            </w:tcBorders>
            <w:shd w:val="clear" w:color="auto" w:fill="auto"/>
            <w:vAlign w:val="center"/>
          </w:tcPr>
          <w:p w14:paraId="1A3C2958" w14:textId="77777777" w:rsidR="00ED23DE" w:rsidRPr="00787196" w:rsidRDefault="00ED23DE" w:rsidP="00ED23DE">
            <w:pPr>
              <w:autoSpaceDE w:val="0"/>
              <w:autoSpaceDN w:val="0"/>
              <w:adjustRightInd w:val="0"/>
              <w:spacing w:before="0" w:after="0" w:line="240" w:lineRule="auto"/>
              <w:ind w:right="-68"/>
              <w:jc w:val="center"/>
              <w:rPr>
                <w:rFonts w:cs="Arial"/>
                <w:color w:val="000000"/>
                <w:sz w:val="18"/>
                <w:szCs w:val="18"/>
              </w:rPr>
            </w:pPr>
          </w:p>
        </w:tc>
        <w:tc>
          <w:tcPr>
            <w:tcW w:w="1435" w:type="dxa"/>
            <w:tcBorders>
              <w:top w:val="nil"/>
              <w:left w:val="single" w:sz="8" w:space="0" w:color="000000"/>
              <w:bottom w:val="single" w:sz="8" w:space="0" w:color="auto"/>
              <w:right w:val="single" w:sz="8" w:space="0" w:color="000000"/>
            </w:tcBorders>
            <w:shd w:val="clear" w:color="auto" w:fill="auto"/>
            <w:vAlign w:val="center"/>
          </w:tcPr>
          <w:p w14:paraId="110AD975" w14:textId="77777777" w:rsidR="00ED23DE" w:rsidRPr="00787196" w:rsidRDefault="00ED23DE" w:rsidP="00ED23DE">
            <w:pPr>
              <w:autoSpaceDE w:val="0"/>
              <w:autoSpaceDN w:val="0"/>
              <w:adjustRightInd w:val="0"/>
              <w:spacing w:before="0" w:after="0" w:line="240" w:lineRule="auto"/>
              <w:ind w:right="-73"/>
              <w:jc w:val="center"/>
              <w:rPr>
                <w:rFonts w:cs="Arial"/>
                <w:color w:val="000000"/>
                <w:sz w:val="18"/>
                <w:szCs w:val="18"/>
              </w:rPr>
            </w:pPr>
          </w:p>
        </w:tc>
        <w:tc>
          <w:tcPr>
            <w:tcW w:w="1372" w:type="dxa"/>
            <w:tcBorders>
              <w:top w:val="nil"/>
              <w:left w:val="single" w:sz="8" w:space="0" w:color="000000"/>
              <w:bottom w:val="single" w:sz="8" w:space="0" w:color="auto"/>
              <w:right w:val="single" w:sz="8" w:space="0" w:color="000000"/>
            </w:tcBorders>
            <w:shd w:val="clear" w:color="auto" w:fill="auto"/>
            <w:vAlign w:val="center"/>
          </w:tcPr>
          <w:p w14:paraId="684511BA" w14:textId="77777777" w:rsidR="00ED23DE" w:rsidRPr="00787196" w:rsidRDefault="00ED23DE" w:rsidP="00ED23DE">
            <w:pPr>
              <w:autoSpaceDE w:val="0"/>
              <w:autoSpaceDN w:val="0"/>
              <w:adjustRightInd w:val="0"/>
              <w:spacing w:before="0" w:after="0" w:line="240" w:lineRule="auto"/>
              <w:ind w:right="-66"/>
              <w:jc w:val="center"/>
              <w:rPr>
                <w:rFonts w:cs="Arial"/>
                <w:color w:val="000000"/>
                <w:sz w:val="18"/>
                <w:szCs w:val="18"/>
              </w:rPr>
            </w:pPr>
          </w:p>
        </w:tc>
        <w:tc>
          <w:tcPr>
            <w:tcW w:w="1155" w:type="dxa"/>
            <w:tcBorders>
              <w:top w:val="nil"/>
              <w:left w:val="single" w:sz="8" w:space="0" w:color="000000"/>
              <w:bottom w:val="single" w:sz="8" w:space="0" w:color="auto"/>
              <w:right w:val="nil"/>
            </w:tcBorders>
            <w:shd w:val="clear" w:color="auto" w:fill="auto"/>
            <w:vAlign w:val="center"/>
          </w:tcPr>
          <w:p w14:paraId="3CC5FD90" w14:textId="77777777" w:rsidR="00ED23DE" w:rsidRPr="00787196" w:rsidRDefault="00ED23DE" w:rsidP="00ED23DE">
            <w:pPr>
              <w:autoSpaceDE w:val="0"/>
              <w:autoSpaceDN w:val="0"/>
              <w:adjustRightInd w:val="0"/>
              <w:spacing w:before="0" w:after="0" w:line="240" w:lineRule="auto"/>
              <w:jc w:val="center"/>
              <w:rPr>
                <w:rFonts w:cs="Arial"/>
                <w:color w:val="000000"/>
                <w:sz w:val="18"/>
                <w:szCs w:val="18"/>
              </w:rPr>
            </w:pPr>
          </w:p>
        </w:tc>
      </w:tr>
    </w:tbl>
    <w:p w14:paraId="5A780A4C" w14:textId="29BA2B8F" w:rsidR="006141F9" w:rsidRPr="00787196" w:rsidRDefault="00C740C3" w:rsidP="00A5430A">
      <w:pPr>
        <w:spacing w:before="0" w:after="0" w:line="240" w:lineRule="auto"/>
      </w:pPr>
      <w:r w:rsidRPr="00787196">
        <w:rPr>
          <w:i/>
          <w:iCs/>
          <w:sz w:val="22"/>
        </w:rPr>
        <w:t>*p value significant at &lt;0.05 (Independent t-test)</w:t>
      </w:r>
      <w:r w:rsidR="00C86D0C" w:rsidRPr="00787196">
        <w:rPr>
          <w:i/>
          <w:iCs/>
          <w:sz w:val="22"/>
        </w:rPr>
        <w:br w:type="page"/>
      </w:r>
    </w:p>
    <w:p w14:paraId="4B43C3E8" w14:textId="787A5A59" w:rsidR="00051F35" w:rsidRPr="00787196" w:rsidRDefault="002C6B34" w:rsidP="00C86D0C">
      <w:pPr>
        <w:rPr>
          <w:iCs/>
          <w:szCs w:val="24"/>
        </w:rPr>
      </w:pPr>
      <w:r w:rsidRPr="00787196">
        <w:rPr>
          <w:iCs/>
          <w:szCs w:val="24"/>
        </w:rPr>
        <w:lastRenderedPageBreak/>
        <w:t>Figure 5.3</w:t>
      </w:r>
      <w:bookmarkStart w:id="305" w:name="_Ref430139782"/>
      <w:r w:rsidR="008C0866" w:rsidRPr="00787196">
        <w:rPr>
          <w:iCs/>
          <w:szCs w:val="24"/>
        </w:rPr>
        <w:t xml:space="preserve"> and 5-4</w:t>
      </w:r>
      <w:r w:rsidR="00051F35" w:rsidRPr="00787196">
        <w:rPr>
          <w:iCs/>
          <w:szCs w:val="24"/>
        </w:rPr>
        <w:t xml:space="preserve"> summarise the results of all the bivariate analyses. </w:t>
      </w:r>
    </w:p>
    <w:p w14:paraId="3DC3A6D9" w14:textId="01BF6E02" w:rsidR="00051F35" w:rsidRPr="00787196" w:rsidRDefault="00051F35" w:rsidP="00C86D0C">
      <w:pPr>
        <w:rPr>
          <w:iCs/>
          <w:szCs w:val="24"/>
        </w:rPr>
      </w:pPr>
      <w:r w:rsidRPr="00787196">
        <w:rPr>
          <w:iCs/>
          <w:szCs w:val="24"/>
        </w:rPr>
        <w:t xml:space="preserve">OHQoL at follow-up was not predicted by coping strategies at follow-up. </w:t>
      </w:r>
    </w:p>
    <w:p w14:paraId="128FD4CE" w14:textId="407B43EF" w:rsidR="002C5596" w:rsidRPr="00787196" w:rsidRDefault="00051F35" w:rsidP="003268E7">
      <w:pPr>
        <w:rPr>
          <w:iCs/>
          <w:szCs w:val="24"/>
        </w:rPr>
      </w:pPr>
      <w:r w:rsidRPr="00787196">
        <w:rPr>
          <w:iCs/>
          <w:szCs w:val="24"/>
        </w:rPr>
        <w:t xml:space="preserve">OHQoL at follow-up was predicted by baseline </w:t>
      </w:r>
      <w:r w:rsidR="003268E7" w:rsidRPr="00787196">
        <w:rPr>
          <w:iCs/>
          <w:szCs w:val="24"/>
        </w:rPr>
        <w:t xml:space="preserve">number </w:t>
      </w:r>
      <w:r w:rsidRPr="00787196">
        <w:rPr>
          <w:iCs/>
          <w:szCs w:val="24"/>
        </w:rPr>
        <w:t>of teeth</w:t>
      </w:r>
      <w:r w:rsidR="003268E7" w:rsidRPr="00787196">
        <w:rPr>
          <w:iCs/>
          <w:szCs w:val="24"/>
        </w:rPr>
        <w:t xml:space="preserve"> present, number of occluding pairs, wearing an upper denture, needing an upper </w:t>
      </w:r>
      <w:r w:rsidR="008D4EA6" w:rsidRPr="00787196">
        <w:rPr>
          <w:iCs/>
          <w:szCs w:val="24"/>
        </w:rPr>
        <w:t>denture, time</w:t>
      </w:r>
      <w:r w:rsidR="003268E7" w:rsidRPr="00787196">
        <w:rPr>
          <w:iCs/>
          <w:szCs w:val="24"/>
        </w:rPr>
        <w:t xml:space="preserve"> since tooth loss, being dissatisfied with</w:t>
      </w:r>
      <w:r w:rsidR="00D460CB" w:rsidRPr="00787196">
        <w:rPr>
          <w:iCs/>
          <w:szCs w:val="24"/>
        </w:rPr>
        <w:t xml:space="preserve"> existing dentures (if present) and</w:t>
      </w:r>
      <w:r w:rsidR="003268E7" w:rsidRPr="00787196">
        <w:rPr>
          <w:iCs/>
          <w:szCs w:val="24"/>
        </w:rPr>
        <w:t xml:space="preserve"> chewing ability. </w:t>
      </w:r>
    </w:p>
    <w:p w14:paraId="27EBE439" w14:textId="32E3A78C" w:rsidR="00051F35" w:rsidRPr="00787196" w:rsidRDefault="003268E7" w:rsidP="003268E7">
      <w:pPr>
        <w:rPr>
          <w:iCs/>
          <w:szCs w:val="24"/>
        </w:rPr>
      </w:pPr>
      <w:r w:rsidRPr="00787196">
        <w:rPr>
          <w:iCs/>
          <w:szCs w:val="24"/>
        </w:rPr>
        <w:t xml:space="preserve">Denture satisfaction at follow-up was predicted by </w:t>
      </w:r>
      <w:r w:rsidR="00D460CB" w:rsidRPr="00787196">
        <w:rPr>
          <w:iCs/>
          <w:szCs w:val="24"/>
        </w:rPr>
        <w:t xml:space="preserve">baseline </w:t>
      </w:r>
      <w:r w:rsidRPr="00787196">
        <w:rPr>
          <w:iCs/>
          <w:szCs w:val="24"/>
        </w:rPr>
        <w:t>number of occluding pairs</w:t>
      </w:r>
      <w:r w:rsidR="00D460CB" w:rsidRPr="00787196">
        <w:rPr>
          <w:iCs/>
          <w:szCs w:val="24"/>
        </w:rPr>
        <w:t xml:space="preserve"> of teeth</w:t>
      </w:r>
      <w:r w:rsidRPr="00787196">
        <w:rPr>
          <w:iCs/>
          <w:szCs w:val="24"/>
        </w:rPr>
        <w:t xml:space="preserve">, </w:t>
      </w:r>
      <w:r w:rsidR="00D460CB" w:rsidRPr="00787196">
        <w:rPr>
          <w:iCs/>
          <w:szCs w:val="24"/>
        </w:rPr>
        <w:t>wearing an upper denture</w:t>
      </w:r>
      <w:r w:rsidRPr="00787196">
        <w:rPr>
          <w:iCs/>
          <w:szCs w:val="24"/>
        </w:rPr>
        <w:t>, need</w:t>
      </w:r>
      <w:r w:rsidR="00D460CB" w:rsidRPr="00787196">
        <w:rPr>
          <w:iCs/>
          <w:szCs w:val="24"/>
        </w:rPr>
        <w:t>ing a lower denture</w:t>
      </w:r>
      <w:r w:rsidRPr="00787196">
        <w:rPr>
          <w:iCs/>
          <w:szCs w:val="24"/>
        </w:rPr>
        <w:t>, time since tooth los</w:t>
      </w:r>
      <w:r w:rsidR="00D460CB" w:rsidRPr="00787196">
        <w:rPr>
          <w:iCs/>
          <w:szCs w:val="24"/>
        </w:rPr>
        <w:t>s, O</w:t>
      </w:r>
      <w:r w:rsidRPr="00787196">
        <w:rPr>
          <w:iCs/>
          <w:szCs w:val="24"/>
        </w:rPr>
        <w:t xml:space="preserve">HQoL, </w:t>
      </w:r>
      <w:r w:rsidR="00D460CB" w:rsidRPr="00787196">
        <w:rPr>
          <w:iCs/>
          <w:szCs w:val="24"/>
        </w:rPr>
        <w:t>being dissatisfied with existing dentures (if present) and chewing ability</w:t>
      </w:r>
    </w:p>
    <w:p w14:paraId="458C2282" w14:textId="77777777" w:rsidR="002A1967" w:rsidRPr="00787196" w:rsidRDefault="00D460CB" w:rsidP="00D460CB">
      <w:pPr>
        <w:spacing w:before="0" w:after="0"/>
        <w:rPr>
          <w:iCs/>
          <w:szCs w:val="24"/>
        </w:rPr>
      </w:pPr>
      <w:r w:rsidRPr="00787196">
        <w:rPr>
          <w:iCs/>
          <w:szCs w:val="24"/>
        </w:rPr>
        <w:t>Similarly, Chewing ability at follow-up was determined by baseline age, occupation of the individual, number of teeth present, number of occluding pairs of teeth, needing dentures for both the arches, time since tooth loss episode, OHQoL, dissatisfied with denture (if present) and chewing ability.</w:t>
      </w:r>
    </w:p>
    <w:p w14:paraId="2E67E98D" w14:textId="77777777" w:rsidR="002A1967" w:rsidRPr="00787196" w:rsidRDefault="002A1967" w:rsidP="00D460CB">
      <w:pPr>
        <w:spacing w:before="0" w:after="0"/>
        <w:rPr>
          <w:iCs/>
          <w:szCs w:val="24"/>
        </w:rPr>
      </w:pPr>
    </w:p>
    <w:p w14:paraId="41F44203" w14:textId="7FCC5821" w:rsidR="00A300EE" w:rsidRPr="00787196" w:rsidRDefault="002A1967" w:rsidP="00A300EE">
      <w:pPr>
        <w:spacing w:before="0" w:after="0"/>
        <w:rPr>
          <w:iCs/>
          <w:szCs w:val="24"/>
        </w:rPr>
      </w:pPr>
      <w:r w:rsidRPr="00787196">
        <w:rPr>
          <w:iCs/>
          <w:szCs w:val="24"/>
        </w:rPr>
        <w:t>Inadequate/negative coping strategies at follow-up were predicted</w:t>
      </w:r>
      <w:r w:rsidR="00A300EE" w:rsidRPr="00787196">
        <w:rPr>
          <w:iCs/>
          <w:szCs w:val="24"/>
        </w:rPr>
        <w:t xml:space="preserve"> by baseline wearing of upper denture, needing to wear an upper denture, number of teeth present, number of occluding pairs of teeth present, coping inadequately and by self-blaming</w:t>
      </w:r>
      <w:r w:rsidR="002C5596" w:rsidRPr="00787196">
        <w:rPr>
          <w:iCs/>
          <w:szCs w:val="24"/>
        </w:rPr>
        <w:t xml:space="preserve"> of individuals</w:t>
      </w:r>
      <w:r w:rsidR="00A300EE" w:rsidRPr="00787196">
        <w:rPr>
          <w:iCs/>
          <w:szCs w:val="24"/>
        </w:rPr>
        <w:t xml:space="preserve"> themselves </w:t>
      </w:r>
      <w:r w:rsidR="002C5596" w:rsidRPr="00787196">
        <w:rPr>
          <w:iCs/>
          <w:szCs w:val="24"/>
        </w:rPr>
        <w:t>on</w:t>
      </w:r>
      <w:r w:rsidR="00A300EE" w:rsidRPr="00787196">
        <w:rPr>
          <w:iCs/>
          <w:szCs w:val="24"/>
        </w:rPr>
        <w:t xml:space="preserve"> their dental status.</w:t>
      </w:r>
    </w:p>
    <w:p w14:paraId="4621EF5D" w14:textId="77777777" w:rsidR="00A300EE" w:rsidRPr="00787196" w:rsidRDefault="00A300EE" w:rsidP="00A300EE">
      <w:pPr>
        <w:spacing w:before="0" w:after="0"/>
        <w:rPr>
          <w:iCs/>
          <w:szCs w:val="24"/>
        </w:rPr>
      </w:pPr>
    </w:p>
    <w:p w14:paraId="5F3F4F30" w14:textId="77777777" w:rsidR="002C5596" w:rsidRPr="00787196" w:rsidRDefault="00A300EE" w:rsidP="00A300EE">
      <w:pPr>
        <w:spacing w:before="0" w:after="0"/>
        <w:rPr>
          <w:iCs/>
          <w:szCs w:val="24"/>
        </w:rPr>
      </w:pPr>
      <w:r w:rsidRPr="00787196">
        <w:rPr>
          <w:iCs/>
          <w:szCs w:val="24"/>
        </w:rPr>
        <w:t>Adequate/ positive coping strategies at follow-up was predicted by baseline needing to wear dentures on both the arches</w:t>
      </w:r>
      <w:r w:rsidR="002C5596" w:rsidRPr="00787196">
        <w:rPr>
          <w:iCs/>
          <w:szCs w:val="24"/>
        </w:rPr>
        <w:t>, number of teeth present, number of occluding pairs of teeth present and coping adequately in a positive way.</w:t>
      </w:r>
    </w:p>
    <w:p w14:paraId="63C147AD" w14:textId="77777777" w:rsidR="002C5596" w:rsidRPr="00787196" w:rsidRDefault="002C5596" w:rsidP="00A300EE">
      <w:pPr>
        <w:spacing w:before="0" w:after="0"/>
        <w:rPr>
          <w:iCs/>
          <w:szCs w:val="24"/>
        </w:rPr>
      </w:pPr>
    </w:p>
    <w:p w14:paraId="1AB05CBB" w14:textId="38A6CA88" w:rsidR="002C5596" w:rsidRPr="00787196" w:rsidRDefault="002C5596" w:rsidP="00A300EE">
      <w:pPr>
        <w:spacing w:before="0" w:after="0"/>
        <w:rPr>
          <w:iCs/>
          <w:szCs w:val="24"/>
        </w:rPr>
      </w:pPr>
      <w:r w:rsidRPr="00787196">
        <w:rPr>
          <w:iCs/>
          <w:szCs w:val="24"/>
        </w:rPr>
        <w:t>Self-blaming strategy at follow-up was predicted by baseline self-blaming strategy used by individuals on their dental status.</w:t>
      </w:r>
    </w:p>
    <w:p w14:paraId="452CE366" w14:textId="5F89C5B8" w:rsidR="00051F35" w:rsidRPr="00787196" w:rsidRDefault="002C5596" w:rsidP="00A300EE">
      <w:pPr>
        <w:spacing w:before="0" w:after="0"/>
        <w:rPr>
          <w:iCs/>
          <w:szCs w:val="24"/>
        </w:rPr>
      </w:pPr>
      <w:r w:rsidRPr="00787196">
        <w:rPr>
          <w:iCs/>
          <w:szCs w:val="24"/>
        </w:rPr>
        <w:t xml:space="preserve">Religious coping strategy at follow-up was predicted by baseline occupation of the individual and coping strategy based on religious belief </w:t>
      </w:r>
      <w:r w:rsidR="00051F35" w:rsidRPr="00787196">
        <w:rPr>
          <w:iCs/>
          <w:szCs w:val="24"/>
        </w:rPr>
        <w:br w:type="page"/>
      </w:r>
    </w:p>
    <w:p w14:paraId="7BD91A59" w14:textId="77777777" w:rsidR="00051F35" w:rsidRPr="00787196" w:rsidRDefault="00051F35" w:rsidP="00C86D0C">
      <w:pPr>
        <w:rPr>
          <w:szCs w:val="24"/>
        </w:rPr>
      </w:pPr>
    </w:p>
    <w:p w14:paraId="3CAEC9AB" w14:textId="29B9FBE7" w:rsidR="007B2FDA" w:rsidRPr="00787196" w:rsidRDefault="007B2FDA" w:rsidP="008C0866">
      <w:pPr>
        <w:spacing w:before="0" w:after="0" w:line="240" w:lineRule="auto"/>
        <w:jc w:val="left"/>
        <w:rPr>
          <w:b/>
          <w:bCs/>
          <w:sz w:val="20"/>
          <w:szCs w:val="20"/>
        </w:rPr>
      </w:pPr>
      <w:bookmarkStart w:id="306" w:name="_Toc488655589"/>
      <w:r w:rsidRPr="00787196">
        <w:rPr>
          <w:b/>
          <w:bCs/>
          <w:sz w:val="20"/>
          <w:szCs w:val="20"/>
        </w:rPr>
        <w:t xml:space="preserve">Figure </w:t>
      </w:r>
      <w:r w:rsidR="00786B0E" w:rsidRPr="00787196">
        <w:rPr>
          <w:b/>
          <w:bCs/>
          <w:sz w:val="20"/>
          <w:szCs w:val="20"/>
        </w:rPr>
        <w:fldChar w:fldCharType="begin"/>
      </w:r>
      <w:r w:rsidR="00786B0E" w:rsidRPr="00787196">
        <w:rPr>
          <w:b/>
          <w:bCs/>
          <w:sz w:val="20"/>
          <w:szCs w:val="20"/>
        </w:rPr>
        <w:instrText xml:space="preserve"> STYLEREF 1 \s </w:instrText>
      </w:r>
      <w:r w:rsidR="00786B0E" w:rsidRPr="00787196">
        <w:rPr>
          <w:b/>
          <w:bCs/>
          <w:sz w:val="20"/>
          <w:szCs w:val="20"/>
        </w:rPr>
        <w:fldChar w:fldCharType="separate"/>
      </w:r>
      <w:r w:rsidR="00C069BC" w:rsidRPr="00787196">
        <w:rPr>
          <w:b/>
          <w:bCs/>
          <w:noProof/>
          <w:sz w:val="20"/>
          <w:szCs w:val="20"/>
        </w:rPr>
        <w:t>5</w:t>
      </w:r>
      <w:r w:rsidR="00786B0E" w:rsidRPr="00787196">
        <w:rPr>
          <w:b/>
          <w:bCs/>
          <w:sz w:val="20"/>
          <w:szCs w:val="20"/>
        </w:rPr>
        <w:fldChar w:fldCharType="end"/>
      </w:r>
      <w:r w:rsidR="00786B0E" w:rsidRPr="00787196">
        <w:rPr>
          <w:b/>
          <w:bCs/>
          <w:sz w:val="20"/>
          <w:szCs w:val="20"/>
        </w:rPr>
        <w:noBreakHyphen/>
      </w:r>
      <w:r w:rsidR="00786B0E" w:rsidRPr="00787196">
        <w:rPr>
          <w:b/>
          <w:bCs/>
          <w:sz w:val="20"/>
          <w:szCs w:val="20"/>
        </w:rPr>
        <w:fldChar w:fldCharType="begin"/>
      </w:r>
      <w:r w:rsidR="00786B0E" w:rsidRPr="00787196">
        <w:rPr>
          <w:b/>
          <w:bCs/>
          <w:sz w:val="20"/>
          <w:szCs w:val="20"/>
        </w:rPr>
        <w:instrText xml:space="preserve"> SEQ Figure \* ARABIC \s 1 </w:instrText>
      </w:r>
      <w:r w:rsidR="00786B0E" w:rsidRPr="00787196">
        <w:rPr>
          <w:b/>
          <w:bCs/>
          <w:sz w:val="20"/>
          <w:szCs w:val="20"/>
        </w:rPr>
        <w:fldChar w:fldCharType="separate"/>
      </w:r>
      <w:r w:rsidR="00C069BC" w:rsidRPr="00787196">
        <w:rPr>
          <w:b/>
          <w:bCs/>
          <w:noProof/>
          <w:sz w:val="20"/>
          <w:szCs w:val="20"/>
        </w:rPr>
        <w:t>3</w:t>
      </w:r>
      <w:r w:rsidR="00786B0E" w:rsidRPr="00787196">
        <w:rPr>
          <w:b/>
          <w:bCs/>
          <w:sz w:val="20"/>
          <w:szCs w:val="20"/>
        </w:rPr>
        <w:fldChar w:fldCharType="end"/>
      </w:r>
      <w:bookmarkEnd w:id="305"/>
      <w:r w:rsidR="00935BB5" w:rsidRPr="00787196">
        <w:rPr>
          <w:b/>
          <w:bCs/>
          <w:sz w:val="20"/>
          <w:szCs w:val="20"/>
        </w:rPr>
        <w:t xml:space="preserve">. </w:t>
      </w:r>
      <w:r w:rsidR="00786B0E" w:rsidRPr="00787196">
        <w:rPr>
          <w:b/>
          <w:bCs/>
          <w:sz w:val="20"/>
          <w:szCs w:val="20"/>
        </w:rPr>
        <w:t>Su</w:t>
      </w:r>
      <w:r w:rsidR="0038411E" w:rsidRPr="00787196">
        <w:rPr>
          <w:b/>
          <w:bCs/>
          <w:sz w:val="20"/>
          <w:szCs w:val="20"/>
        </w:rPr>
        <w:t>mmary</w:t>
      </w:r>
      <w:r w:rsidR="00786B0E" w:rsidRPr="00787196">
        <w:rPr>
          <w:b/>
          <w:bCs/>
          <w:sz w:val="20"/>
          <w:szCs w:val="20"/>
        </w:rPr>
        <w:t xml:space="preserve"> of significant bivariate relationships between baseline and outcome variables</w:t>
      </w:r>
      <w:bookmarkEnd w:id="306"/>
      <w:r w:rsidR="00786B0E" w:rsidRPr="00787196">
        <w:rPr>
          <w:b/>
          <w:bCs/>
          <w:sz w:val="20"/>
          <w:szCs w:val="20"/>
        </w:rPr>
        <w:t xml:space="preserve"> </w:t>
      </w:r>
    </w:p>
    <w:p w14:paraId="187B78D2" w14:textId="77777777" w:rsidR="00AE0308" w:rsidRPr="00787196" w:rsidRDefault="00AE0308" w:rsidP="00755F46">
      <w:pPr>
        <w:spacing w:before="0" w:after="0"/>
        <w:rPr>
          <w:b/>
          <w:bCs/>
          <w:sz w:val="20"/>
          <w:szCs w:val="20"/>
        </w:rPr>
      </w:pPr>
    </w:p>
    <w:tbl>
      <w:tblPr>
        <w:tblW w:w="8423" w:type="dxa"/>
        <w:tblBorders>
          <w:top w:val="single" w:sz="8" w:space="0" w:color="000000"/>
          <w:bottom w:val="single" w:sz="8" w:space="0" w:color="000000"/>
        </w:tblBorders>
        <w:tblLook w:val="04A0" w:firstRow="1" w:lastRow="0" w:firstColumn="1" w:lastColumn="0" w:noHBand="0" w:noVBand="1"/>
      </w:tblPr>
      <w:tblGrid>
        <w:gridCol w:w="3641"/>
        <w:gridCol w:w="2313"/>
        <w:gridCol w:w="2469"/>
      </w:tblGrid>
      <w:tr w:rsidR="00FE2A58" w:rsidRPr="00787196" w14:paraId="68A87AB1" w14:textId="77777777" w:rsidTr="008D4EA6">
        <w:trPr>
          <w:trHeight w:val="701"/>
        </w:trPr>
        <w:tc>
          <w:tcPr>
            <w:tcW w:w="3641" w:type="dxa"/>
            <w:tcBorders>
              <w:top w:val="nil"/>
              <w:bottom w:val="single" w:sz="8" w:space="0" w:color="000000"/>
            </w:tcBorders>
            <w:shd w:val="clear" w:color="auto" w:fill="FFFFFF"/>
            <w:vAlign w:val="center"/>
          </w:tcPr>
          <w:p w14:paraId="7FD08AF0" w14:textId="77777777" w:rsidR="00FE2A58" w:rsidRPr="00787196" w:rsidRDefault="00FE2A58" w:rsidP="0000421A">
            <w:pPr>
              <w:autoSpaceDE w:val="0"/>
              <w:autoSpaceDN w:val="0"/>
              <w:adjustRightInd w:val="0"/>
              <w:spacing w:before="0" w:after="0" w:line="240" w:lineRule="auto"/>
              <w:jc w:val="center"/>
              <w:rPr>
                <w:rFonts w:cs="Arial"/>
                <w:b/>
                <w:bCs/>
                <w:color w:val="000000"/>
                <w:sz w:val="18"/>
                <w:szCs w:val="18"/>
              </w:rPr>
            </w:pPr>
            <w:r w:rsidRPr="00787196">
              <w:rPr>
                <w:rFonts w:cs="Arial"/>
                <w:b/>
                <w:bCs/>
                <w:color w:val="000000"/>
                <w:sz w:val="20"/>
                <w:szCs w:val="20"/>
              </w:rPr>
              <w:t>BASELINE</w:t>
            </w:r>
          </w:p>
        </w:tc>
        <w:tc>
          <w:tcPr>
            <w:tcW w:w="2313" w:type="dxa"/>
            <w:tcBorders>
              <w:top w:val="nil"/>
              <w:bottom w:val="nil"/>
            </w:tcBorders>
            <w:shd w:val="clear" w:color="auto" w:fill="FFFFFF"/>
            <w:vAlign w:val="center"/>
          </w:tcPr>
          <w:p w14:paraId="7E6F1CAF" w14:textId="77777777" w:rsidR="00FE2A58" w:rsidRPr="00787196" w:rsidRDefault="00FE2A58" w:rsidP="0000421A">
            <w:pPr>
              <w:autoSpaceDE w:val="0"/>
              <w:autoSpaceDN w:val="0"/>
              <w:adjustRightInd w:val="0"/>
              <w:spacing w:before="0" w:after="0" w:line="240" w:lineRule="auto"/>
              <w:jc w:val="center"/>
              <w:rPr>
                <w:rFonts w:cs="Arial"/>
                <w:color w:val="000000"/>
                <w:sz w:val="18"/>
                <w:szCs w:val="18"/>
              </w:rPr>
            </w:pPr>
          </w:p>
          <w:p w14:paraId="3701ED3D" w14:textId="77777777" w:rsidR="00AE0308" w:rsidRPr="00787196" w:rsidRDefault="00AE0308" w:rsidP="0000421A">
            <w:pPr>
              <w:autoSpaceDE w:val="0"/>
              <w:autoSpaceDN w:val="0"/>
              <w:adjustRightInd w:val="0"/>
              <w:spacing w:before="0" w:after="0" w:line="240" w:lineRule="auto"/>
              <w:jc w:val="center"/>
              <w:rPr>
                <w:rFonts w:cs="Arial"/>
                <w:color w:val="000000"/>
                <w:sz w:val="18"/>
                <w:szCs w:val="18"/>
              </w:rPr>
            </w:pPr>
          </w:p>
        </w:tc>
        <w:tc>
          <w:tcPr>
            <w:tcW w:w="2469" w:type="dxa"/>
            <w:tcBorders>
              <w:top w:val="nil"/>
              <w:bottom w:val="nil"/>
            </w:tcBorders>
            <w:shd w:val="clear" w:color="auto" w:fill="FFFFFF"/>
            <w:vAlign w:val="center"/>
          </w:tcPr>
          <w:p w14:paraId="29A5DE7C" w14:textId="77777777" w:rsidR="00910AE5" w:rsidRPr="00787196" w:rsidRDefault="00910AE5" w:rsidP="0000421A">
            <w:pPr>
              <w:autoSpaceDE w:val="0"/>
              <w:autoSpaceDN w:val="0"/>
              <w:adjustRightInd w:val="0"/>
              <w:spacing w:before="0" w:after="0" w:line="240" w:lineRule="auto"/>
              <w:jc w:val="center"/>
              <w:rPr>
                <w:rFonts w:cs="Arial"/>
                <w:b/>
                <w:bCs/>
                <w:color w:val="000000"/>
                <w:sz w:val="18"/>
                <w:szCs w:val="18"/>
              </w:rPr>
            </w:pPr>
          </w:p>
          <w:p w14:paraId="5B55017A" w14:textId="77777777" w:rsidR="00910AE5" w:rsidRPr="00787196" w:rsidRDefault="00910AE5" w:rsidP="0000421A">
            <w:pPr>
              <w:autoSpaceDE w:val="0"/>
              <w:autoSpaceDN w:val="0"/>
              <w:adjustRightInd w:val="0"/>
              <w:spacing w:before="0" w:after="0" w:line="240" w:lineRule="auto"/>
              <w:jc w:val="center"/>
              <w:rPr>
                <w:rFonts w:cs="Arial"/>
                <w:b/>
                <w:bCs/>
                <w:color w:val="000000"/>
                <w:sz w:val="18"/>
                <w:szCs w:val="18"/>
              </w:rPr>
            </w:pPr>
          </w:p>
          <w:p w14:paraId="5FF703D1" w14:textId="77777777" w:rsidR="00FE2A58" w:rsidRPr="00787196" w:rsidRDefault="00FE2A58" w:rsidP="0000421A">
            <w:pPr>
              <w:autoSpaceDE w:val="0"/>
              <w:autoSpaceDN w:val="0"/>
              <w:adjustRightInd w:val="0"/>
              <w:spacing w:before="0" w:after="0" w:line="240" w:lineRule="auto"/>
              <w:jc w:val="center"/>
              <w:rPr>
                <w:rFonts w:cs="Arial"/>
                <w:b/>
                <w:bCs/>
                <w:color w:val="000000"/>
                <w:sz w:val="18"/>
                <w:szCs w:val="18"/>
              </w:rPr>
            </w:pPr>
            <w:r w:rsidRPr="00787196">
              <w:rPr>
                <w:rFonts w:cs="Arial"/>
                <w:b/>
                <w:bCs/>
                <w:color w:val="000000"/>
                <w:sz w:val="18"/>
                <w:szCs w:val="18"/>
              </w:rPr>
              <w:t>FOLLOW UP</w:t>
            </w:r>
          </w:p>
          <w:p w14:paraId="7D66B7DC" w14:textId="77777777" w:rsidR="00AE0308" w:rsidRPr="00787196" w:rsidRDefault="00AE0308" w:rsidP="0000421A">
            <w:pPr>
              <w:autoSpaceDE w:val="0"/>
              <w:autoSpaceDN w:val="0"/>
              <w:adjustRightInd w:val="0"/>
              <w:spacing w:before="0" w:after="0" w:line="240" w:lineRule="auto"/>
              <w:jc w:val="center"/>
              <w:rPr>
                <w:rFonts w:cs="Arial"/>
                <w:b/>
                <w:bCs/>
                <w:color w:val="000000"/>
                <w:sz w:val="18"/>
                <w:szCs w:val="18"/>
              </w:rPr>
            </w:pPr>
          </w:p>
        </w:tc>
      </w:tr>
      <w:tr w:rsidR="00057EF8" w:rsidRPr="00787196" w14:paraId="4BF2BC2C" w14:textId="77777777" w:rsidTr="008D4EA6">
        <w:trPr>
          <w:trHeight w:val="571"/>
        </w:trPr>
        <w:tc>
          <w:tcPr>
            <w:tcW w:w="364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52E864E0" w14:textId="77777777" w:rsidR="002B5951" w:rsidRPr="00787196" w:rsidRDefault="002B5951" w:rsidP="00CD3C98">
            <w:pPr>
              <w:pStyle w:val="ListParagraph"/>
              <w:autoSpaceDE w:val="0"/>
              <w:autoSpaceDN w:val="0"/>
              <w:adjustRightInd w:val="0"/>
              <w:spacing w:before="0" w:after="0" w:line="240" w:lineRule="auto"/>
              <w:ind w:left="142"/>
              <w:jc w:val="center"/>
              <w:rPr>
                <w:rFonts w:cs="Arial"/>
                <w:color w:val="000000"/>
                <w:sz w:val="20"/>
                <w:szCs w:val="20"/>
              </w:rPr>
            </w:pPr>
          </w:p>
          <w:p w14:paraId="066B77AF" w14:textId="59DE5F37" w:rsidR="00057EF8" w:rsidRPr="00787196" w:rsidRDefault="0060126B" w:rsidP="00C119A5">
            <w:pPr>
              <w:pStyle w:val="ListParagraph"/>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Number of teeth present^, number of occluding pairs</w:t>
            </w:r>
            <w:r w:rsidR="00FA3B32" w:rsidRPr="00787196">
              <w:rPr>
                <w:rFonts w:cs="Arial"/>
                <w:color w:val="000000"/>
                <w:sz w:val="20"/>
                <w:szCs w:val="20"/>
                <w:vertAlign w:val="superscript"/>
              </w:rPr>
              <w:t>+</w:t>
            </w:r>
            <w:r w:rsidR="00FA3B32" w:rsidRPr="00787196">
              <w:rPr>
                <w:rFonts w:cs="Arial"/>
                <w:color w:val="000000"/>
                <w:sz w:val="20"/>
                <w:szCs w:val="20"/>
              </w:rPr>
              <w:t>, prosthetic status (upper)</w:t>
            </w:r>
            <w:r w:rsidR="00FA3B32" w:rsidRPr="00787196">
              <w:rPr>
                <w:rFonts w:cs="Arial"/>
                <w:color w:val="000000"/>
                <w:sz w:val="20"/>
                <w:szCs w:val="20"/>
                <w:vertAlign w:val="superscript"/>
              </w:rPr>
              <w:t>+</w:t>
            </w:r>
            <w:r w:rsidR="00FA3B32" w:rsidRPr="00787196">
              <w:rPr>
                <w:rFonts w:cs="Arial"/>
                <w:color w:val="000000"/>
                <w:sz w:val="20"/>
                <w:szCs w:val="20"/>
              </w:rPr>
              <w:t>, prosthetic Rx need</w:t>
            </w:r>
            <w:r w:rsidR="00945676" w:rsidRPr="00787196">
              <w:rPr>
                <w:rFonts w:cs="Arial"/>
                <w:color w:val="000000"/>
                <w:sz w:val="20"/>
                <w:szCs w:val="20"/>
              </w:rPr>
              <w:t xml:space="preserve"> (upper)</w:t>
            </w:r>
            <w:r w:rsidR="00945676" w:rsidRPr="00787196">
              <w:rPr>
                <w:rFonts w:cs="Arial"/>
                <w:color w:val="000000"/>
                <w:sz w:val="20"/>
                <w:szCs w:val="20"/>
                <w:vertAlign w:val="superscript"/>
              </w:rPr>
              <w:t>+</w:t>
            </w:r>
            <w:r w:rsidR="00945676" w:rsidRPr="00787196">
              <w:rPr>
                <w:rFonts w:cs="Arial"/>
                <w:color w:val="000000"/>
                <w:sz w:val="20"/>
                <w:szCs w:val="20"/>
              </w:rPr>
              <w:t>, time since last tooth loss</w:t>
            </w:r>
            <w:r w:rsidR="00945676" w:rsidRPr="00787196">
              <w:rPr>
                <w:rFonts w:cs="Arial"/>
                <w:color w:val="000000"/>
                <w:sz w:val="20"/>
                <w:szCs w:val="20"/>
                <w:vertAlign w:val="superscript"/>
              </w:rPr>
              <w:t>+</w:t>
            </w:r>
          </w:p>
          <w:p w14:paraId="16918F8D" w14:textId="77777777" w:rsidR="005B6C5F" w:rsidRPr="00787196" w:rsidRDefault="005B6C5F" w:rsidP="00E15FB3">
            <w:pPr>
              <w:pStyle w:val="ListParagraph"/>
              <w:autoSpaceDE w:val="0"/>
              <w:autoSpaceDN w:val="0"/>
              <w:adjustRightInd w:val="0"/>
              <w:spacing w:before="0" w:after="0" w:line="240" w:lineRule="auto"/>
              <w:ind w:left="142"/>
              <w:jc w:val="left"/>
              <w:rPr>
                <w:rFonts w:cs="Arial"/>
                <w:color w:val="000000"/>
                <w:sz w:val="20"/>
                <w:szCs w:val="20"/>
              </w:rPr>
            </w:pPr>
          </w:p>
          <w:p w14:paraId="1E9B0DA1" w14:textId="77777777" w:rsidR="00945676" w:rsidRPr="00787196" w:rsidRDefault="00945676" w:rsidP="00C119A5">
            <w:pPr>
              <w:pStyle w:val="ListParagraph"/>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OHQoL**</w:t>
            </w:r>
            <w:r w:rsidR="005B6C5F" w:rsidRPr="00787196">
              <w:rPr>
                <w:rFonts w:cs="Arial"/>
                <w:color w:val="000000"/>
                <w:sz w:val="20"/>
                <w:szCs w:val="20"/>
              </w:rPr>
              <w:t>, Denture satisfaction*, Chewing ability*</w:t>
            </w:r>
          </w:p>
          <w:p w14:paraId="08D72C06" w14:textId="28531677" w:rsidR="002B5951" w:rsidRPr="00787196" w:rsidRDefault="002B5951" w:rsidP="00CD3C98">
            <w:pPr>
              <w:pStyle w:val="ListParagraph"/>
              <w:autoSpaceDE w:val="0"/>
              <w:autoSpaceDN w:val="0"/>
              <w:adjustRightInd w:val="0"/>
              <w:spacing w:before="0" w:after="0" w:line="240" w:lineRule="auto"/>
              <w:ind w:left="142"/>
              <w:jc w:val="center"/>
              <w:rPr>
                <w:rFonts w:cs="Arial"/>
                <w:color w:val="000000"/>
                <w:sz w:val="20"/>
                <w:szCs w:val="20"/>
              </w:rPr>
            </w:pPr>
          </w:p>
        </w:tc>
        <w:tc>
          <w:tcPr>
            <w:tcW w:w="2313" w:type="dxa"/>
            <w:tcBorders>
              <w:top w:val="nil"/>
              <w:left w:val="single" w:sz="8" w:space="0" w:color="000000"/>
              <w:bottom w:val="nil"/>
            </w:tcBorders>
            <w:shd w:val="clear" w:color="auto" w:fill="FFFFFF"/>
          </w:tcPr>
          <w:p w14:paraId="41C09821"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469" w:type="dxa"/>
            <w:tcBorders>
              <w:top w:val="nil"/>
              <w:left w:val="nil"/>
              <w:bottom w:val="single" w:sz="4" w:space="0" w:color="auto"/>
              <w:right w:val="nil"/>
            </w:tcBorders>
            <w:shd w:val="clear" w:color="auto" w:fill="FFFFFF"/>
            <w:vAlign w:val="center"/>
          </w:tcPr>
          <w:p w14:paraId="1498FB70"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r>
      <w:tr w:rsidR="00CD3C98" w:rsidRPr="00787196" w14:paraId="2C7765D2" w14:textId="77777777" w:rsidTr="008D4EA6">
        <w:trPr>
          <w:trHeight w:val="825"/>
        </w:trPr>
        <w:tc>
          <w:tcPr>
            <w:tcW w:w="3641" w:type="dxa"/>
            <w:vMerge/>
            <w:tcBorders>
              <w:top w:val="single" w:sz="8" w:space="0" w:color="000000"/>
              <w:left w:val="single" w:sz="8" w:space="0" w:color="000000"/>
              <w:bottom w:val="single" w:sz="8" w:space="0" w:color="000000"/>
              <w:right w:val="single" w:sz="8" w:space="0" w:color="000000"/>
            </w:tcBorders>
            <w:shd w:val="clear" w:color="auto" w:fill="FFFFFF"/>
          </w:tcPr>
          <w:p w14:paraId="01D76B03" w14:textId="77777777" w:rsidR="00CD3C98" w:rsidRPr="00787196" w:rsidRDefault="00CD3C98" w:rsidP="00C119A5">
            <w:pPr>
              <w:numPr>
                <w:ilvl w:val="0"/>
                <w:numId w:val="28"/>
              </w:numPr>
              <w:autoSpaceDE w:val="0"/>
              <w:autoSpaceDN w:val="0"/>
              <w:adjustRightInd w:val="0"/>
              <w:spacing w:before="0" w:after="0" w:line="240" w:lineRule="auto"/>
              <w:ind w:left="142" w:hanging="142"/>
              <w:rPr>
                <w:rFonts w:cs="Arial"/>
                <w:color w:val="000000"/>
                <w:sz w:val="14"/>
                <w:szCs w:val="14"/>
              </w:rPr>
            </w:pPr>
          </w:p>
        </w:tc>
        <w:tc>
          <w:tcPr>
            <w:tcW w:w="2313" w:type="dxa"/>
            <w:tcBorders>
              <w:top w:val="nil"/>
              <w:left w:val="single" w:sz="8" w:space="0" w:color="000000"/>
              <w:right w:val="single" w:sz="4" w:space="0" w:color="auto"/>
            </w:tcBorders>
            <w:shd w:val="clear" w:color="auto" w:fill="FFFFFF"/>
          </w:tcPr>
          <w:p w14:paraId="4031099D" w14:textId="42F7AB9B" w:rsidR="00CD3C98" w:rsidRPr="00787196" w:rsidRDefault="008D4EA6" w:rsidP="00755F46">
            <w:pPr>
              <w:autoSpaceDE w:val="0"/>
              <w:autoSpaceDN w:val="0"/>
              <w:adjustRightInd w:val="0"/>
              <w:spacing w:before="0" w:after="0" w:line="240" w:lineRule="auto"/>
              <w:rPr>
                <w:rFonts w:cs="Arial"/>
                <w:color w:val="000000"/>
                <w:sz w:val="14"/>
                <w:szCs w:val="14"/>
              </w:rPr>
            </w:pPr>
            <w:r w:rsidRPr="00787196">
              <w:rPr>
                <w:rFonts w:cs="Arial"/>
                <w:noProof/>
                <w:color w:val="000000"/>
                <w:sz w:val="20"/>
                <w:szCs w:val="20"/>
              </w:rPr>
              <mc:AlternateContent>
                <mc:Choice Requires="wps">
                  <w:drawing>
                    <wp:anchor distT="0" distB="0" distL="114300" distR="114300" simplePos="0" relativeHeight="251648512" behindDoc="0" locked="0" layoutInCell="1" allowOverlap="1" wp14:anchorId="127D8A75" wp14:editId="40811C50">
                      <wp:simplePos x="0" y="0"/>
                      <wp:positionH relativeFrom="column">
                        <wp:posOffset>-29523</wp:posOffset>
                      </wp:positionH>
                      <wp:positionV relativeFrom="paragraph">
                        <wp:posOffset>282130</wp:posOffset>
                      </wp:positionV>
                      <wp:extent cx="1405719" cy="0"/>
                      <wp:effectExtent l="0" t="76200" r="23495" b="95250"/>
                      <wp:wrapNone/>
                      <wp:docPr id="7" name="Straight Arrow Connector 7"/>
                      <wp:cNvGraphicFramePr/>
                      <a:graphic xmlns:a="http://schemas.openxmlformats.org/drawingml/2006/main">
                        <a:graphicData uri="http://schemas.microsoft.com/office/word/2010/wordprocessingShape">
                          <wps:wsp>
                            <wps:cNvCnPr/>
                            <wps:spPr>
                              <a:xfrm>
                                <a:off x="0" y="0"/>
                                <a:ext cx="14057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6C137" id="Straight Arrow Connector 7" o:spid="_x0000_s1026" type="#_x0000_t32" style="position:absolute;margin-left:-2.3pt;margin-top:22.2pt;width:110.7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" strokecolor="black [3200]" strokeweight=".5pt">
                      <v:stroke endarrow="block" joinstyle="miter"/>
                    </v:shape>
                  </w:pict>
                </mc:Fallback>
              </mc:AlternateContent>
            </w:r>
          </w:p>
        </w:tc>
        <w:tc>
          <w:tcPr>
            <w:tcW w:w="2469" w:type="dxa"/>
            <w:tcBorders>
              <w:top w:val="nil"/>
              <w:left w:val="single" w:sz="4" w:space="0" w:color="auto"/>
              <w:bottom w:val="nil"/>
              <w:right w:val="single" w:sz="4" w:space="0" w:color="auto"/>
            </w:tcBorders>
            <w:shd w:val="clear" w:color="auto" w:fill="FFFFFF"/>
            <w:vAlign w:val="center"/>
          </w:tcPr>
          <w:p w14:paraId="344A965E" w14:textId="77777777" w:rsidR="00CD3C98" w:rsidRPr="00787196" w:rsidRDefault="00CD3C98" w:rsidP="00912E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OHQoL</w:t>
            </w:r>
          </w:p>
        </w:tc>
      </w:tr>
      <w:tr w:rsidR="00057EF8" w:rsidRPr="00787196" w14:paraId="79357109" w14:textId="77777777" w:rsidTr="008D4EA6">
        <w:trPr>
          <w:trHeight w:val="245"/>
        </w:trPr>
        <w:tc>
          <w:tcPr>
            <w:tcW w:w="3641" w:type="dxa"/>
            <w:vMerge/>
            <w:tcBorders>
              <w:top w:val="single" w:sz="8" w:space="0" w:color="000000"/>
              <w:left w:val="single" w:sz="8" w:space="0" w:color="000000"/>
              <w:bottom w:val="single" w:sz="8" w:space="0" w:color="000000"/>
              <w:right w:val="single" w:sz="8" w:space="0" w:color="000000"/>
            </w:tcBorders>
            <w:shd w:val="clear" w:color="auto" w:fill="FFFFFF"/>
          </w:tcPr>
          <w:p w14:paraId="70356167" w14:textId="77777777" w:rsidR="00057EF8" w:rsidRPr="00787196" w:rsidRDefault="00057EF8" w:rsidP="00755F46">
            <w:pPr>
              <w:autoSpaceDE w:val="0"/>
              <w:autoSpaceDN w:val="0"/>
              <w:adjustRightInd w:val="0"/>
              <w:spacing w:before="0" w:after="0" w:line="240" w:lineRule="auto"/>
              <w:ind w:left="142"/>
              <w:rPr>
                <w:rFonts w:cs="Arial"/>
                <w:b/>
                <w:bCs/>
                <w:color w:val="000000"/>
                <w:sz w:val="14"/>
                <w:szCs w:val="14"/>
              </w:rPr>
            </w:pPr>
          </w:p>
        </w:tc>
        <w:tc>
          <w:tcPr>
            <w:tcW w:w="2313" w:type="dxa"/>
            <w:tcBorders>
              <w:top w:val="nil"/>
              <w:left w:val="single" w:sz="8" w:space="0" w:color="000000"/>
              <w:bottom w:val="nil"/>
            </w:tcBorders>
            <w:shd w:val="clear" w:color="auto" w:fill="FFFFFF"/>
          </w:tcPr>
          <w:p w14:paraId="7463B859"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p w14:paraId="30A42CAA" w14:textId="77777777" w:rsidR="00D87AB0" w:rsidRPr="00787196" w:rsidRDefault="00D87AB0" w:rsidP="00755F46">
            <w:pPr>
              <w:autoSpaceDE w:val="0"/>
              <w:autoSpaceDN w:val="0"/>
              <w:adjustRightInd w:val="0"/>
              <w:spacing w:before="0" w:after="0" w:line="240" w:lineRule="auto"/>
              <w:rPr>
                <w:rFonts w:cs="Arial"/>
                <w:color w:val="000000"/>
                <w:sz w:val="14"/>
                <w:szCs w:val="14"/>
              </w:rPr>
            </w:pPr>
          </w:p>
          <w:p w14:paraId="4AE6A461" w14:textId="77777777" w:rsidR="00D87AB0" w:rsidRPr="00787196" w:rsidRDefault="00D87AB0" w:rsidP="00755F46">
            <w:pPr>
              <w:autoSpaceDE w:val="0"/>
              <w:autoSpaceDN w:val="0"/>
              <w:adjustRightInd w:val="0"/>
              <w:spacing w:before="0" w:after="0" w:line="240" w:lineRule="auto"/>
              <w:rPr>
                <w:rFonts w:cs="Arial"/>
                <w:color w:val="000000"/>
                <w:sz w:val="14"/>
                <w:szCs w:val="14"/>
              </w:rPr>
            </w:pPr>
          </w:p>
        </w:tc>
        <w:tc>
          <w:tcPr>
            <w:tcW w:w="2469" w:type="dxa"/>
            <w:tcBorders>
              <w:top w:val="single" w:sz="4" w:space="0" w:color="auto"/>
              <w:left w:val="nil"/>
              <w:bottom w:val="nil"/>
              <w:right w:val="nil"/>
            </w:tcBorders>
            <w:shd w:val="clear" w:color="auto" w:fill="FFFFFF"/>
            <w:vAlign w:val="center"/>
          </w:tcPr>
          <w:p w14:paraId="0D3D06AA" w14:textId="77777777" w:rsidR="00057EF8" w:rsidRPr="00787196" w:rsidRDefault="00057EF8" w:rsidP="00912E3C">
            <w:pPr>
              <w:autoSpaceDE w:val="0"/>
              <w:autoSpaceDN w:val="0"/>
              <w:adjustRightInd w:val="0"/>
              <w:spacing w:before="0" w:after="0" w:line="240" w:lineRule="auto"/>
              <w:jc w:val="center"/>
              <w:rPr>
                <w:rFonts w:cs="Arial"/>
                <w:color w:val="000000"/>
                <w:sz w:val="14"/>
                <w:szCs w:val="14"/>
              </w:rPr>
            </w:pPr>
          </w:p>
        </w:tc>
      </w:tr>
      <w:tr w:rsidR="00057EF8" w:rsidRPr="00787196" w14:paraId="293428F4" w14:textId="77777777" w:rsidTr="008D4EA6">
        <w:trPr>
          <w:trHeight w:val="251"/>
        </w:trPr>
        <w:tc>
          <w:tcPr>
            <w:tcW w:w="3641" w:type="dxa"/>
            <w:tcBorders>
              <w:top w:val="single" w:sz="8" w:space="0" w:color="000000"/>
              <w:bottom w:val="single" w:sz="8" w:space="0" w:color="000000"/>
            </w:tcBorders>
            <w:shd w:val="clear" w:color="auto" w:fill="FFFFFF"/>
          </w:tcPr>
          <w:p w14:paraId="255232D4"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p w14:paraId="5D74A3EA" w14:textId="77777777" w:rsidR="00D87AB0" w:rsidRPr="00787196" w:rsidRDefault="00D87AB0" w:rsidP="00755F46">
            <w:pPr>
              <w:autoSpaceDE w:val="0"/>
              <w:autoSpaceDN w:val="0"/>
              <w:adjustRightInd w:val="0"/>
              <w:spacing w:before="0" w:after="0" w:line="240" w:lineRule="auto"/>
              <w:ind w:left="142"/>
              <w:rPr>
                <w:rFonts w:cs="Arial"/>
                <w:color w:val="000000"/>
                <w:sz w:val="14"/>
                <w:szCs w:val="14"/>
              </w:rPr>
            </w:pPr>
          </w:p>
          <w:p w14:paraId="5EC12AFD" w14:textId="77777777" w:rsidR="00D87AB0" w:rsidRPr="00787196" w:rsidRDefault="00D87AB0" w:rsidP="00755F46">
            <w:pPr>
              <w:autoSpaceDE w:val="0"/>
              <w:autoSpaceDN w:val="0"/>
              <w:adjustRightInd w:val="0"/>
              <w:spacing w:before="0" w:after="0" w:line="240" w:lineRule="auto"/>
              <w:ind w:left="142"/>
              <w:rPr>
                <w:rFonts w:cs="Arial"/>
                <w:color w:val="000000"/>
                <w:sz w:val="14"/>
                <w:szCs w:val="14"/>
              </w:rPr>
            </w:pPr>
          </w:p>
          <w:p w14:paraId="339B03BA" w14:textId="77777777" w:rsidR="00D87AB0" w:rsidRPr="00787196" w:rsidRDefault="00D87AB0" w:rsidP="00755F46">
            <w:pPr>
              <w:autoSpaceDE w:val="0"/>
              <w:autoSpaceDN w:val="0"/>
              <w:adjustRightInd w:val="0"/>
              <w:spacing w:before="0" w:after="0" w:line="240" w:lineRule="auto"/>
              <w:ind w:left="142"/>
              <w:rPr>
                <w:rFonts w:cs="Arial"/>
                <w:color w:val="000000"/>
                <w:sz w:val="14"/>
                <w:szCs w:val="14"/>
              </w:rPr>
            </w:pPr>
          </w:p>
          <w:p w14:paraId="123E58D7" w14:textId="77777777" w:rsidR="00D87AB0" w:rsidRPr="00787196" w:rsidRDefault="00D87AB0" w:rsidP="00755F46">
            <w:pPr>
              <w:autoSpaceDE w:val="0"/>
              <w:autoSpaceDN w:val="0"/>
              <w:adjustRightInd w:val="0"/>
              <w:spacing w:before="0" w:after="0" w:line="240" w:lineRule="auto"/>
              <w:ind w:left="142"/>
              <w:rPr>
                <w:rFonts w:cs="Arial"/>
                <w:color w:val="000000"/>
                <w:sz w:val="14"/>
                <w:szCs w:val="14"/>
              </w:rPr>
            </w:pPr>
          </w:p>
        </w:tc>
        <w:tc>
          <w:tcPr>
            <w:tcW w:w="2313" w:type="dxa"/>
            <w:shd w:val="clear" w:color="auto" w:fill="FFFFFF"/>
          </w:tcPr>
          <w:p w14:paraId="7CE2D93D" w14:textId="77777777" w:rsidR="00057EF8" w:rsidRPr="00787196" w:rsidRDefault="00057EF8" w:rsidP="00755F46">
            <w:pPr>
              <w:autoSpaceDE w:val="0"/>
              <w:autoSpaceDN w:val="0"/>
              <w:adjustRightInd w:val="0"/>
              <w:spacing w:before="0" w:after="0" w:line="240" w:lineRule="auto"/>
              <w:rPr>
                <w:rFonts w:cs="Arial"/>
                <w:b/>
                <w:bCs/>
                <w:color w:val="000000"/>
                <w:sz w:val="18"/>
                <w:szCs w:val="18"/>
              </w:rPr>
            </w:pPr>
          </w:p>
        </w:tc>
        <w:tc>
          <w:tcPr>
            <w:tcW w:w="2469" w:type="dxa"/>
            <w:tcBorders>
              <w:left w:val="nil"/>
              <w:right w:val="nil"/>
            </w:tcBorders>
            <w:shd w:val="clear" w:color="auto" w:fill="FFFFFF"/>
            <w:vAlign w:val="center"/>
          </w:tcPr>
          <w:p w14:paraId="25B4EEA6" w14:textId="77777777" w:rsidR="00057EF8" w:rsidRPr="00787196" w:rsidRDefault="00057EF8" w:rsidP="00912E3C">
            <w:pPr>
              <w:autoSpaceDE w:val="0"/>
              <w:autoSpaceDN w:val="0"/>
              <w:adjustRightInd w:val="0"/>
              <w:spacing w:before="0" w:after="0" w:line="240" w:lineRule="auto"/>
              <w:jc w:val="center"/>
              <w:rPr>
                <w:rFonts w:cs="Arial"/>
                <w:b/>
                <w:bCs/>
                <w:color w:val="000000"/>
                <w:sz w:val="18"/>
                <w:szCs w:val="18"/>
              </w:rPr>
            </w:pPr>
          </w:p>
        </w:tc>
      </w:tr>
      <w:tr w:rsidR="00057EF8" w:rsidRPr="00787196" w14:paraId="78A1F95A" w14:textId="77777777" w:rsidTr="008D4EA6">
        <w:trPr>
          <w:trHeight w:val="256"/>
        </w:trPr>
        <w:tc>
          <w:tcPr>
            <w:tcW w:w="3641" w:type="dxa"/>
            <w:vMerge w:val="restart"/>
            <w:tcBorders>
              <w:top w:val="single" w:sz="8" w:space="0" w:color="000000"/>
              <w:left w:val="single" w:sz="8" w:space="0" w:color="000000"/>
              <w:right w:val="single" w:sz="8" w:space="0" w:color="000000"/>
            </w:tcBorders>
            <w:shd w:val="clear" w:color="auto" w:fill="FFFFFF"/>
            <w:vAlign w:val="center"/>
          </w:tcPr>
          <w:p w14:paraId="5113D987" w14:textId="77777777" w:rsidR="00057EF8" w:rsidRPr="00787196" w:rsidRDefault="00057EF8" w:rsidP="00755F46">
            <w:pPr>
              <w:autoSpaceDE w:val="0"/>
              <w:autoSpaceDN w:val="0"/>
              <w:adjustRightInd w:val="0"/>
              <w:spacing w:before="0" w:after="0" w:line="240" w:lineRule="auto"/>
              <w:ind w:left="142"/>
              <w:rPr>
                <w:rFonts w:cs="Arial"/>
                <w:color w:val="000000"/>
                <w:sz w:val="20"/>
                <w:szCs w:val="20"/>
              </w:rPr>
            </w:pPr>
          </w:p>
          <w:p w14:paraId="018CF56D" w14:textId="3454978B" w:rsidR="00057EF8" w:rsidRPr="00787196" w:rsidRDefault="00057EF8" w:rsidP="00C119A5">
            <w:pPr>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Occluding pairs</w:t>
            </w:r>
            <w:r w:rsidRPr="00787196">
              <w:rPr>
                <w:rFonts w:cs="Arial"/>
                <w:color w:val="000000"/>
                <w:sz w:val="20"/>
                <w:szCs w:val="20"/>
                <w:vertAlign w:val="superscript"/>
              </w:rPr>
              <w:t>+</w:t>
            </w:r>
            <w:r w:rsidRPr="00787196">
              <w:rPr>
                <w:rFonts w:cs="Arial"/>
                <w:color w:val="000000"/>
                <w:sz w:val="20"/>
                <w:szCs w:val="20"/>
              </w:rPr>
              <w:t>, prosthetic status (upper arch)</w:t>
            </w:r>
            <w:r w:rsidRPr="00787196">
              <w:rPr>
                <w:rFonts w:cs="Arial"/>
                <w:color w:val="000000"/>
                <w:sz w:val="20"/>
                <w:szCs w:val="20"/>
                <w:vertAlign w:val="superscript"/>
              </w:rPr>
              <w:t xml:space="preserve"> +, </w:t>
            </w:r>
            <w:r w:rsidRPr="00787196">
              <w:rPr>
                <w:rFonts w:cs="Arial"/>
                <w:color w:val="000000"/>
                <w:sz w:val="20"/>
                <w:szCs w:val="20"/>
              </w:rPr>
              <w:t>prosthetic need (lower arch)</w:t>
            </w:r>
            <w:r w:rsidRPr="00787196">
              <w:rPr>
                <w:rFonts w:cs="Arial"/>
                <w:color w:val="000000"/>
                <w:sz w:val="20"/>
                <w:szCs w:val="20"/>
                <w:vertAlign w:val="superscript"/>
              </w:rPr>
              <w:t>+</w:t>
            </w:r>
            <w:r w:rsidRPr="00787196">
              <w:rPr>
                <w:rFonts w:cs="Arial"/>
                <w:color w:val="000000"/>
                <w:sz w:val="20"/>
                <w:szCs w:val="20"/>
              </w:rPr>
              <w:t>, time since last tooth loss episode</w:t>
            </w:r>
            <w:r w:rsidRPr="00787196">
              <w:rPr>
                <w:rFonts w:cs="Arial"/>
                <w:color w:val="000000"/>
                <w:sz w:val="20"/>
                <w:szCs w:val="20"/>
                <w:vertAlign w:val="superscript"/>
              </w:rPr>
              <w:t>+</w:t>
            </w:r>
          </w:p>
          <w:p w14:paraId="17B000DC" w14:textId="77777777" w:rsidR="00057EF8" w:rsidRPr="00787196" w:rsidRDefault="00057EF8" w:rsidP="00E15FB3">
            <w:pPr>
              <w:autoSpaceDE w:val="0"/>
              <w:autoSpaceDN w:val="0"/>
              <w:adjustRightInd w:val="0"/>
              <w:spacing w:before="0" w:after="0" w:line="240" w:lineRule="auto"/>
              <w:ind w:left="142"/>
              <w:jc w:val="left"/>
              <w:rPr>
                <w:rFonts w:cs="Arial"/>
                <w:color w:val="000000"/>
                <w:sz w:val="20"/>
                <w:szCs w:val="20"/>
              </w:rPr>
            </w:pPr>
          </w:p>
          <w:p w14:paraId="561DBC7B" w14:textId="77777777" w:rsidR="00057EF8" w:rsidRPr="00787196" w:rsidRDefault="00057EF8" w:rsidP="00C119A5">
            <w:pPr>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OHQoL*, Denture satisfaction**, Chewing ability*</w:t>
            </w:r>
          </w:p>
          <w:p w14:paraId="4DD4A7BE"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313" w:type="dxa"/>
            <w:tcBorders>
              <w:left w:val="single" w:sz="8" w:space="0" w:color="000000"/>
            </w:tcBorders>
            <w:shd w:val="clear" w:color="auto" w:fill="FFFFFF"/>
          </w:tcPr>
          <w:p w14:paraId="7233F924" w14:textId="77777777" w:rsidR="00057EF8" w:rsidRPr="00787196" w:rsidRDefault="00057EF8" w:rsidP="00755F46">
            <w:pPr>
              <w:autoSpaceDE w:val="0"/>
              <w:autoSpaceDN w:val="0"/>
              <w:adjustRightInd w:val="0"/>
              <w:spacing w:before="0" w:after="0" w:line="240" w:lineRule="auto"/>
              <w:rPr>
                <w:rFonts w:cs="Arial"/>
                <w:b/>
                <w:bCs/>
                <w:color w:val="000000"/>
                <w:sz w:val="18"/>
                <w:szCs w:val="18"/>
              </w:rPr>
            </w:pPr>
          </w:p>
        </w:tc>
        <w:tc>
          <w:tcPr>
            <w:tcW w:w="2469" w:type="dxa"/>
            <w:shd w:val="clear" w:color="auto" w:fill="FFFFFF"/>
            <w:vAlign w:val="center"/>
          </w:tcPr>
          <w:p w14:paraId="4EE9C11B" w14:textId="77777777" w:rsidR="00057EF8" w:rsidRPr="00787196" w:rsidRDefault="00057EF8" w:rsidP="00912E3C">
            <w:pPr>
              <w:autoSpaceDE w:val="0"/>
              <w:autoSpaceDN w:val="0"/>
              <w:adjustRightInd w:val="0"/>
              <w:spacing w:before="0" w:after="0" w:line="240" w:lineRule="auto"/>
              <w:jc w:val="center"/>
              <w:rPr>
                <w:rFonts w:cs="Arial"/>
                <w:b/>
                <w:bCs/>
                <w:color w:val="000000"/>
                <w:sz w:val="18"/>
                <w:szCs w:val="18"/>
              </w:rPr>
            </w:pPr>
          </w:p>
        </w:tc>
      </w:tr>
      <w:tr w:rsidR="00057EF8" w:rsidRPr="00787196" w14:paraId="66C6557D" w14:textId="77777777" w:rsidTr="008D4EA6">
        <w:trPr>
          <w:trHeight w:val="251"/>
        </w:trPr>
        <w:tc>
          <w:tcPr>
            <w:tcW w:w="3641" w:type="dxa"/>
            <w:vMerge/>
            <w:tcBorders>
              <w:left w:val="single" w:sz="8" w:space="0" w:color="000000"/>
              <w:right w:val="single" w:sz="8" w:space="0" w:color="000000"/>
            </w:tcBorders>
            <w:shd w:val="clear" w:color="auto" w:fill="FFFFFF"/>
          </w:tcPr>
          <w:p w14:paraId="519181B0" w14:textId="77777777" w:rsidR="00057EF8" w:rsidRPr="00787196" w:rsidRDefault="00057EF8" w:rsidP="00755F46">
            <w:pPr>
              <w:autoSpaceDE w:val="0"/>
              <w:autoSpaceDN w:val="0"/>
              <w:adjustRightInd w:val="0"/>
              <w:spacing w:before="0" w:after="0" w:line="240" w:lineRule="auto"/>
              <w:ind w:left="142"/>
              <w:rPr>
                <w:rFonts w:cs="Arial"/>
                <w:b/>
                <w:bCs/>
                <w:color w:val="000000"/>
                <w:sz w:val="14"/>
                <w:szCs w:val="14"/>
              </w:rPr>
            </w:pPr>
          </w:p>
        </w:tc>
        <w:tc>
          <w:tcPr>
            <w:tcW w:w="2313" w:type="dxa"/>
            <w:tcBorders>
              <w:left w:val="single" w:sz="8" w:space="0" w:color="000000"/>
            </w:tcBorders>
            <w:shd w:val="clear" w:color="auto" w:fill="FFFFFF"/>
          </w:tcPr>
          <w:p w14:paraId="56290EFC"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469" w:type="dxa"/>
            <w:tcBorders>
              <w:left w:val="nil"/>
              <w:bottom w:val="single" w:sz="8" w:space="0" w:color="000000"/>
              <w:right w:val="nil"/>
            </w:tcBorders>
            <w:shd w:val="clear" w:color="auto" w:fill="FFFFFF"/>
            <w:vAlign w:val="center"/>
          </w:tcPr>
          <w:p w14:paraId="0030AF6B" w14:textId="77777777" w:rsidR="00057EF8" w:rsidRPr="00787196" w:rsidRDefault="00057EF8" w:rsidP="00912E3C">
            <w:pPr>
              <w:autoSpaceDE w:val="0"/>
              <w:autoSpaceDN w:val="0"/>
              <w:adjustRightInd w:val="0"/>
              <w:spacing w:before="0" w:after="0" w:line="240" w:lineRule="auto"/>
              <w:jc w:val="center"/>
              <w:rPr>
                <w:rFonts w:cs="Arial"/>
                <w:color w:val="000000"/>
                <w:sz w:val="14"/>
                <w:szCs w:val="14"/>
              </w:rPr>
            </w:pPr>
          </w:p>
        </w:tc>
      </w:tr>
      <w:tr w:rsidR="00CD3C98" w:rsidRPr="00787196" w14:paraId="161C4CA0" w14:textId="77777777" w:rsidTr="008D4EA6">
        <w:trPr>
          <w:trHeight w:val="778"/>
        </w:trPr>
        <w:tc>
          <w:tcPr>
            <w:tcW w:w="3641" w:type="dxa"/>
            <w:vMerge/>
            <w:tcBorders>
              <w:left w:val="single" w:sz="8" w:space="0" w:color="000000"/>
              <w:right w:val="single" w:sz="8" w:space="0" w:color="000000"/>
            </w:tcBorders>
            <w:shd w:val="clear" w:color="auto" w:fill="FFFFFF"/>
          </w:tcPr>
          <w:p w14:paraId="61CA9066" w14:textId="77777777" w:rsidR="00CD3C98" w:rsidRPr="00787196" w:rsidRDefault="00CD3C98" w:rsidP="00755F46">
            <w:pPr>
              <w:autoSpaceDE w:val="0"/>
              <w:autoSpaceDN w:val="0"/>
              <w:adjustRightInd w:val="0"/>
              <w:spacing w:before="0" w:after="0" w:line="240" w:lineRule="auto"/>
              <w:ind w:left="142"/>
              <w:rPr>
                <w:rFonts w:cs="Arial"/>
                <w:color w:val="000000"/>
                <w:sz w:val="14"/>
                <w:szCs w:val="14"/>
              </w:rPr>
            </w:pPr>
          </w:p>
        </w:tc>
        <w:tc>
          <w:tcPr>
            <w:tcW w:w="2313" w:type="dxa"/>
            <w:tcBorders>
              <w:left w:val="single" w:sz="8" w:space="0" w:color="000000"/>
              <w:right w:val="single" w:sz="8" w:space="0" w:color="000000"/>
            </w:tcBorders>
            <w:shd w:val="clear" w:color="auto" w:fill="FFFFFF"/>
          </w:tcPr>
          <w:p w14:paraId="3312882D" w14:textId="2F65DC83" w:rsidR="00CD3C98" w:rsidRPr="00787196" w:rsidRDefault="00CD3C98" w:rsidP="00755F46">
            <w:pPr>
              <w:autoSpaceDE w:val="0"/>
              <w:autoSpaceDN w:val="0"/>
              <w:adjustRightInd w:val="0"/>
              <w:spacing w:before="0" w:after="0" w:line="240" w:lineRule="auto"/>
              <w:rPr>
                <w:rFonts w:cs="Arial"/>
                <w:color w:val="000000"/>
                <w:sz w:val="14"/>
                <w:szCs w:val="14"/>
              </w:rPr>
            </w:pPr>
          </w:p>
          <w:p w14:paraId="71C964F4" w14:textId="2C468810" w:rsidR="00CD3C98" w:rsidRPr="00787196" w:rsidRDefault="008D4EA6" w:rsidP="00CD3C98">
            <w:pPr>
              <w:ind w:firstLine="720"/>
              <w:rPr>
                <w:rFonts w:cs="Arial"/>
                <w:sz w:val="14"/>
                <w:szCs w:val="14"/>
              </w:rPr>
            </w:pPr>
            <w:r w:rsidRPr="00787196">
              <w:rPr>
                <w:rFonts w:cs="Arial"/>
                <w:noProof/>
                <w:color w:val="000000"/>
                <w:sz w:val="20"/>
                <w:szCs w:val="20"/>
              </w:rPr>
              <mc:AlternateContent>
                <mc:Choice Requires="wps">
                  <w:drawing>
                    <wp:anchor distT="0" distB="0" distL="114300" distR="114300" simplePos="0" relativeHeight="251649536" behindDoc="0" locked="0" layoutInCell="1" allowOverlap="1" wp14:anchorId="62C0B9ED" wp14:editId="3427FE2F">
                      <wp:simplePos x="0" y="0"/>
                      <wp:positionH relativeFrom="column">
                        <wp:posOffset>-82616</wp:posOffset>
                      </wp:positionH>
                      <wp:positionV relativeFrom="page">
                        <wp:posOffset>283845</wp:posOffset>
                      </wp:positionV>
                      <wp:extent cx="1418590" cy="13335"/>
                      <wp:effectExtent l="0" t="76200" r="29210" b="81915"/>
                      <wp:wrapNone/>
                      <wp:docPr id="236" name="Straight Arrow Connector 236"/>
                      <wp:cNvGraphicFramePr/>
                      <a:graphic xmlns:a="http://schemas.openxmlformats.org/drawingml/2006/main">
                        <a:graphicData uri="http://schemas.microsoft.com/office/word/2010/wordprocessingShape">
                          <wps:wsp>
                            <wps:cNvCnPr/>
                            <wps:spPr>
                              <a:xfrm flipV="1">
                                <a:off x="0" y="0"/>
                                <a:ext cx="1418590" cy="13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A0844" id="Straight Arrow Connector 236" o:spid="_x0000_s1026" type="#_x0000_t32" style="position:absolute;margin-left:-6.5pt;margin-top:22.35pt;width:111.7pt;height:1.0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" strokecolor="black [3200]" strokeweight=".5pt">
                      <v:stroke endarrow="block" joinstyle="miter"/>
                      <w10:wrap anchory="page"/>
                    </v:shape>
                  </w:pict>
                </mc:Fallback>
              </mc:AlternateContent>
            </w:r>
          </w:p>
        </w:tc>
        <w:tc>
          <w:tcPr>
            <w:tcW w:w="2469" w:type="dxa"/>
            <w:tcBorders>
              <w:top w:val="single" w:sz="8" w:space="0" w:color="000000"/>
              <w:left w:val="single" w:sz="8" w:space="0" w:color="000000"/>
              <w:right w:val="single" w:sz="8" w:space="0" w:color="000000"/>
            </w:tcBorders>
            <w:shd w:val="clear" w:color="auto" w:fill="FFFFFF"/>
            <w:vAlign w:val="center"/>
          </w:tcPr>
          <w:p w14:paraId="68FEE822" w14:textId="77777777" w:rsidR="00CD3C98" w:rsidRPr="00787196" w:rsidRDefault="00CD3C98" w:rsidP="00912E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Denture satisfaction</w:t>
            </w:r>
          </w:p>
        </w:tc>
      </w:tr>
      <w:tr w:rsidR="00057EF8" w:rsidRPr="00787196" w14:paraId="1D5C625A" w14:textId="77777777" w:rsidTr="008D4EA6">
        <w:trPr>
          <w:trHeight w:val="143"/>
        </w:trPr>
        <w:tc>
          <w:tcPr>
            <w:tcW w:w="3641" w:type="dxa"/>
            <w:vMerge/>
            <w:tcBorders>
              <w:left w:val="single" w:sz="8" w:space="0" w:color="000000"/>
              <w:right w:val="single" w:sz="8" w:space="0" w:color="000000"/>
            </w:tcBorders>
            <w:shd w:val="clear" w:color="auto" w:fill="FFFFFF"/>
          </w:tcPr>
          <w:p w14:paraId="3F8553A1"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313" w:type="dxa"/>
            <w:tcBorders>
              <w:left w:val="single" w:sz="8" w:space="0" w:color="000000"/>
              <w:bottom w:val="nil"/>
            </w:tcBorders>
            <w:shd w:val="clear" w:color="auto" w:fill="FFFFFF"/>
          </w:tcPr>
          <w:p w14:paraId="78E61350"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469" w:type="dxa"/>
            <w:tcBorders>
              <w:top w:val="single" w:sz="8" w:space="0" w:color="000000"/>
              <w:left w:val="nil"/>
              <w:bottom w:val="nil"/>
              <w:right w:val="nil"/>
            </w:tcBorders>
            <w:shd w:val="clear" w:color="auto" w:fill="FFFFFF"/>
            <w:vAlign w:val="center"/>
          </w:tcPr>
          <w:p w14:paraId="2D7FDD5F" w14:textId="77777777" w:rsidR="00057EF8" w:rsidRPr="00787196" w:rsidRDefault="00057EF8" w:rsidP="00912E3C">
            <w:pPr>
              <w:autoSpaceDE w:val="0"/>
              <w:autoSpaceDN w:val="0"/>
              <w:adjustRightInd w:val="0"/>
              <w:spacing w:before="0" w:after="0" w:line="240" w:lineRule="auto"/>
              <w:jc w:val="center"/>
              <w:rPr>
                <w:rFonts w:cs="Arial"/>
                <w:color w:val="000000"/>
                <w:sz w:val="14"/>
                <w:szCs w:val="14"/>
              </w:rPr>
            </w:pPr>
          </w:p>
        </w:tc>
      </w:tr>
      <w:tr w:rsidR="00057EF8" w:rsidRPr="00787196" w14:paraId="0CB819CC" w14:textId="77777777" w:rsidTr="008D4EA6">
        <w:trPr>
          <w:trHeight w:val="143"/>
        </w:trPr>
        <w:tc>
          <w:tcPr>
            <w:tcW w:w="3641" w:type="dxa"/>
            <w:vMerge/>
            <w:tcBorders>
              <w:left w:val="single" w:sz="8" w:space="0" w:color="000000"/>
              <w:right w:val="single" w:sz="8" w:space="0" w:color="000000"/>
            </w:tcBorders>
            <w:shd w:val="clear" w:color="auto" w:fill="FFFFFF"/>
          </w:tcPr>
          <w:p w14:paraId="18A106CB"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313" w:type="dxa"/>
            <w:tcBorders>
              <w:top w:val="nil"/>
              <w:left w:val="single" w:sz="8" w:space="0" w:color="000000"/>
              <w:bottom w:val="nil"/>
            </w:tcBorders>
            <w:shd w:val="clear" w:color="auto" w:fill="FFFFFF"/>
          </w:tcPr>
          <w:p w14:paraId="748E69FE" w14:textId="77777777" w:rsidR="00057EF8" w:rsidRPr="00787196" w:rsidRDefault="00057EF8" w:rsidP="00755F46">
            <w:pPr>
              <w:autoSpaceDE w:val="0"/>
              <w:autoSpaceDN w:val="0"/>
              <w:adjustRightInd w:val="0"/>
              <w:spacing w:before="0" w:after="0" w:line="240" w:lineRule="auto"/>
              <w:rPr>
                <w:rFonts w:cs="Arial"/>
                <w:b/>
                <w:bCs/>
                <w:color w:val="000000"/>
                <w:sz w:val="18"/>
                <w:szCs w:val="18"/>
              </w:rPr>
            </w:pPr>
          </w:p>
        </w:tc>
        <w:tc>
          <w:tcPr>
            <w:tcW w:w="2469" w:type="dxa"/>
            <w:tcBorders>
              <w:top w:val="nil"/>
              <w:left w:val="nil"/>
              <w:bottom w:val="nil"/>
              <w:right w:val="nil"/>
            </w:tcBorders>
            <w:shd w:val="clear" w:color="auto" w:fill="FFFFFF"/>
            <w:vAlign w:val="center"/>
          </w:tcPr>
          <w:p w14:paraId="168523B8" w14:textId="77777777" w:rsidR="00057EF8" w:rsidRPr="00787196" w:rsidRDefault="00057EF8" w:rsidP="00912E3C">
            <w:pPr>
              <w:autoSpaceDE w:val="0"/>
              <w:autoSpaceDN w:val="0"/>
              <w:adjustRightInd w:val="0"/>
              <w:spacing w:before="0" w:after="0" w:line="240" w:lineRule="auto"/>
              <w:jc w:val="center"/>
              <w:rPr>
                <w:rFonts w:cs="Arial"/>
                <w:b/>
                <w:bCs/>
                <w:color w:val="000000"/>
                <w:sz w:val="18"/>
                <w:szCs w:val="18"/>
              </w:rPr>
            </w:pPr>
          </w:p>
        </w:tc>
      </w:tr>
      <w:tr w:rsidR="00057EF8" w:rsidRPr="00787196" w14:paraId="6375CCDC" w14:textId="77777777" w:rsidTr="008D4EA6">
        <w:trPr>
          <w:trHeight w:val="143"/>
        </w:trPr>
        <w:tc>
          <w:tcPr>
            <w:tcW w:w="3641" w:type="dxa"/>
            <w:vMerge/>
            <w:tcBorders>
              <w:left w:val="single" w:sz="8" w:space="0" w:color="000000"/>
              <w:bottom w:val="single" w:sz="8" w:space="0" w:color="000000"/>
              <w:right w:val="single" w:sz="8" w:space="0" w:color="000000"/>
            </w:tcBorders>
            <w:shd w:val="clear" w:color="auto" w:fill="FFFFFF"/>
          </w:tcPr>
          <w:p w14:paraId="0DC25352" w14:textId="77777777" w:rsidR="00057EF8" w:rsidRPr="00787196" w:rsidRDefault="00057EF8" w:rsidP="00755F46">
            <w:pPr>
              <w:autoSpaceDE w:val="0"/>
              <w:autoSpaceDN w:val="0"/>
              <w:adjustRightInd w:val="0"/>
              <w:spacing w:before="0" w:after="0" w:line="240" w:lineRule="auto"/>
              <w:ind w:left="142"/>
              <w:rPr>
                <w:rFonts w:cs="Arial"/>
                <w:b/>
                <w:bCs/>
                <w:color w:val="000000"/>
                <w:sz w:val="14"/>
                <w:szCs w:val="14"/>
              </w:rPr>
            </w:pPr>
          </w:p>
        </w:tc>
        <w:tc>
          <w:tcPr>
            <w:tcW w:w="2313" w:type="dxa"/>
            <w:tcBorders>
              <w:top w:val="nil"/>
              <w:left w:val="single" w:sz="8" w:space="0" w:color="000000"/>
              <w:bottom w:val="nil"/>
            </w:tcBorders>
            <w:shd w:val="clear" w:color="auto" w:fill="FFFFFF"/>
          </w:tcPr>
          <w:p w14:paraId="73032AB5"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469" w:type="dxa"/>
            <w:tcBorders>
              <w:top w:val="nil"/>
              <w:left w:val="nil"/>
              <w:bottom w:val="nil"/>
              <w:right w:val="nil"/>
            </w:tcBorders>
            <w:shd w:val="clear" w:color="auto" w:fill="FFFFFF"/>
            <w:vAlign w:val="center"/>
          </w:tcPr>
          <w:p w14:paraId="5B8A4B40" w14:textId="77777777" w:rsidR="00057EF8" w:rsidRPr="00787196" w:rsidRDefault="00057EF8" w:rsidP="00912E3C">
            <w:pPr>
              <w:autoSpaceDE w:val="0"/>
              <w:autoSpaceDN w:val="0"/>
              <w:adjustRightInd w:val="0"/>
              <w:spacing w:before="0" w:after="0" w:line="240" w:lineRule="auto"/>
              <w:jc w:val="center"/>
              <w:rPr>
                <w:rFonts w:cs="Arial"/>
                <w:color w:val="000000"/>
                <w:sz w:val="14"/>
                <w:szCs w:val="14"/>
              </w:rPr>
            </w:pPr>
          </w:p>
        </w:tc>
      </w:tr>
    </w:tbl>
    <w:p w14:paraId="4CDAD16E" w14:textId="4D3064AB" w:rsidR="00065D72" w:rsidRPr="00787196" w:rsidRDefault="00065D72"/>
    <w:tbl>
      <w:tblPr>
        <w:tblW w:w="0" w:type="auto"/>
        <w:tblBorders>
          <w:top w:val="single" w:sz="8" w:space="0" w:color="000000"/>
          <w:bottom w:val="single" w:sz="8" w:space="0" w:color="000000"/>
        </w:tblBorders>
        <w:tblLook w:val="04A0" w:firstRow="1" w:lastRow="0" w:firstColumn="1" w:lastColumn="0" w:noHBand="0" w:noVBand="1"/>
      </w:tblPr>
      <w:tblGrid>
        <w:gridCol w:w="3651"/>
        <w:gridCol w:w="2293"/>
        <w:gridCol w:w="2268"/>
      </w:tblGrid>
      <w:tr w:rsidR="00F251D0" w:rsidRPr="00787196" w14:paraId="01DBE32F" w14:textId="77777777" w:rsidTr="008D4EA6">
        <w:trPr>
          <w:trHeight w:val="547"/>
        </w:trPr>
        <w:tc>
          <w:tcPr>
            <w:tcW w:w="3651" w:type="dxa"/>
            <w:vMerge w:val="restart"/>
            <w:tcBorders>
              <w:top w:val="single" w:sz="8" w:space="0" w:color="000000"/>
              <w:left w:val="single" w:sz="8" w:space="0" w:color="000000"/>
              <w:right w:val="single" w:sz="8" w:space="0" w:color="000000"/>
            </w:tcBorders>
            <w:shd w:val="clear" w:color="auto" w:fill="FFFFFF"/>
            <w:vAlign w:val="center"/>
          </w:tcPr>
          <w:p w14:paraId="3711A13E" w14:textId="77777777" w:rsidR="00126F5E" w:rsidRPr="00787196" w:rsidRDefault="00126F5E" w:rsidP="00126F5E">
            <w:pPr>
              <w:autoSpaceDE w:val="0"/>
              <w:autoSpaceDN w:val="0"/>
              <w:adjustRightInd w:val="0"/>
              <w:spacing w:before="0" w:after="0" w:line="240" w:lineRule="auto"/>
              <w:ind w:left="142"/>
              <w:rPr>
                <w:rFonts w:cs="Arial"/>
                <w:color w:val="000000"/>
                <w:sz w:val="20"/>
                <w:szCs w:val="20"/>
              </w:rPr>
            </w:pPr>
          </w:p>
          <w:p w14:paraId="6C22C22E" w14:textId="77777777" w:rsidR="00126F5E" w:rsidRPr="00787196" w:rsidRDefault="00126F5E" w:rsidP="00C119A5">
            <w:pPr>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Age</w:t>
            </w:r>
            <w:r w:rsidRPr="00787196">
              <w:rPr>
                <w:rFonts w:cs="Arial"/>
                <w:color w:val="000000"/>
                <w:sz w:val="20"/>
                <w:szCs w:val="20"/>
                <w:vertAlign w:val="superscript"/>
              </w:rPr>
              <w:t>+</w:t>
            </w:r>
            <w:r w:rsidRPr="00787196">
              <w:rPr>
                <w:rFonts w:cs="Arial"/>
                <w:color w:val="000000"/>
                <w:sz w:val="20"/>
                <w:szCs w:val="20"/>
              </w:rPr>
              <w:t>, Occupation</w:t>
            </w:r>
            <w:r w:rsidRPr="00787196">
              <w:rPr>
                <w:rFonts w:cs="Arial"/>
                <w:color w:val="000000"/>
                <w:sz w:val="20"/>
                <w:szCs w:val="20"/>
                <w:vertAlign w:val="superscript"/>
              </w:rPr>
              <w:t>+</w:t>
            </w:r>
          </w:p>
          <w:p w14:paraId="0C805B52" w14:textId="77777777" w:rsidR="00126F5E" w:rsidRPr="00787196" w:rsidRDefault="00126F5E" w:rsidP="00E15FB3">
            <w:pPr>
              <w:autoSpaceDE w:val="0"/>
              <w:autoSpaceDN w:val="0"/>
              <w:adjustRightInd w:val="0"/>
              <w:spacing w:before="0" w:after="0" w:line="240" w:lineRule="auto"/>
              <w:ind w:left="142"/>
              <w:jc w:val="left"/>
              <w:rPr>
                <w:rFonts w:cs="Arial"/>
                <w:color w:val="000000"/>
                <w:sz w:val="20"/>
                <w:szCs w:val="20"/>
              </w:rPr>
            </w:pPr>
          </w:p>
          <w:p w14:paraId="333C0EF7" w14:textId="14BB3B8E" w:rsidR="00126F5E" w:rsidRPr="00787196" w:rsidRDefault="00126F5E" w:rsidP="00C119A5">
            <w:pPr>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Number of teeth present^, number of occluding pairs</w:t>
            </w:r>
            <w:r w:rsidRPr="00787196">
              <w:rPr>
                <w:rFonts w:cs="Arial"/>
                <w:color w:val="000000"/>
                <w:sz w:val="20"/>
                <w:szCs w:val="20"/>
                <w:vertAlign w:val="superscript"/>
              </w:rPr>
              <w:t>+</w:t>
            </w:r>
            <w:r w:rsidRPr="00787196">
              <w:rPr>
                <w:rFonts w:cs="Arial"/>
                <w:color w:val="000000"/>
                <w:sz w:val="20"/>
                <w:szCs w:val="20"/>
              </w:rPr>
              <w:t xml:space="preserve">, prosthetic treatment need (both </w:t>
            </w:r>
            <w:r w:rsidR="00142DF5" w:rsidRPr="00787196">
              <w:rPr>
                <w:rFonts w:cs="Arial"/>
                <w:color w:val="000000"/>
                <w:sz w:val="20"/>
                <w:szCs w:val="20"/>
              </w:rPr>
              <w:t>arches)</w:t>
            </w:r>
            <w:r w:rsidR="00142DF5" w:rsidRPr="00787196">
              <w:rPr>
                <w:rFonts w:cs="Arial"/>
                <w:color w:val="000000"/>
                <w:sz w:val="20"/>
                <w:szCs w:val="20"/>
                <w:vertAlign w:val="superscript"/>
              </w:rPr>
              <w:t xml:space="preserve"> +</w:t>
            </w:r>
            <w:r w:rsidRPr="00787196">
              <w:rPr>
                <w:rFonts w:cs="Arial"/>
                <w:color w:val="000000"/>
                <w:sz w:val="20"/>
                <w:szCs w:val="20"/>
              </w:rPr>
              <w:t>, time since last tooth loss episode</w:t>
            </w:r>
            <w:r w:rsidRPr="00787196">
              <w:rPr>
                <w:rFonts w:cs="Arial"/>
                <w:color w:val="000000"/>
                <w:sz w:val="20"/>
                <w:szCs w:val="20"/>
                <w:vertAlign w:val="superscript"/>
              </w:rPr>
              <w:t>+</w:t>
            </w:r>
          </w:p>
          <w:p w14:paraId="2216D9B9" w14:textId="77777777" w:rsidR="00126F5E" w:rsidRPr="00787196" w:rsidRDefault="00126F5E" w:rsidP="00E15FB3">
            <w:pPr>
              <w:autoSpaceDE w:val="0"/>
              <w:autoSpaceDN w:val="0"/>
              <w:adjustRightInd w:val="0"/>
              <w:spacing w:before="0" w:after="0" w:line="240" w:lineRule="auto"/>
              <w:jc w:val="left"/>
              <w:rPr>
                <w:rFonts w:cs="Arial"/>
                <w:color w:val="000000"/>
                <w:sz w:val="20"/>
                <w:szCs w:val="20"/>
              </w:rPr>
            </w:pPr>
          </w:p>
          <w:p w14:paraId="61AB4654" w14:textId="77777777" w:rsidR="00126F5E" w:rsidRPr="00787196" w:rsidRDefault="00126F5E" w:rsidP="00C119A5">
            <w:pPr>
              <w:numPr>
                <w:ilvl w:val="0"/>
                <w:numId w:val="28"/>
              </w:numPr>
              <w:autoSpaceDE w:val="0"/>
              <w:autoSpaceDN w:val="0"/>
              <w:adjustRightInd w:val="0"/>
              <w:spacing w:before="0" w:after="0" w:line="240" w:lineRule="auto"/>
              <w:ind w:left="142" w:hanging="142"/>
              <w:jc w:val="left"/>
              <w:rPr>
                <w:rFonts w:cs="Arial"/>
                <w:color w:val="000000"/>
                <w:sz w:val="20"/>
                <w:szCs w:val="20"/>
              </w:rPr>
            </w:pPr>
            <w:r w:rsidRPr="00787196">
              <w:rPr>
                <w:rFonts w:cs="Arial"/>
                <w:color w:val="000000"/>
                <w:sz w:val="20"/>
                <w:szCs w:val="20"/>
              </w:rPr>
              <w:t>OHQoL**, Denture satisfaction**, Chewing ability**</w:t>
            </w:r>
          </w:p>
          <w:p w14:paraId="1D46AE10" w14:textId="77777777" w:rsidR="00057EF8" w:rsidRPr="00787196" w:rsidRDefault="00057EF8" w:rsidP="00126F5E">
            <w:pPr>
              <w:autoSpaceDE w:val="0"/>
              <w:autoSpaceDN w:val="0"/>
              <w:adjustRightInd w:val="0"/>
              <w:spacing w:before="0" w:after="0" w:line="240" w:lineRule="auto"/>
              <w:ind w:left="142"/>
              <w:rPr>
                <w:rFonts w:cs="Arial"/>
                <w:b/>
                <w:bCs/>
                <w:color w:val="000000"/>
                <w:sz w:val="14"/>
                <w:szCs w:val="14"/>
              </w:rPr>
            </w:pPr>
          </w:p>
        </w:tc>
        <w:tc>
          <w:tcPr>
            <w:tcW w:w="2293" w:type="dxa"/>
            <w:tcBorders>
              <w:top w:val="nil"/>
              <w:left w:val="single" w:sz="8" w:space="0" w:color="000000"/>
              <w:bottom w:val="nil"/>
            </w:tcBorders>
            <w:shd w:val="clear" w:color="auto" w:fill="FFFFFF"/>
          </w:tcPr>
          <w:p w14:paraId="3B904E77"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268" w:type="dxa"/>
            <w:tcBorders>
              <w:top w:val="nil"/>
              <w:left w:val="nil"/>
              <w:bottom w:val="nil"/>
              <w:right w:val="nil"/>
            </w:tcBorders>
            <w:shd w:val="clear" w:color="auto" w:fill="FFFFFF"/>
            <w:vAlign w:val="center"/>
          </w:tcPr>
          <w:p w14:paraId="2A1EFCFB" w14:textId="77777777" w:rsidR="00057EF8" w:rsidRPr="00787196" w:rsidRDefault="00057EF8" w:rsidP="00912E3C">
            <w:pPr>
              <w:autoSpaceDE w:val="0"/>
              <w:autoSpaceDN w:val="0"/>
              <w:adjustRightInd w:val="0"/>
              <w:spacing w:before="0" w:after="0" w:line="240" w:lineRule="auto"/>
              <w:jc w:val="center"/>
              <w:rPr>
                <w:rFonts w:cs="Arial"/>
                <w:color w:val="000000"/>
                <w:sz w:val="14"/>
                <w:szCs w:val="14"/>
              </w:rPr>
            </w:pPr>
          </w:p>
        </w:tc>
      </w:tr>
      <w:tr w:rsidR="00F251D0" w:rsidRPr="00787196" w14:paraId="650110FE" w14:textId="77777777" w:rsidTr="008D4EA6">
        <w:trPr>
          <w:trHeight w:val="143"/>
        </w:trPr>
        <w:tc>
          <w:tcPr>
            <w:tcW w:w="3651" w:type="dxa"/>
            <w:vMerge/>
            <w:tcBorders>
              <w:left w:val="single" w:sz="8" w:space="0" w:color="000000"/>
              <w:right w:val="single" w:sz="8" w:space="0" w:color="000000"/>
            </w:tcBorders>
            <w:shd w:val="clear" w:color="auto" w:fill="FFFFFF"/>
          </w:tcPr>
          <w:p w14:paraId="012A1822"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293" w:type="dxa"/>
            <w:tcBorders>
              <w:top w:val="nil"/>
              <w:left w:val="single" w:sz="8" w:space="0" w:color="000000"/>
            </w:tcBorders>
            <w:shd w:val="clear" w:color="auto" w:fill="FFFFFF"/>
          </w:tcPr>
          <w:p w14:paraId="46EC8301" w14:textId="77777777" w:rsidR="00057EF8" w:rsidRPr="00787196" w:rsidRDefault="00057EF8" w:rsidP="00755F46">
            <w:pPr>
              <w:autoSpaceDE w:val="0"/>
              <w:autoSpaceDN w:val="0"/>
              <w:adjustRightInd w:val="0"/>
              <w:spacing w:before="0" w:after="0" w:line="240" w:lineRule="auto"/>
              <w:rPr>
                <w:rFonts w:cs="Arial"/>
                <w:b/>
                <w:bCs/>
                <w:color w:val="000000"/>
                <w:sz w:val="18"/>
                <w:szCs w:val="18"/>
              </w:rPr>
            </w:pPr>
          </w:p>
        </w:tc>
        <w:tc>
          <w:tcPr>
            <w:tcW w:w="2268" w:type="dxa"/>
            <w:tcBorders>
              <w:top w:val="nil"/>
              <w:left w:val="nil"/>
              <w:bottom w:val="single" w:sz="8" w:space="0" w:color="000000"/>
              <w:right w:val="nil"/>
            </w:tcBorders>
            <w:shd w:val="clear" w:color="auto" w:fill="FFFFFF"/>
            <w:vAlign w:val="center"/>
          </w:tcPr>
          <w:p w14:paraId="7A6A8F1C" w14:textId="77777777" w:rsidR="00057EF8" w:rsidRPr="00787196" w:rsidRDefault="00057EF8" w:rsidP="00912E3C">
            <w:pPr>
              <w:autoSpaceDE w:val="0"/>
              <w:autoSpaceDN w:val="0"/>
              <w:adjustRightInd w:val="0"/>
              <w:spacing w:before="0" w:after="0" w:line="240" w:lineRule="auto"/>
              <w:jc w:val="center"/>
              <w:rPr>
                <w:rFonts w:cs="Arial"/>
                <w:b/>
                <w:bCs/>
                <w:color w:val="000000"/>
                <w:sz w:val="18"/>
                <w:szCs w:val="18"/>
              </w:rPr>
            </w:pPr>
          </w:p>
        </w:tc>
      </w:tr>
      <w:tr w:rsidR="00012267" w:rsidRPr="00787196" w14:paraId="60BAADA6" w14:textId="77777777" w:rsidTr="008D4EA6">
        <w:trPr>
          <w:trHeight w:val="878"/>
        </w:trPr>
        <w:tc>
          <w:tcPr>
            <w:tcW w:w="3651" w:type="dxa"/>
            <w:vMerge/>
            <w:tcBorders>
              <w:left w:val="single" w:sz="8" w:space="0" w:color="000000"/>
              <w:bottom w:val="nil"/>
              <w:right w:val="single" w:sz="8" w:space="0" w:color="000000"/>
            </w:tcBorders>
            <w:shd w:val="clear" w:color="auto" w:fill="FFFFFF"/>
          </w:tcPr>
          <w:p w14:paraId="74F5C8CC" w14:textId="77777777" w:rsidR="00012267" w:rsidRPr="00787196" w:rsidRDefault="00012267" w:rsidP="00755F46">
            <w:pPr>
              <w:autoSpaceDE w:val="0"/>
              <w:autoSpaceDN w:val="0"/>
              <w:adjustRightInd w:val="0"/>
              <w:spacing w:before="0" w:after="0" w:line="240" w:lineRule="auto"/>
              <w:ind w:left="142"/>
              <w:rPr>
                <w:rFonts w:cs="Arial"/>
                <w:color w:val="000000"/>
                <w:sz w:val="14"/>
                <w:szCs w:val="14"/>
              </w:rPr>
            </w:pPr>
          </w:p>
        </w:tc>
        <w:tc>
          <w:tcPr>
            <w:tcW w:w="2293" w:type="dxa"/>
            <w:vMerge w:val="restart"/>
            <w:tcBorders>
              <w:left w:val="single" w:sz="8" w:space="0" w:color="000000"/>
              <w:bottom w:val="nil"/>
              <w:right w:val="single" w:sz="8" w:space="0" w:color="000000"/>
            </w:tcBorders>
            <w:shd w:val="clear" w:color="auto" w:fill="FFFFFF"/>
          </w:tcPr>
          <w:p w14:paraId="142522DD" w14:textId="6DE87872" w:rsidR="00012267" w:rsidRPr="00787196" w:rsidRDefault="008D4EA6" w:rsidP="00755F46">
            <w:pPr>
              <w:autoSpaceDE w:val="0"/>
              <w:autoSpaceDN w:val="0"/>
              <w:adjustRightInd w:val="0"/>
              <w:spacing w:before="0" w:after="0" w:line="240" w:lineRule="auto"/>
              <w:rPr>
                <w:rFonts w:cs="Arial"/>
                <w:b/>
                <w:bCs/>
                <w:color w:val="000000"/>
                <w:sz w:val="18"/>
                <w:szCs w:val="18"/>
              </w:rPr>
            </w:pPr>
            <w:r w:rsidRPr="00787196">
              <w:rPr>
                <w:rFonts w:cs="Arial"/>
                <w:noProof/>
                <w:color w:val="000000"/>
                <w:sz w:val="20"/>
                <w:szCs w:val="20"/>
              </w:rPr>
              <mc:AlternateContent>
                <mc:Choice Requires="wps">
                  <w:drawing>
                    <wp:anchor distT="0" distB="0" distL="114300" distR="114300" simplePos="0" relativeHeight="251643392" behindDoc="0" locked="0" layoutInCell="1" allowOverlap="1" wp14:anchorId="75FE3B19" wp14:editId="7D4F11BC">
                      <wp:simplePos x="0" y="0"/>
                      <wp:positionH relativeFrom="column">
                        <wp:posOffset>-72077</wp:posOffset>
                      </wp:positionH>
                      <wp:positionV relativeFrom="paragraph">
                        <wp:posOffset>266889</wp:posOffset>
                      </wp:positionV>
                      <wp:extent cx="1433015" cy="0"/>
                      <wp:effectExtent l="0" t="76200" r="15240" b="95250"/>
                      <wp:wrapNone/>
                      <wp:docPr id="242" name="Straight Arrow Connector 242"/>
                      <wp:cNvGraphicFramePr/>
                      <a:graphic xmlns:a="http://schemas.openxmlformats.org/drawingml/2006/main">
                        <a:graphicData uri="http://schemas.microsoft.com/office/word/2010/wordprocessingShape">
                          <wps:wsp>
                            <wps:cNvCnPr/>
                            <wps:spPr>
                              <a:xfrm>
                                <a:off x="0" y="0"/>
                                <a:ext cx="1433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C860B5D" id="Straight Arrow Connector 242" o:spid="_x0000_s1026" type="#_x0000_t32" style="position:absolute;margin-left:-5.7pt;margin-top:21pt;width:112.85pt;height:0;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" strokecolor="black [3200]" strokeweight=".5pt">
                      <v:stroke endarrow="block" joinstyle="miter"/>
                    </v:shape>
                  </w:pict>
                </mc:Fallback>
              </mc:AlternateConten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B7295C" w14:textId="77777777" w:rsidR="00012267" w:rsidRPr="00787196" w:rsidRDefault="00012267" w:rsidP="00912E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Chewing ability</w:t>
            </w:r>
          </w:p>
        </w:tc>
      </w:tr>
      <w:tr w:rsidR="00012267" w:rsidRPr="00787196" w14:paraId="6E99606F" w14:textId="77777777" w:rsidTr="008D4EA6">
        <w:trPr>
          <w:trHeight w:val="143"/>
        </w:trPr>
        <w:tc>
          <w:tcPr>
            <w:tcW w:w="3651" w:type="dxa"/>
            <w:vMerge/>
            <w:tcBorders>
              <w:left w:val="single" w:sz="8" w:space="0" w:color="000000"/>
              <w:right w:val="single" w:sz="8" w:space="0" w:color="000000"/>
            </w:tcBorders>
            <w:shd w:val="clear" w:color="auto" w:fill="FFFFFF"/>
          </w:tcPr>
          <w:p w14:paraId="33B2C33A" w14:textId="77777777" w:rsidR="00012267" w:rsidRPr="00787196" w:rsidRDefault="00012267" w:rsidP="00755F46">
            <w:pPr>
              <w:autoSpaceDE w:val="0"/>
              <w:autoSpaceDN w:val="0"/>
              <w:adjustRightInd w:val="0"/>
              <w:spacing w:before="0" w:after="0" w:line="240" w:lineRule="auto"/>
              <w:ind w:left="142"/>
              <w:rPr>
                <w:rFonts w:cs="Arial"/>
                <w:color w:val="000000"/>
                <w:sz w:val="14"/>
                <w:szCs w:val="14"/>
              </w:rPr>
            </w:pPr>
          </w:p>
        </w:tc>
        <w:tc>
          <w:tcPr>
            <w:tcW w:w="2293" w:type="dxa"/>
            <w:vMerge/>
            <w:tcBorders>
              <w:left w:val="single" w:sz="8" w:space="0" w:color="000000"/>
              <w:right w:val="nil"/>
            </w:tcBorders>
            <w:shd w:val="clear" w:color="auto" w:fill="FFFFFF"/>
          </w:tcPr>
          <w:p w14:paraId="6BF86188" w14:textId="77777777" w:rsidR="00012267" w:rsidRPr="00787196" w:rsidRDefault="00012267" w:rsidP="00755F46">
            <w:pPr>
              <w:autoSpaceDE w:val="0"/>
              <w:autoSpaceDN w:val="0"/>
              <w:adjustRightInd w:val="0"/>
              <w:spacing w:before="0" w:after="0" w:line="240" w:lineRule="auto"/>
              <w:rPr>
                <w:rFonts w:cs="Arial"/>
                <w:color w:val="000000"/>
                <w:sz w:val="14"/>
                <w:szCs w:val="14"/>
              </w:rPr>
            </w:pPr>
          </w:p>
        </w:tc>
        <w:tc>
          <w:tcPr>
            <w:tcW w:w="2268" w:type="dxa"/>
            <w:tcBorders>
              <w:top w:val="single" w:sz="8" w:space="0" w:color="000000"/>
              <w:left w:val="nil"/>
              <w:bottom w:val="nil"/>
              <w:right w:val="nil"/>
            </w:tcBorders>
            <w:shd w:val="clear" w:color="auto" w:fill="FFFFFF"/>
            <w:vAlign w:val="center"/>
          </w:tcPr>
          <w:p w14:paraId="32C299F7" w14:textId="77777777" w:rsidR="00012267" w:rsidRPr="00787196" w:rsidRDefault="00012267" w:rsidP="00755F46">
            <w:pPr>
              <w:autoSpaceDE w:val="0"/>
              <w:autoSpaceDN w:val="0"/>
              <w:adjustRightInd w:val="0"/>
              <w:spacing w:before="0" w:after="0" w:line="240" w:lineRule="auto"/>
              <w:rPr>
                <w:rFonts w:cs="Arial"/>
                <w:color w:val="000000"/>
                <w:sz w:val="14"/>
                <w:szCs w:val="14"/>
              </w:rPr>
            </w:pPr>
          </w:p>
        </w:tc>
      </w:tr>
      <w:tr w:rsidR="00F251D0" w:rsidRPr="00787196" w14:paraId="2FE7FE99" w14:textId="77777777" w:rsidTr="008D4EA6">
        <w:trPr>
          <w:trHeight w:val="143"/>
        </w:trPr>
        <w:tc>
          <w:tcPr>
            <w:tcW w:w="3651" w:type="dxa"/>
            <w:vMerge/>
            <w:tcBorders>
              <w:left w:val="single" w:sz="8" w:space="0" w:color="000000"/>
              <w:right w:val="single" w:sz="8" w:space="0" w:color="000000"/>
            </w:tcBorders>
            <w:shd w:val="clear" w:color="auto" w:fill="FFFFFF"/>
          </w:tcPr>
          <w:p w14:paraId="0D157C03"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293" w:type="dxa"/>
            <w:tcBorders>
              <w:left w:val="single" w:sz="8" w:space="0" w:color="000000"/>
            </w:tcBorders>
            <w:shd w:val="clear" w:color="auto" w:fill="FFFFFF"/>
          </w:tcPr>
          <w:p w14:paraId="0C4331F8"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268" w:type="dxa"/>
            <w:tcBorders>
              <w:top w:val="nil"/>
              <w:left w:val="nil"/>
              <w:bottom w:val="nil"/>
              <w:right w:val="nil"/>
            </w:tcBorders>
            <w:shd w:val="clear" w:color="auto" w:fill="FFFFFF"/>
            <w:vAlign w:val="center"/>
          </w:tcPr>
          <w:p w14:paraId="08E0B763"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r>
      <w:tr w:rsidR="00F251D0" w:rsidRPr="00787196" w14:paraId="702AA70A" w14:textId="77777777" w:rsidTr="008D4EA6">
        <w:trPr>
          <w:trHeight w:val="143"/>
        </w:trPr>
        <w:tc>
          <w:tcPr>
            <w:tcW w:w="3651" w:type="dxa"/>
            <w:vMerge/>
            <w:tcBorders>
              <w:left w:val="single" w:sz="8" w:space="0" w:color="000000"/>
              <w:right w:val="single" w:sz="8" w:space="0" w:color="000000"/>
            </w:tcBorders>
            <w:shd w:val="clear" w:color="auto" w:fill="FFFFFF"/>
          </w:tcPr>
          <w:p w14:paraId="721EFECF"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293" w:type="dxa"/>
            <w:tcBorders>
              <w:left w:val="single" w:sz="8" w:space="0" w:color="000000"/>
              <w:bottom w:val="nil"/>
            </w:tcBorders>
            <w:shd w:val="clear" w:color="auto" w:fill="FFFFFF"/>
          </w:tcPr>
          <w:p w14:paraId="2A223320"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268" w:type="dxa"/>
            <w:tcBorders>
              <w:top w:val="nil"/>
              <w:left w:val="nil"/>
              <w:bottom w:val="nil"/>
              <w:right w:val="nil"/>
            </w:tcBorders>
            <w:shd w:val="clear" w:color="auto" w:fill="FFFFFF"/>
            <w:vAlign w:val="center"/>
          </w:tcPr>
          <w:p w14:paraId="7D102A10"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r>
      <w:tr w:rsidR="00F251D0" w:rsidRPr="00787196" w14:paraId="5DF53076" w14:textId="77777777" w:rsidTr="008D4EA6">
        <w:trPr>
          <w:trHeight w:val="143"/>
        </w:trPr>
        <w:tc>
          <w:tcPr>
            <w:tcW w:w="3651" w:type="dxa"/>
            <w:vMerge/>
            <w:tcBorders>
              <w:left w:val="single" w:sz="8" w:space="0" w:color="000000"/>
              <w:bottom w:val="single" w:sz="8" w:space="0" w:color="000000"/>
              <w:right w:val="single" w:sz="8" w:space="0" w:color="000000"/>
            </w:tcBorders>
            <w:shd w:val="clear" w:color="auto" w:fill="FFFFFF"/>
          </w:tcPr>
          <w:p w14:paraId="2F5714F5" w14:textId="77777777" w:rsidR="00057EF8" w:rsidRPr="00787196" w:rsidRDefault="00057EF8" w:rsidP="00755F46">
            <w:pPr>
              <w:autoSpaceDE w:val="0"/>
              <w:autoSpaceDN w:val="0"/>
              <w:adjustRightInd w:val="0"/>
              <w:spacing w:before="0" w:after="0" w:line="240" w:lineRule="auto"/>
              <w:ind w:left="142"/>
              <w:rPr>
                <w:rFonts w:cs="Arial"/>
                <w:color w:val="000000"/>
                <w:sz w:val="14"/>
                <w:szCs w:val="14"/>
              </w:rPr>
            </w:pPr>
          </w:p>
        </w:tc>
        <w:tc>
          <w:tcPr>
            <w:tcW w:w="2293" w:type="dxa"/>
            <w:tcBorders>
              <w:top w:val="nil"/>
              <w:left w:val="single" w:sz="8" w:space="0" w:color="000000"/>
              <w:bottom w:val="nil"/>
            </w:tcBorders>
            <w:shd w:val="clear" w:color="auto" w:fill="FFFFFF"/>
          </w:tcPr>
          <w:p w14:paraId="3ACBCB41"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c>
          <w:tcPr>
            <w:tcW w:w="2268" w:type="dxa"/>
            <w:tcBorders>
              <w:top w:val="nil"/>
              <w:left w:val="nil"/>
              <w:bottom w:val="nil"/>
              <w:right w:val="nil"/>
            </w:tcBorders>
            <w:shd w:val="clear" w:color="auto" w:fill="FFFFFF"/>
            <w:vAlign w:val="center"/>
          </w:tcPr>
          <w:p w14:paraId="374144B2" w14:textId="77777777" w:rsidR="00057EF8" w:rsidRPr="00787196" w:rsidRDefault="00057EF8" w:rsidP="00755F46">
            <w:pPr>
              <w:autoSpaceDE w:val="0"/>
              <w:autoSpaceDN w:val="0"/>
              <w:adjustRightInd w:val="0"/>
              <w:spacing w:before="0" w:after="0" w:line="240" w:lineRule="auto"/>
              <w:rPr>
                <w:rFonts w:cs="Arial"/>
                <w:color w:val="000000"/>
                <w:sz w:val="14"/>
                <w:szCs w:val="14"/>
              </w:rPr>
            </w:pPr>
          </w:p>
        </w:tc>
      </w:tr>
    </w:tbl>
    <w:p w14:paraId="122018CA" w14:textId="77777777" w:rsidR="00D87AB0" w:rsidRPr="00787196" w:rsidRDefault="00D87AB0" w:rsidP="00D87AB0">
      <w:pPr>
        <w:spacing w:before="0" w:after="0" w:line="240" w:lineRule="auto"/>
        <w:rPr>
          <w:i/>
          <w:iCs/>
          <w:sz w:val="14"/>
          <w:szCs w:val="12"/>
        </w:rPr>
      </w:pPr>
    </w:p>
    <w:p w14:paraId="2E5530DB" w14:textId="77777777" w:rsidR="00CD3C98" w:rsidRPr="00787196" w:rsidRDefault="00CD3C98" w:rsidP="00D87AB0">
      <w:pPr>
        <w:spacing w:before="0" w:after="0" w:line="240" w:lineRule="auto"/>
        <w:rPr>
          <w:i/>
          <w:iCs/>
          <w:sz w:val="14"/>
          <w:szCs w:val="12"/>
        </w:rPr>
      </w:pPr>
    </w:p>
    <w:p w14:paraId="1540018D" w14:textId="77777777" w:rsidR="00CD3C98" w:rsidRPr="00787196" w:rsidRDefault="00CD3C98" w:rsidP="00D87AB0">
      <w:pPr>
        <w:spacing w:before="0" w:after="0" w:line="240" w:lineRule="auto"/>
        <w:rPr>
          <w:i/>
          <w:iCs/>
          <w:sz w:val="14"/>
          <w:szCs w:val="12"/>
        </w:rPr>
      </w:pPr>
    </w:p>
    <w:p w14:paraId="1D5EDA47" w14:textId="77777777" w:rsidR="00012267" w:rsidRPr="00787196" w:rsidRDefault="00012267">
      <w:pPr>
        <w:spacing w:before="0" w:after="0" w:line="240" w:lineRule="auto"/>
        <w:jc w:val="left"/>
        <w:rPr>
          <w:sz w:val="20"/>
          <w:szCs w:val="18"/>
        </w:rPr>
      </w:pPr>
      <w:r w:rsidRPr="00787196">
        <w:rPr>
          <w:sz w:val="20"/>
          <w:szCs w:val="18"/>
        </w:rPr>
        <w:br w:type="page"/>
      </w:r>
    </w:p>
    <w:p w14:paraId="410F5EA3" w14:textId="3E78804E" w:rsidR="00CD3C98" w:rsidRPr="00787196" w:rsidRDefault="00786B0E" w:rsidP="00786B0E">
      <w:pPr>
        <w:pStyle w:val="Caption"/>
        <w:rPr>
          <w:b/>
          <w:bCs/>
          <w:i w:val="0"/>
          <w:iCs w:val="0"/>
          <w:color w:val="auto"/>
          <w:sz w:val="20"/>
          <w:szCs w:val="20"/>
        </w:rPr>
      </w:pPr>
      <w:bookmarkStart w:id="307" w:name="_Toc488655590"/>
      <w:r w:rsidRPr="00787196">
        <w:rPr>
          <w:b/>
          <w:bCs/>
          <w:i w:val="0"/>
          <w:iCs w:val="0"/>
          <w:color w:val="auto"/>
          <w:sz w:val="20"/>
          <w:szCs w:val="20"/>
        </w:rPr>
        <w:lastRenderedPageBreak/>
        <w:t xml:space="preserve">Figure </w:t>
      </w:r>
      <w:r w:rsidRPr="00787196">
        <w:rPr>
          <w:b/>
          <w:bCs/>
          <w:i w:val="0"/>
          <w:iCs w:val="0"/>
          <w:color w:val="auto"/>
          <w:sz w:val="20"/>
          <w:szCs w:val="20"/>
        </w:rPr>
        <w:fldChar w:fldCharType="begin"/>
      </w:r>
      <w:r w:rsidRPr="00787196">
        <w:rPr>
          <w:b/>
          <w:bCs/>
          <w:i w:val="0"/>
          <w:iCs w:val="0"/>
          <w:color w:val="auto"/>
          <w:sz w:val="20"/>
          <w:szCs w:val="20"/>
        </w:rPr>
        <w:instrText xml:space="preserve"> STYLEREF 1 \s </w:instrText>
      </w:r>
      <w:r w:rsidRPr="00787196">
        <w:rPr>
          <w:b/>
          <w:bCs/>
          <w:i w:val="0"/>
          <w:iCs w:val="0"/>
          <w:color w:val="auto"/>
          <w:sz w:val="20"/>
          <w:szCs w:val="20"/>
        </w:rPr>
        <w:fldChar w:fldCharType="separate"/>
      </w:r>
      <w:r w:rsidR="00C069BC" w:rsidRPr="00787196">
        <w:rPr>
          <w:b/>
          <w:bCs/>
          <w:i w:val="0"/>
          <w:iCs w:val="0"/>
          <w:noProof/>
          <w:color w:val="auto"/>
          <w:sz w:val="20"/>
          <w:szCs w:val="20"/>
        </w:rPr>
        <w:t>5</w:t>
      </w:r>
      <w:r w:rsidRPr="00787196">
        <w:rPr>
          <w:b/>
          <w:bCs/>
          <w:i w:val="0"/>
          <w:iCs w:val="0"/>
          <w:color w:val="auto"/>
          <w:sz w:val="20"/>
          <w:szCs w:val="20"/>
        </w:rPr>
        <w:fldChar w:fldCharType="end"/>
      </w:r>
      <w:r w:rsidRPr="00787196">
        <w:rPr>
          <w:b/>
          <w:bCs/>
          <w:i w:val="0"/>
          <w:iCs w:val="0"/>
          <w:color w:val="auto"/>
          <w:sz w:val="20"/>
          <w:szCs w:val="20"/>
        </w:rPr>
        <w:noBreakHyphen/>
      </w:r>
      <w:r w:rsidRPr="00787196">
        <w:rPr>
          <w:b/>
          <w:bCs/>
          <w:i w:val="0"/>
          <w:iCs w:val="0"/>
          <w:color w:val="auto"/>
          <w:sz w:val="20"/>
          <w:szCs w:val="20"/>
        </w:rPr>
        <w:fldChar w:fldCharType="begin"/>
      </w:r>
      <w:r w:rsidRPr="00787196">
        <w:rPr>
          <w:b/>
          <w:bCs/>
          <w:i w:val="0"/>
          <w:iCs w:val="0"/>
          <w:color w:val="auto"/>
          <w:sz w:val="20"/>
          <w:szCs w:val="20"/>
        </w:rPr>
        <w:instrText xml:space="preserve"> SEQ Figure \* ARABIC \s 1 </w:instrText>
      </w:r>
      <w:r w:rsidRPr="00787196">
        <w:rPr>
          <w:b/>
          <w:bCs/>
          <w:i w:val="0"/>
          <w:iCs w:val="0"/>
          <w:color w:val="auto"/>
          <w:sz w:val="20"/>
          <w:szCs w:val="20"/>
        </w:rPr>
        <w:fldChar w:fldCharType="separate"/>
      </w:r>
      <w:r w:rsidR="00C069BC" w:rsidRPr="00787196">
        <w:rPr>
          <w:b/>
          <w:bCs/>
          <w:i w:val="0"/>
          <w:iCs w:val="0"/>
          <w:noProof/>
          <w:color w:val="auto"/>
          <w:sz w:val="20"/>
          <w:szCs w:val="20"/>
        </w:rPr>
        <w:t>4</w:t>
      </w:r>
      <w:r w:rsidRPr="00787196">
        <w:rPr>
          <w:b/>
          <w:bCs/>
          <w:i w:val="0"/>
          <w:iCs w:val="0"/>
          <w:color w:val="auto"/>
          <w:sz w:val="20"/>
          <w:szCs w:val="20"/>
        </w:rPr>
        <w:fldChar w:fldCharType="end"/>
      </w:r>
      <w:r w:rsidRPr="00787196">
        <w:rPr>
          <w:b/>
          <w:bCs/>
          <w:i w:val="0"/>
          <w:iCs w:val="0"/>
          <w:color w:val="auto"/>
          <w:sz w:val="20"/>
          <w:szCs w:val="20"/>
        </w:rPr>
        <w:t xml:space="preserve"> Summary of significant bivariate relationships between baseline variables and coping strategies at follow-up</w:t>
      </w:r>
      <w:bookmarkEnd w:id="307"/>
    </w:p>
    <w:tbl>
      <w:tblPr>
        <w:tblW w:w="0" w:type="auto"/>
        <w:tblBorders>
          <w:top w:val="single" w:sz="8" w:space="0" w:color="000000"/>
          <w:bottom w:val="single" w:sz="8" w:space="0" w:color="000000"/>
        </w:tblBorders>
        <w:tblLook w:val="04A0" w:firstRow="1" w:lastRow="0" w:firstColumn="1" w:lastColumn="0" w:noHBand="0" w:noVBand="1"/>
      </w:tblPr>
      <w:tblGrid>
        <w:gridCol w:w="3698"/>
        <w:gridCol w:w="2234"/>
        <w:gridCol w:w="2290"/>
      </w:tblGrid>
      <w:tr w:rsidR="00CD3C98" w:rsidRPr="00787196" w14:paraId="4186DC4D" w14:textId="77777777" w:rsidTr="00935BB5">
        <w:trPr>
          <w:trHeight w:val="391"/>
        </w:trPr>
        <w:tc>
          <w:tcPr>
            <w:tcW w:w="3708" w:type="dxa"/>
            <w:tcBorders>
              <w:top w:val="nil"/>
              <w:bottom w:val="nil"/>
            </w:tcBorders>
            <w:shd w:val="clear" w:color="auto" w:fill="FFFFFF"/>
            <w:vAlign w:val="center"/>
          </w:tcPr>
          <w:p w14:paraId="05AE78AC" w14:textId="77777777" w:rsidR="00CD3C98" w:rsidRPr="00787196" w:rsidRDefault="00CD3C98" w:rsidP="00C85338">
            <w:pPr>
              <w:autoSpaceDE w:val="0"/>
              <w:autoSpaceDN w:val="0"/>
              <w:adjustRightInd w:val="0"/>
              <w:spacing w:before="0" w:after="0" w:line="240" w:lineRule="auto"/>
              <w:jc w:val="center"/>
              <w:rPr>
                <w:rFonts w:cs="Arial"/>
                <w:b/>
                <w:bCs/>
                <w:color w:val="000000"/>
                <w:sz w:val="18"/>
                <w:szCs w:val="18"/>
              </w:rPr>
            </w:pPr>
            <w:r w:rsidRPr="00787196">
              <w:rPr>
                <w:rFonts w:cs="Arial"/>
                <w:b/>
                <w:bCs/>
                <w:color w:val="000000"/>
                <w:sz w:val="20"/>
                <w:szCs w:val="20"/>
              </w:rPr>
              <w:t>BASELINE</w:t>
            </w:r>
          </w:p>
        </w:tc>
        <w:tc>
          <w:tcPr>
            <w:tcW w:w="2246" w:type="dxa"/>
            <w:tcBorders>
              <w:top w:val="nil"/>
              <w:bottom w:val="nil"/>
            </w:tcBorders>
            <w:shd w:val="clear" w:color="auto" w:fill="FFFFFF"/>
          </w:tcPr>
          <w:p w14:paraId="11580FB7" w14:textId="77777777" w:rsidR="00CD3C98" w:rsidRPr="00787196" w:rsidRDefault="00CD3C98" w:rsidP="00C85338">
            <w:pPr>
              <w:autoSpaceDE w:val="0"/>
              <w:autoSpaceDN w:val="0"/>
              <w:adjustRightInd w:val="0"/>
              <w:spacing w:before="0" w:after="0" w:line="240" w:lineRule="auto"/>
              <w:rPr>
                <w:rFonts w:cs="Arial"/>
                <w:color w:val="000000"/>
                <w:sz w:val="18"/>
                <w:szCs w:val="18"/>
              </w:rPr>
            </w:pPr>
          </w:p>
        </w:tc>
        <w:tc>
          <w:tcPr>
            <w:tcW w:w="2291" w:type="dxa"/>
            <w:tcBorders>
              <w:top w:val="nil"/>
              <w:bottom w:val="nil"/>
            </w:tcBorders>
            <w:shd w:val="clear" w:color="auto" w:fill="FFFFFF"/>
            <w:vAlign w:val="center"/>
          </w:tcPr>
          <w:p w14:paraId="7A5F9FEA" w14:textId="77777777" w:rsidR="00CD3C98" w:rsidRPr="00787196" w:rsidRDefault="00CD3C98" w:rsidP="00C85338">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FOLLOW UP</w:t>
            </w:r>
          </w:p>
        </w:tc>
      </w:tr>
      <w:tr w:rsidR="00D07151" w:rsidRPr="00787196" w14:paraId="09DFF361" w14:textId="77777777" w:rsidTr="00C30EAE">
        <w:trPr>
          <w:trHeight w:val="391"/>
        </w:trPr>
        <w:tc>
          <w:tcPr>
            <w:tcW w:w="3708" w:type="dxa"/>
            <w:tcBorders>
              <w:top w:val="nil"/>
              <w:bottom w:val="single" w:sz="8" w:space="0" w:color="000000"/>
            </w:tcBorders>
            <w:shd w:val="clear" w:color="auto" w:fill="FFFFFF"/>
            <w:vAlign w:val="center"/>
          </w:tcPr>
          <w:p w14:paraId="5EA73D1D" w14:textId="77777777" w:rsidR="00D07151" w:rsidRPr="00787196" w:rsidRDefault="00D07151" w:rsidP="00C85338">
            <w:pPr>
              <w:autoSpaceDE w:val="0"/>
              <w:autoSpaceDN w:val="0"/>
              <w:adjustRightInd w:val="0"/>
              <w:spacing w:before="0" w:after="0" w:line="240" w:lineRule="auto"/>
              <w:jc w:val="center"/>
              <w:rPr>
                <w:rFonts w:cs="Arial"/>
                <w:b/>
                <w:bCs/>
                <w:color w:val="000000"/>
                <w:sz w:val="20"/>
                <w:szCs w:val="20"/>
              </w:rPr>
            </w:pPr>
          </w:p>
        </w:tc>
        <w:tc>
          <w:tcPr>
            <w:tcW w:w="2246" w:type="dxa"/>
            <w:tcBorders>
              <w:top w:val="nil"/>
              <w:bottom w:val="nil"/>
            </w:tcBorders>
            <w:shd w:val="clear" w:color="auto" w:fill="FFFFFF"/>
          </w:tcPr>
          <w:p w14:paraId="50E060C5" w14:textId="77777777" w:rsidR="00D07151" w:rsidRPr="00787196" w:rsidRDefault="00D07151" w:rsidP="00C85338">
            <w:pPr>
              <w:autoSpaceDE w:val="0"/>
              <w:autoSpaceDN w:val="0"/>
              <w:adjustRightInd w:val="0"/>
              <w:spacing w:before="0" w:after="0" w:line="240" w:lineRule="auto"/>
              <w:rPr>
                <w:rFonts w:cs="Arial"/>
                <w:color w:val="000000"/>
                <w:sz w:val="18"/>
                <w:szCs w:val="18"/>
              </w:rPr>
            </w:pPr>
          </w:p>
        </w:tc>
        <w:tc>
          <w:tcPr>
            <w:tcW w:w="2291" w:type="dxa"/>
            <w:tcBorders>
              <w:top w:val="nil"/>
              <w:bottom w:val="nil"/>
            </w:tcBorders>
            <w:shd w:val="clear" w:color="auto" w:fill="FFFFFF"/>
            <w:vAlign w:val="center"/>
          </w:tcPr>
          <w:p w14:paraId="4AED3A3C" w14:textId="77777777" w:rsidR="00D07151" w:rsidRPr="00787196" w:rsidRDefault="00D07151" w:rsidP="00C85338">
            <w:pPr>
              <w:autoSpaceDE w:val="0"/>
              <w:autoSpaceDN w:val="0"/>
              <w:adjustRightInd w:val="0"/>
              <w:spacing w:before="0" w:after="0" w:line="240" w:lineRule="auto"/>
              <w:jc w:val="center"/>
              <w:rPr>
                <w:rFonts w:cs="Arial"/>
                <w:b/>
                <w:bCs/>
                <w:color w:val="000000"/>
                <w:sz w:val="18"/>
                <w:szCs w:val="18"/>
              </w:rPr>
            </w:pPr>
          </w:p>
        </w:tc>
      </w:tr>
      <w:tr w:rsidR="002850E3" w:rsidRPr="00787196" w14:paraId="5FB63494" w14:textId="77777777" w:rsidTr="00C30EAE">
        <w:trPr>
          <w:trHeight w:val="261"/>
        </w:trPr>
        <w:tc>
          <w:tcPr>
            <w:tcW w:w="3708" w:type="dxa"/>
            <w:vMerge w:val="restart"/>
            <w:tcBorders>
              <w:top w:val="single" w:sz="8" w:space="0" w:color="000000"/>
              <w:left w:val="single" w:sz="8" w:space="0" w:color="000000"/>
              <w:right w:val="single" w:sz="8" w:space="0" w:color="000000"/>
            </w:tcBorders>
            <w:shd w:val="clear" w:color="auto" w:fill="FFFFFF"/>
            <w:vAlign w:val="center"/>
          </w:tcPr>
          <w:p w14:paraId="6DBE5F65" w14:textId="67BC7AD7" w:rsidR="002850E3" w:rsidRPr="00787196" w:rsidRDefault="008329DC" w:rsidP="008329DC">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Prosthetic status (upper)*, prosthetic need (upper)**,  No. of teeth present*, No. of occluding pairs**,  Inadequate</w:t>
            </w:r>
            <w:r w:rsidR="00116EE5" w:rsidRPr="00787196">
              <w:rPr>
                <w:rFonts w:cs="Arial"/>
                <w:color w:val="000000"/>
                <w:sz w:val="20"/>
                <w:szCs w:val="20"/>
              </w:rPr>
              <w:t xml:space="preserve"> </w:t>
            </w:r>
            <w:r w:rsidRPr="00787196">
              <w:rPr>
                <w:rFonts w:cs="Arial"/>
                <w:color w:val="000000"/>
                <w:sz w:val="20"/>
                <w:szCs w:val="20"/>
              </w:rPr>
              <w:t>/avoidance coping</w:t>
            </w:r>
            <w:r w:rsidR="00116EE5" w:rsidRPr="00787196">
              <w:rPr>
                <w:rFonts w:cs="Arial"/>
                <w:color w:val="000000"/>
                <w:sz w:val="20"/>
                <w:szCs w:val="20"/>
              </w:rPr>
              <w:t>**, self-blame coping*</w:t>
            </w:r>
          </w:p>
        </w:tc>
        <w:tc>
          <w:tcPr>
            <w:tcW w:w="2246" w:type="dxa"/>
            <w:tcBorders>
              <w:top w:val="nil"/>
              <w:left w:val="single" w:sz="8" w:space="0" w:color="000000"/>
              <w:bottom w:val="nil"/>
            </w:tcBorders>
            <w:shd w:val="clear" w:color="auto" w:fill="FFFFFF"/>
            <w:vAlign w:val="center"/>
          </w:tcPr>
          <w:p w14:paraId="3B5E9556"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left w:val="nil"/>
              <w:bottom w:val="single" w:sz="8" w:space="0" w:color="auto"/>
              <w:right w:val="nil"/>
            </w:tcBorders>
            <w:shd w:val="clear" w:color="auto" w:fill="FFFFFF"/>
            <w:vAlign w:val="center"/>
          </w:tcPr>
          <w:p w14:paraId="3693D098"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8329DC" w:rsidRPr="00787196" w14:paraId="5AB6EF49" w14:textId="77777777" w:rsidTr="00C30EAE">
        <w:trPr>
          <w:trHeight w:val="649"/>
        </w:trPr>
        <w:tc>
          <w:tcPr>
            <w:tcW w:w="3708" w:type="dxa"/>
            <w:vMerge/>
            <w:tcBorders>
              <w:left w:val="single" w:sz="8" w:space="0" w:color="000000"/>
              <w:right w:val="single" w:sz="8" w:space="0" w:color="000000"/>
            </w:tcBorders>
            <w:shd w:val="clear" w:color="auto" w:fill="FFFFFF"/>
            <w:vAlign w:val="center"/>
          </w:tcPr>
          <w:p w14:paraId="6C0BF80A" w14:textId="77777777" w:rsidR="008329DC" w:rsidRPr="00787196" w:rsidRDefault="008329DC" w:rsidP="00C119A5">
            <w:pPr>
              <w:numPr>
                <w:ilvl w:val="0"/>
                <w:numId w:val="28"/>
              </w:numPr>
              <w:autoSpaceDE w:val="0"/>
              <w:autoSpaceDN w:val="0"/>
              <w:adjustRightInd w:val="0"/>
              <w:spacing w:before="0" w:after="0" w:line="240" w:lineRule="auto"/>
              <w:ind w:left="142" w:hanging="142"/>
              <w:jc w:val="center"/>
              <w:rPr>
                <w:rFonts w:cs="Arial"/>
                <w:color w:val="000000"/>
                <w:sz w:val="14"/>
                <w:szCs w:val="14"/>
              </w:rPr>
            </w:pPr>
          </w:p>
        </w:tc>
        <w:tc>
          <w:tcPr>
            <w:tcW w:w="2246" w:type="dxa"/>
            <w:tcBorders>
              <w:top w:val="nil"/>
              <w:left w:val="single" w:sz="8" w:space="0" w:color="000000"/>
              <w:right w:val="single" w:sz="8" w:space="0" w:color="auto"/>
            </w:tcBorders>
            <w:shd w:val="clear" w:color="auto" w:fill="FFFFFF"/>
            <w:vAlign w:val="center"/>
          </w:tcPr>
          <w:p w14:paraId="22379584" w14:textId="58ECBAA8" w:rsidR="008329DC" w:rsidRPr="00787196" w:rsidRDefault="00D07151" w:rsidP="00C85338">
            <w:pPr>
              <w:autoSpaceDE w:val="0"/>
              <w:autoSpaceDN w:val="0"/>
              <w:adjustRightInd w:val="0"/>
              <w:spacing w:before="0" w:after="0" w:line="240" w:lineRule="auto"/>
              <w:jc w:val="center"/>
              <w:rPr>
                <w:rFonts w:cs="Arial"/>
                <w:color w:val="000000"/>
                <w:sz w:val="14"/>
                <w:szCs w:val="14"/>
              </w:rPr>
            </w:pPr>
            <w:r w:rsidRPr="00787196">
              <w:rPr>
                <w:rFonts w:cs="Arial"/>
                <w:noProof/>
                <w:color w:val="000000"/>
                <w:sz w:val="20"/>
                <w:szCs w:val="20"/>
              </w:rPr>
              <mc:AlternateContent>
                <mc:Choice Requires="wps">
                  <w:drawing>
                    <wp:anchor distT="0" distB="0" distL="114300" distR="114300" simplePos="0" relativeHeight="251647488" behindDoc="0" locked="0" layoutInCell="1" allowOverlap="1" wp14:anchorId="0CC1AF81" wp14:editId="5D685022">
                      <wp:simplePos x="0" y="0"/>
                      <wp:positionH relativeFrom="column">
                        <wp:posOffset>-81915</wp:posOffset>
                      </wp:positionH>
                      <wp:positionV relativeFrom="paragraph">
                        <wp:posOffset>57150</wp:posOffset>
                      </wp:positionV>
                      <wp:extent cx="1405255" cy="0"/>
                      <wp:effectExtent l="0" t="76200" r="23495" b="95250"/>
                      <wp:wrapNone/>
                      <wp:docPr id="258" name="Straight Arrow Connector 258"/>
                      <wp:cNvGraphicFramePr/>
                      <a:graphic xmlns:a="http://schemas.openxmlformats.org/drawingml/2006/main">
                        <a:graphicData uri="http://schemas.microsoft.com/office/word/2010/wordprocessingShape">
                          <wps:wsp>
                            <wps:cNvCnPr/>
                            <wps:spPr>
                              <a:xfrm>
                                <a:off x="0" y="0"/>
                                <a:ext cx="14052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BDF1A8" id="Straight Arrow Connector 258" o:spid="_x0000_s1026" type="#_x0000_t32" style="position:absolute;margin-left:-6.45pt;margin-top:4.5pt;width:110.6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" strokecolor="windowText" strokeweight=".5pt">
                      <v:stroke endarrow="block" joinstyle="miter"/>
                    </v:shape>
                  </w:pict>
                </mc:Fallback>
              </mc:AlternateContent>
            </w:r>
          </w:p>
        </w:tc>
        <w:tc>
          <w:tcPr>
            <w:tcW w:w="2291" w:type="dxa"/>
            <w:tcBorders>
              <w:top w:val="single" w:sz="8" w:space="0" w:color="auto"/>
              <w:left w:val="single" w:sz="8" w:space="0" w:color="auto"/>
              <w:right w:val="single" w:sz="8" w:space="0" w:color="auto"/>
            </w:tcBorders>
            <w:shd w:val="clear" w:color="auto" w:fill="FFFFFF"/>
            <w:vAlign w:val="center"/>
          </w:tcPr>
          <w:p w14:paraId="496FA26C" w14:textId="3D9417A2" w:rsidR="008329DC" w:rsidRPr="00787196" w:rsidRDefault="008329DC" w:rsidP="00C85338">
            <w:pPr>
              <w:autoSpaceDE w:val="0"/>
              <w:autoSpaceDN w:val="0"/>
              <w:adjustRightInd w:val="0"/>
              <w:spacing w:before="0" w:after="0" w:line="240" w:lineRule="auto"/>
              <w:jc w:val="center"/>
              <w:rPr>
                <w:rFonts w:cs="Arial"/>
                <w:color w:val="000000"/>
                <w:sz w:val="14"/>
                <w:szCs w:val="14"/>
              </w:rPr>
            </w:pPr>
            <w:r w:rsidRPr="00787196">
              <w:rPr>
                <w:rFonts w:cs="Arial"/>
                <w:color w:val="000000"/>
                <w:sz w:val="20"/>
                <w:szCs w:val="20"/>
              </w:rPr>
              <w:t>Inadequate/avoidance coping</w:t>
            </w:r>
          </w:p>
        </w:tc>
      </w:tr>
      <w:tr w:rsidR="002850E3" w:rsidRPr="00787196" w14:paraId="0C68EC6C" w14:textId="77777777" w:rsidTr="00C30EAE">
        <w:trPr>
          <w:trHeight w:val="406"/>
        </w:trPr>
        <w:tc>
          <w:tcPr>
            <w:tcW w:w="3708" w:type="dxa"/>
            <w:vMerge/>
            <w:tcBorders>
              <w:left w:val="single" w:sz="8" w:space="0" w:color="000000"/>
              <w:bottom w:val="single" w:sz="8" w:space="0" w:color="000000"/>
              <w:right w:val="single" w:sz="8" w:space="0" w:color="000000"/>
            </w:tcBorders>
            <w:shd w:val="clear" w:color="auto" w:fill="FFFFFF"/>
            <w:vAlign w:val="center"/>
          </w:tcPr>
          <w:p w14:paraId="6A74BB58" w14:textId="77777777" w:rsidR="002850E3" w:rsidRPr="00787196" w:rsidRDefault="002850E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bottom w:val="nil"/>
            </w:tcBorders>
            <w:shd w:val="clear" w:color="auto" w:fill="FFFFFF"/>
            <w:vAlign w:val="center"/>
          </w:tcPr>
          <w:p w14:paraId="1B43FE48"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top w:val="single" w:sz="8" w:space="0" w:color="auto"/>
              <w:left w:val="nil"/>
              <w:bottom w:val="nil"/>
              <w:right w:val="nil"/>
            </w:tcBorders>
            <w:shd w:val="clear" w:color="auto" w:fill="FFFFFF"/>
            <w:vAlign w:val="center"/>
          </w:tcPr>
          <w:p w14:paraId="1A7EC56F"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CD3C98" w:rsidRPr="00787196" w14:paraId="60144FBC" w14:textId="77777777" w:rsidTr="00C30EAE">
        <w:trPr>
          <w:trHeight w:val="406"/>
        </w:trPr>
        <w:tc>
          <w:tcPr>
            <w:tcW w:w="3708" w:type="dxa"/>
            <w:tcBorders>
              <w:top w:val="single" w:sz="8" w:space="0" w:color="000000"/>
              <w:left w:val="nil"/>
              <w:bottom w:val="nil"/>
              <w:right w:val="nil"/>
            </w:tcBorders>
            <w:shd w:val="clear" w:color="auto" w:fill="FFFFFF"/>
            <w:vAlign w:val="center"/>
          </w:tcPr>
          <w:p w14:paraId="3042AE72" w14:textId="77777777" w:rsidR="00CD3C98" w:rsidRPr="00787196" w:rsidRDefault="00CD3C98"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092B22A2" w14:textId="77777777" w:rsidR="00CD3C98" w:rsidRPr="00787196" w:rsidRDefault="00CD3C98"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56DC64CF" w14:textId="77777777" w:rsidR="00CD3C98" w:rsidRPr="00787196" w:rsidRDefault="00CD3C98" w:rsidP="00C85338">
            <w:pPr>
              <w:autoSpaceDE w:val="0"/>
              <w:autoSpaceDN w:val="0"/>
              <w:adjustRightInd w:val="0"/>
              <w:spacing w:before="0" w:after="0" w:line="240" w:lineRule="auto"/>
              <w:jc w:val="center"/>
              <w:rPr>
                <w:rFonts w:cs="Arial"/>
                <w:color w:val="000000"/>
                <w:sz w:val="14"/>
                <w:szCs w:val="14"/>
              </w:rPr>
            </w:pPr>
          </w:p>
        </w:tc>
      </w:tr>
      <w:tr w:rsidR="00CD3C98" w:rsidRPr="00787196" w14:paraId="723D3642" w14:textId="77777777" w:rsidTr="00C30EAE">
        <w:trPr>
          <w:trHeight w:val="406"/>
        </w:trPr>
        <w:tc>
          <w:tcPr>
            <w:tcW w:w="3708" w:type="dxa"/>
            <w:tcBorders>
              <w:top w:val="nil"/>
              <w:left w:val="nil"/>
              <w:bottom w:val="single" w:sz="8" w:space="0" w:color="000000"/>
              <w:right w:val="nil"/>
            </w:tcBorders>
            <w:shd w:val="clear" w:color="auto" w:fill="FFFFFF"/>
            <w:vAlign w:val="center"/>
          </w:tcPr>
          <w:p w14:paraId="0643C6C7" w14:textId="77777777" w:rsidR="00CD3C98" w:rsidRPr="00787196" w:rsidRDefault="00CD3C98"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712D6DD9" w14:textId="77777777" w:rsidR="00CD3C98" w:rsidRPr="00787196" w:rsidRDefault="00CD3C98"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76DC0874" w14:textId="77777777" w:rsidR="00CD3C98" w:rsidRPr="00787196" w:rsidRDefault="00CD3C98" w:rsidP="00C85338">
            <w:pPr>
              <w:autoSpaceDE w:val="0"/>
              <w:autoSpaceDN w:val="0"/>
              <w:adjustRightInd w:val="0"/>
              <w:spacing w:before="0" w:after="0" w:line="240" w:lineRule="auto"/>
              <w:jc w:val="center"/>
              <w:rPr>
                <w:rFonts w:cs="Arial"/>
                <w:color w:val="000000"/>
                <w:sz w:val="14"/>
                <w:szCs w:val="14"/>
              </w:rPr>
            </w:pPr>
          </w:p>
        </w:tc>
      </w:tr>
      <w:tr w:rsidR="00116EE5" w:rsidRPr="00787196" w14:paraId="4578ABBF" w14:textId="77777777" w:rsidTr="00C30EAE">
        <w:trPr>
          <w:trHeight w:val="406"/>
        </w:trPr>
        <w:tc>
          <w:tcPr>
            <w:tcW w:w="3708" w:type="dxa"/>
            <w:vMerge w:val="restart"/>
            <w:tcBorders>
              <w:top w:val="single" w:sz="8" w:space="0" w:color="000000"/>
              <w:left w:val="single" w:sz="8" w:space="0" w:color="000000"/>
              <w:right w:val="single" w:sz="8" w:space="0" w:color="000000"/>
            </w:tcBorders>
            <w:shd w:val="clear" w:color="auto" w:fill="FFFFFF"/>
            <w:vAlign w:val="center"/>
          </w:tcPr>
          <w:p w14:paraId="31578660" w14:textId="1F514A2F" w:rsidR="00116EE5" w:rsidRPr="00787196" w:rsidRDefault="00116EE5" w:rsidP="00116EE5">
            <w:pPr>
              <w:autoSpaceDE w:val="0"/>
              <w:autoSpaceDN w:val="0"/>
              <w:adjustRightInd w:val="0"/>
              <w:spacing w:before="0" w:after="0" w:line="240" w:lineRule="auto"/>
              <w:ind w:left="142"/>
              <w:jc w:val="left"/>
              <w:rPr>
                <w:rFonts w:cs="Arial"/>
                <w:color w:val="000000"/>
                <w:sz w:val="20"/>
                <w:szCs w:val="20"/>
              </w:rPr>
            </w:pPr>
            <w:r w:rsidRPr="00787196">
              <w:rPr>
                <w:rFonts w:cs="Arial"/>
                <w:color w:val="000000"/>
                <w:sz w:val="20"/>
                <w:szCs w:val="20"/>
              </w:rPr>
              <w:t>Prosthetic need (both upper and lower)*, No. of teeth present*, No. of occluding pairs**, Adequate/positive coping*</w:t>
            </w:r>
          </w:p>
        </w:tc>
        <w:tc>
          <w:tcPr>
            <w:tcW w:w="2246" w:type="dxa"/>
            <w:tcBorders>
              <w:top w:val="nil"/>
              <w:left w:val="single" w:sz="8" w:space="0" w:color="000000"/>
              <w:bottom w:val="nil"/>
            </w:tcBorders>
            <w:shd w:val="clear" w:color="auto" w:fill="FFFFFF"/>
            <w:vAlign w:val="center"/>
          </w:tcPr>
          <w:p w14:paraId="05CAE938" w14:textId="77777777" w:rsidR="00116EE5" w:rsidRPr="00787196" w:rsidRDefault="00116EE5"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single" w:sz="8" w:space="0" w:color="auto"/>
              <w:right w:val="nil"/>
            </w:tcBorders>
            <w:shd w:val="clear" w:color="auto" w:fill="FFFFFF"/>
            <w:vAlign w:val="center"/>
          </w:tcPr>
          <w:p w14:paraId="5461C2BD" w14:textId="77777777" w:rsidR="00116EE5" w:rsidRPr="00787196" w:rsidRDefault="00116EE5" w:rsidP="00C85338">
            <w:pPr>
              <w:autoSpaceDE w:val="0"/>
              <w:autoSpaceDN w:val="0"/>
              <w:adjustRightInd w:val="0"/>
              <w:spacing w:before="0" w:after="0" w:line="240" w:lineRule="auto"/>
              <w:jc w:val="center"/>
              <w:rPr>
                <w:rFonts w:cs="Arial"/>
                <w:color w:val="000000"/>
                <w:sz w:val="14"/>
                <w:szCs w:val="14"/>
              </w:rPr>
            </w:pPr>
          </w:p>
        </w:tc>
      </w:tr>
      <w:tr w:rsidR="00116EE5" w:rsidRPr="00787196" w14:paraId="0225B1C0" w14:textId="77777777" w:rsidTr="00C30EAE">
        <w:trPr>
          <w:trHeight w:val="832"/>
        </w:trPr>
        <w:tc>
          <w:tcPr>
            <w:tcW w:w="3708" w:type="dxa"/>
            <w:vMerge/>
            <w:tcBorders>
              <w:left w:val="single" w:sz="8" w:space="0" w:color="000000"/>
              <w:right w:val="single" w:sz="8" w:space="0" w:color="000000"/>
            </w:tcBorders>
            <w:shd w:val="clear" w:color="auto" w:fill="FFFFFF"/>
            <w:vAlign w:val="center"/>
          </w:tcPr>
          <w:p w14:paraId="2C56BA50" w14:textId="77777777" w:rsidR="00116EE5" w:rsidRPr="00787196" w:rsidRDefault="00116EE5"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right w:val="single" w:sz="8" w:space="0" w:color="auto"/>
            </w:tcBorders>
            <w:shd w:val="clear" w:color="auto" w:fill="FFFFFF"/>
            <w:vAlign w:val="center"/>
          </w:tcPr>
          <w:p w14:paraId="16366B4D" w14:textId="7E195119" w:rsidR="00116EE5" w:rsidRPr="00787196" w:rsidRDefault="00D07151" w:rsidP="00C85338">
            <w:pPr>
              <w:autoSpaceDE w:val="0"/>
              <w:autoSpaceDN w:val="0"/>
              <w:adjustRightInd w:val="0"/>
              <w:spacing w:before="0" w:after="0" w:line="240" w:lineRule="auto"/>
              <w:jc w:val="center"/>
              <w:rPr>
                <w:rFonts w:cs="Arial"/>
                <w:color w:val="000000"/>
                <w:sz w:val="14"/>
                <w:szCs w:val="14"/>
              </w:rPr>
            </w:pPr>
            <w:r w:rsidRPr="00787196">
              <w:rPr>
                <w:rFonts w:cs="Arial"/>
                <w:noProof/>
                <w:color w:val="000000"/>
                <w:sz w:val="20"/>
                <w:szCs w:val="20"/>
              </w:rPr>
              <mc:AlternateContent>
                <mc:Choice Requires="wps">
                  <w:drawing>
                    <wp:anchor distT="0" distB="0" distL="114300" distR="114300" simplePos="0" relativeHeight="251646464" behindDoc="0" locked="0" layoutInCell="1" allowOverlap="1" wp14:anchorId="2C4923E5" wp14:editId="05D7057E">
                      <wp:simplePos x="0" y="0"/>
                      <wp:positionH relativeFrom="column">
                        <wp:posOffset>-54610</wp:posOffset>
                      </wp:positionH>
                      <wp:positionV relativeFrom="paragraph">
                        <wp:posOffset>55245</wp:posOffset>
                      </wp:positionV>
                      <wp:extent cx="1405255" cy="0"/>
                      <wp:effectExtent l="0" t="76200" r="23495" b="95250"/>
                      <wp:wrapNone/>
                      <wp:docPr id="256" name="Straight Arrow Connector 256"/>
                      <wp:cNvGraphicFramePr/>
                      <a:graphic xmlns:a="http://schemas.openxmlformats.org/drawingml/2006/main">
                        <a:graphicData uri="http://schemas.microsoft.com/office/word/2010/wordprocessingShape">
                          <wps:wsp>
                            <wps:cNvCnPr/>
                            <wps:spPr>
                              <a:xfrm>
                                <a:off x="0" y="0"/>
                                <a:ext cx="14052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F8F47B" id="Straight Arrow Connector 256" o:spid="_x0000_s1026" type="#_x0000_t32" style="position:absolute;margin-left:-4.3pt;margin-top:4.35pt;width:110.6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" strokecolor="windowText" strokeweight=".5pt">
                      <v:stroke endarrow="block" joinstyle="miter"/>
                    </v:shape>
                  </w:pict>
                </mc:Fallback>
              </mc:AlternateContent>
            </w:r>
          </w:p>
        </w:tc>
        <w:tc>
          <w:tcPr>
            <w:tcW w:w="2291" w:type="dxa"/>
            <w:tcBorders>
              <w:top w:val="single" w:sz="8" w:space="0" w:color="auto"/>
              <w:left w:val="single" w:sz="8" w:space="0" w:color="auto"/>
              <w:right w:val="single" w:sz="8" w:space="0" w:color="auto"/>
            </w:tcBorders>
            <w:shd w:val="clear" w:color="auto" w:fill="FFFFFF"/>
            <w:vAlign w:val="center"/>
          </w:tcPr>
          <w:p w14:paraId="40BF3374" w14:textId="3463EB61" w:rsidR="00116EE5" w:rsidRPr="00787196" w:rsidRDefault="00116EE5" w:rsidP="00C85338">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Adequate positive coping</w:t>
            </w:r>
          </w:p>
        </w:tc>
      </w:tr>
      <w:tr w:rsidR="00116EE5" w:rsidRPr="00787196" w14:paraId="45184418" w14:textId="77777777" w:rsidTr="00C30EAE">
        <w:trPr>
          <w:trHeight w:val="406"/>
        </w:trPr>
        <w:tc>
          <w:tcPr>
            <w:tcW w:w="3708" w:type="dxa"/>
            <w:vMerge/>
            <w:tcBorders>
              <w:left w:val="single" w:sz="8" w:space="0" w:color="000000"/>
              <w:bottom w:val="single" w:sz="8" w:space="0" w:color="000000"/>
              <w:right w:val="single" w:sz="8" w:space="0" w:color="000000"/>
            </w:tcBorders>
            <w:shd w:val="clear" w:color="auto" w:fill="FFFFFF"/>
            <w:vAlign w:val="center"/>
          </w:tcPr>
          <w:p w14:paraId="6EC83445" w14:textId="77777777" w:rsidR="00116EE5" w:rsidRPr="00787196" w:rsidRDefault="00116EE5"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bottom w:val="nil"/>
            </w:tcBorders>
            <w:shd w:val="clear" w:color="auto" w:fill="FFFFFF"/>
            <w:vAlign w:val="center"/>
          </w:tcPr>
          <w:p w14:paraId="118A21CC" w14:textId="77777777" w:rsidR="00116EE5" w:rsidRPr="00787196" w:rsidRDefault="00116EE5" w:rsidP="00C85338">
            <w:pPr>
              <w:autoSpaceDE w:val="0"/>
              <w:autoSpaceDN w:val="0"/>
              <w:adjustRightInd w:val="0"/>
              <w:spacing w:before="0" w:after="0" w:line="240" w:lineRule="auto"/>
              <w:jc w:val="center"/>
              <w:rPr>
                <w:rFonts w:cs="Arial"/>
                <w:color w:val="000000"/>
                <w:sz w:val="14"/>
                <w:szCs w:val="14"/>
              </w:rPr>
            </w:pPr>
          </w:p>
        </w:tc>
        <w:tc>
          <w:tcPr>
            <w:tcW w:w="2291" w:type="dxa"/>
            <w:tcBorders>
              <w:top w:val="single" w:sz="8" w:space="0" w:color="auto"/>
              <w:left w:val="nil"/>
              <w:bottom w:val="nil"/>
              <w:right w:val="nil"/>
            </w:tcBorders>
            <w:shd w:val="clear" w:color="auto" w:fill="FFFFFF"/>
            <w:vAlign w:val="center"/>
          </w:tcPr>
          <w:p w14:paraId="7B3F43C8" w14:textId="77777777" w:rsidR="00116EE5" w:rsidRPr="00787196" w:rsidRDefault="00116EE5" w:rsidP="00C85338">
            <w:pPr>
              <w:autoSpaceDE w:val="0"/>
              <w:autoSpaceDN w:val="0"/>
              <w:adjustRightInd w:val="0"/>
              <w:spacing w:before="0" w:after="0" w:line="240" w:lineRule="auto"/>
              <w:jc w:val="center"/>
              <w:rPr>
                <w:rFonts w:cs="Arial"/>
                <w:color w:val="000000"/>
                <w:sz w:val="14"/>
                <w:szCs w:val="14"/>
              </w:rPr>
            </w:pPr>
          </w:p>
        </w:tc>
      </w:tr>
      <w:tr w:rsidR="002850E3" w:rsidRPr="00787196" w14:paraId="50C390C8" w14:textId="77777777" w:rsidTr="00C30EAE">
        <w:trPr>
          <w:trHeight w:val="406"/>
        </w:trPr>
        <w:tc>
          <w:tcPr>
            <w:tcW w:w="3708" w:type="dxa"/>
            <w:tcBorders>
              <w:top w:val="single" w:sz="8" w:space="0" w:color="000000"/>
              <w:left w:val="nil"/>
              <w:bottom w:val="nil"/>
              <w:right w:val="nil"/>
            </w:tcBorders>
            <w:shd w:val="clear" w:color="auto" w:fill="FFFFFF"/>
            <w:vAlign w:val="center"/>
          </w:tcPr>
          <w:p w14:paraId="4EF9310C" w14:textId="77777777" w:rsidR="002850E3" w:rsidRPr="00787196" w:rsidRDefault="002850E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48DB7B84"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271E4ED9"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2850E3" w:rsidRPr="00787196" w14:paraId="61818AF6" w14:textId="77777777" w:rsidTr="00C30EAE">
        <w:trPr>
          <w:trHeight w:val="406"/>
        </w:trPr>
        <w:tc>
          <w:tcPr>
            <w:tcW w:w="3708" w:type="dxa"/>
            <w:tcBorders>
              <w:top w:val="nil"/>
              <w:left w:val="nil"/>
              <w:bottom w:val="single" w:sz="8" w:space="0" w:color="000000"/>
              <w:right w:val="nil"/>
            </w:tcBorders>
            <w:shd w:val="clear" w:color="auto" w:fill="FFFFFF"/>
            <w:vAlign w:val="center"/>
          </w:tcPr>
          <w:p w14:paraId="066C740C" w14:textId="77777777" w:rsidR="002850E3" w:rsidRPr="00787196" w:rsidRDefault="002850E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09ACAB55"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40358D7B"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E15FB3" w:rsidRPr="00787196" w14:paraId="55071BBD" w14:textId="77777777" w:rsidTr="00C30EAE">
        <w:trPr>
          <w:trHeight w:val="406"/>
        </w:trPr>
        <w:tc>
          <w:tcPr>
            <w:tcW w:w="3708" w:type="dxa"/>
            <w:vMerge w:val="restart"/>
            <w:tcBorders>
              <w:top w:val="single" w:sz="8" w:space="0" w:color="000000"/>
              <w:left w:val="single" w:sz="8" w:space="0" w:color="000000"/>
              <w:right w:val="single" w:sz="8" w:space="0" w:color="000000"/>
            </w:tcBorders>
            <w:shd w:val="clear" w:color="auto" w:fill="FFFFFF"/>
            <w:vAlign w:val="center"/>
          </w:tcPr>
          <w:p w14:paraId="669D7B23" w14:textId="4C4C821C" w:rsidR="00E15FB3" w:rsidRPr="00787196" w:rsidRDefault="0068344C" w:rsidP="0068344C">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Self-blame coping**</w:t>
            </w:r>
          </w:p>
        </w:tc>
        <w:tc>
          <w:tcPr>
            <w:tcW w:w="2246" w:type="dxa"/>
            <w:tcBorders>
              <w:top w:val="nil"/>
              <w:left w:val="single" w:sz="8" w:space="0" w:color="000000"/>
              <w:bottom w:val="nil"/>
            </w:tcBorders>
            <w:shd w:val="clear" w:color="auto" w:fill="FFFFFF"/>
            <w:vAlign w:val="center"/>
          </w:tcPr>
          <w:p w14:paraId="4289E573" w14:textId="77777777" w:rsidR="00E15FB3" w:rsidRPr="00787196" w:rsidRDefault="00E15FB3"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single" w:sz="8" w:space="0" w:color="auto"/>
              <w:right w:val="nil"/>
            </w:tcBorders>
            <w:shd w:val="clear" w:color="auto" w:fill="FFFFFF"/>
            <w:vAlign w:val="center"/>
          </w:tcPr>
          <w:p w14:paraId="3F3450A8" w14:textId="77777777" w:rsidR="00E15FB3" w:rsidRPr="00787196" w:rsidRDefault="00E15FB3" w:rsidP="00C85338">
            <w:pPr>
              <w:autoSpaceDE w:val="0"/>
              <w:autoSpaceDN w:val="0"/>
              <w:adjustRightInd w:val="0"/>
              <w:spacing w:before="0" w:after="0" w:line="240" w:lineRule="auto"/>
              <w:jc w:val="center"/>
              <w:rPr>
                <w:rFonts w:cs="Arial"/>
                <w:color w:val="000000"/>
                <w:sz w:val="14"/>
                <w:szCs w:val="14"/>
              </w:rPr>
            </w:pPr>
          </w:p>
        </w:tc>
      </w:tr>
      <w:tr w:rsidR="00E15FB3" w:rsidRPr="00787196" w14:paraId="478862BE" w14:textId="77777777" w:rsidTr="00C30EAE">
        <w:trPr>
          <w:trHeight w:val="832"/>
        </w:trPr>
        <w:tc>
          <w:tcPr>
            <w:tcW w:w="3708" w:type="dxa"/>
            <w:vMerge/>
            <w:tcBorders>
              <w:left w:val="single" w:sz="8" w:space="0" w:color="000000"/>
              <w:right w:val="single" w:sz="8" w:space="0" w:color="000000"/>
            </w:tcBorders>
            <w:shd w:val="clear" w:color="auto" w:fill="FFFFFF"/>
            <w:vAlign w:val="center"/>
          </w:tcPr>
          <w:p w14:paraId="0CC01248" w14:textId="77777777" w:rsidR="00E15FB3" w:rsidRPr="00787196" w:rsidRDefault="00E15FB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right w:val="single" w:sz="8" w:space="0" w:color="auto"/>
            </w:tcBorders>
            <w:shd w:val="clear" w:color="auto" w:fill="FFFFFF"/>
            <w:vAlign w:val="center"/>
          </w:tcPr>
          <w:p w14:paraId="3F8A07DB" w14:textId="2E28523A" w:rsidR="00E15FB3" w:rsidRPr="00787196" w:rsidRDefault="00D07151" w:rsidP="00C85338">
            <w:pPr>
              <w:autoSpaceDE w:val="0"/>
              <w:autoSpaceDN w:val="0"/>
              <w:adjustRightInd w:val="0"/>
              <w:spacing w:before="0" w:after="0" w:line="240" w:lineRule="auto"/>
              <w:jc w:val="center"/>
              <w:rPr>
                <w:rFonts w:cs="Arial"/>
                <w:color w:val="000000"/>
                <w:sz w:val="14"/>
                <w:szCs w:val="14"/>
              </w:rPr>
            </w:pPr>
            <w:r w:rsidRPr="00787196">
              <w:rPr>
                <w:rFonts w:cs="Arial"/>
                <w:noProof/>
                <w:color w:val="000000"/>
                <w:sz w:val="20"/>
                <w:szCs w:val="20"/>
              </w:rPr>
              <mc:AlternateContent>
                <mc:Choice Requires="wps">
                  <w:drawing>
                    <wp:anchor distT="0" distB="0" distL="114300" distR="114300" simplePos="0" relativeHeight="251645440" behindDoc="0" locked="0" layoutInCell="1" allowOverlap="1" wp14:anchorId="0438871F" wp14:editId="24FA5DC9">
                      <wp:simplePos x="0" y="0"/>
                      <wp:positionH relativeFrom="column">
                        <wp:posOffset>-83820</wp:posOffset>
                      </wp:positionH>
                      <wp:positionV relativeFrom="paragraph">
                        <wp:posOffset>85725</wp:posOffset>
                      </wp:positionV>
                      <wp:extent cx="1405255" cy="0"/>
                      <wp:effectExtent l="0" t="76200" r="23495" b="95250"/>
                      <wp:wrapNone/>
                      <wp:docPr id="255" name="Straight Arrow Connector 255"/>
                      <wp:cNvGraphicFramePr/>
                      <a:graphic xmlns:a="http://schemas.openxmlformats.org/drawingml/2006/main">
                        <a:graphicData uri="http://schemas.microsoft.com/office/word/2010/wordprocessingShape">
                          <wps:wsp>
                            <wps:cNvCnPr/>
                            <wps:spPr>
                              <a:xfrm>
                                <a:off x="0" y="0"/>
                                <a:ext cx="1405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26A73" id="Straight Arrow Connector 255" o:spid="_x0000_s1026" type="#_x0000_t32" style="position:absolute;margin-left:-6.6pt;margin-top:6.75pt;width:110.6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" strokecolor="black [3200]" strokeweight=".5pt">
                      <v:stroke endarrow="block" joinstyle="miter"/>
                    </v:shape>
                  </w:pict>
                </mc:Fallback>
              </mc:AlternateContent>
            </w:r>
          </w:p>
        </w:tc>
        <w:tc>
          <w:tcPr>
            <w:tcW w:w="2291" w:type="dxa"/>
            <w:tcBorders>
              <w:top w:val="single" w:sz="8" w:space="0" w:color="auto"/>
              <w:left w:val="single" w:sz="8" w:space="0" w:color="auto"/>
              <w:right w:val="single" w:sz="8" w:space="0" w:color="auto"/>
            </w:tcBorders>
            <w:shd w:val="clear" w:color="auto" w:fill="FFFFFF"/>
            <w:vAlign w:val="center"/>
          </w:tcPr>
          <w:p w14:paraId="2D5C4323" w14:textId="624BF19B" w:rsidR="00E15FB3" w:rsidRPr="00787196" w:rsidRDefault="00E15FB3" w:rsidP="00C85338">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Self-blame coping</w:t>
            </w:r>
          </w:p>
        </w:tc>
      </w:tr>
      <w:tr w:rsidR="00E15FB3" w:rsidRPr="00787196" w14:paraId="3D493D4D" w14:textId="77777777" w:rsidTr="00C30EAE">
        <w:trPr>
          <w:trHeight w:val="406"/>
        </w:trPr>
        <w:tc>
          <w:tcPr>
            <w:tcW w:w="3708" w:type="dxa"/>
            <w:vMerge/>
            <w:tcBorders>
              <w:left w:val="single" w:sz="8" w:space="0" w:color="000000"/>
              <w:bottom w:val="single" w:sz="8" w:space="0" w:color="000000"/>
              <w:right w:val="single" w:sz="8" w:space="0" w:color="000000"/>
            </w:tcBorders>
            <w:shd w:val="clear" w:color="auto" w:fill="FFFFFF"/>
            <w:vAlign w:val="center"/>
          </w:tcPr>
          <w:p w14:paraId="4CCCD277" w14:textId="77777777" w:rsidR="00E15FB3" w:rsidRPr="00787196" w:rsidRDefault="00E15FB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bottom w:val="nil"/>
            </w:tcBorders>
            <w:shd w:val="clear" w:color="auto" w:fill="FFFFFF"/>
            <w:vAlign w:val="center"/>
          </w:tcPr>
          <w:p w14:paraId="68B2F2B3" w14:textId="77777777" w:rsidR="00E15FB3" w:rsidRPr="00787196" w:rsidRDefault="00E15FB3" w:rsidP="00C85338">
            <w:pPr>
              <w:autoSpaceDE w:val="0"/>
              <w:autoSpaceDN w:val="0"/>
              <w:adjustRightInd w:val="0"/>
              <w:spacing w:before="0" w:after="0" w:line="240" w:lineRule="auto"/>
              <w:jc w:val="center"/>
              <w:rPr>
                <w:rFonts w:cs="Arial"/>
                <w:color w:val="000000"/>
                <w:sz w:val="14"/>
                <w:szCs w:val="14"/>
              </w:rPr>
            </w:pPr>
          </w:p>
        </w:tc>
        <w:tc>
          <w:tcPr>
            <w:tcW w:w="2291" w:type="dxa"/>
            <w:tcBorders>
              <w:top w:val="single" w:sz="8" w:space="0" w:color="auto"/>
              <w:left w:val="nil"/>
              <w:bottom w:val="nil"/>
              <w:right w:val="nil"/>
            </w:tcBorders>
            <w:shd w:val="clear" w:color="auto" w:fill="FFFFFF"/>
            <w:vAlign w:val="center"/>
          </w:tcPr>
          <w:p w14:paraId="3415A434" w14:textId="77777777" w:rsidR="00E15FB3" w:rsidRPr="00787196" w:rsidRDefault="00E15FB3" w:rsidP="00C85338">
            <w:pPr>
              <w:autoSpaceDE w:val="0"/>
              <w:autoSpaceDN w:val="0"/>
              <w:adjustRightInd w:val="0"/>
              <w:spacing w:before="0" w:after="0" w:line="240" w:lineRule="auto"/>
              <w:jc w:val="center"/>
              <w:rPr>
                <w:rFonts w:cs="Arial"/>
                <w:color w:val="000000"/>
                <w:sz w:val="14"/>
                <w:szCs w:val="14"/>
              </w:rPr>
            </w:pPr>
          </w:p>
        </w:tc>
      </w:tr>
      <w:tr w:rsidR="002850E3" w:rsidRPr="00787196" w14:paraId="30222DE0" w14:textId="77777777" w:rsidTr="00C30EAE">
        <w:trPr>
          <w:trHeight w:val="406"/>
        </w:trPr>
        <w:tc>
          <w:tcPr>
            <w:tcW w:w="3708" w:type="dxa"/>
            <w:tcBorders>
              <w:top w:val="single" w:sz="8" w:space="0" w:color="000000"/>
              <w:left w:val="nil"/>
              <w:bottom w:val="nil"/>
              <w:right w:val="nil"/>
            </w:tcBorders>
            <w:shd w:val="clear" w:color="auto" w:fill="FFFFFF"/>
            <w:vAlign w:val="center"/>
          </w:tcPr>
          <w:p w14:paraId="3DC187B8" w14:textId="77777777" w:rsidR="002850E3" w:rsidRPr="00787196" w:rsidRDefault="002850E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44806207"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0C3D8BA0"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2850E3" w:rsidRPr="00787196" w14:paraId="5BAF13F5" w14:textId="77777777" w:rsidTr="00C30EAE">
        <w:trPr>
          <w:trHeight w:val="406"/>
        </w:trPr>
        <w:tc>
          <w:tcPr>
            <w:tcW w:w="3708" w:type="dxa"/>
            <w:tcBorders>
              <w:top w:val="nil"/>
              <w:left w:val="nil"/>
              <w:bottom w:val="single" w:sz="8" w:space="0" w:color="000000"/>
              <w:right w:val="nil"/>
            </w:tcBorders>
            <w:shd w:val="clear" w:color="auto" w:fill="FFFFFF"/>
            <w:vAlign w:val="center"/>
          </w:tcPr>
          <w:p w14:paraId="725EC91C" w14:textId="77777777" w:rsidR="002850E3" w:rsidRPr="00787196" w:rsidRDefault="002850E3"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nil"/>
              <w:bottom w:val="nil"/>
            </w:tcBorders>
            <w:shd w:val="clear" w:color="auto" w:fill="FFFFFF"/>
            <w:vAlign w:val="center"/>
          </w:tcPr>
          <w:p w14:paraId="39562BD6"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nil"/>
              <w:right w:val="nil"/>
            </w:tcBorders>
            <w:shd w:val="clear" w:color="auto" w:fill="FFFFFF"/>
            <w:vAlign w:val="center"/>
          </w:tcPr>
          <w:p w14:paraId="39DC838A" w14:textId="77777777" w:rsidR="002850E3" w:rsidRPr="00787196" w:rsidRDefault="002850E3" w:rsidP="00C85338">
            <w:pPr>
              <w:autoSpaceDE w:val="0"/>
              <w:autoSpaceDN w:val="0"/>
              <w:adjustRightInd w:val="0"/>
              <w:spacing w:before="0" w:after="0" w:line="240" w:lineRule="auto"/>
              <w:jc w:val="center"/>
              <w:rPr>
                <w:rFonts w:cs="Arial"/>
                <w:color w:val="000000"/>
                <w:sz w:val="14"/>
                <w:szCs w:val="14"/>
              </w:rPr>
            </w:pPr>
          </w:p>
        </w:tc>
      </w:tr>
      <w:tr w:rsidR="0068344C" w:rsidRPr="00787196" w14:paraId="2FCB66ED" w14:textId="77777777" w:rsidTr="00C30EAE">
        <w:trPr>
          <w:trHeight w:val="406"/>
        </w:trPr>
        <w:tc>
          <w:tcPr>
            <w:tcW w:w="3708" w:type="dxa"/>
            <w:vMerge w:val="restart"/>
            <w:tcBorders>
              <w:top w:val="single" w:sz="8" w:space="0" w:color="000000"/>
              <w:left w:val="single" w:sz="8" w:space="0" w:color="000000"/>
              <w:right w:val="single" w:sz="8" w:space="0" w:color="000000"/>
            </w:tcBorders>
            <w:shd w:val="clear" w:color="auto" w:fill="FFFFFF"/>
            <w:vAlign w:val="center"/>
          </w:tcPr>
          <w:p w14:paraId="5580DB35" w14:textId="55755480" w:rsidR="0068344C" w:rsidRPr="00787196" w:rsidRDefault="0068344C" w:rsidP="00C85338">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Religion**, Occupation*</w:t>
            </w:r>
          </w:p>
        </w:tc>
        <w:tc>
          <w:tcPr>
            <w:tcW w:w="2246" w:type="dxa"/>
            <w:tcBorders>
              <w:top w:val="nil"/>
              <w:left w:val="single" w:sz="8" w:space="0" w:color="000000"/>
              <w:bottom w:val="nil"/>
            </w:tcBorders>
            <w:shd w:val="clear" w:color="auto" w:fill="FFFFFF"/>
            <w:vAlign w:val="center"/>
          </w:tcPr>
          <w:p w14:paraId="4B6662DC" w14:textId="77777777" w:rsidR="0068344C" w:rsidRPr="00787196" w:rsidRDefault="0068344C" w:rsidP="00C85338">
            <w:pPr>
              <w:autoSpaceDE w:val="0"/>
              <w:autoSpaceDN w:val="0"/>
              <w:adjustRightInd w:val="0"/>
              <w:spacing w:before="0" w:after="0" w:line="240" w:lineRule="auto"/>
              <w:jc w:val="center"/>
              <w:rPr>
                <w:rFonts w:cs="Arial"/>
                <w:color w:val="000000"/>
                <w:sz w:val="14"/>
                <w:szCs w:val="14"/>
              </w:rPr>
            </w:pPr>
          </w:p>
        </w:tc>
        <w:tc>
          <w:tcPr>
            <w:tcW w:w="2291" w:type="dxa"/>
            <w:tcBorders>
              <w:top w:val="nil"/>
              <w:left w:val="nil"/>
              <w:bottom w:val="single" w:sz="8" w:space="0" w:color="auto"/>
              <w:right w:val="nil"/>
            </w:tcBorders>
            <w:shd w:val="clear" w:color="auto" w:fill="FFFFFF"/>
            <w:vAlign w:val="center"/>
          </w:tcPr>
          <w:p w14:paraId="31EB6D43" w14:textId="77777777" w:rsidR="0068344C" w:rsidRPr="00787196" w:rsidRDefault="0068344C" w:rsidP="00C85338">
            <w:pPr>
              <w:autoSpaceDE w:val="0"/>
              <w:autoSpaceDN w:val="0"/>
              <w:adjustRightInd w:val="0"/>
              <w:spacing w:before="0" w:after="0" w:line="240" w:lineRule="auto"/>
              <w:jc w:val="center"/>
              <w:rPr>
                <w:rFonts w:cs="Arial"/>
                <w:color w:val="000000"/>
                <w:sz w:val="14"/>
                <w:szCs w:val="14"/>
              </w:rPr>
            </w:pPr>
          </w:p>
        </w:tc>
      </w:tr>
      <w:tr w:rsidR="0068344C" w:rsidRPr="00787196" w14:paraId="60F926BC" w14:textId="77777777" w:rsidTr="00C30EAE">
        <w:trPr>
          <w:trHeight w:val="832"/>
        </w:trPr>
        <w:tc>
          <w:tcPr>
            <w:tcW w:w="3708" w:type="dxa"/>
            <w:vMerge/>
            <w:tcBorders>
              <w:left w:val="single" w:sz="8" w:space="0" w:color="000000"/>
              <w:bottom w:val="nil"/>
              <w:right w:val="single" w:sz="8" w:space="0" w:color="000000"/>
            </w:tcBorders>
            <w:shd w:val="clear" w:color="auto" w:fill="FFFFFF"/>
            <w:vAlign w:val="center"/>
          </w:tcPr>
          <w:p w14:paraId="293865CB" w14:textId="77777777" w:rsidR="0068344C" w:rsidRPr="00787196" w:rsidRDefault="0068344C"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bottom w:val="nil"/>
              <w:right w:val="single" w:sz="8" w:space="0" w:color="auto"/>
            </w:tcBorders>
            <w:shd w:val="clear" w:color="auto" w:fill="FFFFFF"/>
            <w:vAlign w:val="center"/>
          </w:tcPr>
          <w:p w14:paraId="73A5F276" w14:textId="11378C1E" w:rsidR="0068344C" w:rsidRPr="00787196" w:rsidRDefault="0068344C" w:rsidP="00C85338">
            <w:pPr>
              <w:autoSpaceDE w:val="0"/>
              <w:autoSpaceDN w:val="0"/>
              <w:adjustRightInd w:val="0"/>
              <w:spacing w:before="0" w:after="0" w:line="240" w:lineRule="auto"/>
              <w:jc w:val="center"/>
              <w:rPr>
                <w:rFonts w:cs="Arial"/>
                <w:color w:val="000000"/>
                <w:sz w:val="14"/>
                <w:szCs w:val="14"/>
              </w:rPr>
            </w:pPr>
            <w:r w:rsidRPr="00787196">
              <w:rPr>
                <w:rFonts w:cs="Arial"/>
                <w:noProof/>
                <w:color w:val="000000"/>
                <w:sz w:val="20"/>
                <w:szCs w:val="20"/>
              </w:rPr>
              <mc:AlternateContent>
                <mc:Choice Requires="wps">
                  <w:drawing>
                    <wp:anchor distT="0" distB="0" distL="114300" distR="114300" simplePos="0" relativeHeight="251644416" behindDoc="0" locked="0" layoutInCell="1" allowOverlap="1" wp14:anchorId="04DAF6C2" wp14:editId="33ECA589">
                      <wp:simplePos x="0" y="0"/>
                      <wp:positionH relativeFrom="column">
                        <wp:posOffset>-56515</wp:posOffset>
                      </wp:positionH>
                      <wp:positionV relativeFrom="page">
                        <wp:posOffset>119380</wp:posOffset>
                      </wp:positionV>
                      <wp:extent cx="1377950" cy="0"/>
                      <wp:effectExtent l="0" t="76200" r="12700" b="95250"/>
                      <wp:wrapNone/>
                      <wp:docPr id="251" name="Straight Arrow Connector 251"/>
                      <wp:cNvGraphicFramePr/>
                      <a:graphic xmlns:a="http://schemas.openxmlformats.org/drawingml/2006/main">
                        <a:graphicData uri="http://schemas.microsoft.com/office/word/2010/wordprocessingShape">
                          <wps:wsp>
                            <wps:cNvCnPr/>
                            <wps:spPr>
                              <a:xfrm>
                                <a:off x="0" y="0"/>
                                <a:ext cx="1377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2916B" id="Straight Arrow Connector 251" o:spid="_x0000_s1026" type="#_x0000_t32" style="position:absolute;margin-left:-4.45pt;margin-top:9.4pt;width:108.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" strokecolor="black [3200]" strokeweight=".5pt">
                      <v:stroke endarrow="block" joinstyle="miter"/>
                      <w10:wrap anchory="page"/>
                    </v:shape>
                  </w:pict>
                </mc:Fallback>
              </mc:AlternateContent>
            </w:r>
          </w:p>
        </w:tc>
        <w:tc>
          <w:tcPr>
            <w:tcW w:w="2291" w:type="dxa"/>
            <w:tcBorders>
              <w:top w:val="single" w:sz="8" w:space="0" w:color="auto"/>
              <w:left w:val="single" w:sz="8" w:space="0" w:color="auto"/>
              <w:bottom w:val="single" w:sz="8" w:space="0" w:color="auto"/>
              <w:right w:val="single" w:sz="8" w:space="0" w:color="auto"/>
            </w:tcBorders>
            <w:shd w:val="clear" w:color="auto" w:fill="FFFFFF"/>
            <w:vAlign w:val="center"/>
          </w:tcPr>
          <w:p w14:paraId="40539147" w14:textId="2DB03A15" w:rsidR="0068344C" w:rsidRPr="00787196" w:rsidRDefault="0068344C" w:rsidP="00C85338">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Religion</w:t>
            </w:r>
          </w:p>
        </w:tc>
      </w:tr>
      <w:tr w:rsidR="0068344C" w:rsidRPr="00787196" w14:paraId="235F2640" w14:textId="77777777" w:rsidTr="00C30EAE">
        <w:trPr>
          <w:trHeight w:val="406"/>
        </w:trPr>
        <w:tc>
          <w:tcPr>
            <w:tcW w:w="3708" w:type="dxa"/>
            <w:vMerge/>
            <w:tcBorders>
              <w:left w:val="single" w:sz="8" w:space="0" w:color="000000"/>
              <w:bottom w:val="single" w:sz="8" w:space="0" w:color="000000"/>
              <w:right w:val="single" w:sz="8" w:space="0" w:color="000000"/>
            </w:tcBorders>
            <w:shd w:val="clear" w:color="auto" w:fill="FFFFFF"/>
            <w:vAlign w:val="center"/>
          </w:tcPr>
          <w:p w14:paraId="06ADD977" w14:textId="77777777" w:rsidR="0068344C" w:rsidRPr="00787196" w:rsidRDefault="0068344C" w:rsidP="00C85338">
            <w:pPr>
              <w:autoSpaceDE w:val="0"/>
              <w:autoSpaceDN w:val="0"/>
              <w:adjustRightInd w:val="0"/>
              <w:spacing w:before="0" w:after="0" w:line="240" w:lineRule="auto"/>
              <w:ind w:left="142"/>
              <w:jc w:val="center"/>
              <w:rPr>
                <w:rFonts w:cs="Arial"/>
                <w:color w:val="000000"/>
                <w:sz w:val="14"/>
                <w:szCs w:val="14"/>
              </w:rPr>
            </w:pPr>
          </w:p>
        </w:tc>
        <w:tc>
          <w:tcPr>
            <w:tcW w:w="2246" w:type="dxa"/>
            <w:tcBorders>
              <w:top w:val="nil"/>
              <w:left w:val="single" w:sz="8" w:space="0" w:color="000000"/>
              <w:bottom w:val="nil"/>
            </w:tcBorders>
            <w:shd w:val="clear" w:color="auto" w:fill="FFFFFF"/>
            <w:vAlign w:val="center"/>
          </w:tcPr>
          <w:p w14:paraId="567C55FD" w14:textId="77777777" w:rsidR="0068344C" w:rsidRPr="00787196" w:rsidRDefault="0068344C" w:rsidP="00C85338">
            <w:pPr>
              <w:autoSpaceDE w:val="0"/>
              <w:autoSpaceDN w:val="0"/>
              <w:adjustRightInd w:val="0"/>
              <w:spacing w:before="0" w:after="0" w:line="240" w:lineRule="auto"/>
              <w:jc w:val="center"/>
              <w:rPr>
                <w:rFonts w:cs="Arial"/>
                <w:color w:val="000000"/>
                <w:sz w:val="14"/>
                <w:szCs w:val="14"/>
              </w:rPr>
            </w:pPr>
          </w:p>
        </w:tc>
        <w:tc>
          <w:tcPr>
            <w:tcW w:w="2291" w:type="dxa"/>
            <w:tcBorders>
              <w:top w:val="single" w:sz="8" w:space="0" w:color="auto"/>
              <w:left w:val="nil"/>
              <w:bottom w:val="nil"/>
              <w:right w:val="nil"/>
            </w:tcBorders>
            <w:shd w:val="clear" w:color="auto" w:fill="FFFFFF"/>
            <w:vAlign w:val="center"/>
          </w:tcPr>
          <w:p w14:paraId="7AFBA7BE" w14:textId="77777777" w:rsidR="0068344C" w:rsidRPr="00787196" w:rsidRDefault="0068344C" w:rsidP="00C85338">
            <w:pPr>
              <w:autoSpaceDE w:val="0"/>
              <w:autoSpaceDN w:val="0"/>
              <w:adjustRightInd w:val="0"/>
              <w:spacing w:before="0" w:after="0" w:line="240" w:lineRule="auto"/>
              <w:jc w:val="center"/>
              <w:rPr>
                <w:rFonts w:cs="Arial"/>
                <w:color w:val="000000"/>
                <w:sz w:val="14"/>
                <w:szCs w:val="14"/>
              </w:rPr>
            </w:pPr>
          </w:p>
        </w:tc>
      </w:tr>
    </w:tbl>
    <w:p w14:paraId="05017330" w14:textId="77777777" w:rsidR="006E67C3" w:rsidRPr="00787196" w:rsidRDefault="006E67C3" w:rsidP="00D87AB0">
      <w:pPr>
        <w:spacing w:before="0" w:after="0" w:line="240" w:lineRule="auto"/>
        <w:rPr>
          <w:i/>
          <w:iCs/>
          <w:sz w:val="18"/>
          <w:szCs w:val="16"/>
        </w:rPr>
      </w:pPr>
    </w:p>
    <w:p w14:paraId="19F44BD0" w14:textId="77777777" w:rsidR="00AE49EF" w:rsidRPr="00787196" w:rsidRDefault="00AE49EF" w:rsidP="00D87AB0">
      <w:pPr>
        <w:spacing w:before="0" w:after="0" w:line="240" w:lineRule="auto"/>
        <w:rPr>
          <w:i/>
          <w:iCs/>
          <w:sz w:val="18"/>
          <w:szCs w:val="16"/>
        </w:rPr>
      </w:pPr>
      <w:r w:rsidRPr="00787196">
        <w:rPr>
          <w:i/>
          <w:iCs/>
          <w:sz w:val="18"/>
          <w:szCs w:val="16"/>
        </w:rPr>
        <w:t>**Correlation is significant at the 0.01 level (2-tailed)</w:t>
      </w:r>
    </w:p>
    <w:p w14:paraId="7ACF8389" w14:textId="05F622F2" w:rsidR="00595EDD" w:rsidRPr="00787196" w:rsidRDefault="00AE49EF" w:rsidP="00D87AB0">
      <w:pPr>
        <w:spacing w:before="0" w:after="0" w:line="240" w:lineRule="auto"/>
        <w:rPr>
          <w:i/>
          <w:iCs/>
          <w:sz w:val="20"/>
          <w:szCs w:val="18"/>
        </w:rPr>
      </w:pPr>
      <w:r w:rsidRPr="00787196">
        <w:rPr>
          <w:i/>
          <w:iCs/>
          <w:sz w:val="18"/>
          <w:szCs w:val="16"/>
        </w:rPr>
        <w:t>* Correlation is significant at the 0.05 level (2-tailed</w:t>
      </w:r>
      <w:r w:rsidRPr="00787196">
        <w:rPr>
          <w:i/>
          <w:iCs/>
          <w:sz w:val="20"/>
          <w:szCs w:val="18"/>
        </w:rPr>
        <w:t>)</w:t>
      </w:r>
    </w:p>
    <w:p w14:paraId="3CC09FFB" w14:textId="6E52A0E2" w:rsidR="00065D72" w:rsidRPr="00787196" w:rsidRDefault="00F0737C" w:rsidP="0059646B">
      <w:pPr>
        <w:spacing w:after="0"/>
        <w:rPr>
          <w:i/>
          <w:iCs/>
          <w:sz w:val="14"/>
          <w:szCs w:val="12"/>
        </w:rPr>
      </w:pPr>
      <w:r w:rsidRPr="00787196">
        <w:t>Although bivariate analyses showed significant associations between variables, they can be confounded by other factors. For example, number of occluding pairs of teeth is likely to be dependent o</w:t>
      </w:r>
      <w:r w:rsidR="00935BB5" w:rsidRPr="00787196">
        <w:t>n</w:t>
      </w:r>
      <w:r w:rsidRPr="00787196">
        <w:t xml:space="preserve"> the number of teeth. Therefore regression analyses were used to account for possible confounding </w:t>
      </w:r>
      <w:r w:rsidR="00595EDD" w:rsidRPr="00787196">
        <w:t>relationships between variables.</w:t>
      </w:r>
      <w:r w:rsidR="00595EDD" w:rsidRPr="00787196">
        <w:br w:type="page"/>
      </w:r>
    </w:p>
    <w:p w14:paraId="0619F5E7" w14:textId="26C6707E" w:rsidR="00113D9C" w:rsidRPr="00787196" w:rsidRDefault="00113D9C" w:rsidP="0059646B">
      <w:pPr>
        <w:pStyle w:val="Heading2"/>
        <w:spacing w:line="360" w:lineRule="auto"/>
      </w:pPr>
      <w:r w:rsidRPr="00787196">
        <w:lastRenderedPageBreak/>
        <w:t xml:space="preserve"> </w:t>
      </w:r>
      <w:bookmarkStart w:id="308" w:name="_Toc488655674"/>
      <w:r w:rsidRPr="00787196">
        <w:t xml:space="preserve">Multiple regression </w:t>
      </w:r>
      <w:r w:rsidR="004F119E" w:rsidRPr="00787196">
        <w:t>analysis</w:t>
      </w:r>
      <w:bookmarkEnd w:id="308"/>
    </w:p>
    <w:p w14:paraId="2594914A" w14:textId="33B58349" w:rsidR="005A0165" w:rsidRPr="00787196" w:rsidRDefault="005A0165" w:rsidP="001E2F1E">
      <w:pPr>
        <w:pStyle w:val="Heading3"/>
      </w:pPr>
      <w:bookmarkStart w:id="309" w:name="_Toc456211192"/>
      <w:bookmarkStart w:id="310" w:name="_Toc488655675"/>
      <w:r w:rsidRPr="00787196">
        <w:t>Regression analyses</w:t>
      </w:r>
      <w:r w:rsidR="00B66265" w:rsidRPr="00787196">
        <w:t xml:space="preserve">: </w:t>
      </w:r>
      <w:r w:rsidR="003035BE" w:rsidRPr="00787196">
        <w:t>B</w:t>
      </w:r>
      <w:r w:rsidR="00197B0B" w:rsidRPr="00787196">
        <w:t xml:space="preserve">aseline </w:t>
      </w:r>
      <w:r w:rsidR="003035BE" w:rsidRPr="00787196">
        <w:t xml:space="preserve">predictors of </w:t>
      </w:r>
      <w:r w:rsidR="001E2F1E" w:rsidRPr="00787196">
        <w:t>outcome variables at</w:t>
      </w:r>
      <w:r w:rsidRPr="00787196">
        <w:t xml:space="preserve"> follow-up</w:t>
      </w:r>
      <w:bookmarkEnd w:id="309"/>
      <w:r w:rsidR="001E2F1E" w:rsidRPr="00787196">
        <w:t xml:space="preserve"> (T2)</w:t>
      </w:r>
      <w:bookmarkEnd w:id="310"/>
      <w:r w:rsidRPr="00787196">
        <w:t xml:space="preserve"> </w:t>
      </w:r>
    </w:p>
    <w:p w14:paraId="5EFA01B7" w14:textId="46E79A23" w:rsidR="005A0165" w:rsidRPr="00787196" w:rsidRDefault="00ED4F0A" w:rsidP="00700E7B">
      <w:pPr>
        <w:spacing w:before="0"/>
      </w:pPr>
      <w:r w:rsidRPr="00787196">
        <w:t>A series of l</w:t>
      </w:r>
      <w:r w:rsidR="005A0165" w:rsidRPr="00787196">
        <w:t>agged analyses were carried out using forward step-wise multiple regression</w:t>
      </w:r>
      <w:r w:rsidRPr="00787196">
        <w:t xml:space="preserve"> model</w:t>
      </w:r>
      <w:r w:rsidR="005A0165" w:rsidRPr="00787196">
        <w:t>.</w:t>
      </w:r>
      <w:r w:rsidRPr="00787196">
        <w:t xml:space="preserve"> </w:t>
      </w:r>
      <w:r w:rsidR="004D0E98" w:rsidRPr="00787196">
        <w:t>V</w:t>
      </w:r>
      <w:r w:rsidR="005A0165" w:rsidRPr="00787196">
        <w:t xml:space="preserve">ariables </w:t>
      </w:r>
      <w:r w:rsidRPr="00787196">
        <w:t>having associations</w:t>
      </w:r>
      <w:r w:rsidR="005A0165" w:rsidRPr="00787196">
        <w:t xml:space="preserve"> with </w:t>
      </w:r>
      <w:r w:rsidRPr="00787196">
        <w:t xml:space="preserve">the </w:t>
      </w:r>
      <w:r w:rsidR="005A0165" w:rsidRPr="00787196">
        <w:t>follow-up variables</w:t>
      </w:r>
      <w:r w:rsidRPr="00787196">
        <w:t xml:space="preserve"> in the bivariate analyses (</w:t>
      </w:r>
      <w:r w:rsidR="005A0165" w:rsidRPr="00787196">
        <w:t xml:space="preserve">as summarised in </w:t>
      </w:r>
      <w:r w:rsidR="00CC574C" w:rsidRPr="00787196">
        <w:t>Figure 5-3</w:t>
      </w:r>
      <w:r w:rsidRPr="00787196">
        <w:t>) alone were</w:t>
      </w:r>
      <w:r w:rsidR="005A0165" w:rsidRPr="00787196">
        <w:t xml:space="preserve"> </w:t>
      </w:r>
      <w:r w:rsidR="00700E7B" w:rsidRPr="00787196">
        <w:t>tested</w:t>
      </w:r>
      <w:r w:rsidR="005A0165" w:rsidRPr="00787196">
        <w:t xml:space="preserve"> in the model</w:t>
      </w:r>
      <w:r w:rsidRPr="00787196">
        <w:t>.</w:t>
      </w:r>
    </w:p>
    <w:p w14:paraId="135F47A0" w14:textId="04CAACC4" w:rsidR="008E76F4" w:rsidRPr="00787196" w:rsidRDefault="008E76F4" w:rsidP="008E76F4">
      <w:pPr>
        <w:spacing w:before="0"/>
        <w:rPr>
          <w:szCs w:val="24"/>
        </w:rPr>
      </w:pPr>
      <w:r w:rsidRPr="00787196">
        <w:rPr>
          <w:szCs w:val="24"/>
        </w:rPr>
        <w:t xml:space="preserve">The best model for the baseline predictors of oral health related quality of life at follow up is presented in </w:t>
      </w:r>
      <w:r w:rsidR="00935BB5" w:rsidRPr="00787196">
        <w:rPr>
          <w:szCs w:val="24"/>
        </w:rPr>
        <w:t>Table 5-</w:t>
      </w:r>
      <w:r w:rsidRPr="00787196">
        <w:rPr>
          <w:szCs w:val="24"/>
        </w:rPr>
        <w:t>27. Individuals with high OHIP EDENT scores (low oral health related quality of life), fewer teeth and lower chewing ability at baseline had worse (higher OHIP 19 scores) OHQoL at follow-up. The model explained 15.5% of the variation in OHQoL scores. Number of occluding pairs, the prosthetic status (upper arch), prosthetic need (upper arch), denture satisfaction and chewing ability were excluded from the model after testing.</w:t>
      </w:r>
    </w:p>
    <w:p w14:paraId="1128E48B" w14:textId="7E66BC09" w:rsidR="00C04275" w:rsidRPr="00787196" w:rsidRDefault="009E3F5A" w:rsidP="00E73D53">
      <w:pPr>
        <w:pStyle w:val="Caption"/>
        <w:spacing w:after="0"/>
        <w:rPr>
          <w:b/>
          <w:bCs/>
          <w:i w:val="0"/>
          <w:iCs w:val="0"/>
          <w:color w:val="auto"/>
          <w:sz w:val="20"/>
          <w:szCs w:val="20"/>
        </w:rPr>
      </w:pPr>
      <w:bookmarkStart w:id="311" w:name="_Toc488655556"/>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27</w:t>
      </w:r>
      <w:r w:rsidR="000332A1" w:rsidRPr="00787196">
        <w:rPr>
          <w:b/>
          <w:bCs/>
          <w:i w:val="0"/>
          <w:iCs w:val="0"/>
          <w:color w:val="auto"/>
          <w:sz w:val="20"/>
          <w:szCs w:val="20"/>
        </w:rPr>
        <w:fldChar w:fldCharType="end"/>
      </w:r>
      <w:r w:rsidRPr="00787196">
        <w:rPr>
          <w:b/>
          <w:bCs/>
          <w:i w:val="0"/>
          <w:iCs w:val="0"/>
          <w:color w:val="auto"/>
          <w:sz w:val="20"/>
          <w:szCs w:val="20"/>
        </w:rPr>
        <w:t>. Stepwise forward multiple regression model for OHQoL at follow-up</w:t>
      </w:r>
      <w:r w:rsidR="00E73D53" w:rsidRPr="00787196">
        <w:rPr>
          <w:b/>
          <w:bCs/>
          <w:i w:val="0"/>
          <w:iCs w:val="0"/>
          <w:color w:val="auto"/>
          <w:sz w:val="20"/>
          <w:szCs w:val="20"/>
        </w:rPr>
        <w:t xml:space="preserve"> (T2)</w:t>
      </w:r>
      <w:bookmarkEnd w:id="311"/>
    </w:p>
    <w:tbl>
      <w:tblPr>
        <w:tblpPr w:leftFromText="180" w:rightFromText="180" w:vertAnchor="text" w:horzAnchor="margin" w:tblpY="108"/>
        <w:tblW w:w="0" w:type="auto"/>
        <w:tblBorders>
          <w:top w:val="single" w:sz="8" w:space="0" w:color="000000"/>
          <w:bottom w:val="single" w:sz="8" w:space="0" w:color="000000"/>
        </w:tblBorders>
        <w:tblLook w:val="04A0" w:firstRow="1" w:lastRow="0" w:firstColumn="1" w:lastColumn="0" w:noHBand="0" w:noVBand="1"/>
      </w:tblPr>
      <w:tblGrid>
        <w:gridCol w:w="2900"/>
        <w:gridCol w:w="1152"/>
        <w:gridCol w:w="951"/>
        <w:gridCol w:w="879"/>
        <w:gridCol w:w="1243"/>
        <w:gridCol w:w="1097"/>
      </w:tblGrid>
      <w:tr w:rsidR="00C04275" w:rsidRPr="00787196" w14:paraId="37235073" w14:textId="77777777" w:rsidTr="009E3F5A">
        <w:trPr>
          <w:trHeight w:val="689"/>
        </w:trPr>
        <w:tc>
          <w:tcPr>
            <w:tcW w:w="3147" w:type="dxa"/>
            <w:tcBorders>
              <w:top w:val="single" w:sz="8" w:space="0" w:color="000000"/>
              <w:bottom w:val="single" w:sz="8" w:space="0" w:color="000000"/>
            </w:tcBorders>
            <w:shd w:val="clear" w:color="auto" w:fill="FFFFFF"/>
            <w:vAlign w:val="center"/>
          </w:tcPr>
          <w:p w14:paraId="66197A19" w14:textId="7B9AE25E" w:rsidR="00C04275" w:rsidRPr="00787196" w:rsidRDefault="00C04275" w:rsidP="009E3F5A">
            <w:pPr>
              <w:autoSpaceDE w:val="0"/>
              <w:autoSpaceDN w:val="0"/>
              <w:adjustRightInd w:val="0"/>
              <w:spacing w:before="0" w:after="0" w:line="240" w:lineRule="auto"/>
              <w:rPr>
                <w:rFonts w:cs="Arial"/>
                <w:b/>
                <w:bCs/>
                <w:color w:val="000000"/>
                <w:szCs w:val="24"/>
              </w:rPr>
            </w:pPr>
            <w:r w:rsidRPr="00787196">
              <w:rPr>
                <w:rFonts w:cs="Arial"/>
                <w:b/>
                <w:bCs/>
                <w:color w:val="000000"/>
                <w:szCs w:val="24"/>
              </w:rPr>
              <w:t>Predictors</w:t>
            </w:r>
            <w:r w:rsidR="009E3F5A" w:rsidRPr="00787196">
              <w:rPr>
                <w:rFonts w:cs="Arial"/>
                <w:b/>
                <w:bCs/>
                <w:color w:val="000000"/>
                <w:szCs w:val="24"/>
              </w:rPr>
              <w:t xml:space="preserve"> of OHQoL at follow-up (T2)</w:t>
            </w:r>
          </w:p>
        </w:tc>
        <w:tc>
          <w:tcPr>
            <w:tcW w:w="1177" w:type="dxa"/>
            <w:tcBorders>
              <w:top w:val="single" w:sz="8" w:space="0" w:color="000000"/>
              <w:bottom w:val="single" w:sz="8" w:space="0" w:color="000000"/>
            </w:tcBorders>
            <w:shd w:val="clear" w:color="auto" w:fill="FFFFFF"/>
            <w:vAlign w:val="center"/>
          </w:tcPr>
          <w:p w14:paraId="7A6E0285" w14:textId="77777777"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color w:val="000000"/>
                <w:szCs w:val="24"/>
              </w:rPr>
              <w:t>β</w:t>
            </w:r>
          </w:p>
        </w:tc>
        <w:tc>
          <w:tcPr>
            <w:tcW w:w="951" w:type="dxa"/>
            <w:tcBorders>
              <w:top w:val="single" w:sz="8" w:space="0" w:color="000000"/>
              <w:bottom w:val="single" w:sz="8" w:space="0" w:color="000000"/>
            </w:tcBorders>
            <w:shd w:val="clear" w:color="auto" w:fill="FFFFFF"/>
            <w:vAlign w:val="center"/>
          </w:tcPr>
          <w:p w14:paraId="6963A8AB" w14:textId="77777777"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i/>
                <w:iCs/>
                <w:color w:val="000000"/>
                <w:szCs w:val="24"/>
              </w:rPr>
              <w:t>F</w:t>
            </w:r>
          </w:p>
        </w:tc>
        <w:tc>
          <w:tcPr>
            <w:tcW w:w="889" w:type="dxa"/>
            <w:tcBorders>
              <w:top w:val="single" w:sz="8" w:space="0" w:color="000000"/>
              <w:bottom w:val="single" w:sz="8" w:space="0" w:color="000000"/>
            </w:tcBorders>
            <w:shd w:val="clear" w:color="auto" w:fill="FFFFFF"/>
            <w:vAlign w:val="center"/>
          </w:tcPr>
          <w:p w14:paraId="2F4A87CE" w14:textId="77777777" w:rsidR="00C04275" w:rsidRPr="00787196" w:rsidRDefault="00C04275" w:rsidP="009E3F5A">
            <w:pPr>
              <w:autoSpaceDE w:val="0"/>
              <w:autoSpaceDN w:val="0"/>
              <w:adjustRightInd w:val="0"/>
              <w:spacing w:before="0" w:after="0" w:line="240" w:lineRule="auto"/>
              <w:jc w:val="center"/>
              <w:rPr>
                <w:rFonts w:cs="Arial"/>
                <w:b/>
                <w:bCs/>
                <w:color w:val="000000"/>
                <w:szCs w:val="24"/>
                <w:vertAlign w:val="superscript"/>
              </w:rPr>
            </w:pPr>
            <w:r w:rsidRPr="00787196">
              <w:rPr>
                <w:rFonts w:cs="Arial"/>
                <w:b/>
                <w:bCs/>
                <w:color w:val="000000"/>
                <w:szCs w:val="24"/>
              </w:rPr>
              <w:t>R</w:t>
            </w:r>
            <w:r w:rsidRPr="00787196">
              <w:rPr>
                <w:rFonts w:cs="Arial"/>
                <w:b/>
                <w:bCs/>
                <w:color w:val="000000"/>
                <w:szCs w:val="24"/>
                <w:vertAlign w:val="superscript"/>
              </w:rPr>
              <w:t>2</w:t>
            </w:r>
          </w:p>
        </w:tc>
        <w:tc>
          <w:tcPr>
            <w:tcW w:w="1243" w:type="dxa"/>
            <w:tcBorders>
              <w:top w:val="single" w:sz="8" w:space="0" w:color="000000"/>
              <w:bottom w:val="single" w:sz="8" w:space="0" w:color="000000"/>
            </w:tcBorders>
            <w:shd w:val="clear" w:color="auto" w:fill="FFFFFF"/>
            <w:vAlign w:val="center"/>
          </w:tcPr>
          <w:p w14:paraId="5948C1F3" w14:textId="5D06BE50"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color w:val="000000"/>
                <w:szCs w:val="24"/>
              </w:rPr>
              <w:t>R</w:t>
            </w:r>
            <w:r w:rsidRPr="00787196">
              <w:rPr>
                <w:rFonts w:cs="Arial"/>
                <w:b/>
                <w:bCs/>
                <w:color w:val="000000"/>
                <w:szCs w:val="24"/>
                <w:vertAlign w:val="superscript"/>
              </w:rPr>
              <w:t>2</w:t>
            </w:r>
          </w:p>
          <w:p w14:paraId="5745787E" w14:textId="77777777"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color w:val="000000"/>
                <w:szCs w:val="24"/>
              </w:rPr>
              <w:t>Adjusted</w:t>
            </w:r>
          </w:p>
        </w:tc>
        <w:tc>
          <w:tcPr>
            <w:tcW w:w="1097" w:type="dxa"/>
            <w:tcBorders>
              <w:top w:val="single" w:sz="8" w:space="0" w:color="000000"/>
              <w:bottom w:val="single" w:sz="8" w:space="0" w:color="000000"/>
            </w:tcBorders>
            <w:shd w:val="clear" w:color="auto" w:fill="FFFFFF"/>
            <w:vAlign w:val="center"/>
          </w:tcPr>
          <w:p w14:paraId="1F2C6539" w14:textId="66BFF15B"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color w:val="000000"/>
                <w:szCs w:val="24"/>
              </w:rPr>
              <w:t>R</w:t>
            </w:r>
            <w:r w:rsidRPr="00787196">
              <w:rPr>
                <w:rFonts w:cs="Arial"/>
                <w:b/>
                <w:bCs/>
                <w:color w:val="000000"/>
                <w:szCs w:val="24"/>
                <w:vertAlign w:val="superscript"/>
              </w:rPr>
              <w:t>2</w:t>
            </w:r>
          </w:p>
          <w:p w14:paraId="05340152" w14:textId="77777777" w:rsidR="00C04275" w:rsidRPr="00787196" w:rsidRDefault="00C04275" w:rsidP="009E3F5A">
            <w:pPr>
              <w:autoSpaceDE w:val="0"/>
              <w:autoSpaceDN w:val="0"/>
              <w:adjustRightInd w:val="0"/>
              <w:spacing w:before="0" w:after="0" w:line="240" w:lineRule="auto"/>
              <w:jc w:val="center"/>
              <w:rPr>
                <w:rFonts w:cs="Arial"/>
                <w:b/>
                <w:bCs/>
                <w:color w:val="000000"/>
                <w:szCs w:val="24"/>
              </w:rPr>
            </w:pPr>
            <w:r w:rsidRPr="00787196">
              <w:rPr>
                <w:rFonts w:cs="Arial"/>
                <w:b/>
                <w:bCs/>
                <w:color w:val="000000"/>
                <w:szCs w:val="24"/>
              </w:rPr>
              <w:t>Change</w:t>
            </w:r>
          </w:p>
        </w:tc>
      </w:tr>
      <w:tr w:rsidR="00C04275" w:rsidRPr="00787196" w14:paraId="573ECE26" w14:textId="77777777" w:rsidTr="009E3F5A">
        <w:trPr>
          <w:trHeight w:val="275"/>
        </w:trPr>
        <w:tc>
          <w:tcPr>
            <w:tcW w:w="3147" w:type="dxa"/>
            <w:shd w:val="clear" w:color="auto" w:fill="FFFFFF"/>
            <w:vAlign w:val="bottom"/>
          </w:tcPr>
          <w:p w14:paraId="60D22551" w14:textId="77777777" w:rsidR="00C04275" w:rsidRPr="00787196" w:rsidRDefault="00C04275" w:rsidP="009E3F5A">
            <w:pPr>
              <w:autoSpaceDE w:val="0"/>
              <w:autoSpaceDN w:val="0"/>
              <w:adjustRightInd w:val="0"/>
              <w:spacing w:before="0" w:after="0" w:line="240" w:lineRule="auto"/>
              <w:rPr>
                <w:rFonts w:cs="Arial"/>
                <w:b/>
                <w:bCs/>
                <w:color w:val="000000"/>
                <w:szCs w:val="24"/>
              </w:rPr>
            </w:pPr>
          </w:p>
        </w:tc>
        <w:tc>
          <w:tcPr>
            <w:tcW w:w="1177" w:type="dxa"/>
            <w:tcBorders>
              <w:left w:val="nil"/>
              <w:right w:val="nil"/>
            </w:tcBorders>
            <w:shd w:val="clear" w:color="auto" w:fill="FFFFFF"/>
            <w:vAlign w:val="center"/>
          </w:tcPr>
          <w:p w14:paraId="78EE7096"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951" w:type="dxa"/>
            <w:tcBorders>
              <w:left w:val="nil"/>
              <w:right w:val="nil"/>
            </w:tcBorders>
            <w:shd w:val="clear" w:color="auto" w:fill="FFFFFF"/>
          </w:tcPr>
          <w:p w14:paraId="6E62145D"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889" w:type="dxa"/>
            <w:tcBorders>
              <w:left w:val="nil"/>
              <w:right w:val="nil"/>
            </w:tcBorders>
            <w:shd w:val="clear" w:color="auto" w:fill="FFFFFF"/>
          </w:tcPr>
          <w:p w14:paraId="43B426F3"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1243" w:type="dxa"/>
            <w:tcBorders>
              <w:left w:val="nil"/>
              <w:right w:val="nil"/>
            </w:tcBorders>
            <w:shd w:val="clear" w:color="auto" w:fill="FFFFFF"/>
          </w:tcPr>
          <w:p w14:paraId="71471928"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1097" w:type="dxa"/>
            <w:tcBorders>
              <w:left w:val="nil"/>
              <w:right w:val="nil"/>
            </w:tcBorders>
            <w:shd w:val="clear" w:color="auto" w:fill="FFFFFF"/>
          </w:tcPr>
          <w:p w14:paraId="4F9D0E6A"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r>
      <w:tr w:rsidR="00C04275" w:rsidRPr="00787196" w14:paraId="555C5BC6" w14:textId="77777777" w:rsidTr="009E3F5A">
        <w:trPr>
          <w:trHeight w:val="275"/>
        </w:trPr>
        <w:tc>
          <w:tcPr>
            <w:tcW w:w="3147" w:type="dxa"/>
            <w:shd w:val="clear" w:color="auto" w:fill="FFFFFF"/>
            <w:vAlign w:val="bottom"/>
          </w:tcPr>
          <w:p w14:paraId="1F777940" w14:textId="3B0BF111" w:rsidR="00C04275" w:rsidRPr="00787196" w:rsidRDefault="0073594D" w:rsidP="00E265DF">
            <w:pPr>
              <w:autoSpaceDE w:val="0"/>
              <w:autoSpaceDN w:val="0"/>
              <w:adjustRightInd w:val="0"/>
              <w:spacing w:before="0" w:after="0" w:line="240" w:lineRule="auto"/>
              <w:jc w:val="left"/>
              <w:rPr>
                <w:rFonts w:cs="Arial"/>
                <w:color w:val="000000"/>
                <w:szCs w:val="24"/>
              </w:rPr>
            </w:pPr>
            <w:r w:rsidRPr="00787196">
              <w:rPr>
                <w:rFonts w:cs="Arial"/>
                <w:color w:val="000000"/>
                <w:szCs w:val="24"/>
              </w:rPr>
              <w:t>OH</w:t>
            </w:r>
            <w:r w:rsidR="002C1D4F" w:rsidRPr="00787196">
              <w:rPr>
                <w:rFonts w:cs="Arial"/>
                <w:color w:val="000000"/>
                <w:szCs w:val="24"/>
              </w:rPr>
              <w:t xml:space="preserve">QoL </w:t>
            </w:r>
            <w:r w:rsidRPr="00787196">
              <w:rPr>
                <w:rFonts w:cs="Arial"/>
                <w:color w:val="000000"/>
                <w:szCs w:val="24"/>
              </w:rPr>
              <w:t>(baseline)</w:t>
            </w:r>
          </w:p>
        </w:tc>
        <w:tc>
          <w:tcPr>
            <w:tcW w:w="1177" w:type="dxa"/>
            <w:tcBorders>
              <w:left w:val="nil"/>
              <w:right w:val="nil"/>
            </w:tcBorders>
            <w:shd w:val="clear" w:color="auto" w:fill="FFFFFF"/>
            <w:vAlign w:val="center"/>
          </w:tcPr>
          <w:p w14:paraId="45733FE0" w14:textId="6BA6B92C" w:rsidR="00C04275" w:rsidRPr="00787196" w:rsidRDefault="00BB557F"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 xml:space="preserve"> </w:t>
            </w:r>
            <w:r w:rsidR="005A4FB2" w:rsidRPr="00787196">
              <w:rPr>
                <w:rFonts w:cs="Arial"/>
                <w:color w:val="000000"/>
                <w:szCs w:val="24"/>
              </w:rPr>
              <w:t xml:space="preserve"> </w:t>
            </w:r>
            <w:r w:rsidR="0073594D" w:rsidRPr="00787196">
              <w:rPr>
                <w:rFonts w:cs="Arial"/>
                <w:color w:val="000000"/>
                <w:szCs w:val="24"/>
              </w:rPr>
              <w:t>0.246**</w:t>
            </w:r>
          </w:p>
        </w:tc>
        <w:tc>
          <w:tcPr>
            <w:tcW w:w="951" w:type="dxa"/>
            <w:tcBorders>
              <w:left w:val="nil"/>
              <w:right w:val="nil"/>
            </w:tcBorders>
            <w:shd w:val="clear" w:color="auto" w:fill="FFFFFF"/>
          </w:tcPr>
          <w:p w14:paraId="716653FB" w14:textId="77777777" w:rsidR="00C04275"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17.742</w:t>
            </w:r>
          </w:p>
        </w:tc>
        <w:tc>
          <w:tcPr>
            <w:tcW w:w="889" w:type="dxa"/>
            <w:tcBorders>
              <w:left w:val="nil"/>
              <w:right w:val="nil"/>
            </w:tcBorders>
            <w:shd w:val="clear" w:color="auto" w:fill="FFFFFF"/>
          </w:tcPr>
          <w:p w14:paraId="7DB0BBB1" w14:textId="77777777" w:rsidR="00C04275"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0.086</w:t>
            </w:r>
          </w:p>
        </w:tc>
        <w:tc>
          <w:tcPr>
            <w:tcW w:w="1243" w:type="dxa"/>
            <w:tcBorders>
              <w:left w:val="nil"/>
              <w:right w:val="nil"/>
            </w:tcBorders>
            <w:shd w:val="clear" w:color="auto" w:fill="FFFFFF"/>
          </w:tcPr>
          <w:p w14:paraId="001D6AB8" w14:textId="77777777" w:rsidR="00C04275"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0.081</w:t>
            </w:r>
          </w:p>
        </w:tc>
        <w:tc>
          <w:tcPr>
            <w:tcW w:w="1097" w:type="dxa"/>
            <w:tcBorders>
              <w:left w:val="nil"/>
              <w:right w:val="nil"/>
            </w:tcBorders>
            <w:shd w:val="clear" w:color="auto" w:fill="FFFFFF"/>
          </w:tcPr>
          <w:p w14:paraId="0393BA3D" w14:textId="77777777" w:rsidR="00C04275"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0.086</w:t>
            </w:r>
          </w:p>
        </w:tc>
      </w:tr>
      <w:tr w:rsidR="0073594D" w:rsidRPr="00787196" w14:paraId="357324E7" w14:textId="77777777" w:rsidTr="009E3F5A">
        <w:trPr>
          <w:trHeight w:val="275"/>
        </w:trPr>
        <w:tc>
          <w:tcPr>
            <w:tcW w:w="3147" w:type="dxa"/>
            <w:shd w:val="clear" w:color="auto" w:fill="FFFFFF"/>
            <w:vAlign w:val="bottom"/>
          </w:tcPr>
          <w:p w14:paraId="5339AA2F" w14:textId="77777777" w:rsidR="0073594D" w:rsidRPr="00787196" w:rsidRDefault="0073594D" w:rsidP="00E265DF">
            <w:pPr>
              <w:autoSpaceDE w:val="0"/>
              <w:autoSpaceDN w:val="0"/>
              <w:adjustRightInd w:val="0"/>
              <w:spacing w:before="0" w:after="0" w:line="240" w:lineRule="auto"/>
              <w:jc w:val="left"/>
              <w:rPr>
                <w:rFonts w:cs="Arial"/>
                <w:color w:val="000000"/>
                <w:szCs w:val="24"/>
              </w:rPr>
            </w:pPr>
            <w:r w:rsidRPr="00787196">
              <w:rPr>
                <w:rFonts w:cs="Arial"/>
                <w:color w:val="000000"/>
                <w:szCs w:val="24"/>
              </w:rPr>
              <w:t xml:space="preserve">No. of teeth present </w:t>
            </w:r>
          </w:p>
        </w:tc>
        <w:tc>
          <w:tcPr>
            <w:tcW w:w="1177" w:type="dxa"/>
            <w:tcBorders>
              <w:left w:val="nil"/>
              <w:right w:val="nil"/>
            </w:tcBorders>
            <w:shd w:val="clear" w:color="auto" w:fill="FFFFFF"/>
            <w:vAlign w:val="center"/>
          </w:tcPr>
          <w:p w14:paraId="6642AC4E" w14:textId="39A341CF"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- 0.277**</w:t>
            </w:r>
          </w:p>
        </w:tc>
        <w:tc>
          <w:tcPr>
            <w:tcW w:w="951" w:type="dxa"/>
            <w:tcBorders>
              <w:left w:val="nil"/>
              <w:right w:val="nil"/>
            </w:tcBorders>
            <w:shd w:val="clear" w:color="auto" w:fill="FFFFFF"/>
          </w:tcPr>
          <w:p w14:paraId="26D9275F"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13.582</w:t>
            </w:r>
          </w:p>
        </w:tc>
        <w:tc>
          <w:tcPr>
            <w:tcW w:w="889" w:type="dxa"/>
            <w:tcBorders>
              <w:left w:val="nil"/>
              <w:right w:val="nil"/>
            </w:tcBorders>
            <w:shd w:val="clear" w:color="auto" w:fill="FFFFFF"/>
          </w:tcPr>
          <w:p w14:paraId="73C824BA"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0.126</w:t>
            </w:r>
          </w:p>
        </w:tc>
        <w:tc>
          <w:tcPr>
            <w:tcW w:w="1243" w:type="dxa"/>
            <w:tcBorders>
              <w:left w:val="nil"/>
              <w:right w:val="nil"/>
            </w:tcBorders>
            <w:shd w:val="clear" w:color="auto" w:fill="FFFFFF"/>
          </w:tcPr>
          <w:p w14:paraId="6035DCC5"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0.117</w:t>
            </w:r>
          </w:p>
        </w:tc>
        <w:tc>
          <w:tcPr>
            <w:tcW w:w="1097" w:type="dxa"/>
            <w:tcBorders>
              <w:left w:val="nil"/>
              <w:right w:val="nil"/>
            </w:tcBorders>
            <w:shd w:val="clear" w:color="auto" w:fill="FFFFFF"/>
          </w:tcPr>
          <w:p w14:paraId="0D634C4F"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0.040</w:t>
            </w:r>
          </w:p>
        </w:tc>
      </w:tr>
      <w:tr w:rsidR="0073594D" w:rsidRPr="00787196" w14:paraId="149FB668" w14:textId="77777777" w:rsidTr="009E3F5A">
        <w:trPr>
          <w:trHeight w:val="275"/>
        </w:trPr>
        <w:tc>
          <w:tcPr>
            <w:tcW w:w="3147" w:type="dxa"/>
            <w:shd w:val="clear" w:color="auto" w:fill="FFFFFF"/>
            <w:vAlign w:val="bottom"/>
          </w:tcPr>
          <w:p w14:paraId="1D5B8038" w14:textId="72FD69E4" w:rsidR="0073594D" w:rsidRPr="00787196" w:rsidRDefault="0073594D" w:rsidP="00E265DF">
            <w:pPr>
              <w:autoSpaceDE w:val="0"/>
              <w:autoSpaceDN w:val="0"/>
              <w:adjustRightInd w:val="0"/>
              <w:spacing w:before="0" w:after="0" w:line="240" w:lineRule="auto"/>
              <w:jc w:val="left"/>
              <w:rPr>
                <w:rFonts w:cs="Arial"/>
                <w:color w:val="000000"/>
                <w:szCs w:val="24"/>
              </w:rPr>
            </w:pPr>
            <w:r w:rsidRPr="00787196">
              <w:rPr>
                <w:rFonts w:cs="Arial"/>
                <w:color w:val="000000"/>
                <w:szCs w:val="24"/>
              </w:rPr>
              <w:t xml:space="preserve">Chewing Index </w:t>
            </w:r>
            <w:r w:rsidR="00BB557F" w:rsidRPr="00787196">
              <w:rPr>
                <w:rFonts w:cs="Arial"/>
                <w:color w:val="000000"/>
                <w:szCs w:val="24"/>
              </w:rPr>
              <w:t>(baseline)</w:t>
            </w:r>
          </w:p>
        </w:tc>
        <w:tc>
          <w:tcPr>
            <w:tcW w:w="1177" w:type="dxa"/>
            <w:tcBorders>
              <w:left w:val="nil"/>
              <w:right w:val="nil"/>
            </w:tcBorders>
            <w:shd w:val="clear" w:color="auto" w:fill="FFFFFF"/>
            <w:vAlign w:val="center"/>
          </w:tcPr>
          <w:p w14:paraId="5A52B710" w14:textId="542BDC89" w:rsidR="0073594D" w:rsidRPr="00787196" w:rsidRDefault="005A4FB2" w:rsidP="009E3F5A">
            <w:pPr>
              <w:autoSpaceDE w:val="0"/>
              <w:autoSpaceDN w:val="0"/>
              <w:adjustRightInd w:val="0"/>
              <w:spacing w:before="0" w:after="0" w:line="240" w:lineRule="auto"/>
              <w:rPr>
                <w:rFonts w:cs="Arial"/>
                <w:color w:val="000000"/>
                <w:szCs w:val="24"/>
              </w:rPr>
            </w:pPr>
            <w:r w:rsidRPr="00787196">
              <w:rPr>
                <w:rFonts w:cs="Arial"/>
                <w:color w:val="000000"/>
                <w:szCs w:val="24"/>
              </w:rPr>
              <w:t xml:space="preserve"> </w:t>
            </w:r>
            <w:r w:rsidR="0073594D" w:rsidRPr="00787196">
              <w:rPr>
                <w:rFonts w:cs="Arial"/>
                <w:color w:val="000000"/>
                <w:szCs w:val="24"/>
              </w:rPr>
              <w:t>-0.194*</w:t>
            </w:r>
          </w:p>
        </w:tc>
        <w:tc>
          <w:tcPr>
            <w:tcW w:w="951" w:type="dxa"/>
            <w:tcBorders>
              <w:left w:val="nil"/>
              <w:right w:val="nil"/>
            </w:tcBorders>
            <w:shd w:val="clear" w:color="auto" w:fill="FFFFFF"/>
          </w:tcPr>
          <w:p w14:paraId="3245CF08"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11.425</w:t>
            </w:r>
          </w:p>
        </w:tc>
        <w:tc>
          <w:tcPr>
            <w:tcW w:w="889" w:type="dxa"/>
            <w:tcBorders>
              <w:left w:val="nil"/>
              <w:right w:val="nil"/>
            </w:tcBorders>
            <w:shd w:val="clear" w:color="auto" w:fill="FFFFFF"/>
          </w:tcPr>
          <w:p w14:paraId="3B24472A"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0.155</w:t>
            </w:r>
          </w:p>
        </w:tc>
        <w:tc>
          <w:tcPr>
            <w:tcW w:w="1243" w:type="dxa"/>
            <w:tcBorders>
              <w:left w:val="nil"/>
              <w:right w:val="nil"/>
            </w:tcBorders>
            <w:shd w:val="clear" w:color="auto" w:fill="FFFFFF"/>
          </w:tcPr>
          <w:p w14:paraId="79CAE741"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0.141</w:t>
            </w:r>
          </w:p>
        </w:tc>
        <w:tc>
          <w:tcPr>
            <w:tcW w:w="1097" w:type="dxa"/>
            <w:tcBorders>
              <w:left w:val="nil"/>
              <w:right w:val="nil"/>
            </w:tcBorders>
            <w:shd w:val="clear" w:color="auto" w:fill="FFFFFF"/>
          </w:tcPr>
          <w:p w14:paraId="78169003" w14:textId="77777777" w:rsidR="0073594D" w:rsidRPr="00787196" w:rsidRDefault="0073594D" w:rsidP="009E3F5A">
            <w:pPr>
              <w:autoSpaceDE w:val="0"/>
              <w:autoSpaceDN w:val="0"/>
              <w:adjustRightInd w:val="0"/>
              <w:spacing w:before="0" w:after="0" w:line="240" w:lineRule="auto"/>
              <w:jc w:val="center"/>
              <w:rPr>
                <w:rFonts w:cs="Arial"/>
                <w:color w:val="000000"/>
                <w:szCs w:val="24"/>
              </w:rPr>
            </w:pPr>
            <w:r w:rsidRPr="00787196">
              <w:rPr>
                <w:rFonts w:cs="Arial"/>
                <w:color w:val="000000"/>
                <w:szCs w:val="24"/>
              </w:rPr>
              <w:t>0.029</w:t>
            </w:r>
          </w:p>
        </w:tc>
      </w:tr>
      <w:tr w:rsidR="00C04275" w:rsidRPr="00787196" w14:paraId="0D5BE918" w14:textId="77777777" w:rsidTr="009E3F5A">
        <w:trPr>
          <w:trHeight w:val="275"/>
        </w:trPr>
        <w:tc>
          <w:tcPr>
            <w:tcW w:w="3147" w:type="dxa"/>
            <w:shd w:val="clear" w:color="auto" w:fill="FFFFFF"/>
          </w:tcPr>
          <w:p w14:paraId="4E257C3D" w14:textId="77777777" w:rsidR="00C04275" w:rsidRPr="00787196" w:rsidRDefault="00C04275" w:rsidP="00E265DF">
            <w:pPr>
              <w:spacing w:before="0" w:after="0"/>
              <w:ind w:left="142"/>
              <w:jc w:val="left"/>
            </w:pPr>
          </w:p>
        </w:tc>
        <w:tc>
          <w:tcPr>
            <w:tcW w:w="1177" w:type="dxa"/>
            <w:tcBorders>
              <w:left w:val="nil"/>
              <w:right w:val="nil"/>
            </w:tcBorders>
            <w:shd w:val="clear" w:color="auto" w:fill="FFFFFF"/>
          </w:tcPr>
          <w:p w14:paraId="0F1BFC71" w14:textId="77777777" w:rsidR="00C04275" w:rsidRPr="00787196" w:rsidRDefault="00C04275" w:rsidP="009E3F5A">
            <w:pPr>
              <w:spacing w:before="0" w:after="0" w:line="240" w:lineRule="auto"/>
              <w:jc w:val="center"/>
              <w:rPr>
                <w:sz w:val="22"/>
              </w:rPr>
            </w:pPr>
          </w:p>
        </w:tc>
        <w:tc>
          <w:tcPr>
            <w:tcW w:w="951" w:type="dxa"/>
            <w:tcBorders>
              <w:left w:val="nil"/>
              <w:right w:val="nil"/>
            </w:tcBorders>
            <w:shd w:val="clear" w:color="auto" w:fill="FFFFFF"/>
          </w:tcPr>
          <w:p w14:paraId="3FB02B15" w14:textId="77777777" w:rsidR="00C04275" w:rsidRPr="00787196" w:rsidRDefault="00C04275" w:rsidP="009E3F5A">
            <w:pPr>
              <w:spacing w:before="0" w:after="0" w:line="240" w:lineRule="auto"/>
              <w:jc w:val="center"/>
              <w:rPr>
                <w:sz w:val="22"/>
              </w:rPr>
            </w:pPr>
          </w:p>
        </w:tc>
        <w:tc>
          <w:tcPr>
            <w:tcW w:w="889" w:type="dxa"/>
            <w:tcBorders>
              <w:left w:val="nil"/>
              <w:right w:val="nil"/>
            </w:tcBorders>
            <w:shd w:val="clear" w:color="auto" w:fill="FFFFFF"/>
          </w:tcPr>
          <w:p w14:paraId="647188A9" w14:textId="77777777" w:rsidR="00C04275" w:rsidRPr="00787196" w:rsidRDefault="00C04275" w:rsidP="009E3F5A">
            <w:pPr>
              <w:spacing w:before="0" w:after="0" w:line="240" w:lineRule="auto"/>
              <w:jc w:val="center"/>
              <w:rPr>
                <w:sz w:val="22"/>
              </w:rPr>
            </w:pPr>
          </w:p>
        </w:tc>
        <w:tc>
          <w:tcPr>
            <w:tcW w:w="1243" w:type="dxa"/>
            <w:tcBorders>
              <w:left w:val="nil"/>
              <w:right w:val="nil"/>
            </w:tcBorders>
            <w:shd w:val="clear" w:color="auto" w:fill="FFFFFF"/>
          </w:tcPr>
          <w:p w14:paraId="7294B8E6" w14:textId="77777777" w:rsidR="00C04275" w:rsidRPr="00787196" w:rsidRDefault="00C04275" w:rsidP="009E3F5A">
            <w:pPr>
              <w:spacing w:before="0" w:after="0" w:line="240" w:lineRule="auto"/>
              <w:jc w:val="center"/>
              <w:rPr>
                <w:sz w:val="22"/>
              </w:rPr>
            </w:pPr>
          </w:p>
        </w:tc>
        <w:tc>
          <w:tcPr>
            <w:tcW w:w="1097" w:type="dxa"/>
            <w:tcBorders>
              <w:left w:val="nil"/>
              <w:right w:val="nil"/>
            </w:tcBorders>
            <w:shd w:val="clear" w:color="auto" w:fill="FFFFFF"/>
          </w:tcPr>
          <w:p w14:paraId="4E8632E9" w14:textId="77777777" w:rsidR="00C04275" w:rsidRPr="00787196" w:rsidRDefault="00C04275" w:rsidP="009E3F5A">
            <w:pPr>
              <w:spacing w:before="0" w:after="0" w:line="240" w:lineRule="auto"/>
              <w:jc w:val="center"/>
              <w:rPr>
                <w:sz w:val="22"/>
              </w:rPr>
            </w:pPr>
          </w:p>
        </w:tc>
      </w:tr>
      <w:tr w:rsidR="00C04275" w:rsidRPr="00787196" w14:paraId="4EAA5F30" w14:textId="77777777" w:rsidTr="009E3F5A">
        <w:trPr>
          <w:trHeight w:val="250"/>
        </w:trPr>
        <w:tc>
          <w:tcPr>
            <w:tcW w:w="3147" w:type="dxa"/>
            <w:shd w:val="clear" w:color="auto" w:fill="FFFFFF"/>
          </w:tcPr>
          <w:p w14:paraId="1A09E608" w14:textId="77777777" w:rsidR="00C04275" w:rsidRPr="00787196" w:rsidRDefault="00C04275" w:rsidP="00E265DF">
            <w:pPr>
              <w:spacing w:before="0" w:after="0"/>
              <w:jc w:val="left"/>
              <w:rPr>
                <w:sz w:val="21"/>
                <w:szCs w:val="20"/>
                <w:u w:val="single"/>
              </w:rPr>
            </w:pPr>
            <w:r w:rsidRPr="00787196">
              <w:rPr>
                <w:sz w:val="21"/>
                <w:szCs w:val="20"/>
                <w:u w:val="single"/>
              </w:rPr>
              <w:t>Excluded variables</w:t>
            </w:r>
          </w:p>
        </w:tc>
        <w:tc>
          <w:tcPr>
            <w:tcW w:w="1177" w:type="dxa"/>
            <w:tcBorders>
              <w:left w:val="nil"/>
              <w:right w:val="nil"/>
            </w:tcBorders>
            <w:shd w:val="clear" w:color="auto" w:fill="FFFFFF"/>
          </w:tcPr>
          <w:p w14:paraId="08CA901C" w14:textId="77777777" w:rsidR="00C04275" w:rsidRPr="00787196" w:rsidRDefault="00C04275" w:rsidP="009E3F5A">
            <w:pPr>
              <w:spacing w:before="0" w:after="0" w:line="240" w:lineRule="auto"/>
              <w:jc w:val="center"/>
              <w:rPr>
                <w:sz w:val="22"/>
              </w:rPr>
            </w:pPr>
          </w:p>
        </w:tc>
        <w:tc>
          <w:tcPr>
            <w:tcW w:w="951" w:type="dxa"/>
            <w:tcBorders>
              <w:left w:val="nil"/>
              <w:right w:val="nil"/>
            </w:tcBorders>
            <w:shd w:val="clear" w:color="auto" w:fill="FFFFFF"/>
          </w:tcPr>
          <w:p w14:paraId="5E07356C" w14:textId="77777777" w:rsidR="00C04275" w:rsidRPr="00787196" w:rsidRDefault="00C04275" w:rsidP="009E3F5A">
            <w:pPr>
              <w:spacing w:before="0" w:after="0" w:line="240" w:lineRule="auto"/>
              <w:jc w:val="center"/>
              <w:rPr>
                <w:sz w:val="22"/>
              </w:rPr>
            </w:pPr>
          </w:p>
        </w:tc>
        <w:tc>
          <w:tcPr>
            <w:tcW w:w="889" w:type="dxa"/>
            <w:tcBorders>
              <w:left w:val="nil"/>
              <w:right w:val="nil"/>
            </w:tcBorders>
            <w:shd w:val="clear" w:color="auto" w:fill="FFFFFF"/>
          </w:tcPr>
          <w:p w14:paraId="5599535D" w14:textId="77777777" w:rsidR="00C04275" w:rsidRPr="00787196" w:rsidRDefault="00C04275" w:rsidP="009E3F5A">
            <w:pPr>
              <w:spacing w:before="0" w:after="0" w:line="240" w:lineRule="auto"/>
              <w:jc w:val="center"/>
              <w:rPr>
                <w:sz w:val="22"/>
              </w:rPr>
            </w:pPr>
          </w:p>
        </w:tc>
        <w:tc>
          <w:tcPr>
            <w:tcW w:w="1243" w:type="dxa"/>
            <w:tcBorders>
              <w:left w:val="nil"/>
              <w:right w:val="nil"/>
            </w:tcBorders>
            <w:shd w:val="clear" w:color="auto" w:fill="FFFFFF"/>
          </w:tcPr>
          <w:p w14:paraId="761FFC89" w14:textId="77777777" w:rsidR="00C04275" w:rsidRPr="00787196" w:rsidRDefault="00C04275" w:rsidP="009E3F5A">
            <w:pPr>
              <w:spacing w:before="0" w:after="0" w:line="240" w:lineRule="auto"/>
              <w:jc w:val="center"/>
              <w:rPr>
                <w:sz w:val="22"/>
              </w:rPr>
            </w:pPr>
          </w:p>
        </w:tc>
        <w:tc>
          <w:tcPr>
            <w:tcW w:w="1097" w:type="dxa"/>
            <w:tcBorders>
              <w:left w:val="nil"/>
              <w:right w:val="nil"/>
            </w:tcBorders>
            <w:shd w:val="clear" w:color="auto" w:fill="FFFFFF"/>
          </w:tcPr>
          <w:p w14:paraId="4428073C" w14:textId="77777777" w:rsidR="00C04275" w:rsidRPr="00787196" w:rsidRDefault="00C04275" w:rsidP="009E3F5A">
            <w:pPr>
              <w:spacing w:before="0" w:after="0" w:line="240" w:lineRule="auto"/>
              <w:jc w:val="center"/>
              <w:rPr>
                <w:sz w:val="22"/>
              </w:rPr>
            </w:pPr>
          </w:p>
        </w:tc>
      </w:tr>
      <w:tr w:rsidR="00C04275" w:rsidRPr="00787196" w14:paraId="31C42755" w14:textId="77777777" w:rsidTr="009E3F5A">
        <w:trPr>
          <w:trHeight w:val="275"/>
        </w:trPr>
        <w:tc>
          <w:tcPr>
            <w:tcW w:w="3147" w:type="dxa"/>
            <w:shd w:val="clear" w:color="auto" w:fill="FFFFFF"/>
            <w:vAlign w:val="bottom"/>
          </w:tcPr>
          <w:p w14:paraId="79129ED5" w14:textId="6BE5F9FF" w:rsidR="0073594D" w:rsidRPr="00787196" w:rsidRDefault="0073594D" w:rsidP="00E265DF">
            <w:pPr>
              <w:autoSpaceDE w:val="0"/>
              <w:autoSpaceDN w:val="0"/>
              <w:adjustRightInd w:val="0"/>
              <w:spacing w:before="0" w:after="0" w:line="240" w:lineRule="auto"/>
              <w:jc w:val="left"/>
              <w:rPr>
                <w:rFonts w:cs="Arial"/>
                <w:color w:val="000000"/>
                <w:sz w:val="21"/>
                <w:szCs w:val="20"/>
              </w:rPr>
            </w:pPr>
            <w:r w:rsidRPr="00787196">
              <w:rPr>
                <w:rFonts w:cs="Arial"/>
                <w:color w:val="000000"/>
                <w:sz w:val="21"/>
                <w:szCs w:val="20"/>
              </w:rPr>
              <w:t>Occluding pairs</w:t>
            </w:r>
            <w:r w:rsidR="00E265DF" w:rsidRPr="00787196">
              <w:rPr>
                <w:rFonts w:cs="Arial"/>
                <w:color w:val="000000"/>
                <w:sz w:val="21"/>
                <w:szCs w:val="20"/>
              </w:rPr>
              <w:t xml:space="preserve"> of teeth</w:t>
            </w:r>
            <w:r w:rsidR="00920364" w:rsidRPr="00787196">
              <w:rPr>
                <w:rFonts w:cs="Arial"/>
                <w:color w:val="000000"/>
                <w:sz w:val="21"/>
                <w:szCs w:val="20"/>
              </w:rPr>
              <w:t xml:space="preserve">, </w:t>
            </w:r>
          </w:p>
          <w:p w14:paraId="5A644EE2" w14:textId="77777777" w:rsidR="00920364" w:rsidRPr="00787196" w:rsidRDefault="0073594D" w:rsidP="00E265DF">
            <w:pPr>
              <w:autoSpaceDE w:val="0"/>
              <w:autoSpaceDN w:val="0"/>
              <w:adjustRightInd w:val="0"/>
              <w:spacing w:before="0" w:after="0" w:line="240" w:lineRule="auto"/>
              <w:jc w:val="left"/>
              <w:rPr>
                <w:rFonts w:cs="Arial"/>
                <w:color w:val="000000"/>
                <w:sz w:val="21"/>
                <w:szCs w:val="20"/>
              </w:rPr>
            </w:pPr>
            <w:r w:rsidRPr="00787196">
              <w:rPr>
                <w:rFonts w:cs="Arial"/>
                <w:color w:val="000000"/>
                <w:sz w:val="21"/>
                <w:szCs w:val="20"/>
              </w:rPr>
              <w:t>Prosthetic status upper (experience based)</w:t>
            </w:r>
            <w:r w:rsidR="00920364" w:rsidRPr="00787196">
              <w:rPr>
                <w:rFonts w:cs="Arial"/>
                <w:color w:val="000000"/>
                <w:sz w:val="21"/>
                <w:szCs w:val="20"/>
              </w:rPr>
              <w:t>, Prosthetic need u</w:t>
            </w:r>
            <w:r w:rsidRPr="00787196">
              <w:rPr>
                <w:rFonts w:cs="Arial"/>
                <w:color w:val="000000"/>
                <w:sz w:val="21"/>
                <w:szCs w:val="20"/>
              </w:rPr>
              <w:t xml:space="preserve">pper (denture </w:t>
            </w:r>
            <w:r w:rsidR="00920364" w:rsidRPr="00787196">
              <w:rPr>
                <w:rFonts w:cs="Arial"/>
                <w:color w:val="000000"/>
                <w:sz w:val="21"/>
                <w:szCs w:val="20"/>
              </w:rPr>
              <w:t>type), denture satisfaction (baseline)</w:t>
            </w:r>
          </w:p>
          <w:p w14:paraId="55331788" w14:textId="77777777" w:rsidR="00920364" w:rsidRPr="00787196" w:rsidRDefault="00920364" w:rsidP="00E265DF">
            <w:pPr>
              <w:autoSpaceDE w:val="0"/>
              <w:autoSpaceDN w:val="0"/>
              <w:adjustRightInd w:val="0"/>
              <w:spacing w:before="0" w:after="0" w:line="240" w:lineRule="auto"/>
              <w:jc w:val="left"/>
              <w:rPr>
                <w:rFonts w:cs="Arial"/>
                <w:b/>
                <w:bCs/>
                <w:color w:val="000000"/>
                <w:sz w:val="21"/>
                <w:szCs w:val="20"/>
              </w:rPr>
            </w:pPr>
            <w:r w:rsidRPr="00787196">
              <w:rPr>
                <w:rFonts w:cs="Arial"/>
                <w:color w:val="000000"/>
                <w:sz w:val="21"/>
                <w:szCs w:val="20"/>
              </w:rPr>
              <w:t xml:space="preserve">chewing index </w:t>
            </w:r>
          </w:p>
          <w:p w14:paraId="241A97AC" w14:textId="77777777" w:rsidR="00C04275" w:rsidRPr="00787196" w:rsidRDefault="00C04275" w:rsidP="00E265DF">
            <w:pPr>
              <w:autoSpaceDE w:val="0"/>
              <w:autoSpaceDN w:val="0"/>
              <w:adjustRightInd w:val="0"/>
              <w:spacing w:before="0" w:after="0" w:line="240" w:lineRule="auto"/>
              <w:jc w:val="left"/>
              <w:rPr>
                <w:rFonts w:cs="Arial"/>
                <w:b/>
                <w:bCs/>
                <w:color w:val="000000"/>
                <w:sz w:val="21"/>
                <w:szCs w:val="20"/>
              </w:rPr>
            </w:pPr>
          </w:p>
        </w:tc>
        <w:tc>
          <w:tcPr>
            <w:tcW w:w="1177" w:type="dxa"/>
            <w:tcBorders>
              <w:left w:val="nil"/>
              <w:right w:val="nil"/>
            </w:tcBorders>
            <w:shd w:val="clear" w:color="auto" w:fill="FFFFFF"/>
            <w:vAlign w:val="center"/>
          </w:tcPr>
          <w:p w14:paraId="2B395E1A"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951" w:type="dxa"/>
            <w:tcBorders>
              <w:left w:val="nil"/>
              <w:right w:val="nil"/>
            </w:tcBorders>
            <w:shd w:val="clear" w:color="auto" w:fill="FFFFFF"/>
          </w:tcPr>
          <w:p w14:paraId="52DBE343"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889" w:type="dxa"/>
            <w:tcBorders>
              <w:left w:val="nil"/>
              <w:right w:val="nil"/>
            </w:tcBorders>
            <w:shd w:val="clear" w:color="auto" w:fill="FFFFFF"/>
          </w:tcPr>
          <w:p w14:paraId="58AA56AF"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1243" w:type="dxa"/>
            <w:tcBorders>
              <w:left w:val="nil"/>
              <w:right w:val="nil"/>
            </w:tcBorders>
            <w:shd w:val="clear" w:color="auto" w:fill="FFFFFF"/>
          </w:tcPr>
          <w:p w14:paraId="19CC4D25"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c>
          <w:tcPr>
            <w:tcW w:w="1097" w:type="dxa"/>
            <w:tcBorders>
              <w:left w:val="nil"/>
              <w:right w:val="nil"/>
            </w:tcBorders>
            <w:shd w:val="clear" w:color="auto" w:fill="FFFFFF"/>
          </w:tcPr>
          <w:p w14:paraId="4DB8488D" w14:textId="77777777" w:rsidR="00C04275" w:rsidRPr="00787196" w:rsidRDefault="00C04275" w:rsidP="009E3F5A">
            <w:pPr>
              <w:autoSpaceDE w:val="0"/>
              <w:autoSpaceDN w:val="0"/>
              <w:adjustRightInd w:val="0"/>
              <w:spacing w:before="0" w:after="0" w:line="240" w:lineRule="auto"/>
              <w:jc w:val="center"/>
              <w:rPr>
                <w:rFonts w:cs="Arial"/>
                <w:color w:val="000000"/>
                <w:szCs w:val="24"/>
              </w:rPr>
            </w:pPr>
          </w:p>
        </w:tc>
      </w:tr>
    </w:tbl>
    <w:p w14:paraId="4D25C71D" w14:textId="77777777" w:rsidR="0063266B" w:rsidRPr="00787196" w:rsidRDefault="0063266B" w:rsidP="00755F46">
      <w:pPr>
        <w:spacing w:before="0" w:after="0" w:line="240" w:lineRule="auto"/>
        <w:rPr>
          <w:i/>
          <w:iCs/>
          <w:sz w:val="20"/>
          <w:szCs w:val="18"/>
        </w:rPr>
      </w:pPr>
      <w:r w:rsidRPr="00787196">
        <w:rPr>
          <w:i/>
          <w:iCs/>
          <w:sz w:val="20"/>
          <w:szCs w:val="18"/>
        </w:rPr>
        <w:t>**Correlation significant at 0.01 level (2-tailed)</w:t>
      </w:r>
    </w:p>
    <w:p w14:paraId="6EC93746" w14:textId="6E3A623E" w:rsidR="00D64C2A" w:rsidRPr="00787196" w:rsidRDefault="0063266B" w:rsidP="00935BB5">
      <w:pPr>
        <w:spacing w:before="0" w:after="0" w:line="240" w:lineRule="auto"/>
        <w:rPr>
          <w:szCs w:val="24"/>
        </w:rPr>
      </w:pPr>
      <w:r w:rsidRPr="00787196">
        <w:rPr>
          <w:i/>
          <w:iCs/>
          <w:sz w:val="20"/>
          <w:szCs w:val="18"/>
        </w:rPr>
        <w:t>*Correlation significant at the 0.05 level (2- tailed)</w:t>
      </w:r>
    </w:p>
    <w:p w14:paraId="5F1975CE" w14:textId="77777777" w:rsidR="00D64C2A" w:rsidRPr="00787196" w:rsidRDefault="00D64C2A">
      <w:pPr>
        <w:spacing w:before="0" w:after="0" w:line="240" w:lineRule="auto"/>
        <w:jc w:val="left"/>
        <w:rPr>
          <w:szCs w:val="24"/>
        </w:rPr>
      </w:pPr>
      <w:r w:rsidRPr="00787196">
        <w:rPr>
          <w:szCs w:val="24"/>
        </w:rPr>
        <w:br w:type="page"/>
      </w:r>
    </w:p>
    <w:p w14:paraId="3931D64F" w14:textId="773654AD" w:rsidR="00065D72" w:rsidRPr="00787196" w:rsidRDefault="00D64C2A" w:rsidP="004A661D">
      <w:pPr>
        <w:spacing w:before="0"/>
        <w:rPr>
          <w:szCs w:val="24"/>
        </w:rPr>
      </w:pPr>
      <w:r w:rsidRPr="00787196">
        <w:rPr>
          <w:szCs w:val="24"/>
        </w:rPr>
        <w:lastRenderedPageBreak/>
        <w:t>Table 5-28</w:t>
      </w:r>
      <w:r w:rsidR="00DA4060" w:rsidRPr="00787196">
        <w:rPr>
          <w:szCs w:val="24"/>
        </w:rPr>
        <w:t xml:space="preserve"> </w:t>
      </w:r>
      <w:r w:rsidR="005D6469" w:rsidRPr="00787196">
        <w:rPr>
          <w:szCs w:val="24"/>
        </w:rPr>
        <w:t xml:space="preserve">presents the </w:t>
      </w:r>
      <w:r w:rsidR="00CD6656" w:rsidRPr="00787196">
        <w:rPr>
          <w:szCs w:val="24"/>
        </w:rPr>
        <w:t xml:space="preserve">best </w:t>
      </w:r>
      <w:r w:rsidR="005D6469" w:rsidRPr="00787196">
        <w:rPr>
          <w:szCs w:val="24"/>
        </w:rPr>
        <w:t xml:space="preserve">model for the predictors of denture satisfaction. </w:t>
      </w:r>
      <w:r w:rsidR="00CD6656" w:rsidRPr="00787196">
        <w:rPr>
          <w:szCs w:val="24"/>
        </w:rPr>
        <w:t>H</w:t>
      </w:r>
      <w:r w:rsidR="005D6469" w:rsidRPr="00787196">
        <w:rPr>
          <w:szCs w:val="24"/>
        </w:rPr>
        <w:t>igh</w:t>
      </w:r>
      <w:r w:rsidR="00CD6656" w:rsidRPr="00787196">
        <w:rPr>
          <w:szCs w:val="24"/>
        </w:rPr>
        <w:t>er</w:t>
      </w:r>
      <w:r w:rsidR="005D6469" w:rsidRPr="00787196">
        <w:rPr>
          <w:szCs w:val="24"/>
        </w:rPr>
        <w:t xml:space="preserve"> </w:t>
      </w:r>
      <w:r w:rsidR="00713CBB" w:rsidRPr="00787196">
        <w:rPr>
          <w:szCs w:val="24"/>
        </w:rPr>
        <w:t xml:space="preserve">satisfaction </w:t>
      </w:r>
      <w:r w:rsidR="00CD6656" w:rsidRPr="00787196">
        <w:rPr>
          <w:szCs w:val="24"/>
        </w:rPr>
        <w:t>was predicted by</w:t>
      </w:r>
      <w:r w:rsidR="005D6469" w:rsidRPr="00787196">
        <w:rPr>
          <w:szCs w:val="24"/>
        </w:rPr>
        <w:t xml:space="preserve"> </w:t>
      </w:r>
      <w:r w:rsidR="00205102" w:rsidRPr="00787196">
        <w:rPr>
          <w:szCs w:val="24"/>
        </w:rPr>
        <w:t>presence of occluding pairs</w:t>
      </w:r>
      <w:r w:rsidR="005D6469" w:rsidRPr="00787196">
        <w:rPr>
          <w:szCs w:val="24"/>
        </w:rPr>
        <w:t xml:space="preserve"> and l</w:t>
      </w:r>
      <w:r w:rsidR="00205102" w:rsidRPr="00787196">
        <w:rPr>
          <w:szCs w:val="24"/>
        </w:rPr>
        <w:t>ess</w:t>
      </w:r>
      <w:r w:rsidR="005D6469" w:rsidRPr="00787196">
        <w:rPr>
          <w:szCs w:val="24"/>
        </w:rPr>
        <w:t xml:space="preserve"> chewing</w:t>
      </w:r>
      <w:r w:rsidR="00CD6656" w:rsidRPr="00787196">
        <w:rPr>
          <w:szCs w:val="24"/>
        </w:rPr>
        <w:t xml:space="preserve"> ability </w:t>
      </w:r>
      <w:r w:rsidR="005D6469" w:rsidRPr="00787196">
        <w:rPr>
          <w:szCs w:val="24"/>
        </w:rPr>
        <w:t xml:space="preserve">at baseline. The model </w:t>
      </w:r>
      <w:r w:rsidR="00F708A6" w:rsidRPr="00787196">
        <w:rPr>
          <w:szCs w:val="24"/>
        </w:rPr>
        <w:t>explained</w:t>
      </w:r>
      <w:r w:rsidR="005D6469" w:rsidRPr="00787196">
        <w:rPr>
          <w:szCs w:val="24"/>
        </w:rPr>
        <w:t xml:space="preserve"> 1</w:t>
      </w:r>
      <w:r w:rsidR="00205102" w:rsidRPr="00787196">
        <w:rPr>
          <w:szCs w:val="24"/>
        </w:rPr>
        <w:t xml:space="preserve">1.8 </w:t>
      </w:r>
      <w:r w:rsidR="005D6469" w:rsidRPr="00787196">
        <w:rPr>
          <w:szCs w:val="24"/>
        </w:rPr>
        <w:t xml:space="preserve">% of </w:t>
      </w:r>
      <w:r w:rsidR="00F708A6" w:rsidRPr="00787196">
        <w:rPr>
          <w:szCs w:val="24"/>
        </w:rPr>
        <w:t xml:space="preserve">the </w:t>
      </w:r>
      <w:r w:rsidR="005D6469" w:rsidRPr="00787196">
        <w:rPr>
          <w:szCs w:val="24"/>
        </w:rPr>
        <w:t xml:space="preserve">variation in </w:t>
      </w:r>
      <w:r w:rsidR="00205102" w:rsidRPr="00787196">
        <w:rPr>
          <w:szCs w:val="24"/>
        </w:rPr>
        <w:t>denture satisfaction</w:t>
      </w:r>
      <w:r w:rsidR="005D6469" w:rsidRPr="00787196">
        <w:rPr>
          <w:szCs w:val="24"/>
        </w:rPr>
        <w:t xml:space="preserve">. </w:t>
      </w:r>
      <w:r w:rsidR="002B56D0" w:rsidRPr="00787196">
        <w:rPr>
          <w:szCs w:val="24"/>
        </w:rPr>
        <w:t>Baseline p</w:t>
      </w:r>
      <w:r w:rsidR="00745B8D" w:rsidRPr="00787196">
        <w:rPr>
          <w:szCs w:val="24"/>
        </w:rPr>
        <w:t>rosthetic</w:t>
      </w:r>
      <w:r w:rsidR="00205102" w:rsidRPr="00787196">
        <w:rPr>
          <w:szCs w:val="24"/>
        </w:rPr>
        <w:t xml:space="preserve"> status (both arches), prosthetic need (both arches), time since last tooth loss episode, OHQoL</w:t>
      </w:r>
      <w:r w:rsidR="005D6469" w:rsidRPr="00787196">
        <w:rPr>
          <w:szCs w:val="24"/>
        </w:rPr>
        <w:t xml:space="preserve"> were </w:t>
      </w:r>
      <w:r w:rsidR="00913C9A" w:rsidRPr="00787196">
        <w:rPr>
          <w:szCs w:val="24"/>
        </w:rPr>
        <w:t xml:space="preserve">not significant and </w:t>
      </w:r>
      <w:r w:rsidR="005D6469" w:rsidRPr="00787196">
        <w:rPr>
          <w:szCs w:val="24"/>
        </w:rPr>
        <w:t>excluded after testing.</w:t>
      </w:r>
      <w:bookmarkStart w:id="312" w:name="_Ref430204718"/>
    </w:p>
    <w:p w14:paraId="7D55107B" w14:textId="655CE31D" w:rsidR="00DA4060" w:rsidRPr="00787196" w:rsidRDefault="00585972" w:rsidP="00585972">
      <w:pPr>
        <w:pStyle w:val="Caption"/>
        <w:spacing w:after="0"/>
        <w:rPr>
          <w:b/>
          <w:bCs/>
          <w:i w:val="0"/>
          <w:iCs w:val="0"/>
          <w:color w:val="auto"/>
          <w:sz w:val="20"/>
          <w:szCs w:val="20"/>
        </w:rPr>
      </w:pPr>
      <w:bookmarkStart w:id="313" w:name="_Toc488655557"/>
      <w:bookmarkEnd w:id="312"/>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28</w:t>
      </w:r>
      <w:r w:rsidR="000332A1" w:rsidRPr="00787196">
        <w:rPr>
          <w:b/>
          <w:bCs/>
          <w:i w:val="0"/>
          <w:iCs w:val="0"/>
          <w:color w:val="auto"/>
          <w:sz w:val="20"/>
          <w:szCs w:val="20"/>
        </w:rPr>
        <w:fldChar w:fldCharType="end"/>
      </w:r>
      <w:r w:rsidRPr="00787196">
        <w:rPr>
          <w:b/>
          <w:bCs/>
          <w:i w:val="0"/>
          <w:iCs w:val="0"/>
          <w:color w:val="auto"/>
          <w:sz w:val="20"/>
          <w:szCs w:val="20"/>
        </w:rPr>
        <w:t>. Stepwise forward multiple regression model for denture satisfaction at follow-up (T2)</w:t>
      </w:r>
      <w:bookmarkEnd w:id="313"/>
    </w:p>
    <w:tbl>
      <w:tblPr>
        <w:tblpPr w:leftFromText="180" w:rightFromText="180" w:vertAnchor="text" w:horzAnchor="margin" w:tblpY="87"/>
        <w:tblW w:w="0" w:type="auto"/>
        <w:tblBorders>
          <w:top w:val="single" w:sz="8" w:space="0" w:color="000000"/>
          <w:bottom w:val="single" w:sz="8" w:space="0" w:color="000000"/>
        </w:tblBorders>
        <w:tblLook w:val="04A0" w:firstRow="1" w:lastRow="0" w:firstColumn="1" w:lastColumn="0" w:noHBand="0" w:noVBand="1"/>
      </w:tblPr>
      <w:tblGrid>
        <w:gridCol w:w="2984"/>
        <w:gridCol w:w="1170"/>
        <w:gridCol w:w="881"/>
        <w:gridCol w:w="863"/>
        <w:gridCol w:w="1234"/>
        <w:gridCol w:w="1090"/>
      </w:tblGrid>
      <w:tr w:rsidR="00FE51C7" w:rsidRPr="00787196" w14:paraId="6248665C" w14:textId="77777777" w:rsidTr="00AC1C55">
        <w:trPr>
          <w:trHeight w:val="315"/>
        </w:trPr>
        <w:tc>
          <w:tcPr>
            <w:tcW w:w="3115" w:type="dxa"/>
            <w:tcBorders>
              <w:top w:val="single" w:sz="8" w:space="0" w:color="000000"/>
              <w:bottom w:val="single" w:sz="8" w:space="0" w:color="000000"/>
            </w:tcBorders>
            <w:shd w:val="clear" w:color="auto" w:fill="FFFFFF"/>
            <w:vAlign w:val="center"/>
          </w:tcPr>
          <w:p w14:paraId="453F3BB4" w14:textId="63C976F6" w:rsidR="00FE51C7" w:rsidRPr="00787196" w:rsidRDefault="00FE51C7" w:rsidP="00585972">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Predictors of denture satisfaction at follow-up (T2)</w:t>
            </w:r>
          </w:p>
        </w:tc>
        <w:tc>
          <w:tcPr>
            <w:tcW w:w="1193" w:type="dxa"/>
            <w:tcBorders>
              <w:top w:val="single" w:sz="8" w:space="0" w:color="000000"/>
              <w:bottom w:val="single" w:sz="8" w:space="0" w:color="000000"/>
            </w:tcBorders>
            <w:shd w:val="clear" w:color="auto" w:fill="FFFFFF"/>
            <w:vAlign w:val="center"/>
          </w:tcPr>
          <w:p w14:paraId="25E24E5F" w14:textId="77777777" w:rsidR="00FE51C7" w:rsidRPr="00787196" w:rsidRDefault="00FE51C7" w:rsidP="00585972">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885" w:type="dxa"/>
            <w:tcBorders>
              <w:top w:val="single" w:sz="8" w:space="0" w:color="000000"/>
              <w:bottom w:val="single" w:sz="8" w:space="0" w:color="000000"/>
            </w:tcBorders>
            <w:shd w:val="clear" w:color="auto" w:fill="FFFFFF"/>
            <w:vAlign w:val="center"/>
          </w:tcPr>
          <w:p w14:paraId="30A2B793" w14:textId="54D54301" w:rsidR="00FE51C7" w:rsidRPr="00787196" w:rsidRDefault="00FE51C7" w:rsidP="00FE51C7">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74" w:type="dxa"/>
            <w:tcBorders>
              <w:top w:val="single" w:sz="8" w:space="0" w:color="000000"/>
              <w:bottom w:val="single" w:sz="8" w:space="0" w:color="000000"/>
            </w:tcBorders>
            <w:shd w:val="clear" w:color="auto" w:fill="FFFFFF"/>
            <w:vAlign w:val="center"/>
          </w:tcPr>
          <w:p w14:paraId="78F41E7B" w14:textId="33C89256" w:rsidR="00FE51C7" w:rsidRPr="00787196" w:rsidRDefault="00FE51C7" w:rsidP="00585972">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247" w:type="dxa"/>
            <w:tcBorders>
              <w:top w:val="single" w:sz="8" w:space="0" w:color="000000"/>
              <w:bottom w:val="single" w:sz="8" w:space="0" w:color="000000"/>
            </w:tcBorders>
            <w:shd w:val="clear" w:color="auto" w:fill="FFFFFF"/>
            <w:vAlign w:val="center"/>
          </w:tcPr>
          <w:p w14:paraId="48425FAD" w14:textId="248332D4" w:rsidR="00FE51C7" w:rsidRPr="00787196" w:rsidRDefault="00FE51C7" w:rsidP="00585972">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355D4797" w14:textId="77777777" w:rsidR="00FE51C7" w:rsidRPr="00787196" w:rsidRDefault="00FE51C7" w:rsidP="00585972">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101" w:type="dxa"/>
            <w:tcBorders>
              <w:top w:val="single" w:sz="8" w:space="0" w:color="000000"/>
              <w:bottom w:val="single" w:sz="8" w:space="0" w:color="000000"/>
            </w:tcBorders>
            <w:shd w:val="clear" w:color="auto" w:fill="FFFFFF"/>
            <w:vAlign w:val="center"/>
          </w:tcPr>
          <w:p w14:paraId="56903A3B" w14:textId="5841BEBD" w:rsidR="00FE51C7" w:rsidRPr="00787196" w:rsidRDefault="00FE51C7" w:rsidP="00585972">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7616C31F" w14:textId="77777777" w:rsidR="00FE51C7" w:rsidRPr="00787196" w:rsidRDefault="00FE51C7" w:rsidP="00585972">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FE51C7" w:rsidRPr="00787196" w14:paraId="13BAD801" w14:textId="77777777" w:rsidTr="00AC1C55">
        <w:trPr>
          <w:trHeight w:val="161"/>
        </w:trPr>
        <w:tc>
          <w:tcPr>
            <w:tcW w:w="3115" w:type="dxa"/>
            <w:shd w:val="clear" w:color="auto" w:fill="FFFFFF"/>
            <w:vAlign w:val="bottom"/>
          </w:tcPr>
          <w:p w14:paraId="0E8BB90F" w14:textId="77777777" w:rsidR="00FE51C7" w:rsidRPr="00787196" w:rsidRDefault="00FE51C7" w:rsidP="00585972">
            <w:pPr>
              <w:autoSpaceDE w:val="0"/>
              <w:autoSpaceDN w:val="0"/>
              <w:adjustRightInd w:val="0"/>
              <w:spacing w:before="0" w:after="0" w:line="240" w:lineRule="auto"/>
              <w:jc w:val="left"/>
              <w:rPr>
                <w:rFonts w:cs="Arial"/>
                <w:b/>
                <w:bCs/>
                <w:color w:val="000000"/>
                <w:sz w:val="20"/>
                <w:szCs w:val="20"/>
              </w:rPr>
            </w:pPr>
          </w:p>
        </w:tc>
        <w:tc>
          <w:tcPr>
            <w:tcW w:w="1193" w:type="dxa"/>
            <w:tcBorders>
              <w:left w:val="nil"/>
              <w:right w:val="nil"/>
            </w:tcBorders>
            <w:shd w:val="clear" w:color="auto" w:fill="FFFFFF"/>
            <w:vAlign w:val="center"/>
          </w:tcPr>
          <w:p w14:paraId="21471B90"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885" w:type="dxa"/>
            <w:tcBorders>
              <w:left w:val="nil"/>
              <w:right w:val="nil"/>
            </w:tcBorders>
            <w:shd w:val="clear" w:color="auto" w:fill="FFFFFF"/>
          </w:tcPr>
          <w:p w14:paraId="7958BDFE"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874" w:type="dxa"/>
            <w:tcBorders>
              <w:left w:val="nil"/>
              <w:right w:val="nil"/>
            </w:tcBorders>
            <w:shd w:val="clear" w:color="auto" w:fill="FFFFFF"/>
          </w:tcPr>
          <w:p w14:paraId="569D9EFF" w14:textId="6D693D12"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1247" w:type="dxa"/>
            <w:tcBorders>
              <w:left w:val="nil"/>
              <w:right w:val="nil"/>
            </w:tcBorders>
            <w:shd w:val="clear" w:color="auto" w:fill="FFFFFF"/>
          </w:tcPr>
          <w:p w14:paraId="77E979C5"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1101" w:type="dxa"/>
            <w:tcBorders>
              <w:left w:val="nil"/>
              <w:right w:val="nil"/>
            </w:tcBorders>
            <w:shd w:val="clear" w:color="auto" w:fill="FFFFFF"/>
          </w:tcPr>
          <w:p w14:paraId="52F1724D"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r>
      <w:tr w:rsidR="00FE51C7" w:rsidRPr="00787196" w14:paraId="2DEA9B8A" w14:textId="77777777" w:rsidTr="00AC1C55">
        <w:trPr>
          <w:trHeight w:val="124"/>
        </w:trPr>
        <w:tc>
          <w:tcPr>
            <w:tcW w:w="3115" w:type="dxa"/>
            <w:shd w:val="clear" w:color="auto" w:fill="FFFFFF"/>
            <w:vAlign w:val="center"/>
          </w:tcPr>
          <w:p w14:paraId="01FD64A6" w14:textId="77777777" w:rsidR="00FE51C7" w:rsidRPr="00787196" w:rsidRDefault="00FE51C7" w:rsidP="00585972">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Denture satisfaction (baseline)</w:t>
            </w:r>
          </w:p>
        </w:tc>
        <w:tc>
          <w:tcPr>
            <w:tcW w:w="1193" w:type="dxa"/>
            <w:tcBorders>
              <w:left w:val="nil"/>
              <w:right w:val="nil"/>
            </w:tcBorders>
            <w:shd w:val="clear" w:color="auto" w:fill="FFFFFF"/>
            <w:vAlign w:val="center"/>
          </w:tcPr>
          <w:p w14:paraId="710AF650" w14:textId="2B3EA6D0"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0.204**</w:t>
            </w:r>
          </w:p>
        </w:tc>
        <w:tc>
          <w:tcPr>
            <w:tcW w:w="885" w:type="dxa"/>
            <w:tcBorders>
              <w:left w:val="nil"/>
              <w:right w:val="nil"/>
            </w:tcBorders>
            <w:shd w:val="clear" w:color="auto" w:fill="FFFFFF"/>
            <w:vAlign w:val="center"/>
          </w:tcPr>
          <w:p w14:paraId="5C69E446" w14:textId="46B43B57" w:rsidR="00FE51C7" w:rsidRPr="00787196" w:rsidRDefault="00FE51C7" w:rsidP="00FE51C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12.850</w:t>
            </w:r>
          </w:p>
        </w:tc>
        <w:tc>
          <w:tcPr>
            <w:tcW w:w="874" w:type="dxa"/>
            <w:tcBorders>
              <w:left w:val="nil"/>
              <w:right w:val="nil"/>
            </w:tcBorders>
            <w:shd w:val="clear" w:color="auto" w:fill="FFFFFF"/>
            <w:vAlign w:val="center"/>
          </w:tcPr>
          <w:p w14:paraId="0C1786C6" w14:textId="5C7DAD30"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0.064</w:t>
            </w:r>
          </w:p>
        </w:tc>
        <w:tc>
          <w:tcPr>
            <w:tcW w:w="1247" w:type="dxa"/>
            <w:tcBorders>
              <w:left w:val="nil"/>
              <w:right w:val="nil"/>
            </w:tcBorders>
            <w:shd w:val="clear" w:color="auto" w:fill="FFFFFF"/>
            <w:vAlign w:val="center"/>
          </w:tcPr>
          <w:p w14:paraId="7D9A2202"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0.059</w:t>
            </w:r>
          </w:p>
        </w:tc>
        <w:tc>
          <w:tcPr>
            <w:tcW w:w="1101" w:type="dxa"/>
            <w:tcBorders>
              <w:left w:val="nil"/>
              <w:right w:val="nil"/>
            </w:tcBorders>
            <w:shd w:val="clear" w:color="auto" w:fill="FFFFFF"/>
            <w:vAlign w:val="center"/>
          </w:tcPr>
          <w:p w14:paraId="1D179CE4"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0.064</w:t>
            </w:r>
          </w:p>
        </w:tc>
      </w:tr>
      <w:tr w:rsidR="00FE51C7" w:rsidRPr="00787196" w14:paraId="13F0F432" w14:textId="77777777" w:rsidTr="00AC1C55">
        <w:trPr>
          <w:trHeight w:val="195"/>
        </w:trPr>
        <w:tc>
          <w:tcPr>
            <w:tcW w:w="3115" w:type="dxa"/>
            <w:shd w:val="clear" w:color="auto" w:fill="FFFFFF"/>
            <w:vAlign w:val="center"/>
          </w:tcPr>
          <w:p w14:paraId="1C5DC644" w14:textId="40FD0BA3" w:rsidR="00FE51C7" w:rsidRPr="00787196" w:rsidRDefault="00FE51C7" w:rsidP="00FE51C7">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Occluding pairs of teeth</w:t>
            </w:r>
          </w:p>
        </w:tc>
        <w:tc>
          <w:tcPr>
            <w:tcW w:w="1193" w:type="dxa"/>
            <w:tcBorders>
              <w:left w:val="nil"/>
              <w:right w:val="nil"/>
            </w:tcBorders>
            <w:shd w:val="clear" w:color="auto" w:fill="FFFFFF"/>
            <w:vAlign w:val="center"/>
          </w:tcPr>
          <w:p w14:paraId="548BDCF8" w14:textId="08C81F8A"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-0.239**</w:t>
            </w:r>
          </w:p>
        </w:tc>
        <w:tc>
          <w:tcPr>
            <w:tcW w:w="885" w:type="dxa"/>
            <w:tcBorders>
              <w:left w:val="nil"/>
              <w:right w:val="nil"/>
            </w:tcBorders>
            <w:shd w:val="clear" w:color="auto" w:fill="FFFFFF"/>
            <w:vAlign w:val="center"/>
          </w:tcPr>
          <w:p w14:paraId="467A339F" w14:textId="0B554B41" w:rsidR="00FE51C7" w:rsidRPr="00787196" w:rsidRDefault="00FE51C7" w:rsidP="00FE51C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9.632</w:t>
            </w:r>
          </w:p>
        </w:tc>
        <w:tc>
          <w:tcPr>
            <w:tcW w:w="874" w:type="dxa"/>
            <w:tcBorders>
              <w:left w:val="nil"/>
              <w:right w:val="nil"/>
            </w:tcBorders>
            <w:shd w:val="clear" w:color="auto" w:fill="FFFFFF"/>
            <w:vAlign w:val="center"/>
          </w:tcPr>
          <w:p w14:paraId="2FB6193F" w14:textId="65674976"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0.093</w:t>
            </w:r>
          </w:p>
        </w:tc>
        <w:tc>
          <w:tcPr>
            <w:tcW w:w="1247" w:type="dxa"/>
            <w:tcBorders>
              <w:left w:val="nil"/>
              <w:right w:val="nil"/>
            </w:tcBorders>
            <w:shd w:val="clear" w:color="auto" w:fill="FFFFFF"/>
            <w:vAlign w:val="center"/>
          </w:tcPr>
          <w:p w14:paraId="77F363B2"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0.084</w:t>
            </w:r>
          </w:p>
        </w:tc>
        <w:tc>
          <w:tcPr>
            <w:tcW w:w="1101" w:type="dxa"/>
            <w:tcBorders>
              <w:left w:val="nil"/>
              <w:right w:val="nil"/>
            </w:tcBorders>
            <w:shd w:val="clear" w:color="auto" w:fill="FFFFFF"/>
            <w:vAlign w:val="center"/>
          </w:tcPr>
          <w:p w14:paraId="4F448D63"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0.029</w:t>
            </w:r>
          </w:p>
        </w:tc>
      </w:tr>
      <w:tr w:rsidR="00FE51C7" w:rsidRPr="00787196" w14:paraId="391FEE82" w14:textId="77777777" w:rsidTr="00AC1C55">
        <w:trPr>
          <w:trHeight w:val="124"/>
        </w:trPr>
        <w:tc>
          <w:tcPr>
            <w:tcW w:w="3115" w:type="dxa"/>
            <w:shd w:val="clear" w:color="auto" w:fill="FFFFFF"/>
            <w:vAlign w:val="center"/>
          </w:tcPr>
          <w:p w14:paraId="1DD4E4DA" w14:textId="7ED442FD" w:rsidR="00FE51C7" w:rsidRPr="00787196" w:rsidRDefault="00FE51C7" w:rsidP="00585972">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Chewing ability (baseline)</w:t>
            </w:r>
          </w:p>
        </w:tc>
        <w:tc>
          <w:tcPr>
            <w:tcW w:w="1193" w:type="dxa"/>
            <w:tcBorders>
              <w:left w:val="nil"/>
              <w:right w:val="nil"/>
            </w:tcBorders>
            <w:shd w:val="clear" w:color="auto" w:fill="FFFFFF"/>
            <w:vAlign w:val="center"/>
          </w:tcPr>
          <w:p w14:paraId="0B5C4C00"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-0.182*</w:t>
            </w:r>
          </w:p>
        </w:tc>
        <w:tc>
          <w:tcPr>
            <w:tcW w:w="885" w:type="dxa"/>
            <w:tcBorders>
              <w:left w:val="nil"/>
              <w:right w:val="nil"/>
            </w:tcBorders>
            <w:shd w:val="clear" w:color="auto" w:fill="FFFFFF"/>
            <w:vAlign w:val="center"/>
          </w:tcPr>
          <w:p w14:paraId="02003DAB" w14:textId="5907E986" w:rsidR="00FE51C7" w:rsidRPr="00787196" w:rsidRDefault="00331C56" w:rsidP="00FE51C7">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8.277</w:t>
            </w:r>
          </w:p>
        </w:tc>
        <w:tc>
          <w:tcPr>
            <w:tcW w:w="874" w:type="dxa"/>
            <w:tcBorders>
              <w:left w:val="nil"/>
              <w:right w:val="nil"/>
            </w:tcBorders>
            <w:shd w:val="clear" w:color="auto" w:fill="FFFFFF"/>
            <w:vAlign w:val="center"/>
          </w:tcPr>
          <w:p w14:paraId="15ED20F8" w14:textId="591B28FC"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0.118</w:t>
            </w:r>
          </w:p>
        </w:tc>
        <w:tc>
          <w:tcPr>
            <w:tcW w:w="1247" w:type="dxa"/>
            <w:tcBorders>
              <w:left w:val="nil"/>
              <w:right w:val="nil"/>
            </w:tcBorders>
            <w:shd w:val="clear" w:color="auto" w:fill="FFFFFF"/>
            <w:vAlign w:val="center"/>
          </w:tcPr>
          <w:p w14:paraId="45167D92"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0.104</w:t>
            </w:r>
          </w:p>
        </w:tc>
        <w:tc>
          <w:tcPr>
            <w:tcW w:w="1101" w:type="dxa"/>
            <w:tcBorders>
              <w:left w:val="nil"/>
              <w:right w:val="nil"/>
            </w:tcBorders>
            <w:shd w:val="clear" w:color="auto" w:fill="FFFFFF"/>
            <w:vAlign w:val="center"/>
          </w:tcPr>
          <w:p w14:paraId="0ADC1BB7" w14:textId="77777777" w:rsidR="00FE51C7" w:rsidRPr="00787196" w:rsidRDefault="00FE51C7" w:rsidP="00585972">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0.024</w:t>
            </w:r>
          </w:p>
        </w:tc>
      </w:tr>
      <w:tr w:rsidR="00FE51C7" w:rsidRPr="00787196" w14:paraId="596E54F7" w14:textId="77777777" w:rsidTr="00AC1C55">
        <w:trPr>
          <w:trHeight w:val="124"/>
        </w:trPr>
        <w:tc>
          <w:tcPr>
            <w:tcW w:w="3115" w:type="dxa"/>
            <w:shd w:val="clear" w:color="auto" w:fill="FFFFFF"/>
          </w:tcPr>
          <w:p w14:paraId="190DBF74" w14:textId="77777777" w:rsidR="00FE51C7" w:rsidRPr="00787196" w:rsidRDefault="00FE51C7" w:rsidP="00585972">
            <w:pPr>
              <w:spacing w:before="0" w:after="0"/>
              <w:ind w:left="142"/>
              <w:jc w:val="left"/>
              <w:rPr>
                <w:sz w:val="20"/>
                <w:szCs w:val="20"/>
              </w:rPr>
            </w:pPr>
          </w:p>
        </w:tc>
        <w:tc>
          <w:tcPr>
            <w:tcW w:w="1193" w:type="dxa"/>
            <w:tcBorders>
              <w:left w:val="nil"/>
              <w:right w:val="nil"/>
            </w:tcBorders>
            <w:shd w:val="clear" w:color="auto" w:fill="FFFFFF"/>
            <w:vAlign w:val="center"/>
          </w:tcPr>
          <w:p w14:paraId="3F7690E5" w14:textId="77777777" w:rsidR="00FE51C7" w:rsidRPr="00787196" w:rsidRDefault="00FE51C7" w:rsidP="00585972">
            <w:pPr>
              <w:spacing w:before="0" w:after="0" w:line="240" w:lineRule="auto"/>
              <w:jc w:val="center"/>
              <w:rPr>
                <w:sz w:val="20"/>
                <w:szCs w:val="20"/>
              </w:rPr>
            </w:pPr>
          </w:p>
        </w:tc>
        <w:tc>
          <w:tcPr>
            <w:tcW w:w="885" w:type="dxa"/>
            <w:tcBorders>
              <w:left w:val="nil"/>
              <w:right w:val="nil"/>
            </w:tcBorders>
            <w:shd w:val="clear" w:color="auto" w:fill="FFFFFF"/>
          </w:tcPr>
          <w:p w14:paraId="6887032E" w14:textId="77777777" w:rsidR="00FE51C7" w:rsidRPr="00787196" w:rsidRDefault="00FE51C7" w:rsidP="00585972">
            <w:pPr>
              <w:spacing w:before="0" w:after="0" w:line="240" w:lineRule="auto"/>
              <w:jc w:val="center"/>
              <w:rPr>
                <w:sz w:val="20"/>
                <w:szCs w:val="20"/>
              </w:rPr>
            </w:pPr>
          </w:p>
        </w:tc>
        <w:tc>
          <w:tcPr>
            <w:tcW w:w="874" w:type="dxa"/>
            <w:tcBorders>
              <w:left w:val="nil"/>
              <w:right w:val="nil"/>
            </w:tcBorders>
            <w:shd w:val="clear" w:color="auto" w:fill="FFFFFF"/>
            <w:vAlign w:val="center"/>
          </w:tcPr>
          <w:p w14:paraId="45E5EB81" w14:textId="5E4A6EBC" w:rsidR="00FE51C7" w:rsidRPr="00787196" w:rsidRDefault="00FE51C7" w:rsidP="00585972">
            <w:pPr>
              <w:spacing w:before="0" w:after="0" w:line="240" w:lineRule="auto"/>
              <w:jc w:val="center"/>
              <w:rPr>
                <w:sz w:val="20"/>
                <w:szCs w:val="20"/>
              </w:rPr>
            </w:pPr>
          </w:p>
        </w:tc>
        <w:tc>
          <w:tcPr>
            <w:tcW w:w="1247" w:type="dxa"/>
            <w:tcBorders>
              <w:left w:val="nil"/>
              <w:right w:val="nil"/>
            </w:tcBorders>
            <w:shd w:val="clear" w:color="auto" w:fill="FFFFFF"/>
            <w:vAlign w:val="center"/>
          </w:tcPr>
          <w:p w14:paraId="20888862" w14:textId="77777777" w:rsidR="00FE51C7" w:rsidRPr="00787196" w:rsidRDefault="00FE51C7" w:rsidP="00585972">
            <w:pPr>
              <w:spacing w:before="0" w:after="0" w:line="240" w:lineRule="auto"/>
              <w:jc w:val="center"/>
              <w:rPr>
                <w:sz w:val="20"/>
                <w:szCs w:val="20"/>
              </w:rPr>
            </w:pPr>
          </w:p>
        </w:tc>
        <w:tc>
          <w:tcPr>
            <w:tcW w:w="1101" w:type="dxa"/>
            <w:tcBorders>
              <w:left w:val="nil"/>
              <w:right w:val="nil"/>
            </w:tcBorders>
            <w:shd w:val="clear" w:color="auto" w:fill="FFFFFF"/>
            <w:vAlign w:val="center"/>
          </w:tcPr>
          <w:p w14:paraId="30E4ED3F" w14:textId="77777777" w:rsidR="00FE51C7" w:rsidRPr="00787196" w:rsidRDefault="00FE51C7" w:rsidP="00585972">
            <w:pPr>
              <w:spacing w:before="0" w:after="0" w:line="240" w:lineRule="auto"/>
              <w:jc w:val="center"/>
              <w:rPr>
                <w:sz w:val="20"/>
                <w:szCs w:val="20"/>
              </w:rPr>
            </w:pPr>
          </w:p>
        </w:tc>
      </w:tr>
      <w:tr w:rsidR="00FE51C7" w:rsidRPr="00787196" w14:paraId="24B4AFD0" w14:textId="77777777" w:rsidTr="00AC1C55">
        <w:trPr>
          <w:trHeight w:val="113"/>
        </w:trPr>
        <w:tc>
          <w:tcPr>
            <w:tcW w:w="3115" w:type="dxa"/>
            <w:shd w:val="clear" w:color="auto" w:fill="FFFFFF"/>
          </w:tcPr>
          <w:p w14:paraId="78BE61B7" w14:textId="77777777" w:rsidR="00FE51C7" w:rsidRPr="00787196" w:rsidRDefault="00FE51C7" w:rsidP="00585972">
            <w:pPr>
              <w:spacing w:before="0" w:after="0"/>
              <w:jc w:val="left"/>
              <w:rPr>
                <w:sz w:val="20"/>
                <w:szCs w:val="20"/>
                <w:u w:val="single"/>
              </w:rPr>
            </w:pPr>
            <w:r w:rsidRPr="00787196">
              <w:rPr>
                <w:sz w:val="20"/>
                <w:szCs w:val="20"/>
                <w:u w:val="single"/>
              </w:rPr>
              <w:t>Excluded variables</w:t>
            </w:r>
          </w:p>
        </w:tc>
        <w:tc>
          <w:tcPr>
            <w:tcW w:w="1193" w:type="dxa"/>
            <w:tcBorders>
              <w:left w:val="nil"/>
              <w:right w:val="nil"/>
            </w:tcBorders>
            <w:shd w:val="clear" w:color="auto" w:fill="FFFFFF"/>
          </w:tcPr>
          <w:p w14:paraId="3AB7AF74" w14:textId="77777777" w:rsidR="00FE51C7" w:rsidRPr="00787196" w:rsidRDefault="00FE51C7" w:rsidP="00585972">
            <w:pPr>
              <w:spacing w:before="0" w:after="0" w:line="240" w:lineRule="auto"/>
              <w:rPr>
                <w:sz w:val="20"/>
                <w:szCs w:val="20"/>
              </w:rPr>
            </w:pPr>
          </w:p>
        </w:tc>
        <w:tc>
          <w:tcPr>
            <w:tcW w:w="885" w:type="dxa"/>
            <w:tcBorders>
              <w:left w:val="nil"/>
              <w:right w:val="nil"/>
            </w:tcBorders>
            <w:shd w:val="clear" w:color="auto" w:fill="FFFFFF"/>
          </w:tcPr>
          <w:p w14:paraId="5E60B55F" w14:textId="77777777" w:rsidR="00FE51C7" w:rsidRPr="00787196" w:rsidRDefault="00FE51C7" w:rsidP="00585972">
            <w:pPr>
              <w:spacing w:before="0" w:after="0" w:line="240" w:lineRule="auto"/>
              <w:rPr>
                <w:sz w:val="20"/>
                <w:szCs w:val="20"/>
              </w:rPr>
            </w:pPr>
          </w:p>
        </w:tc>
        <w:tc>
          <w:tcPr>
            <w:tcW w:w="874" w:type="dxa"/>
            <w:tcBorders>
              <w:left w:val="nil"/>
              <w:right w:val="nil"/>
            </w:tcBorders>
            <w:shd w:val="clear" w:color="auto" w:fill="FFFFFF"/>
          </w:tcPr>
          <w:p w14:paraId="380DD3DC" w14:textId="1E91E73C" w:rsidR="00FE51C7" w:rsidRPr="00787196" w:rsidRDefault="00FE51C7" w:rsidP="00585972">
            <w:pPr>
              <w:spacing w:before="0" w:after="0" w:line="240" w:lineRule="auto"/>
              <w:rPr>
                <w:sz w:val="20"/>
                <w:szCs w:val="20"/>
              </w:rPr>
            </w:pPr>
          </w:p>
        </w:tc>
        <w:tc>
          <w:tcPr>
            <w:tcW w:w="1247" w:type="dxa"/>
            <w:tcBorders>
              <w:left w:val="nil"/>
              <w:right w:val="nil"/>
            </w:tcBorders>
            <w:shd w:val="clear" w:color="auto" w:fill="FFFFFF"/>
          </w:tcPr>
          <w:p w14:paraId="058563A3" w14:textId="77777777" w:rsidR="00FE51C7" w:rsidRPr="00787196" w:rsidRDefault="00FE51C7" w:rsidP="00585972">
            <w:pPr>
              <w:spacing w:before="0" w:after="0" w:line="240" w:lineRule="auto"/>
              <w:rPr>
                <w:sz w:val="20"/>
                <w:szCs w:val="20"/>
              </w:rPr>
            </w:pPr>
          </w:p>
        </w:tc>
        <w:tc>
          <w:tcPr>
            <w:tcW w:w="1101" w:type="dxa"/>
            <w:tcBorders>
              <w:left w:val="nil"/>
              <w:right w:val="nil"/>
            </w:tcBorders>
            <w:shd w:val="clear" w:color="auto" w:fill="FFFFFF"/>
          </w:tcPr>
          <w:p w14:paraId="694C06FB" w14:textId="77777777" w:rsidR="00FE51C7" w:rsidRPr="00787196" w:rsidRDefault="00FE51C7" w:rsidP="00585972">
            <w:pPr>
              <w:spacing w:before="0" w:after="0" w:line="240" w:lineRule="auto"/>
              <w:rPr>
                <w:sz w:val="20"/>
                <w:szCs w:val="20"/>
              </w:rPr>
            </w:pPr>
          </w:p>
        </w:tc>
      </w:tr>
      <w:tr w:rsidR="00FE51C7" w:rsidRPr="00787196" w14:paraId="3C3DBFF5" w14:textId="77777777" w:rsidTr="00AC1C55">
        <w:trPr>
          <w:trHeight w:val="975"/>
        </w:trPr>
        <w:tc>
          <w:tcPr>
            <w:tcW w:w="3115" w:type="dxa"/>
            <w:shd w:val="clear" w:color="auto" w:fill="FFFFFF"/>
            <w:vAlign w:val="bottom"/>
          </w:tcPr>
          <w:p w14:paraId="42C9963B" w14:textId="77777777" w:rsidR="00FE51C7" w:rsidRPr="00787196" w:rsidRDefault="00FE51C7" w:rsidP="00585972">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prosthetic status (both arches)</w:t>
            </w:r>
            <w:r w:rsidRPr="00787196">
              <w:rPr>
                <w:rFonts w:cs="Arial"/>
                <w:color w:val="000000"/>
                <w:sz w:val="20"/>
                <w:szCs w:val="20"/>
                <w:vertAlign w:val="superscript"/>
              </w:rPr>
              <w:t xml:space="preserve">, </w:t>
            </w:r>
            <w:r w:rsidRPr="00787196">
              <w:rPr>
                <w:rFonts w:cs="Arial"/>
                <w:color w:val="000000"/>
                <w:sz w:val="20"/>
                <w:szCs w:val="20"/>
              </w:rPr>
              <w:t>prosthetic need (both arches), time since last tooth loss episode, OHQoL</w:t>
            </w:r>
          </w:p>
          <w:p w14:paraId="4A951CD7" w14:textId="77777777" w:rsidR="00FE51C7" w:rsidRPr="00787196" w:rsidRDefault="00FE51C7" w:rsidP="00585972">
            <w:pPr>
              <w:autoSpaceDE w:val="0"/>
              <w:autoSpaceDN w:val="0"/>
              <w:adjustRightInd w:val="0"/>
              <w:spacing w:before="0" w:after="0" w:line="240" w:lineRule="auto"/>
              <w:jc w:val="left"/>
              <w:rPr>
                <w:rFonts w:cs="Arial"/>
                <w:color w:val="000000"/>
                <w:sz w:val="20"/>
                <w:szCs w:val="20"/>
              </w:rPr>
            </w:pPr>
          </w:p>
        </w:tc>
        <w:tc>
          <w:tcPr>
            <w:tcW w:w="1193" w:type="dxa"/>
            <w:tcBorders>
              <w:left w:val="nil"/>
              <w:right w:val="nil"/>
            </w:tcBorders>
            <w:shd w:val="clear" w:color="auto" w:fill="FFFFFF"/>
            <w:vAlign w:val="center"/>
          </w:tcPr>
          <w:p w14:paraId="558041EA"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885" w:type="dxa"/>
            <w:tcBorders>
              <w:left w:val="nil"/>
              <w:right w:val="nil"/>
            </w:tcBorders>
            <w:shd w:val="clear" w:color="auto" w:fill="FFFFFF"/>
          </w:tcPr>
          <w:p w14:paraId="076D7F36"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874" w:type="dxa"/>
            <w:tcBorders>
              <w:left w:val="nil"/>
              <w:right w:val="nil"/>
            </w:tcBorders>
            <w:shd w:val="clear" w:color="auto" w:fill="FFFFFF"/>
          </w:tcPr>
          <w:p w14:paraId="6B62C616" w14:textId="3F1AEFC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1247" w:type="dxa"/>
            <w:tcBorders>
              <w:left w:val="nil"/>
              <w:right w:val="nil"/>
            </w:tcBorders>
            <w:shd w:val="clear" w:color="auto" w:fill="FFFFFF"/>
          </w:tcPr>
          <w:p w14:paraId="47561C13"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c>
          <w:tcPr>
            <w:tcW w:w="1101" w:type="dxa"/>
            <w:tcBorders>
              <w:left w:val="nil"/>
              <w:right w:val="nil"/>
            </w:tcBorders>
            <w:shd w:val="clear" w:color="auto" w:fill="FFFFFF"/>
          </w:tcPr>
          <w:p w14:paraId="4D7FD5E6" w14:textId="77777777" w:rsidR="00FE51C7" w:rsidRPr="00787196" w:rsidRDefault="00FE51C7" w:rsidP="00585972">
            <w:pPr>
              <w:autoSpaceDE w:val="0"/>
              <w:autoSpaceDN w:val="0"/>
              <w:adjustRightInd w:val="0"/>
              <w:spacing w:before="0" w:after="0" w:line="240" w:lineRule="auto"/>
              <w:rPr>
                <w:rFonts w:cs="Arial"/>
                <w:color w:val="000000"/>
                <w:sz w:val="20"/>
                <w:szCs w:val="20"/>
              </w:rPr>
            </w:pPr>
          </w:p>
        </w:tc>
      </w:tr>
    </w:tbl>
    <w:p w14:paraId="27F9E6F5" w14:textId="13BC3221" w:rsidR="00713CBB" w:rsidRPr="00787196" w:rsidRDefault="00713CBB" w:rsidP="00755F46">
      <w:pPr>
        <w:spacing w:before="0" w:after="0" w:line="240" w:lineRule="auto"/>
        <w:rPr>
          <w:i/>
          <w:iCs/>
          <w:sz w:val="16"/>
          <w:szCs w:val="16"/>
        </w:rPr>
      </w:pPr>
      <w:r w:rsidRPr="00787196">
        <w:rPr>
          <w:i/>
          <w:iCs/>
          <w:sz w:val="16"/>
          <w:szCs w:val="16"/>
        </w:rPr>
        <w:t>**Correlation</w:t>
      </w:r>
      <w:r w:rsidR="00BB557F" w:rsidRPr="00787196">
        <w:rPr>
          <w:i/>
          <w:iCs/>
          <w:sz w:val="16"/>
          <w:szCs w:val="16"/>
        </w:rPr>
        <w:t xml:space="preserve"> </w:t>
      </w:r>
      <w:r w:rsidRPr="00787196">
        <w:rPr>
          <w:i/>
          <w:iCs/>
          <w:sz w:val="16"/>
          <w:szCs w:val="16"/>
        </w:rPr>
        <w:t>significant at 0.01 level (2-tailed)</w:t>
      </w:r>
    </w:p>
    <w:p w14:paraId="403B440A" w14:textId="38B0C7BF" w:rsidR="004A661D" w:rsidRPr="00787196" w:rsidRDefault="00713CBB" w:rsidP="00F576F7">
      <w:pPr>
        <w:spacing w:before="0" w:line="240" w:lineRule="auto"/>
        <w:rPr>
          <w:i/>
          <w:iCs/>
          <w:sz w:val="16"/>
          <w:szCs w:val="16"/>
        </w:rPr>
      </w:pPr>
      <w:r w:rsidRPr="00787196">
        <w:rPr>
          <w:i/>
          <w:iCs/>
          <w:sz w:val="16"/>
          <w:szCs w:val="16"/>
        </w:rPr>
        <w:t>*Correlation significant at the 0.05 level (2- tailed)</w:t>
      </w:r>
    </w:p>
    <w:p w14:paraId="46EE1127" w14:textId="77777777" w:rsidR="00F576F7" w:rsidRPr="00787196" w:rsidRDefault="002B56D0" w:rsidP="00F576F7">
      <w:pPr>
        <w:spacing w:before="0"/>
        <w:rPr>
          <w:szCs w:val="24"/>
        </w:rPr>
      </w:pPr>
      <w:r w:rsidRPr="00787196">
        <w:rPr>
          <w:szCs w:val="24"/>
        </w:rPr>
        <w:t xml:space="preserve">Table 5-29 </w:t>
      </w:r>
      <w:r w:rsidR="008E13D1" w:rsidRPr="00787196">
        <w:rPr>
          <w:szCs w:val="24"/>
        </w:rPr>
        <w:t>presents the</w:t>
      </w:r>
      <w:r w:rsidR="00D549DD" w:rsidRPr="00787196">
        <w:rPr>
          <w:szCs w:val="24"/>
        </w:rPr>
        <w:t xml:space="preserve"> best</w:t>
      </w:r>
      <w:r w:rsidR="008E13D1" w:rsidRPr="00787196">
        <w:rPr>
          <w:szCs w:val="24"/>
        </w:rPr>
        <w:t xml:space="preserve"> model for the predictors of </w:t>
      </w:r>
      <w:r w:rsidR="009C2F98" w:rsidRPr="00787196">
        <w:rPr>
          <w:szCs w:val="24"/>
        </w:rPr>
        <w:t>chewing ability</w:t>
      </w:r>
      <w:r w:rsidR="008E13D1" w:rsidRPr="00787196">
        <w:rPr>
          <w:szCs w:val="24"/>
        </w:rPr>
        <w:t xml:space="preserve">. Individuals with high </w:t>
      </w:r>
      <w:r w:rsidR="000279D3" w:rsidRPr="00787196">
        <w:rPr>
          <w:szCs w:val="24"/>
        </w:rPr>
        <w:t xml:space="preserve">chewing </w:t>
      </w:r>
      <w:r w:rsidR="008E13D1" w:rsidRPr="00787196">
        <w:rPr>
          <w:szCs w:val="24"/>
        </w:rPr>
        <w:t xml:space="preserve">scores, </w:t>
      </w:r>
      <w:r w:rsidR="000279D3" w:rsidRPr="00787196">
        <w:rPr>
          <w:szCs w:val="24"/>
        </w:rPr>
        <w:t>more</w:t>
      </w:r>
      <w:r w:rsidR="00D549DD" w:rsidRPr="00787196">
        <w:rPr>
          <w:szCs w:val="24"/>
        </w:rPr>
        <w:t xml:space="preserve"> teeth</w:t>
      </w:r>
      <w:r w:rsidR="008E13D1" w:rsidRPr="00787196">
        <w:rPr>
          <w:szCs w:val="24"/>
        </w:rPr>
        <w:t xml:space="preserve"> and l</w:t>
      </w:r>
      <w:r w:rsidR="000279D3" w:rsidRPr="00787196">
        <w:rPr>
          <w:szCs w:val="24"/>
        </w:rPr>
        <w:t xml:space="preserve">ower </w:t>
      </w:r>
      <w:r w:rsidR="00D549DD" w:rsidRPr="00787196">
        <w:rPr>
          <w:szCs w:val="24"/>
        </w:rPr>
        <w:t>OHIP 19 s</w:t>
      </w:r>
      <w:r w:rsidR="000279D3" w:rsidRPr="00787196">
        <w:rPr>
          <w:szCs w:val="24"/>
        </w:rPr>
        <w:t xml:space="preserve">cores </w:t>
      </w:r>
      <w:r w:rsidR="00D549DD" w:rsidRPr="00787196">
        <w:rPr>
          <w:szCs w:val="24"/>
        </w:rPr>
        <w:t>(better</w:t>
      </w:r>
      <w:r w:rsidR="000279D3" w:rsidRPr="00787196">
        <w:rPr>
          <w:szCs w:val="24"/>
        </w:rPr>
        <w:t xml:space="preserve"> OHQoL) </w:t>
      </w:r>
      <w:r w:rsidR="008E13D1" w:rsidRPr="00787196">
        <w:rPr>
          <w:szCs w:val="24"/>
        </w:rPr>
        <w:t xml:space="preserve">at baseline had higher </w:t>
      </w:r>
      <w:r w:rsidR="000279D3" w:rsidRPr="00787196">
        <w:rPr>
          <w:szCs w:val="24"/>
        </w:rPr>
        <w:t xml:space="preserve">chewing </w:t>
      </w:r>
      <w:r w:rsidR="007379D8" w:rsidRPr="00787196">
        <w:rPr>
          <w:szCs w:val="24"/>
        </w:rPr>
        <w:t xml:space="preserve">ability scores at </w:t>
      </w:r>
      <w:r w:rsidR="00F576F7" w:rsidRPr="00787196">
        <w:rPr>
          <w:szCs w:val="24"/>
        </w:rPr>
        <w:t>follow-up.</w:t>
      </w:r>
    </w:p>
    <w:p w14:paraId="4851DBF1" w14:textId="223D04A7" w:rsidR="00745B8D" w:rsidRPr="00787196" w:rsidRDefault="008E13D1" w:rsidP="008858C6">
      <w:pPr>
        <w:spacing w:before="0" w:after="0"/>
        <w:rPr>
          <w:b/>
          <w:bCs/>
          <w:sz w:val="20"/>
          <w:szCs w:val="20"/>
        </w:rPr>
      </w:pPr>
      <w:r w:rsidRPr="00787196">
        <w:rPr>
          <w:szCs w:val="24"/>
        </w:rPr>
        <w:t xml:space="preserve"> </w:t>
      </w:r>
      <w:bookmarkStart w:id="314" w:name="_Toc488655558"/>
      <w:r w:rsidR="002B56D0" w:rsidRPr="00787196">
        <w:rPr>
          <w:b/>
          <w:bCs/>
          <w:sz w:val="20"/>
          <w:szCs w:val="20"/>
        </w:rPr>
        <w:t xml:space="preserve">Table </w:t>
      </w:r>
      <w:r w:rsidR="000332A1" w:rsidRPr="00787196">
        <w:rPr>
          <w:b/>
          <w:bCs/>
          <w:sz w:val="20"/>
          <w:szCs w:val="20"/>
        </w:rPr>
        <w:fldChar w:fldCharType="begin"/>
      </w:r>
      <w:r w:rsidR="000332A1" w:rsidRPr="00787196">
        <w:rPr>
          <w:b/>
          <w:bCs/>
          <w:sz w:val="20"/>
          <w:szCs w:val="20"/>
        </w:rPr>
        <w:instrText xml:space="preserve"> STYLEREF 1 \s </w:instrText>
      </w:r>
      <w:r w:rsidR="000332A1" w:rsidRPr="00787196">
        <w:rPr>
          <w:b/>
          <w:bCs/>
          <w:sz w:val="20"/>
          <w:szCs w:val="20"/>
        </w:rPr>
        <w:fldChar w:fldCharType="separate"/>
      </w:r>
      <w:r w:rsidR="00C069BC" w:rsidRPr="00787196">
        <w:rPr>
          <w:b/>
          <w:bCs/>
          <w:noProof/>
          <w:sz w:val="20"/>
          <w:szCs w:val="20"/>
        </w:rPr>
        <w:t>5</w:t>
      </w:r>
      <w:r w:rsidR="000332A1" w:rsidRPr="00787196">
        <w:rPr>
          <w:b/>
          <w:bCs/>
          <w:sz w:val="20"/>
          <w:szCs w:val="20"/>
        </w:rPr>
        <w:fldChar w:fldCharType="end"/>
      </w:r>
      <w:r w:rsidR="000332A1" w:rsidRPr="00787196">
        <w:rPr>
          <w:b/>
          <w:bCs/>
          <w:sz w:val="20"/>
          <w:szCs w:val="20"/>
        </w:rPr>
        <w:noBreakHyphen/>
      </w:r>
      <w:r w:rsidR="000332A1" w:rsidRPr="00787196">
        <w:rPr>
          <w:b/>
          <w:bCs/>
          <w:sz w:val="20"/>
          <w:szCs w:val="20"/>
        </w:rPr>
        <w:fldChar w:fldCharType="begin"/>
      </w:r>
      <w:r w:rsidR="000332A1" w:rsidRPr="00787196">
        <w:rPr>
          <w:b/>
          <w:bCs/>
          <w:sz w:val="20"/>
          <w:szCs w:val="20"/>
        </w:rPr>
        <w:instrText xml:space="preserve"> SEQ Table \* ARABIC \s 1 </w:instrText>
      </w:r>
      <w:r w:rsidR="000332A1" w:rsidRPr="00787196">
        <w:rPr>
          <w:b/>
          <w:bCs/>
          <w:sz w:val="20"/>
          <w:szCs w:val="20"/>
        </w:rPr>
        <w:fldChar w:fldCharType="separate"/>
      </w:r>
      <w:r w:rsidR="00C069BC" w:rsidRPr="00787196">
        <w:rPr>
          <w:b/>
          <w:bCs/>
          <w:noProof/>
          <w:sz w:val="20"/>
          <w:szCs w:val="20"/>
        </w:rPr>
        <w:t>29</w:t>
      </w:r>
      <w:r w:rsidR="000332A1" w:rsidRPr="00787196">
        <w:rPr>
          <w:b/>
          <w:bCs/>
          <w:sz w:val="20"/>
          <w:szCs w:val="20"/>
        </w:rPr>
        <w:fldChar w:fldCharType="end"/>
      </w:r>
      <w:r w:rsidR="002B56D0" w:rsidRPr="00787196">
        <w:rPr>
          <w:b/>
          <w:bCs/>
          <w:sz w:val="20"/>
          <w:szCs w:val="20"/>
        </w:rPr>
        <w:t>. Stepwise multiple regression model for chewing ability at follow-up (T2)</w:t>
      </w:r>
      <w:bookmarkEnd w:id="314"/>
    </w:p>
    <w:tbl>
      <w:tblPr>
        <w:tblpPr w:leftFromText="180" w:rightFromText="180" w:vertAnchor="text" w:horzAnchor="margin" w:tblpY="87"/>
        <w:tblW w:w="8432" w:type="dxa"/>
        <w:tblBorders>
          <w:top w:val="single" w:sz="8" w:space="0" w:color="000000"/>
          <w:bottom w:val="single" w:sz="8" w:space="0" w:color="000000"/>
        </w:tblBorders>
        <w:tblLook w:val="04A0" w:firstRow="1" w:lastRow="0" w:firstColumn="1" w:lastColumn="0" w:noHBand="0" w:noVBand="1"/>
      </w:tblPr>
      <w:tblGrid>
        <w:gridCol w:w="2694"/>
        <w:gridCol w:w="1417"/>
        <w:gridCol w:w="1190"/>
        <w:gridCol w:w="843"/>
        <w:gridCol w:w="1215"/>
        <w:gridCol w:w="1073"/>
      </w:tblGrid>
      <w:tr w:rsidR="00331C56" w:rsidRPr="00787196" w14:paraId="23F1BF62" w14:textId="71198060" w:rsidTr="00331C56">
        <w:trPr>
          <w:trHeight w:val="400"/>
        </w:trPr>
        <w:tc>
          <w:tcPr>
            <w:tcW w:w="2694" w:type="dxa"/>
            <w:tcBorders>
              <w:top w:val="single" w:sz="8" w:space="0" w:color="000000"/>
              <w:bottom w:val="single" w:sz="8" w:space="0" w:color="000000"/>
            </w:tcBorders>
            <w:shd w:val="clear" w:color="auto" w:fill="FFFFFF"/>
            <w:vAlign w:val="center"/>
          </w:tcPr>
          <w:p w14:paraId="46A23DC6" w14:textId="46412B3E" w:rsidR="00331C56" w:rsidRPr="00787196" w:rsidRDefault="00331C56" w:rsidP="002B56D0">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Predictors of Chewing ability at follow-up (T2)</w:t>
            </w:r>
          </w:p>
        </w:tc>
        <w:tc>
          <w:tcPr>
            <w:tcW w:w="1417" w:type="dxa"/>
            <w:tcBorders>
              <w:top w:val="single" w:sz="8" w:space="0" w:color="000000"/>
              <w:bottom w:val="single" w:sz="8" w:space="0" w:color="000000"/>
            </w:tcBorders>
            <w:shd w:val="clear" w:color="auto" w:fill="FFFFFF"/>
            <w:vAlign w:val="center"/>
          </w:tcPr>
          <w:p w14:paraId="5928A759" w14:textId="77777777" w:rsidR="00331C56" w:rsidRPr="00787196" w:rsidRDefault="00331C56" w:rsidP="002B56D0">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1190" w:type="dxa"/>
            <w:tcBorders>
              <w:top w:val="single" w:sz="8" w:space="0" w:color="000000"/>
              <w:bottom w:val="single" w:sz="8" w:space="0" w:color="000000"/>
            </w:tcBorders>
            <w:shd w:val="clear" w:color="auto" w:fill="FFFFFF"/>
            <w:vAlign w:val="center"/>
          </w:tcPr>
          <w:p w14:paraId="0C5FDB78" w14:textId="720B4F69" w:rsidR="00331C56" w:rsidRPr="00787196" w:rsidRDefault="00331C56" w:rsidP="00331C56">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43" w:type="dxa"/>
            <w:tcBorders>
              <w:top w:val="single" w:sz="8" w:space="0" w:color="000000"/>
              <w:bottom w:val="single" w:sz="8" w:space="0" w:color="000000"/>
            </w:tcBorders>
            <w:shd w:val="clear" w:color="auto" w:fill="FFFFFF"/>
            <w:vAlign w:val="center"/>
          </w:tcPr>
          <w:p w14:paraId="788D435F" w14:textId="3BD242F7" w:rsidR="00331C56" w:rsidRPr="00787196" w:rsidRDefault="00331C56" w:rsidP="002B56D0">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215" w:type="dxa"/>
            <w:tcBorders>
              <w:top w:val="single" w:sz="8" w:space="0" w:color="000000"/>
              <w:bottom w:val="single" w:sz="8" w:space="0" w:color="000000"/>
            </w:tcBorders>
            <w:shd w:val="clear" w:color="auto" w:fill="FFFFFF"/>
            <w:vAlign w:val="center"/>
          </w:tcPr>
          <w:p w14:paraId="5E5E895F" w14:textId="5CCEBA7D" w:rsidR="00331C56" w:rsidRPr="00787196" w:rsidRDefault="00331C56" w:rsidP="002B56D0">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6BC8F712" w14:textId="77777777" w:rsidR="00331C56" w:rsidRPr="00787196" w:rsidRDefault="00331C56" w:rsidP="002B56D0">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073" w:type="dxa"/>
            <w:tcBorders>
              <w:top w:val="single" w:sz="8" w:space="0" w:color="000000"/>
              <w:bottom w:val="single" w:sz="8" w:space="0" w:color="000000"/>
            </w:tcBorders>
            <w:shd w:val="clear" w:color="auto" w:fill="FFFFFF"/>
            <w:vAlign w:val="center"/>
          </w:tcPr>
          <w:p w14:paraId="17BB6D85" w14:textId="01D53544" w:rsidR="00331C56" w:rsidRPr="00787196" w:rsidRDefault="00331C56" w:rsidP="002B56D0">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0C654416" w14:textId="77777777" w:rsidR="00331C56" w:rsidRPr="00787196" w:rsidRDefault="00331C56" w:rsidP="002B56D0">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331C56" w:rsidRPr="00787196" w14:paraId="526F28CE" w14:textId="2282A750" w:rsidTr="00331C56">
        <w:trPr>
          <w:trHeight w:val="86"/>
        </w:trPr>
        <w:tc>
          <w:tcPr>
            <w:tcW w:w="2694" w:type="dxa"/>
            <w:shd w:val="clear" w:color="auto" w:fill="FFFFFF"/>
            <w:vAlign w:val="bottom"/>
          </w:tcPr>
          <w:p w14:paraId="0C47DFB5" w14:textId="77777777" w:rsidR="00331C56" w:rsidRPr="00787196" w:rsidRDefault="00331C56" w:rsidP="002B56D0">
            <w:pPr>
              <w:autoSpaceDE w:val="0"/>
              <w:autoSpaceDN w:val="0"/>
              <w:adjustRightInd w:val="0"/>
              <w:spacing w:before="0" w:after="0" w:line="240" w:lineRule="auto"/>
              <w:jc w:val="left"/>
              <w:rPr>
                <w:rFonts w:cs="Arial"/>
                <w:b/>
                <w:bCs/>
                <w:color w:val="000000"/>
                <w:sz w:val="20"/>
                <w:szCs w:val="20"/>
              </w:rPr>
            </w:pPr>
          </w:p>
        </w:tc>
        <w:tc>
          <w:tcPr>
            <w:tcW w:w="1417" w:type="dxa"/>
            <w:tcBorders>
              <w:left w:val="nil"/>
              <w:right w:val="nil"/>
            </w:tcBorders>
            <w:shd w:val="clear" w:color="auto" w:fill="FFFFFF"/>
            <w:vAlign w:val="center"/>
          </w:tcPr>
          <w:p w14:paraId="3C5DD2B5" w14:textId="77777777" w:rsidR="00331C56" w:rsidRPr="00787196" w:rsidRDefault="00331C56" w:rsidP="002B56D0">
            <w:pPr>
              <w:autoSpaceDE w:val="0"/>
              <w:autoSpaceDN w:val="0"/>
              <w:adjustRightInd w:val="0"/>
              <w:spacing w:before="0" w:after="0" w:line="240" w:lineRule="auto"/>
              <w:jc w:val="center"/>
              <w:rPr>
                <w:rFonts w:cs="Arial"/>
                <w:color w:val="000000"/>
                <w:sz w:val="20"/>
                <w:szCs w:val="20"/>
              </w:rPr>
            </w:pPr>
          </w:p>
        </w:tc>
        <w:tc>
          <w:tcPr>
            <w:tcW w:w="1190" w:type="dxa"/>
            <w:tcBorders>
              <w:left w:val="nil"/>
              <w:right w:val="nil"/>
            </w:tcBorders>
            <w:shd w:val="clear" w:color="auto" w:fill="FFFFFF"/>
          </w:tcPr>
          <w:p w14:paraId="65771AD2" w14:textId="77777777" w:rsidR="00331C56" w:rsidRPr="00787196" w:rsidRDefault="00331C56" w:rsidP="002B56D0">
            <w:pPr>
              <w:autoSpaceDE w:val="0"/>
              <w:autoSpaceDN w:val="0"/>
              <w:adjustRightInd w:val="0"/>
              <w:spacing w:before="0" w:after="0" w:line="240" w:lineRule="auto"/>
              <w:jc w:val="center"/>
              <w:rPr>
                <w:rFonts w:cs="Arial"/>
                <w:color w:val="000000"/>
                <w:sz w:val="20"/>
                <w:szCs w:val="20"/>
              </w:rPr>
            </w:pPr>
          </w:p>
        </w:tc>
        <w:tc>
          <w:tcPr>
            <w:tcW w:w="843" w:type="dxa"/>
            <w:tcBorders>
              <w:left w:val="nil"/>
              <w:right w:val="nil"/>
            </w:tcBorders>
            <w:shd w:val="clear" w:color="auto" w:fill="FFFFFF"/>
            <w:vAlign w:val="center"/>
          </w:tcPr>
          <w:p w14:paraId="40C2DF56" w14:textId="547346FC" w:rsidR="00331C56" w:rsidRPr="00787196" w:rsidRDefault="00331C56" w:rsidP="002B56D0">
            <w:pPr>
              <w:autoSpaceDE w:val="0"/>
              <w:autoSpaceDN w:val="0"/>
              <w:adjustRightInd w:val="0"/>
              <w:spacing w:before="0" w:after="0" w:line="240" w:lineRule="auto"/>
              <w:jc w:val="center"/>
              <w:rPr>
                <w:rFonts w:cs="Arial"/>
                <w:color w:val="000000"/>
                <w:sz w:val="20"/>
                <w:szCs w:val="20"/>
              </w:rPr>
            </w:pPr>
          </w:p>
        </w:tc>
        <w:tc>
          <w:tcPr>
            <w:tcW w:w="1215" w:type="dxa"/>
            <w:tcBorders>
              <w:left w:val="nil"/>
              <w:right w:val="nil"/>
            </w:tcBorders>
            <w:shd w:val="clear" w:color="auto" w:fill="FFFFFF"/>
            <w:vAlign w:val="center"/>
          </w:tcPr>
          <w:p w14:paraId="0EFEC960" w14:textId="77777777" w:rsidR="00331C56" w:rsidRPr="00787196" w:rsidRDefault="00331C56" w:rsidP="002B56D0">
            <w:pPr>
              <w:autoSpaceDE w:val="0"/>
              <w:autoSpaceDN w:val="0"/>
              <w:adjustRightInd w:val="0"/>
              <w:spacing w:before="0" w:after="0" w:line="240" w:lineRule="auto"/>
              <w:jc w:val="center"/>
              <w:rPr>
                <w:rFonts w:cs="Arial"/>
                <w:color w:val="000000"/>
                <w:sz w:val="20"/>
                <w:szCs w:val="20"/>
              </w:rPr>
            </w:pPr>
          </w:p>
        </w:tc>
        <w:tc>
          <w:tcPr>
            <w:tcW w:w="1073" w:type="dxa"/>
            <w:tcBorders>
              <w:left w:val="nil"/>
              <w:right w:val="nil"/>
            </w:tcBorders>
            <w:shd w:val="clear" w:color="auto" w:fill="FFFFFF"/>
            <w:vAlign w:val="center"/>
          </w:tcPr>
          <w:p w14:paraId="5F802743" w14:textId="77777777" w:rsidR="00331C56" w:rsidRPr="00787196" w:rsidRDefault="00331C56" w:rsidP="002B56D0">
            <w:pPr>
              <w:autoSpaceDE w:val="0"/>
              <w:autoSpaceDN w:val="0"/>
              <w:adjustRightInd w:val="0"/>
              <w:spacing w:before="0" w:after="0" w:line="240" w:lineRule="auto"/>
              <w:jc w:val="center"/>
              <w:rPr>
                <w:rFonts w:cs="Arial"/>
                <w:color w:val="000000"/>
                <w:sz w:val="20"/>
                <w:szCs w:val="20"/>
              </w:rPr>
            </w:pPr>
          </w:p>
        </w:tc>
      </w:tr>
      <w:tr w:rsidR="00331C56" w:rsidRPr="00787196" w14:paraId="1EACA1F5" w14:textId="4510C3AF" w:rsidTr="00331C56">
        <w:trPr>
          <w:trHeight w:val="328"/>
        </w:trPr>
        <w:tc>
          <w:tcPr>
            <w:tcW w:w="2694" w:type="dxa"/>
            <w:shd w:val="clear" w:color="auto" w:fill="FFFFFF"/>
            <w:vAlign w:val="center"/>
          </w:tcPr>
          <w:p w14:paraId="0D7D3D28"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Chewing ability (baseline)</w:t>
            </w:r>
          </w:p>
        </w:tc>
        <w:tc>
          <w:tcPr>
            <w:tcW w:w="1417" w:type="dxa"/>
            <w:tcBorders>
              <w:left w:val="nil"/>
              <w:right w:val="nil"/>
            </w:tcBorders>
            <w:shd w:val="clear" w:color="auto" w:fill="FFFFFF"/>
            <w:vAlign w:val="center"/>
          </w:tcPr>
          <w:p w14:paraId="189FE49A" w14:textId="18D67CF2"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0.569**</w:t>
            </w:r>
          </w:p>
        </w:tc>
        <w:tc>
          <w:tcPr>
            <w:tcW w:w="1190" w:type="dxa"/>
            <w:tcBorders>
              <w:left w:val="nil"/>
              <w:right w:val="nil"/>
            </w:tcBorders>
            <w:shd w:val="clear" w:color="auto" w:fill="FFFFFF"/>
            <w:vAlign w:val="center"/>
          </w:tcPr>
          <w:p w14:paraId="0E3ACA16" w14:textId="36F259FE"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153.47</w:t>
            </w:r>
          </w:p>
        </w:tc>
        <w:tc>
          <w:tcPr>
            <w:tcW w:w="843" w:type="dxa"/>
            <w:tcBorders>
              <w:left w:val="nil"/>
              <w:right w:val="nil"/>
            </w:tcBorders>
            <w:shd w:val="clear" w:color="auto" w:fill="FFFFFF"/>
            <w:vAlign w:val="center"/>
          </w:tcPr>
          <w:p w14:paraId="43BAED73" w14:textId="254CCBFF"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0.448</w:t>
            </w:r>
          </w:p>
        </w:tc>
        <w:tc>
          <w:tcPr>
            <w:tcW w:w="1215" w:type="dxa"/>
            <w:tcBorders>
              <w:left w:val="nil"/>
              <w:right w:val="nil"/>
            </w:tcBorders>
            <w:shd w:val="clear" w:color="auto" w:fill="FFFFFF"/>
            <w:vAlign w:val="center"/>
          </w:tcPr>
          <w:p w14:paraId="75342C97"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0.445</w:t>
            </w:r>
          </w:p>
        </w:tc>
        <w:tc>
          <w:tcPr>
            <w:tcW w:w="1073" w:type="dxa"/>
            <w:tcBorders>
              <w:left w:val="nil"/>
              <w:right w:val="nil"/>
            </w:tcBorders>
            <w:shd w:val="clear" w:color="auto" w:fill="FFFFFF"/>
            <w:vAlign w:val="center"/>
          </w:tcPr>
          <w:p w14:paraId="6D9F988F"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0.448</w:t>
            </w:r>
          </w:p>
        </w:tc>
      </w:tr>
      <w:tr w:rsidR="00331C56" w:rsidRPr="00787196" w14:paraId="0AD31446" w14:textId="5AD0C6BB" w:rsidTr="00331C56">
        <w:trPr>
          <w:trHeight w:val="328"/>
        </w:trPr>
        <w:tc>
          <w:tcPr>
            <w:tcW w:w="2694" w:type="dxa"/>
            <w:shd w:val="clear" w:color="auto" w:fill="FFFFFF"/>
            <w:vAlign w:val="center"/>
          </w:tcPr>
          <w:p w14:paraId="5FCDFF28" w14:textId="56281F7A" w:rsidR="00331C56" w:rsidRPr="00787196" w:rsidRDefault="00C23884" w:rsidP="00331C56">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Number of t</w:t>
            </w:r>
            <w:r w:rsidR="00331C56" w:rsidRPr="00787196">
              <w:rPr>
                <w:rFonts w:cs="Arial"/>
                <w:color w:val="000000"/>
                <w:sz w:val="20"/>
                <w:szCs w:val="20"/>
              </w:rPr>
              <w:t>eeth present (dentition)</w:t>
            </w:r>
          </w:p>
        </w:tc>
        <w:tc>
          <w:tcPr>
            <w:tcW w:w="1417" w:type="dxa"/>
            <w:tcBorders>
              <w:left w:val="nil"/>
              <w:right w:val="nil"/>
            </w:tcBorders>
            <w:shd w:val="clear" w:color="auto" w:fill="FFFFFF"/>
            <w:vAlign w:val="center"/>
          </w:tcPr>
          <w:p w14:paraId="7CC2827C" w14:textId="778415AB"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-0.163**</w:t>
            </w:r>
          </w:p>
        </w:tc>
        <w:tc>
          <w:tcPr>
            <w:tcW w:w="1190" w:type="dxa"/>
            <w:tcBorders>
              <w:left w:val="nil"/>
              <w:right w:val="nil"/>
            </w:tcBorders>
            <w:shd w:val="clear" w:color="auto" w:fill="FFFFFF"/>
            <w:vAlign w:val="center"/>
          </w:tcPr>
          <w:p w14:paraId="1766BD8A" w14:textId="0A734004"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83.932</w:t>
            </w:r>
          </w:p>
        </w:tc>
        <w:tc>
          <w:tcPr>
            <w:tcW w:w="843" w:type="dxa"/>
            <w:tcBorders>
              <w:left w:val="nil"/>
              <w:right w:val="nil"/>
            </w:tcBorders>
            <w:shd w:val="clear" w:color="auto" w:fill="FFFFFF"/>
            <w:vAlign w:val="center"/>
          </w:tcPr>
          <w:p w14:paraId="329ED927" w14:textId="0067564F"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0.462</w:t>
            </w:r>
          </w:p>
        </w:tc>
        <w:tc>
          <w:tcPr>
            <w:tcW w:w="1215" w:type="dxa"/>
            <w:tcBorders>
              <w:left w:val="nil"/>
              <w:right w:val="nil"/>
            </w:tcBorders>
            <w:shd w:val="clear" w:color="auto" w:fill="FFFFFF"/>
            <w:vAlign w:val="center"/>
          </w:tcPr>
          <w:p w14:paraId="12FD7F98"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0.462</w:t>
            </w:r>
          </w:p>
        </w:tc>
        <w:tc>
          <w:tcPr>
            <w:tcW w:w="1073" w:type="dxa"/>
            <w:tcBorders>
              <w:left w:val="nil"/>
              <w:right w:val="nil"/>
            </w:tcBorders>
            <w:shd w:val="clear" w:color="auto" w:fill="FFFFFF"/>
            <w:vAlign w:val="center"/>
          </w:tcPr>
          <w:p w14:paraId="22149634"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0.019</w:t>
            </w:r>
          </w:p>
        </w:tc>
      </w:tr>
      <w:tr w:rsidR="00331C56" w:rsidRPr="00787196" w14:paraId="1EA85D97" w14:textId="387585B8" w:rsidTr="00331C56">
        <w:trPr>
          <w:trHeight w:val="328"/>
        </w:trPr>
        <w:tc>
          <w:tcPr>
            <w:tcW w:w="2694" w:type="dxa"/>
            <w:shd w:val="clear" w:color="auto" w:fill="FFFFFF"/>
            <w:vAlign w:val="center"/>
          </w:tcPr>
          <w:p w14:paraId="5EBD6A90"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OHQoL (baseline)</w:t>
            </w:r>
          </w:p>
        </w:tc>
        <w:tc>
          <w:tcPr>
            <w:tcW w:w="1417" w:type="dxa"/>
            <w:tcBorders>
              <w:left w:val="nil"/>
              <w:right w:val="nil"/>
            </w:tcBorders>
            <w:shd w:val="clear" w:color="auto" w:fill="FFFFFF"/>
            <w:vAlign w:val="center"/>
          </w:tcPr>
          <w:p w14:paraId="23AE0BCD" w14:textId="21404572"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-0.116*</w:t>
            </w:r>
          </w:p>
        </w:tc>
        <w:tc>
          <w:tcPr>
            <w:tcW w:w="1190" w:type="dxa"/>
            <w:tcBorders>
              <w:left w:val="nil"/>
              <w:right w:val="nil"/>
            </w:tcBorders>
            <w:shd w:val="clear" w:color="auto" w:fill="FFFFFF"/>
            <w:vAlign w:val="center"/>
          </w:tcPr>
          <w:p w14:paraId="26D5431A" w14:textId="026B8BA9"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57.401</w:t>
            </w:r>
          </w:p>
        </w:tc>
        <w:tc>
          <w:tcPr>
            <w:tcW w:w="843" w:type="dxa"/>
            <w:tcBorders>
              <w:left w:val="nil"/>
              <w:right w:val="nil"/>
            </w:tcBorders>
            <w:shd w:val="clear" w:color="auto" w:fill="FFFFFF"/>
            <w:vAlign w:val="center"/>
          </w:tcPr>
          <w:p w14:paraId="274A8827" w14:textId="5B820A62"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0.489</w:t>
            </w:r>
          </w:p>
        </w:tc>
        <w:tc>
          <w:tcPr>
            <w:tcW w:w="1215" w:type="dxa"/>
            <w:tcBorders>
              <w:left w:val="nil"/>
              <w:right w:val="nil"/>
            </w:tcBorders>
            <w:shd w:val="clear" w:color="auto" w:fill="FFFFFF"/>
            <w:vAlign w:val="center"/>
          </w:tcPr>
          <w:p w14:paraId="7155FF2E"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0.471</w:t>
            </w:r>
          </w:p>
        </w:tc>
        <w:tc>
          <w:tcPr>
            <w:tcW w:w="1073" w:type="dxa"/>
            <w:tcBorders>
              <w:left w:val="nil"/>
              <w:right w:val="nil"/>
            </w:tcBorders>
            <w:shd w:val="clear" w:color="auto" w:fill="FFFFFF"/>
            <w:vAlign w:val="center"/>
          </w:tcPr>
          <w:p w14:paraId="0B2B7EB3" w14:textId="77777777" w:rsidR="00331C56" w:rsidRPr="00787196" w:rsidRDefault="00331C56" w:rsidP="00331C56">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0.012</w:t>
            </w:r>
          </w:p>
        </w:tc>
      </w:tr>
      <w:tr w:rsidR="00331C56" w:rsidRPr="00787196" w14:paraId="1D10180E" w14:textId="295EA7F2" w:rsidTr="00331C56">
        <w:trPr>
          <w:trHeight w:val="297"/>
        </w:trPr>
        <w:tc>
          <w:tcPr>
            <w:tcW w:w="2694" w:type="dxa"/>
            <w:shd w:val="clear" w:color="auto" w:fill="FFFFFF"/>
            <w:vAlign w:val="center"/>
          </w:tcPr>
          <w:p w14:paraId="2451B3AA" w14:textId="77777777" w:rsidR="00331C56" w:rsidRPr="00787196" w:rsidRDefault="00331C56" w:rsidP="00331C56">
            <w:pPr>
              <w:spacing w:before="0" w:after="0"/>
              <w:jc w:val="left"/>
              <w:rPr>
                <w:sz w:val="20"/>
                <w:szCs w:val="20"/>
                <w:u w:val="single"/>
              </w:rPr>
            </w:pPr>
            <w:r w:rsidRPr="00787196">
              <w:rPr>
                <w:sz w:val="20"/>
                <w:szCs w:val="20"/>
                <w:u w:val="single"/>
              </w:rPr>
              <w:t>Excluded variables</w:t>
            </w:r>
          </w:p>
        </w:tc>
        <w:tc>
          <w:tcPr>
            <w:tcW w:w="1417" w:type="dxa"/>
            <w:tcBorders>
              <w:left w:val="nil"/>
              <w:right w:val="nil"/>
            </w:tcBorders>
            <w:shd w:val="clear" w:color="auto" w:fill="FFFFFF"/>
            <w:vAlign w:val="center"/>
          </w:tcPr>
          <w:p w14:paraId="6D663B6D" w14:textId="77777777" w:rsidR="00331C56" w:rsidRPr="00787196" w:rsidRDefault="00331C56" w:rsidP="00331C56">
            <w:pPr>
              <w:spacing w:before="0" w:after="0" w:line="240" w:lineRule="auto"/>
              <w:jc w:val="left"/>
              <w:rPr>
                <w:sz w:val="20"/>
                <w:szCs w:val="20"/>
              </w:rPr>
            </w:pPr>
          </w:p>
        </w:tc>
        <w:tc>
          <w:tcPr>
            <w:tcW w:w="1190" w:type="dxa"/>
            <w:tcBorders>
              <w:left w:val="nil"/>
              <w:right w:val="nil"/>
            </w:tcBorders>
            <w:shd w:val="clear" w:color="auto" w:fill="FFFFFF"/>
            <w:vAlign w:val="center"/>
          </w:tcPr>
          <w:p w14:paraId="652BF3C3" w14:textId="77777777" w:rsidR="00331C56" w:rsidRPr="00787196" w:rsidRDefault="00331C56" w:rsidP="00331C56">
            <w:pPr>
              <w:spacing w:before="0" w:after="0" w:line="240" w:lineRule="auto"/>
              <w:jc w:val="left"/>
              <w:rPr>
                <w:sz w:val="20"/>
                <w:szCs w:val="20"/>
              </w:rPr>
            </w:pPr>
          </w:p>
        </w:tc>
        <w:tc>
          <w:tcPr>
            <w:tcW w:w="843" w:type="dxa"/>
            <w:tcBorders>
              <w:left w:val="nil"/>
              <w:right w:val="nil"/>
            </w:tcBorders>
            <w:shd w:val="clear" w:color="auto" w:fill="FFFFFF"/>
            <w:vAlign w:val="center"/>
          </w:tcPr>
          <w:p w14:paraId="2ECF91A3" w14:textId="495BE34E" w:rsidR="00331C56" w:rsidRPr="00787196" w:rsidRDefault="00331C56" w:rsidP="00331C56">
            <w:pPr>
              <w:spacing w:before="0" w:after="0" w:line="240" w:lineRule="auto"/>
              <w:jc w:val="left"/>
              <w:rPr>
                <w:sz w:val="20"/>
                <w:szCs w:val="20"/>
              </w:rPr>
            </w:pPr>
          </w:p>
        </w:tc>
        <w:tc>
          <w:tcPr>
            <w:tcW w:w="1215" w:type="dxa"/>
            <w:tcBorders>
              <w:left w:val="nil"/>
              <w:right w:val="nil"/>
            </w:tcBorders>
            <w:shd w:val="clear" w:color="auto" w:fill="FFFFFF"/>
            <w:vAlign w:val="center"/>
          </w:tcPr>
          <w:p w14:paraId="6C12F3FA" w14:textId="77777777" w:rsidR="00331C56" w:rsidRPr="00787196" w:rsidRDefault="00331C56" w:rsidP="00331C56">
            <w:pPr>
              <w:spacing w:before="0" w:after="0" w:line="240" w:lineRule="auto"/>
              <w:jc w:val="left"/>
              <w:rPr>
                <w:sz w:val="20"/>
                <w:szCs w:val="20"/>
              </w:rPr>
            </w:pPr>
          </w:p>
        </w:tc>
        <w:tc>
          <w:tcPr>
            <w:tcW w:w="1073" w:type="dxa"/>
            <w:tcBorders>
              <w:left w:val="nil"/>
              <w:right w:val="nil"/>
            </w:tcBorders>
            <w:shd w:val="clear" w:color="auto" w:fill="FFFFFF"/>
            <w:vAlign w:val="center"/>
          </w:tcPr>
          <w:p w14:paraId="2E26AEE3" w14:textId="77777777" w:rsidR="00331C56" w:rsidRPr="00787196" w:rsidRDefault="00331C56" w:rsidP="00331C56">
            <w:pPr>
              <w:spacing w:before="0" w:after="0" w:line="240" w:lineRule="auto"/>
              <w:jc w:val="left"/>
              <w:rPr>
                <w:sz w:val="20"/>
                <w:szCs w:val="20"/>
              </w:rPr>
            </w:pPr>
          </w:p>
        </w:tc>
      </w:tr>
      <w:tr w:rsidR="00331C56" w:rsidRPr="00787196" w14:paraId="024EEC26" w14:textId="39DA7D95" w:rsidTr="00331C56">
        <w:trPr>
          <w:trHeight w:val="328"/>
        </w:trPr>
        <w:tc>
          <w:tcPr>
            <w:tcW w:w="2694" w:type="dxa"/>
            <w:shd w:val="clear" w:color="auto" w:fill="FFFFFF"/>
            <w:vAlign w:val="center"/>
          </w:tcPr>
          <w:p w14:paraId="0D777F8B"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Age, occupation, no. of teeth present, occluding pairs, prosthetic need (both arches), time since last tooth loss episode, Denture satisfaction</w:t>
            </w:r>
          </w:p>
        </w:tc>
        <w:tc>
          <w:tcPr>
            <w:tcW w:w="1417" w:type="dxa"/>
            <w:tcBorders>
              <w:left w:val="nil"/>
              <w:right w:val="nil"/>
            </w:tcBorders>
            <w:shd w:val="clear" w:color="auto" w:fill="FFFFFF"/>
            <w:vAlign w:val="center"/>
          </w:tcPr>
          <w:p w14:paraId="3C64C2A6"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p>
        </w:tc>
        <w:tc>
          <w:tcPr>
            <w:tcW w:w="1190" w:type="dxa"/>
            <w:tcBorders>
              <w:left w:val="nil"/>
              <w:right w:val="nil"/>
            </w:tcBorders>
            <w:shd w:val="clear" w:color="auto" w:fill="FFFFFF"/>
            <w:vAlign w:val="center"/>
          </w:tcPr>
          <w:p w14:paraId="6896A7C6"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p>
        </w:tc>
        <w:tc>
          <w:tcPr>
            <w:tcW w:w="843" w:type="dxa"/>
            <w:tcBorders>
              <w:left w:val="nil"/>
              <w:right w:val="nil"/>
            </w:tcBorders>
            <w:shd w:val="clear" w:color="auto" w:fill="FFFFFF"/>
            <w:vAlign w:val="center"/>
          </w:tcPr>
          <w:p w14:paraId="1ECA54D4" w14:textId="6233642B" w:rsidR="00331C56" w:rsidRPr="00787196" w:rsidRDefault="00331C56" w:rsidP="00331C56">
            <w:pPr>
              <w:autoSpaceDE w:val="0"/>
              <w:autoSpaceDN w:val="0"/>
              <w:adjustRightInd w:val="0"/>
              <w:spacing w:before="0" w:after="0" w:line="240" w:lineRule="auto"/>
              <w:jc w:val="left"/>
              <w:rPr>
                <w:rFonts w:cs="Arial"/>
                <w:color w:val="000000"/>
                <w:sz w:val="20"/>
                <w:szCs w:val="20"/>
              </w:rPr>
            </w:pPr>
          </w:p>
        </w:tc>
        <w:tc>
          <w:tcPr>
            <w:tcW w:w="1215" w:type="dxa"/>
            <w:tcBorders>
              <w:left w:val="nil"/>
              <w:right w:val="nil"/>
            </w:tcBorders>
            <w:shd w:val="clear" w:color="auto" w:fill="FFFFFF"/>
            <w:vAlign w:val="center"/>
          </w:tcPr>
          <w:p w14:paraId="53251A8A"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p>
        </w:tc>
        <w:tc>
          <w:tcPr>
            <w:tcW w:w="1073" w:type="dxa"/>
            <w:tcBorders>
              <w:left w:val="nil"/>
              <w:right w:val="nil"/>
            </w:tcBorders>
            <w:shd w:val="clear" w:color="auto" w:fill="FFFFFF"/>
            <w:vAlign w:val="center"/>
          </w:tcPr>
          <w:p w14:paraId="5177F716" w14:textId="77777777" w:rsidR="00331C56" w:rsidRPr="00787196" w:rsidRDefault="00331C56" w:rsidP="00331C56">
            <w:pPr>
              <w:autoSpaceDE w:val="0"/>
              <w:autoSpaceDN w:val="0"/>
              <w:adjustRightInd w:val="0"/>
              <w:spacing w:before="0" w:after="0" w:line="240" w:lineRule="auto"/>
              <w:jc w:val="left"/>
              <w:rPr>
                <w:rFonts w:cs="Arial"/>
                <w:color w:val="000000"/>
                <w:sz w:val="20"/>
                <w:szCs w:val="20"/>
              </w:rPr>
            </w:pPr>
          </w:p>
        </w:tc>
      </w:tr>
      <w:tr w:rsidR="00331C56" w:rsidRPr="00787196" w14:paraId="5A375642" w14:textId="2C124A10" w:rsidTr="00331C56">
        <w:trPr>
          <w:trHeight w:val="106"/>
        </w:trPr>
        <w:tc>
          <w:tcPr>
            <w:tcW w:w="2694" w:type="dxa"/>
            <w:shd w:val="clear" w:color="auto" w:fill="FFFFFF"/>
            <w:vAlign w:val="bottom"/>
          </w:tcPr>
          <w:p w14:paraId="2C1073C4" w14:textId="77777777" w:rsidR="00331C56" w:rsidRPr="00787196" w:rsidRDefault="00331C56" w:rsidP="002B56D0">
            <w:pPr>
              <w:autoSpaceDE w:val="0"/>
              <w:autoSpaceDN w:val="0"/>
              <w:adjustRightInd w:val="0"/>
              <w:spacing w:before="0" w:after="0" w:line="240" w:lineRule="auto"/>
              <w:jc w:val="left"/>
              <w:rPr>
                <w:rFonts w:cs="Arial"/>
                <w:color w:val="000000"/>
                <w:sz w:val="18"/>
                <w:szCs w:val="18"/>
              </w:rPr>
            </w:pPr>
          </w:p>
        </w:tc>
        <w:tc>
          <w:tcPr>
            <w:tcW w:w="1417" w:type="dxa"/>
            <w:tcBorders>
              <w:left w:val="nil"/>
              <w:right w:val="nil"/>
            </w:tcBorders>
            <w:shd w:val="clear" w:color="auto" w:fill="FFFFFF"/>
            <w:vAlign w:val="center"/>
          </w:tcPr>
          <w:p w14:paraId="0E35F28F" w14:textId="77777777" w:rsidR="00331C56" w:rsidRPr="00787196" w:rsidRDefault="00331C56" w:rsidP="002B56D0">
            <w:pPr>
              <w:autoSpaceDE w:val="0"/>
              <w:autoSpaceDN w:val="0"/>
              <w:adjustRightInd w:val="0"/>
              <w:spacing w:before="0" w:after="0" w:line="240" w:lineRule="auto"/>
              <w:rPr>
                <w:rFonts w:cs="Arial"/>
                <w:color w:val="000000"/>
                <w:sz w:val="18"/>
                <w:szCs w:val="18"/>
              </w:rPr>
            </w:pPr>
          </w:p>
        </w:tc>
        <w:tc>
          <w:tcPr>
            <w:tcW w:w="1190" w:type="dxa"/>
            <w:tcBorders>
              <w:left w:val="nil"/>
              <w:right w:val="nil"/>
            </w:tcBorders>
            <w:shd w:val="clear" w:color="auto" w:fill="FFFFFF"/>
          </w:tcPr>
          <w:p w14:paraId="3F63C863" w14:textId="77777777" w:rsidR="00331C56" w:rsidRPr="00787196" w:rsidRDefault="00331C56" w:rsidP="002B56D0">
            <w:pPr>
              <w:autoSpaceDE w:val="0"/>
              <w:autoSpaceDN w:val="0"/>
              <w:adjustRightInd w:val="0"/>
              <w:spacing w:before="0" w:after="0" w:line="240" w:lineRule="auto"/>
              <w:rPr>
                <w:rFonts w:cs="Arial"/>
                <w:color w:val="000000"/>
                <w:sz w:val="18"/>
                <w:szCs w:val="18"/>
              </w:rPr>
            </w:pPr>
          </w:p>
        </w:tc>
        <w:tc>
          <w:tcPr>
            <w:tcW w:w="843" w:type="dxa"/>
            <w:tcBorders>
              <w:left w:val="nil"/>
              <w:right w:val="nil"/>
            </w:tcBorders>
            <w:shd w:val="clear" w:color="auto" w:fill="FFFFFF"/>
          </w:tcPr>
          <w:p w14:paraId="46A70EF2" w14:textId="76AF552E" w:rsidR="00331C56" w:rsidRPr="00787196" w:rsidRDefault="00331C56" w:rsidP="002B56D0">
            <w:pPr>
              <w:autoSpaceDE w:val="0"/>
              <w:autoSpaceDN w:val="0"/>
              <w:adjustRightInd w:val="0"/>
              <w:spacing w:before="0" w:after="0" w:line="240" w:lineRule="auto"/>
              <w:rPr>
                <w:rFonts w:cs="Arial"/>
                <w:color w:val="000000"/>
                <w:sz w:val="18"/>
                <w:szCs w:val="18"/>
              </w:rPr>
            </w:pPr>
          </w:p>
        </w:tc>
        <w:tc>
          <w:tcPr>
            <w:tcW w:w="1215" w:type="dxa"/>
            <w:tcBorders>
              <w:left w:val="nil"/>
              <w:right w:val="nil"/>
            </w:tcBorders>
            <w:shd w:val="clear" w:color="auto" w:fill="FFFFFF"/>
          </w:tcPr>
          <w:p w14:paraId="11F54032" w14:textId="77777777" w:rsidR="00331C56" w:rsidRPr="00787196" w:rsidRDefault="00331C56" w:rsidP="002B56D0">
            <w:pPr>
              <w:autoSpaceDE w:val="0"/>
              <w:autoSpaceDN w:val="0"/>
              <w:adjustRightInd w:val="0"/>
              <w:spacing w:before="0" w:after="0" w:line="240" w:lineRule="auto"/>
              <w:rPr>
                <w:rFonts w:cs="Arial"/>
                <w:color w:val="000000"/>
                <w:sz w:val="18"/>
                <w:szCs w:val="18"/>
              </w:rPr>
            </w:pPr>
          </w:p>
        </w:tc>
        <w:tc>
          <w:tcPr>
            <w:tcW w:w="1073" w:type="dxa"/>
            <w:tcBorders>
              <w:left w:val="nil"/>
              <w:right w:val="nil"/>
            </w:tcBorders>
            <w:shd w:val="clear" w:color="auto" w:fill="FFFFFF"/>
          </w:tcPr>
          <w:p w14:paraId="08AC6F52" w14:textId="77777777" w:rsidR="00331C56" w:rsidRPr="00787196" w:rsidRDefault="00331C56" w:rsidP="002B56D0">
            <w:pPr>
              <w:autoSpaceDE w:val="0"/>
              <w:autoSpaceDN w:val="0"/>
              <w:adjustRightInd w:val="0"/>
              <w:spacing w:before="0" w:after="0" w:line="240" w:lineRule="auto"/>
              <w:rPr>
                <w:rFonts w:cs="Arial"/>
                <w:color w:val="000000"/>
                <w:sz w:val="18"/>
                <w:szCs w:val="18"/>
              </w:rPr>
            </w:pPr>
          </w:p>
        </w:tc>
      </w:tr>
    </w:tbl>
    <w:p w14:paraId="7EED9230" w14:textId="77777777" w:rsidR="003016ED" w:rsidRPr="00787196" w:rsidRDefault="000279D3" w:rsidP="003016ED">
      <w:pPr>
        <w:spacing w:before="0" w:after="0" w:line="240" w:lineRule="auto"/>
        <w:rPr>
          <w:i/>
          <w:iCs/>
          <w:sz w:val="16"/>
          <w:szCs w:val="15"/>
        </w:rPr>
      </w:pPr>
      <w:r w:rsidRPr="00787196">
        <w:rPr>
          <w:i/>
          <w:iCs/>
          <w:sz w:val="16"/>
          <w:szCs w:val="15"/>
        </w:rPr>
        <w:t>**Correlation significant at 0.01 level (2-tailed)</w:t>
      </w:r>
    </w:p>
    <w:p w14:paraId="34FC7531" w14:textId="5428B0D7" w:rsidR="00F576F7" w:rsidRPr="00787196" w:rsidRDefault="000279D3" w:rsidP="00F576F7">
      <w:pPr>
        <w:spacing w:before="0" w:after="0" w:line="240" w:lineRule="auto"/>
        <w:rPr>
          <w:i/>
          <w:iCs/>
          <w:sz w:val="17"/>
          <w:szCs w:val="17"/>
        </w:rPr>
      </w:pPr>
      <w:r w:rsidRPr="00787196">
        <w:rPr>
          <w:i/>
          <w:iCs/>
          <w:sz w:val="16"/>
          <w:szCs w:val="15"/>
        </w:rPr>
        <w:t>*Correlation significant at the 0.05 level (2- tailed)</w:t>
      </w:r>
      <w:r w:rsidR="00F576F7" w:rsidRPr="00787196">
        <w:rPr>
          <w:i/>
          <w:iCs/>
          <w:sz w:val="17"/>
          <w:szCs w:val="17"/>
        </w:rPr>
        <w:br w:type="page"/>
      </w:r>
    </w:p>
    <w:p w14:paraId="35CF5054" w14:textId="77777777" w:rsidR="004A661D" w:rsidRPr="00787196" w:rsidRDefault="004A661D" w:rsidP="003016ED">
      <w:pPr>
        <w:spacing w:before="0" w:after="0" w:line="240" w:lineRule="auto"/>
        <w:rPr>
          <w:i/>
          <w:iCs/>
          <w:sz w:val="17"/>
          <w:szCs w:val="17"/>
        </w:rPr>
      </w:pPr>
    </w:p>
    <w:p w14:paraId="75D1C49D" w14:textId="0B70A344" w:rsidR="008858C6" w:rsidRPr="00787196" w:rsidRDefault="008858C6" w:rsidP="008858C6">
      <w:r w:rsidRPr="00787196">
        <w:rPr>
          <w:szCs w:val="24"/>
        </w:rPr>
        <w:t>The model explained 48.9% of the variation in chewing index scores at follow-up. Age</w:t>
      </w:r>
      <w:r w:rsidRPr="00787196">
        <w:rPr>
          <w:rFonts w:cs="Arial"/>
          <w:color w:val="000000"/>
          <w:szCs w:val="24"/>
        </w:rPr>
        <w:t>, occupation, no. of teeth present, occluding pairs, prosthetic need (both arches), time since last tooth loss episode, denture satisfaction</w:t>
      </w:r>
      <w:r w:rsidRPr="00787196">
        <w:rPr>
          <w:szCs w:val="24"/>
        </w:rPr>
        <w:t xml:space="preserve"> were tested in the model and excluded after testing.</w:t>
      </w:r>
    </w:p>
    <w:p w14:paraId="6B4A4115" w14:textId="1CFD94CF" w:rsidR="00AE1CDC" w:rsidRPr="00787196" w:rsidRDefault="00AE1CDC" w:rsidP="00D1431C">
      <w:pPr>
        <w:pStyle w:val="Heading3"/>
      </w:pPr>
      <w:bookmarkStart w:id="315" w:name="_Toc456211193"/>
      <w:bookmarkStart w:id="316" w:name="_Toc488655676"/>
      <w:r w:rsidRPr="00787196">
        <w:t>Regression analyses</w:t>
      </w:r>
      <w:r w:rsidR="003035BE" w:rsidRPr="00787196">
        <w:t>: Baseline predictors</w:t>
      </w:r>
      <w:r w:rsidRPr="00787196">
        <w:t xml:space="preserve"> </w:t>
      </w:r>
      <w:r w:rsidR="003035BE" w:rsidRPr="00787196">
        <w:t>of</w:t>
      </w:r>
      <w:r w:rsidR="008E76F4" w:rsidRPr="00787196">
        <w:t xml:space="preserve"> </w:t>
      </w:r>
      <w:r w:rsidR="00D1431C" w:rsidRPr="00787196">
        <w:t>Brief COPE factors</w:t>
      </w:r>
      <w:bookmarkEnd w:id="315"/>
      <w:r w:rsidR="008E76F4" w:rsidRPr="00787196">
        <w:t xml:space="preserve"> at follow-up</w:t>
      </w:r>
      <w:r w:rsidR="00D1431C" w:rsidRPr="00787196">
        <w:t xml:space="preserve"> (T2)</w:t>
      </w:r>
      <w:bookmarkEnd w:id="316"/>
    </w:p>
    <w:p w14:paraId="4D8DE6A9" w14:textId="4F8E50B9" w:rsidR="00AE1CDC" w:rsidRPr="00787196" w:rsidRDefault="00AE1CDC" w:rsidP="00B24D88">
      <w:r w:rsidRPr="00787196">
        <w:t xml:space="preserve">The bivariate analyses </w:t>
      </w:r>
      <w:r w:rsidR="00624787" w:rsidRPr="00787196">
        <w:t>(section</w:t>
      </w:r>
      <w:r w:rsidR="008E76F4" w:rsidRPr="00787196">
        <w:t xml:space="preserve"> 5.35</w:t>
      </w:r>
      <w:r w:rsidR="00624787" w:rsidRPr="00787196">
        <w:t xml:space="preserve">) </w:t>
      </w:r>
      <w:r w:rsidR="00197B0B" w:rsidRPr="00787196">
        <w:t>between baseline coping strategies clinical, individual, demographic, environmental variables and coping strategies at follow-up</w:t>
      </w:r>
      <w:r w:rsidRPr="00787196">
        <w:t xml:space="preserve"> </w:t>
      </w:r>
      <w:r w:rsidR="005D766E" w:rsidRPr="00787196">
        <w:t>showed</w:t>
      </w:r>
      <w:r w:rsidRPr="00787196">
        <w:t xml:space="preserve"> </w:t>
      </w:r>
      <w:r w:rsidR="00197B0B" w:rsidRPr="00787196">
        <w:t>certain</w:t>
      </w:r>
      <w:r w:rsidRPr="00787196">
        <w:t xml:space="preserve"> </w:t>
      </w:r>
      <w:r w:rsidR="00624787" w:rsidRPr="00787196">
        <w:t xml:space="preserve">significant </w:t>
      </w:r>
      <w:r w:rsidR="005D766E" w:rsidRPr="00787196">
        <w:t xml:space="preserve">associations </w:t>
      </w:r>
      <w:r w:rsidR="00197B0B" w:rsidRPr="00787196">
        <w:t xml:space="preserve">(Figure 5-3). To identify the predictors of coping strategies </w:t>
      </w:r>
      <w:r w:rsidR="00E73D53" w:rsidRPr="00787196">
        <w:t>(Objective 4) a series of lagged analyses were carried out by using forward stepwise multiple regression model.</w:t>
      </w:r>
    </w:p>
    <w:p w14:paraId="26B5867F" w14:textId="4BD7231D" w:rsidR="00E73D53" w:rsidRPr="00787196" w:rsidRDefault="002A5D13" w:rsidP="00F576F7">
      <w:pPr>
        <w:spacing w:before="0"/>
        <w:rPr>
          <w:sz w:val="22"/>
        </w:rPr>
      </w:pPr>
      <w:r w:rsidRPr="00787196">
        <w:rPr>
          <w:szCs w:val="24"/>
        </w:rPr>
        <w:t xml:space="preserve">Table 5-30 presents the best model for the predictors of </w:t>
      </w:r>
      <w:r w:rsidR="002161E4" w:rsidRPr="00787196">
        <w:rPr>
          <w:szCs w:val="24"/>
        </w:rPr>
        <w:t xml:space="preserve">inadequate, negative and </w:t>
      </w:r>
      <w:r w:rsidRPr="00787196">
        <w:rPr>
          <w:szCs w:val="24"/>
        </w:rPr>
        <w:t>avoidant coping strategy factor at follow-up</w:t>
      </w:r>
      <w:r w:rsidR="00930F04" w:rsidRPr="00787196">
        <w:rPr>
          <w:szCs w:val="24"/>
        </w:rPr>
        <w:t xml:space="preserve"> (T2)</w:t>
      </w:r>
      <w:r w:rsidRPr="00787196">
        <w:rPr>
          <w:szCs w:val="24"/>
        </w:rPr>
        <w:t xml:space="preserve">. </w:t>
      </w:r>
    </w:p>
    <w:p w14:paraId="1F7A21D7" w14:textId="4DE30150" w:rsidR="005B4E42" w:rsidRPr="00787196" w:rsidRDefault="00E73D53" w:rsidP="00D1431C">
      <w:pPr>
        <w:pStyle w:val="Caption"/>
        <w:jc w:val="mediumKashida"/>
        <w:rPr>
          <w:b/>
          <w:bCs/>
          <w:i w:val="0"/>
          <w:iCs w:val="0"/>
          <w:color w:val="auto"/>
          <w:sz w:val="20"/>
          <w:szCs w:val="20"/>
        </w:rPr>
      </w:pPr>
      <w:bookmarkStart w:id="317" w:name="_Toc488655559"/>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30</w:t>
      </w:r>
      <w:r w:rsidR="000332A1" w:rsidRPr="00787196">
        <w:rPr>
          <w:b/>
          <w:bCs/>
          <w:i w:val="0"/>
          <w:iCs w:val="0"/>
          <w:color w:val="auto"/>
          <w:sz w:val="20"/>
          <w:szCs w:val="20"/>
        </w:rPr>
        <w:fldChar w:fldCharType="end"/>
      </w:r>
      <w:r w:rsidR="00D0397C" w:rsidRPr="00787196">
        <w:rPr>
          <w:b/>
          <w:bCs/>
          <w:i w:val="0"/>
          <w:iCs w:val="0"/>
          <w:color w:val="auto"/>
          <w:sz w:val="20"/>
          <w:szCs w:val="20"/>
        </w:rPr>
        <w:t>.</w:t>
      </w:r>
      <w:r w:rsidRPr="00787196">
        <w:rPr>
          <w:b/>
          <w:bCs/>
          <w:i w:val="0"/>
          <w:iCs w:val="0"/>
          <w:color w:val="auto"/>
          <w:sz w:val="20"/>
          <w:szCs w:val="20"/>
        </w:rPr>
        <w:t xml:space="preserve"> Stepwise forward multiple regression model for Inadequate/negative/avoidant</w:t>
      </w:r>
      <w:r w:rsidR="00D1431C" w:rsidRPr="00787196">
        <w:rPr>
          <w:b/>
          <w:bCs/>
          <w:i w:val="0"/>
          <w:iCs w:val="0"/>
          <w:color w:val="auto"/>
          <w:sz w:val="20"/>
          <w:szCs w:val="20"/>
        </w:rPr>
        <w:t xml:space="preserve"> Brief COPE factor</w:t>
      </w:r>
      <w:r w:rsidRPr="00787196">
        <w:rPr>
          <w:b/>
          <w:bCs/>
          <w:i w:val="0"/>
          <w:iCs w:val="0"/>
          <w:color w:val="auto"/>
          <w:sz w:val="20"/>
          <w:szCs w:val="20"/>
        </w:rPr>
        <w:t xml:space="preserve"> at follow-up (T2)</w:t>
      </w:r>
      <w:bookmarkEnd w:id="317"/>
    </w:p>
    <w:tbl>
      <w:tblPr>
        <w:tblpPr w:leftFromText="180" w:rightFromText="180" w:vertAnchor="text" w:horzAnchor="margin" w:tblpY="87"/>
        <w:tblW w:w="8504" w:type="dxa"/>
        <w:tblBorders>
          <w:top w:val="single" w:sz="8" w:space="0" w:color="000000"/>
          <w:bottom w:val="single" w:sz="8" w:space="0" w:color="000000"/>
        </w:tblBorders>
        <w:tblLook w:val="04A0" w:firstRow="1" w:lastRow="0" w:firstColumn="1" w:lastColumn="0" w:noHBand="0" w:noVBand="1"/>
      </w:tblPr>
      <w:tblGrid>
        <w:gridCol w:w="3453"/>
        <w:gridCol w:w="1162"/>
        <w:gridCol w:w="828"/>
        <w:gridCol w:w="820"/>
        <w:gridCol w:w="1190"/>
        <w:gridCol w:w="1051"/>
      </w:tblGrid>
      <w:tr w:rsidR="003121EE" w:rsidRPr="00787196" w14:paraId="050519CF" w14:textId="77777777" w:rsidTr="003121EE">
        <w:trPr>
          <w:trHeight w:val="696"/>
        </w:trPr>
        <w:tc>
          <w:tcPr>
            <w:tcW w:w="3502" w:type="dxa"/>
            <w:tcBorders>
              <w:top w:val="single" w:sz="8" w:space="0" w:color="000000"/>
              <w:bottom w:val="single" w:sz="8" w:space="0" w:color="000000"/>
            </w:tcBorders>
            <w:shd w:val="clear" w:color="auto" w:fill="FFFFFF"/>
            <w:vAlign w:val="center"/>
          </w:tcPr>
          <w:p w14:paraId="4538C7A1" w14:textId="76747A4A" w:rsidR="003121EE" w:rsidRPr="00787196" w:rsidRDefault="003121EE" w:rsidP="00D1431C">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 xml:space="preserve">Predictors of Inadequate/negative/avoidant </w:t>
            </w:r>
            <w:r w:rsidR="00D1431C" w:rsidRPr="00787196">
              <w:rPr>
                <w:rFonts w:cs="Arial"/>
                <w:b/>
                <w:bCs/>
                <w:color w:val="000000"/>
                <w:sz w:val="20"/>
                <w:szCs w:val="20"/>
              </w:rPr>
              <w:t xml:space="preserve">factor </w:t>
            </w:r>
            <w:r w:rsidRPr="00787196">
              <w:rPr>
                <w:rFonts w:cs="Arial"/>
                <w:b/>
                <w:bCs/>
                <w:color w:val="000000"/>
                <w:sz w:val="20"/>
                <w:szCs w:val="20"/>
              </w:rPr>
              <w:t>at follow-up (T2)</w:t>
            </w:r>
          </w:p>
        </w:tc>
        <w:tc>
          <w:tcPr>
            <w:tcW w:w="1194" w:type="dxa"/>
            <w:tcBorders>
              <w:top w:val="single" w:sz="8" w:space="0" w:color="000000"/>
              <w:bottom w:val="single" w:sz="8" w:space="0" w:color="000000"/>
            </w:tcBorders>
            <w:shd w:val="clear" w:color="auto" w:fill="FFFFFF"/>
            <w:vAlign w:val="center"/>
          </w:tcPr>
          <w:p w14:paraId="2E4F4B53" w14:textId="27B4426C" w:rsidR="003121EE" w:rsidRPr="00787196" w:rsidRDefault="00D1431C" w:rsidP="002161E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711" w:type="dxa"/>
            <w:tcBorders>
              <w:top w:val="single" w:sz="8" w:space="0" w:color="000000"/>
              <w:bottom w:val="single" w:sz="8" w:space="0" w:color="000000"/>
            </w:tcBorders>
            <w:shd w:val="clear" w:color="auto" w:fill="FFFFFF"/>
            <w:vAlign w:val="center"/>
          </w:tcPr>
          <w:p w14:paraId="010E6A89" w14:textId="65D01542" w:rsidR="003121EE" w:rsidRPr="00787196" w:rsidRDefault="003121EE" w:rsidP="003121EE">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32" w:type="dxa"/>
            <w:tcBorders>
              <w:top w:val="single" w:sz="8" w:space="0" w:color="000000"/>
              <w:bottom w:val="single" w:sz="8" w:space="0" w:color="000000"/>
            </w:tcBorders>
            <w:shd w:val="clear" w:color="auto" w:fill="FFFFFF"/>
            <w:vAlign w:val="center"/>
          </w:tcPr>
          <w:p w14:paraId="33096ED8" w14:textId="2B233754" w:rsidR="003121EE" w:rsidRPr="00787196" w:rsidRDefault="003121EE" w:rsidP="002161E4">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203" w:type="dxa"/>
            <w:tcBorders>
              <w:top w:val="single" w:sz="8" w:space="0" w:color="000000"/>
              <w:bottom w:val="single" w:sz="8" w:space="0" w:color="000000"/>
            </w:tcBorders>
            <w:shd w:val="clear" w:color="auto" w:fill="FFFFFF"/>
            <w:vAlign w:val="center"/>
          </w:tcPr>
          <w:p w14:paraId="0BEE1715" w14:textId="77777777" w:rsidR="003121EE" w:rsidRPr="00787196" w:rsidRDefault="003121EE" w:rsidP="002161E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47F84676" w14:textId="77777777" w:rsidR="003121EE" w:rsidRPr="00787196" w:rsidRDefault="003121EE" w:rsidP="002161E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062" w:type="dxa"/>
            <w:tcBorders>
              <w:top w:val="single" w:sz="8" w:space="0" w:color="000000"/>
              <w:bottom w:val="single" w:sz="8" w:space="0" w:color="000000"/>
            </w:tcBorders>
            <w:shd w:val="clear" w:color="auto" w:fill="FFFFFF"/>
            <w:vAlign w:val="center"/>
          </w:tcPr>
          <w:p w14:paraId="1AB401CC" w14:textId="77777777" w:rsidR="003121EE" w:rsidRPr="00787196" w:rsidRDefault="003121EE" w:rsidP="002161E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06B5BC4A" w14:textId="77777777" w:rsidR="003121EE" w:rsidRPr="00787196" w:rsidRDefault="003121EE" w:rsidP="002161E4">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3121EE" w:rsidRPr="00787196" w14:paraId="57037E55" w14:textId="77777777" w:rsidTr="003121EE">
        <w:trPr>
          <w:trHeight w:val="279"/>
        </w:trPr>
        <w:tc>
          <w:tcPr>
            <w:tcW w:w="3502" w:type="dxa"/>
            <w:shd w:val="clear" w:color="auto" w:fill="FFFFFF"/>
            <w:vAlign w:val="bottom"/>
          </w:tcPr>
          <w:p w14:paraId="2FBBD325" w14:textId="77777777" w:rsidR="003121EE" w:rsidRPr="00787196" w:rsidRDefault="003121EE" w:rsidP="002161E4">
            <w:pPr>
              <w:autoSpaceDE w:val="0"/>
              <w:autoSpaceDN w:val="0"/>
              <w:adjustRightInd w:val="0"/>
              <w:spacing w:before="0" w:after="0" w:line="240" w:lineRule="auto"/>
              <w:jc w:val="left"/>
              <w:rPr>
                <w:rFonts w:cs="Arial"/>
                <w:b/>
                <w:bCs/>
                <w:color w:val="000000"/>
                <w:sz w:val="20"/>
                <w:szCs w:val="20"/>
              </w:rPr>
            </w:pPr>
          </w:p>
        </w:tc>
        <w:tc>
          <w:tcPr>
            <w:tcW w:w="1194" w:type="dxa"/>
            <w:tcBorders>
              <w:left w:val="nil"/>
              <w:right w:val="nil"/>
            </w:tcBorders>
            <w:shd w:val="clear" w:color="auto" w:fill="FFFFFF"/>
            <w:vAlign w:val="center"/>
          </w:tcPr>
          <w:p w14:paraId="53A00E14" w14:textId="77777777" w:rsidR="003121EE" w:rsidRPr="00787196" w:rsidRDefault="003121EE" w:rsidP="002161E4">
            <w:pPr>
              <w:autoSpaceDE w:val="0"/>
              <w:autoSpaceDN w:val="0"/>
              <w:adjustRightInd w:val="0"/>
              <w:spacing w:before="0" w:after="0" w:line="240" w:lineRule="auto"/>
              <w:jc w:val="center"/>
              <w:rPr>
                <w:rFonts w:cs="Arial"/>
                <w:color w:val="000000"/>
                <w:sz w:val="20"/>
                <w:szCs w:val="20"/>
              </w:rPr>
            </w:pPr>
          </w:p>
        </w:tc>
        <w:tc>
          <w:tcPr>
            <w:tcW w:w="711" w:type="dxa"/>
            <w:tcBorders>
              <w:left w:val="nil"/>
              <w:right w:val="nil"/>
            </w:tcBorders>
            <w:shd w:val="clear" w:color="auto" w:fill="FFFFFF"/>
            <w:vAlign w:val="center"/>
          </w:tcPr>
          <w:p w14:paraId="72477986" w14:textId="77777777" w:rsidR="003121EE" w:rsidRPr="00787196" w:rsidRDefault="003121EE" w:rsidP="003121EE">
            <w:pPr>
              <w:autoSpaceDE w:val="0"/>
              <w:autoSpaceDN w:val="0"/>
              <w:adjustRightInd w:val="0"/>
              <w:spacing w:before="0" w:after="0" w:line="240" w:lineRule="auto"/>
              <w:jc w:val="center"/>
              <w:rPr>
                <w:rFonts w:cs="Arial"/>
                <w:color w:val="000000"/>
                <w:sz w:val="20"/>
                <w:szCs w:val="20"/>
              </w:rPr>
            </w:pPr>
          </w:p>
        </w:tc>
        <w:tc>
          <w:tcPr>
            <w:tcW w:w="832" w:type="dxa"/>
            <w:tcBorders>
              <w:left w:val="nil"/>
              <w:right w:val="nil"/>
            </w:tcBorders>
            <w:shd w:val="clear" w:color="auto" w:fill="FFFFFF"/>
            <w:vAlign w:val="center"/>
          </w:tcPr>
          <w:p w14:paraId="3E48F4BA" w14:textId="2119B528" w:rsidR="003121EE" w:rsidRPr="00787196" w:rsidRDefault="003121EE" w:rsidP="002161E4">
            <w:pPr>
              <w:autoSpaceDE w:val="0"/>
              <w:autoSpaceDN w:val="0"/>
              <w:adjustRightInd w:val="0"/>
              <w:spacing w:before="0" w:after="0" w:line="240" w:lineRule="auto"/>
              <w:jc w:val="center"/>
              <w:rPr>
                <w:rFonts w:cs="Arial"/>
                <w:color w:val="000000"/>
                <w:sz w:val="20"/>
                <w:szCs w:val="20"/>
              </w:rPr>
            </w:pPr>
          </w:p>
        </w:tc>
        <w:tc>
          <w:tcPr>
            <w:tcW w:w="1203" w:type="dxa"/>
            <w:tcBorders>
              <w:left w:val="nil"/>
              <w:right w:val="nil"/>
            </w:tcBorders>
            <w:shd w:val="clear" w:color="auto" w:fill="FFFFFF"/>
            <w:vAlign w:val="center"/>
          </w:tcPr>
          <w:p w14:paraId="0FE146C9" w14:textId="77777777" w:rsidR="003121EE" w:rsidRPr="00787196" w:rsidRDefault="003121EE" w:rsidP="002161E4">
            <w:pPr>
              <w:autoSpaceDE w:val="0"/>
              <w:autoSpaceDN w:val="0"/>
              <w:adjustRightInd w:val="0"/>
              <w:spacing w:before="0" w:after="0" w:line="240" w:lineRule="auto"/>
              <w:jc w:val="center"/>
              <w:rPr>
                <w:rFonts w:cs="Arial"/>
                <w:color w:val="000000"/>
                <w:sz w:val="20"/>
                <w:szCs w:val="20"/>
              </w:rPr>
            </w:pPr>
          </w:p>
        </w:tc>
        <w:tc>
          <w:tcPr>
            <w:tcW w:w="1062" w:type="dxa"/>
            <w:tcBorders>
              <w:left w:val="nil"/>
              <w:right w:val="nil"/>
            </w:tcBorders>
            <w:shd w:val="clear" w:color="auto" w:fill="FFFFFF"/>
            <w:vAlign w:val="center"/>
          </w:tcPr>
          <w:p w14:paraId="50653DDF" w14:textId="77777777" w:rsidR="003121EE" w:rsidRPr="00787196" w:rsidRDefault="003121EE" w:rsidP="002161E4">
            <w:pPr>
              <w:autoSpaceDE w:val="0"/>
              <w:autoSpaceDN w:val="0"/>
              <w:adjustRightInd w:val="0"/>
              <w:spacing w:before="0" w:after="0" w:line="240" w:lineRule="auto"/>
              <w:jc w:val="center"/>
              <w:rPr>
                <w:rFonts w:cs="Arial"/>
                <w:color w:val="000000"/>
                <w:sz w:val="20"/>
                <w:szCs w:val="20"/>
              </w:rPr>
            </w:pPr>
          </w:p>
        </w:tc>
      </w:tr>
      <w:tr w:rsidR="003121EE" w:rsidRPr="00787196" w14:paraId="04810485" w14:textId="77777777" w:rsidTr="003121EE">
        <w:trPr>
          <w:trHeight w:val="412"/>
        </w:trPr>
        <w:tc>
          <w:tcPr>
            <w:tcW w:w="3502" w:type="dxa"/>
            <w:shd w:val="clear" w:color="auto" w:fill="FFFFFF"/>
            <w:vAlign w:val="center"/>
          </w:tcPr>
          <w:p w14:paraId="3C12796B" w14:textId="38125ECD" w:rsidR="003121EE" w:rsidRPr="00787196" w:rsidRDefault="003121EE" w:rsidP="003121EE">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Prosthetic need (upper arch)</w:t>
            </w:r>
          </w:p>
        </w:tc>
        <w:tc>
          <w:tcPr>
            <w:tcW w:w="1194" w:type="dxa"/>
            <w:tcBorders>
              <w:left w:val="nil"/>
              <w:right w:val="nil"/>
            </w:tcBorders>
            <w:shd w:val="clear" w:color="auto" w:fill="FFFFFF"/>
            <w:vAlign w:val="center"/>
          </w:tcPr>
          <w:p w14:paraId="2BC8BEFC" w14:textId="0007E25D"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-0.170*</w:t>
            </w:r>
          </w:p>
        </w:tc>
        <w:tc>
          <w:tcPr>
            <w:tcW w:w="711" w:type="dxa"/>
            <w:tcBorders>
              <w:left w:val="nil"/>
              <w:right w:val="nil"/>
            </w:tcBorders>
            <w:shd w:val="clear" w:color="auto" w:fill="FFFFFF"/>
            <w:vAlign w:val="center"/>
          </w:tcPr>
          <w:p w14:paraId="23FB8C32" w14:textId="353E9ED5"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10.861</w:t>
            </w:r>
          </w:p>
        </w:tc>
        <w:tc>
          <w:tcPr>
            <w:tcW w:w="832" w:type="dxa"/>
            <w:tcBorders>
              <w:left w:val="nil"/>
              <w:right w:val="nil"/>
            </w:tcBorders>
            <w:shd w:val="clear" w:color="auto" w:fill="FFFFFF"/>
            <w:vAlign w:val="center"/>
          </w:tcPr>
          <w:p w14:paraId="4F539D77" w14:textId="3B0E05A6"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0.054</w:t>
            </w:r>
          </w:p>
        </w:tc>
        <w:tc>
          <w:tcPr>
            <w:tcW w:w="1203" w:type="dxa"/>
            <w:tcBorders>
              <w:left w:val="nil"/>
              <w:right w:val="nil"/>
            </w:tcBorders>
            <w:shd w:val="clear" w:color="auto" w:fill="FFFFFF"/>
            <w:vAlign w:val="center"/>
          </w:tcPr>
          <w:p w14:paraId="55CCC8DA" w14:textId="76409CAD"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0.049</w:t>
            </w:r>
          </w:p>
        </w:tc>
        <w:tc>
          <w:tcPr>
            <w:tcW w:w="1062" w:type="dxa"/>
            <w:tcBorders>
              <w:left w:val="nil"/>
              <w:right w:val="nil"/>
            </w:tcBorders>
            <w:shd w:val="clear" w:color="auto" w:fill="FFFFFF"/>
            <w:vAlign w:val="center"/>
          </w:tcPr>
          <w:p w14:paraId="2C423F3E" w14:textId="22046A59"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0.054</w:t>
            </w:r>
          </w:p>
        </w:tc>
      </w:tr>
      <w:tr w:rsidR="003121EE" w:rsidRPr="00787196" w14:paraId="1CA4CA76" w14:textId="77777777" w:rsidTr="003121EE">
        <w:trPr>
          <w:trHeight w:val="282"/>
        </w:trPr>
        <w:tc>
          <w:tcPr>
            <w:tcW w:w="3502" w:type="dxa"/>
            <w:shd w:val="clear" w:color="auto" w:fill="FFFFFF"/>
            <w:vAlign w:val="center"/>
          </w:tcPr>
          <w:p w14:paraId="6497115F" w14:textId="3F1E0125" w:rsidR="003121EE" w:rsidRPr="00787196" w:rsidRDefault="003121EE" w:rsidP="00D1431C">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Inadequate/negative/avoidant</w:t>
            </w:r>
            <w:r w:rsidR="00D1431C" w:rsidRPr="00787196">
              <w:rPr>
                <w:rFonts w:cs="Arial"/>
                <w:color w:val="000000"/>
                <w:sz w:val="20"/>
                <w:szCs w:val="20"/>
              </w:rPr>
              <w:t xml:space="preserve"> factor </w:t>
            </w:r>
            <w:r w:rsidRPr="00787196">
              <w:rPr>
                <w:rFonts w:cs="Arial"/>
                <w:color w:val="000000"/>
                <w:sz w:val="20"/>
                <w:szCs w:val="20"/>
              </w:rPr>
              <w:t>(baseline)</w:t>
            </w:r>
          </w:p>
        </w:tc>
        <w:tc>
          <w:tcPr>
            <w:tcW w:w="1194" w:type="dxa"/>
            <w:tcBorders>
              <w:left w:val="nil"/>
              <w:right w:val="nil"/>
            </w:tcBorders>
            <w:shd w:val="clear" w:color="auto" w:fill="FFFFFF"/>
            <w:vAlign w:val="center"/>
          </w:tcPr>
          <w:p w14:paraId="1282460D" w14:textId="5AB0574E"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0.221**</w:t>
            </w:r>
          </w:p>
        </w:tc>
        <w:tc>
          <w:tcPr>
            <w:tcW w:w="711" w:type="dxa"/>
            <w:tcBorders>
              <w:left w:val="nil"/>
              <w:right w:val="nil"/>
            </w:tcBorders>
            <w:shd w:val="clear" w:color="auto" w:fill="FFFFFF"/>
            <w:vAlign w:val="center"/>
          </w:tcPr>
          <w:p w14:paraId="5D83E864" w14:textId="476A2CEB" w:rsidR="003121EE" w:rsidRPr="00787196" w:rsidRDefault="00227039"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8.376</w:t>
            </w:r>
          </w:p>
        </w:tc>
        <w:tc>
          <w:tcPr>
            <w:tcW w:w="832" w:type="dxa"/>
            <w:tcBorders>
              <w:left w:val="nil"/>
              <w:right w:val="nil"/>
            </w:tcBorders>
            <w:shd w:val="clear" w:color="auto" w:fill="FFFFFF"/>
            <w:vAlign w:val="center"/>
          </w:tcPr>
          <w:p w14:paraId="2AC620B7" w14:textId="043E1A4F"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0.082</w:t>
            </w:r>
          </w:p>
        </w:tc>
        <w:tc>
          <w:tcPr>
            <w:tcW w:w="1203" w:type="dxa"/>
            <w:tcBorders>
              <w:left w:val="nil"/>
              <w:right w:val="nil"/>
            </w:tcBorders>
            <w:shd w:val="clear" w:color="auto" w:fill="FFFFFF"/>
            <w:vAlign w:val="center"/>
          </w:tcPr>
          <w:p w14:paraId="0DE1C49B" w14:textId="2F21FB3A"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0.072</w:t>
            </w:r>
          </w:p>
        </w:tc>
        <w:tc>
          <w:tcPr>
            <w:tcW w:w="1062" w:type="dxa"/>
            <w:tcBorders>
              <w:left w:val="nil"/>
              <w:right w:val="nil"/>
            </w:tcBorders>
            <w:shd w:val="clear" w:color="auto" w:fill="FFFFFF"/>
            <w:vAlign w:val="center"/>
          </w:tcPr>
          <w:p w14:paraId="294023A9" w14:textId="6515EC1D"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0.027</w:t>
            </w:r>
          </w:p>
        </w:tc>
      </w:tr>
      <w:tr w:rsidR="003121EE" w:rsidRPr="00787196" w14:paraId="73F42D2C" w14:textId="77777777" w:rsidTr="003121EE">
        <w:trPr>
          <w:trHeight w:val="232"/>
        </w:trPr>
        <w:tc>
          <w:tcPr>
            <w:tcW w:w="3502" w:type="dxa"/>
            <w:shd w:val="clear" w:color="auto" w:fill="FFFFFF"/>
            <w:vAlign w:val="center"/>
          </w:tcPr>
          <w:p w14:paraId="78F7CFF4" w14:textId="739458CF" w:rsidR="003121EE" w:rsidRPr="00787196" w:rsidRDefault="003121EE" w:rsidP="00D1431C">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Self-blame</w:t>
            </w:r>
            <w:r w:rsidR="00D1431C" w:rsidRPr="00787196">
              <w:rPr>
                <w:rFonts w:cs="Arial"/>
                <w:color w:val="000000"/>
                <w:sz w:val="20"/>
                <w:szCs w:val="20"/>
              </w:rPr>
              <w:t xml:space="preserve"> factor</w:t>
            </w:r>
            <w:r w:rsidRPr="00787196">
              <w:rPr>
                <w:rFonts w:cs="Arial"/>
                <w:color w:val="000000"/>
                <w:sz w:val="20"/>
                <w:szCs w:val="20"/>
              </w:rPr>
              <w:t xml:space="preserve"> (baseline)</w:t>
            </w:r>
          </w:p>
        </w:tc>
        <w:tc>
          <w:tcPr>
            <w:tcW w:w="1194" w:type="dxa"/>
            <w:tcBorders>
              <w:left w:val="nil"/>
              <w:right w:val="nil"/>
            </w:tcBorders>
            <w:shd w:val="clear" w:color="auto" w:fill="FFFFFF"/>
            <w:vAlign w:val="center"/>
          </w:tcPr>
          <w:p w14:paraId="55F1C198" w14:textId="69D1EB59"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-0.219**</w:t>
            </w:r>
          </w:p>
        </w:tc>
        <w:tc>
          <w:tcPr>
            <w:tcW w:w="711" w:type="dxa"/>
            <w:tcBorders>
              <w:left w:val="nil"/>
              <w:right w:val="nil"/>
            </w:tcBorders>
            <w:shd w:val="clear" w:color="auto" w:fill="FFFFFF"/>
            <w:vAlign w:val="center"/>
          </w:tcPr>
          <w:p w14:paraId="01989213" w14:textId="4F4A0185" w:rsidR="003121EE" w:rsidRPr="00787196" w:rsidRDefault="00227039"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8.705</w:t>
            </w:r>
          </w:p>
        </w:tc>
        <w:tc>
          <w:tcPr>
            <w:tcW w:w="832" w:type="dxa"/>
            <w:tcBorders>
              <w:left w:val="nil"/>
              <w:right w:val="nil"/>
            </w:tcBorders>
            <w:shd w:val="clear" w:color="auto" w:fill="FFFFFF"/>
            <w:vAlign w:val="center"/>
          </w:tcPr>
          <w:p w14:paraId="369CCB19" w14:textId="28773E2A"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0.123</w:t>
            </w:r>
          </w:p>
        </w:tc>
        <w:tc>
          <w:tcPr>
            <w:tcW w:w="1203" w:type="dxa"/>
            <w:tcBorders>
              <w:left w:val="nil"/>
              <w:right w:val="nil"/>
            </w:tcBorders>
            <w:shd w:val="clear" w:color="auto" w:fill="FFFFFF"/>
            <w:vAlign w:val="center"/>
          </w:tcPr>
          <w:p w14:paraId="3828409F" w14:textId="00092201"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0.108</w:t>
            </w:r>
          </w:p>
        </w:tc>
        <w:tc>
          <w:tcPr>
            <w:tcW w:w="1062" w:type="dxa"/>
            <w:tcBorders>
              <w:left w:val="nil"/>
              <w:right w:val="nil"/>
            </w:tcBorders>
            <w:shd w:val="clear" w:color="auto" w:fill="FFFFFF"/>
            <w:vAlign w:val="center"/>
          </w:tcPr>
          <w:p w14:paraId="7B43D2A0" w14:textId="6AD58D7D" w:rsidR="003121EE" w:rsidRPr="00787196" w:rsidRDefault="003121EE" w:rsidP="003121EE">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0.041</w:t>
            </w:r>
          </w:p>
        </w:tc>
      </w:tr>
      <w:tr w:rsidR="003121EE" w:rsidRPr="00787196" w14:paraId="0CB3AAD8" w14:textId="77777777" w:rsidTr="003121EE">
        <w:trPr>
          <w:trHeight w:val="301"/>
        </w:trPr>
        <w:tc>
          <w:tcPr>
            <w:tcW w:w="3502" w:type="dxa"/>
            <w:shd w:val="clear" w:color="auto" w:fill="FFFFFF"/>
            <w:vAlign w:val="center"/>
          </w:tcPr>
          <w:p w14:paraId="7DE63413" w14:textId="59449B9B" w:rsidR="003121EE" w:rsidRPr="00787196" w:rsidRDefault="003121EE" w:rsidP="003121EE">
            <w:pPr>
              <w:spacing w:before="0" w:after="0" w:line="240" w:lineRule="auto"/>
              <w:ind w:left="34"/>
              <w:jc w:val="left"/>
              <w:rPr>
                <w:sz w:val="20"/>
                <w:szCs w:val="20"/>
              </w:rPr>
            </w:pPr>
            <w:r w:rsidRPr="00787196">
              <w:rPr>
                <w:sz w:val="20"/>
                <w:szCs w:val="20"/>
              </w:rPr>
              <w:t>Prosthetic status (upper arch)</w:t>
            </w:r>
          </w:p>
        </w:tc>
        <w:tc>
          <w:tcPr>
            <w:tcW w:w="1194" w:type="dxa"/>
            <w:tcBorders>
              <w:left w:val="nil"/>
              <w:right w:val="nil"/>
            </w:tcBorders>
            <w:shd w:val="clear" w:color="auto" w:fill="FFFFFF"/>
            <w:vAlign w:val="center"/>
          </w:tcPr>
          <w:p w14:paraId="0368CAE5" w14:textId="3A124445" w:rsidR="003121EE" w:rsidRPr="00787196" w:rsidRDefault="003121EE" w:rsidP="003121EE">
            <w:pPr>
              <w:spacing w:before="0" w:after="0" w:line="240" w:lineRule="auto"/>
              <w:rPr>
                <w:sz w:val="20"/>
                <w:szCs w:val="20"/>
              </w:rPr>
            </w:pPr>
            <w:r w:rsidRPr="00787196">
              <w:rPr>
                <w:sz w:val="20"/>
                <w:szCs w:val="20"/>
              </w:rPr>
              <w:t xml:space="preserve">   -0.157*</w:t>
            </w:r>
          </w:p>
        </w:tc>
        <w:tc>
          <w:tcPr>
            <w:tcW w:w="711" w:type="dxa"/>
            <w:tcBorders>
              <w:left w:val="nil"/>
              <w:right w:val="nil"/>
            </w:tcBorders>
            <w:shd w:val="clear" w:color="auto" w:fill="FFFFFF"/>
            <w:vAlign w:val="center"/>
          </w:tcPr>
          <w:p w14:paraId="11CD3107" w14:textId="65293676" w:rsidR="003121EE" w:rsidRPr="00787196" w:rsidRDefault="00227039" w:rsidP="003121EE">
            <w:pPr>
              <w:spacing w:before="0" w:after="0" w:line="240" w:lineRule="auto"/>
              <w:jc w:val="center"/>
              <w:rPr>
                <w:sz w:val="20"/>
                <w:szCs w:val="20"/>
              </w:rPr>
            </w:pPr>
            <w:r w:rsidRPr="00787196">
              <w:rPr>
                <w:sz w:val="20"/>
                <w:szCs w:val="20"/>
              </w:rPr>
              <w:t>7.994</w:t>
            </w:r>
          </w:p>
        </w:tc>
        <w:tc>
          <w:tcPr>
            <w:tcW w:w="832" w:type="dxa"/>
            <w:tcBorders>
              <w:left w:val="nil"/>
              <w:right w:val="nil"/>
            </w:tcBorders>
            <w:shd w:val="clear" w:color="auto" w:fill="FFFFFF"/>
            <w:vAlign w:val="center"/>
          </w:tcPr>
          <w:p w14:paraId="663C6EC2" w14:textId="55289AF3" w:rsidR="003121EE" w:rsidRPr="00787196" w:rsidRDefault="003121EE" w:rsidP="003121EE">
            <w:pPr>
              <w:spacing w:before="0" w:after="0" w:line="240" w:lineRule="auto"/>
              <w:jc w:val="center"/>
              <w:rPr>
                <w:sz w:val="20"/>
                <w:szCs w:val="20"/>
              </w:rPr>
            </w:pPr>
            <w:r w:rsidRPr="00787196">
              <w:rPr>
                <w:sz w:val="20"/>
                <w:szCs w:val="20"/>
              </w:rPr>
              <w:t>0.147</w:t>
            </w:r>
          </w:p>
        </w:tc>
        <w:tc>
          <w:tcPr>
            <w:tcW w:w="1203" w:type="dxa"/>
            <w:tcBorders>
              <w:left w:val="nil"/>
              <w:right w:val="nil"/>
            </w:tcBorders>
            <w:shd w:val="clear" w:color="auto" w:fill="FFFFFF"/>
            <w:vAlign w:val="center"/>
          </w:tcPr>
          <w:p w14:paraId="3771F1D4" w14:textId="796A2DEB" w:rsidR="003121EE" w:rsidRPr="00787196" w:rsidRDefault="003121EE" w:rsidP="003121EE">
            <w:pPr>
              <w:spacing w:before="0" w:after="0" w:line="240" w:lineRule="auto"/>
              <w:jc w:val="center"/>
              <w:rPr>
                <w:sz w:val="20"/>
                <w:szCs w:val="20"/>
              </w:rPr>
            </w:pPr>
            <w:r w:rsidRPr="00787196">
              <w:rPr>
                <w:sz w:val="20"/>
                <w:szCs w:val="20"/>
              </w:rPr>
              <w:t>0.128</w:t>
            </w:r>
          </w:p>
        </w:tc>
        <w:tc>
          <w:tcPr>
            <w:tcW w:w="1062" w:type="dxa"/>
            <w:tcBorders>
              <w:left w:val="nil"/>
              <w:right w:val="nil"/>
            </w:tcBorders>
            <w:shd w:val="clear" w:color="auto" w:fill="FFFFFF"/>
            <w:vAlign w:val="center"/>
          </w:tcPr>
          <w:p w14:paraId="29571454" w14:textId="79707AFE" w:rsidR="003121EE" w:rsidRPr="00787196" w:rsidRDefault="003121EE" w:rsidP="003121EE">
            <w:pPr>
              <w:spacing w:before="0" w:after="0" w:line="240" w:lineRule="auto"/>
              <w:jc w:val="center"/>
              <w:rPr>
                <w:sz w:val="20"/>
                <w:szCs w:val="20"/>
              </w:rPr>
            </w:pPr>
            <w:r w:rsidRPr="00787196">
              <w:rPr>
                <w:sz w:val="20"/>
                <w:szCs w:val="20"/>
              </w:rPr>
              <w:t>0.024</w:t>
            </w:r>
          </w:p>
        </w:tc>
      </w:tr>
      <w:tr w:rsidR="003121EE" w:rsidRPr="00787196" w14:paraId="7083B21A" w14:textId="77777777" w:rsidTr="003121EE">
        <w:trPr>
          <w:trHeight w:val="277"/>
        </w:trPr>
        <w:tc>
          <w:tcPr>
            <w:tcW w:w="3502" w:type="dxa"/>
            <w:shd w:val="clear" w:color="auto" w:fill="FFFFFF"/>
          </w:tcPr>
          <w:p w14:paraId="7975E44C" w14:textId="77777777" w:rsidR="003121EE" w:rsidRPr="00787196" w:rsidRDefault="003121EE" w:rsidP="002161E4">
            <w:pPr>
              <w:spacing w:before="0" w:after="0"/>
              <w:ind w:left="142"/>
              <w:jc w:val="left"/>
              <w:rPr>
                <w:sz w:val="20"/>
                <w:szCs w:val="20"/>
              </w:rPr>
            </w:pPr>
          </w:p>
        </w:tc>
        <w:tc>
          <w:tcPr>
            <w:tcW w:w="1194" w:type="dxa"/>
            <w:tcBorders>
              <w:left w:val="nil"/>
              <w:right w:val="nil"/>
            </w:tcBorders>
            <w:shd w:val="clear" w:color="auto" w:fill="FFFFFF"/>
          </w:tcPr>
          <w:p w14:paraId="3AC4266E" w14:textId="77777777" w:rsidR="003121EE" w:rsidRPr="00787196" w:rsidRDefault="003121EE" w:rsidP="002161E4">
            <w:pPr>
              <w:spacing w:before="0" w:after="0" w:line="240" w:lineRule="auto"/>
              <w:rPr>
                <w:sz w:val="20"/>
                <w:szCs w:val="20"/>
              </w:rPr>
            </w:pPr>
          </w:p>
        </w:tc>
        <w:tc>
          <w:tcPr>
            <w:tcW w:w="711" w:type="dxa"/>
            <w:tcBorders>
              <w:left w:val="nil"/>
              <w:right w:val="nil"/>
            </w:tcBorders>
            <w:shd w:val="clear" w:color="auto" w:fill="FFFFFF"/>
            <w:vAlign w:val="center"/>
          </w:tcPr>
          <w:p w14:paraId="7E4DDC13" w14:textId="77777777" w:rsidR="003121EE" w:rsidRPr="00787196" w:rsidRDefault="003121EE" w:rsidP="003121EE">
            <w:pPr>
              <w:spacing w:before="0" w:after="0" w:line="240" w:lineRule="auto"/>
              <w:jc w:val="center"/>
              <w:rPr>
                <w:sz w:val="20"/>
                <w:szCs w:val="20"/>
              </w:rPr>
            </w:pPr>
          </w:p>
        </w:tc>
        <w:tc>
          <w:tcPr>
            <w:tcW w:w="832" w:type="dxa"/>
            <w:tcBorders>
              <w:left w:val="nil"/>
              <w:right w:val="nil"/>
            </w:tcBorders>
            <w:shd w:val="clear" w:color="auto" w:fill="FFFFFF"/>
          </w:tcPr>
          <w:p w14:paraId="12031651" w14:textId="07DE82D5" w:rsidR="003121EE" w:rsidRPr="00787196" w:rsidRDefault="003121EE" w:rsidP="002161E4">
            <w:pPr>
              <w:spacing w:before="0" w:after="0" w:line="240" w:lineRule="auto"/>
              <w:rPr>
                <w:sz w:val="20"/>
                <w:szCs w:val="20"/>
              </w:rPr>
            </w:pPr>
          </w:p>
        </w:tc>
        <w:tc>
          <w:tcPr>
            <w:tcW w:w="1203" w:type="dxa"/>
            <w:tcBorders>
              <w:left w:val="nil"/>
              <w:right w:val="nil"/>
            </w:tcBorders>
            <w:shd w:val="clear" w:color="auto" w:fill="FFFFFF"/>
          </w:tcPr>
          <w:p w14:paraId="1B7BD86D" w14:textId="77777777" w:rsidR="003121EE" w:rsidRPr="00787196" w:rsidRDefault="003121EE" w:rsidP="002161E4">
            <w:pPr>
              <w:spacing w:before="0" w:after="0" w:line="240" w:lineRule="auto"/>
              <w:rPr>
                <w:sz w:val="20"/>
                <w:szCs w:val="20"/>
              </w:rPr>
            </w:pPr>
          </w:p>
        </w:tc>
        <w:tc>
          <w:tcPr>
            <w:tcW w:w="1062" w:type="dxa"/>
            <w:tcBorders>
              <w:left w:val="nil"/>
              <w:right w:val="nil"/>
            </w:tcBorders>
            <w:shd w:val="clear" w:color="auto" w:fill="FFFFFF"/>
          </w:tcPr>
          <w:p w14:paraId="792A8D82" w14:textId="77777777" w:rsidR="003121EE" w:rsidRPr="00787196" w:rsidRDefault="003121EE" w:rsidP="002161E4">
            <w:pPr>
              <w:spacing w:before="0" w:after="0" w:line="240" w:lineRule="auto"/>
              <w:rPr>
                <w:sz w:val="20"/>
                <w:szCs w:val="20"/>
              </w:rPr>
            </w:pPr>
          </w:p>
        </w:tc>
      </w:tr>
      <w:tr w:rsidR="003121EE" w:rsidRPr="00787196" w14:paraId="2F8C9992" w14:textId="77777777" w:rsidTr="003121EE">
        <w:trPr>
          <w:trHeight w:val="252"/>
        </w:trPr>
        <w:tc>
          <w:tcPr>
            <w:tcW w:w="3502" w:type="dxa"/>
            <w:shd w:val="clear" w:color="auto" w:fill="FFFFFF"/>
          </w:tcPr>
          <w:p w14:paraId="075495A5" w14:textId="77777777" w:rsidR="003121EE" w:rsidRPr="00787196" w:rsidRDefault="003121EE" w:rsidP="002161E4">
            <w:pPr>
              <w:spacing w:before="0" w:after="0"/>
              <w:jc w:val="left"/>
              <w:rPr>
                <w:sz w:val="20"/>
                <w:szCs w:val="20"/>
                <w:u w:val="single"/>
              </w:rPr>
            </w:pPr>
            <w:r w:rsidRPr="00787196">
              <w:rPr>
                <w:sz w:val="20"/>
                <w:szCs w:val="20"/>
                <w:u w:val="single"/>
              </w:rPr>
              <w:t>Excluded variables</w:t>
            </w:r>
          </w:p>
        </w:tc>
        <w:tc>
          <w:tcPr>
            <w:tcW w:w="1194" w:type="dxa"/>
            <w:tcBorders>
              <w:left w:val="nil"/>
              <w:right w:val="nil"/>
            </w:tcBorders>
            <w:shd w:val="clear" w:color="auto" w:fill="FFFFFF"/>
          </w:tcPr>
          <w:p w14:paraId="52FD9AB4" w14:textId="77777777" w:rsidR="003121EE" w:rsidRPr="00787196" w:rsidRDefault="003121EE" w:rsidP="002161E4">
            <w:pPr>
              <w:spacing w:before="0" w:after="0" w:line="240" w:lineRule="auto"/>
              <w:rPr>
                <w:sz w:val="20"/>
                <w:szCs w:val="20"/>
              </w:rPr>
            </w:pPr>
          </w:p>
        </w:tc>
        <w:tc>
          <w:tcPr>
            <w:tcW w:w="711" w:type="dxa"/>
            <w:tcBorders>
              <w:left w:val="nil"/>
              <w:right w:val="nil"/>
            </w:tcBorders>
            <w:shd w:val="clear" w:color="auto" w:fill="FFFFFF"/>
            <w:vAlign w:val="center"/>
          </w:tcPr>
          <w:p w14:paraId="12464933" w14:textId="77777777" w:rsidR="003121EE" w:rsidRPr="00787196" w:rsidRDefault="003121EE" w:rsidP="003121EE">
            <w:pPr>
              <w:spacing w:before="0" w:after="0" w:line="240" w:lineRule="auto"/>
              <w:jc w:val="center"/>
              <w:rPr>
                <w:sz w:val="20"/>
                <w:szCs w:val="20"/>
              </w:rPr>
            </w:pPr>
          </w:p>
        </w:tc>
        <w:tc>
          <w:tcPr>
            <w:tcW w:w="832" w:type="dxa"/>
            <w:tcBorders>
              <w:left w:val="nil"/>
              <w:right w:val="nil"/>
            </w:tcBorders>
            <w:shd w:val="clear" w:color="auto" w:fill="FFFFFF"/>
          </w:tcPr>
          <w:p w14:paraId="6624DB55" w14:textId="0C00B5AC" w:rsidR="003121EE" w:rsidRPr="00787196" w:rsidRDefault="003121EE" w:rsidP="002161E4">
            <w:pPr>
              <w:spacing w:before="0" w:after="0" w:line="240" w:lineRule="auto"/>
              <w:rPr>
                <w:sz w:val="20"/>
                <w:szCs w:val="20"/>
              </w:rPr>
            </w:pPr>
          </w:p>
        </w:tc>
        <w:tc>
          <w:tcPr>
            <w:tcW w:w="1203" w:type="dxa"/>
            <w:tcBorders>
              <w:left w:val="nil"/>
              <w:right w:val="nil"/>
            </w:tcBorders>
            <w:shd w:val="clear" w:color="auto" w:fill="FFFFFF"/>
          </w:tcPr>
          <w:p w14:paraId="2EFF33F5" w14:textId="77777777" w:rsidR="003121EE" w:rsidRPr="00787196" w:rsidRDefault="003121EE" w:rsidP="002161E4">
            <w:pPr>
              <w:spacing w:before="0" w:after="0" w:line="240" w:lineRule="auto"/>
              <w:rPr>
                <w:sz w:val="20"/>
                <w:szCs w:val="20"/>
              </w:rPr>
            </w:pPr>
          </w:p>
        </w:tc>
        <w:tc>
          <w:tcPr>
            <w:tcW w:w="1062" w:type="dxa"/>
            <w:tcBorders>
              <w:left w:val="nil"/>
              <w:right w:val="nil"/>
            </w:tcBorders>
            <w:shd w:val="clear" w:color="auto" w:fill="FFFFFF"/>
          </w:tcPr>
          <w:p w14:paraId="0F78FCF2" w14:textId="77777777" w:rsidR="003121EE" w:rsidRPr="00787196" w:rsidRDefault="003121EE" w:rsidP="002161E4">
            <w:pPr>
              <w:spacing w:before="0" w:after="0" w:line="240" w:lineRule="auto"/>
              <w:rPr>
                <w:sz w:val="20"/>
                <w:szCs w:val="20"/>
              </w:rPr>
            </w:pPr>
          </w:p>
        </w:tc>
      </w:tr>
      <w:tr w:rsidR="003121EE" w:rsidRPr="00787196" w14:paraId="3E3F4ABB" w14:textId="77777777" w:rsidTr="003121EE">
        <w:trPr>
          <w:trHeight w:val="277"/>
        </w:trPr>
        <w:tc>
          <w:tcPr>
            <w:tcW w:w="3502" w:type="dxa"/>
            <w:shd w:val="clear" w:color="auto" w:fill="FFFFFF"/>
            <w:vAlign w:val="bottom"/>
          </w:tcPr>
          <w:p w14:paraId="3FEC3EB8" w14:textId="3DC0DCDA" w:rsidR="003121EE" w:rsidRPr="00787196" w:rsidRDefault="003121EE" w:rsidP="00C23884">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Number of teeth present, occluding</w:t>
            </w:r>
            <w:r w:rsidR="00C23884" w:rsidRPr="00787196">
              <w:rPr>
                <w:rFonts w:cs="Arial"/>
                <w:color w:val="000000"/>
                <w:sz w:val="20"/>
                <w:szCs w:val="20"/>
              </w:rPr>
              <w:t xml:space="preserve"> pairs of teeth</w:t>
            </w:r>
          </w:p>
        </w:tc>
        <w:tc>
          <w:tcPr>
            <w:tcW w:w="1194" w:type="dxa"/>
            <w:tcBorders>
              <w:left w:val="nil"/>
              <w:right w:val="nil"/>
            </w:tcBorders>
            <w:shd w:val="clear" w:color="auto" w:fill="FFFFFF"/>
            <w:vAlign w:val="center"/>
          </w:tcPr>
          <w:p w14:paraId="652EFA06"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711" w:type="dxa"/>
            <w:tcBorders>
              <w:left w:val="nil"/>
              <w:right w:val="nil"/>
            </w:tcBorders>
            <w:shd w:val="clear" w:color="auto" w:fill="FFFFFF"/>
            <w:vAlign w:val="center"/>
          </w:tcPr>
          <w:p w14:paraId="2C4D0D40" w14:textId="77777777" w:rsidR="003121EE" w:rsidRPr="00787196" w:rsidRDefault="003121EE" w:rsidP="003121EE">
            <w:pPr>
              <w:autoSpaceDE w:val="0"/>
              <w:autoSpaceDN w:val="0"/>
              <w:adjustRightInd w:val="0"/>
              <w:spacing w:before="0" w:after="0" w:line="240" w:lineRule="auto"/>
              <w:jc w:val="center"/>
              <w:rPr>
                <w:rFonts w:cs="Arial"/>
                <w:color w:val="000000"/>
                <w:sz w:val="20"/>
                <w:szCs w:val="20"/>
              </w:rPr>
            </w:pPr>
          </w:p>
        </w:tc>
        <w:tc>
          <w:tcPr>
            <w:tcW w:w="832" w:type="dxa"/>
            <w:tcBorders>
              <w:left w:val="nil"/>
              <w:right w:val="nil"/>
            </w:tcBorders>
            <w:shd w:val="clear" w:color="auto" w:fill="FFFFFF"/>
          </w:tcPr>
          <w:p w14:paraId="563AA892" w14:textId="2D72E878"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1203" w:type="dxa"/>
            <w:tcBorders>
              <w:left w:val="nil"/>
              <w:right w:val="nil"/>
            </w:tcBorders>
            <w:shd w:val="clear" w:color="auto" w:fill="FFFFFF"/>
          </w:tcPr>
          <w:p w14:paraId="2361D490"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1062" w:type="dxa"/>
            <w:tcBorders>
              <w:left w:val="nil"/>
              <w:right w:val="nil"/>
            </w:tcBorders>
            <w:shd w:val="clear" w:color="auto" w:fill="FFFFFF"/>
          </w:tcPr>
          <w:p w14:paraId="7B2464E3"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r>
      <w:tr w:rsidR="003121EE" w:rsidRPr="00787196" w14:paraId="6837471F" w14:textId="77777777" w:rsidTr="003121EE">
        <w:trPr>
          <w:trHeight w:val="106"/>
        </w:trPr>
        <w:tc>
          <w:tcPr>
            <w:tcW w:w="3502" w:type="dxa"/>
            <w:shd w:val="clear" w:color="auto" w:fill="FFFFFF"/>
            <w:vAlign w:val="bottom"/>
          </w:tcPr>
          <w:p w14:paraId="1D22C1ED" w14:textId="77777777" w:rsidR="003121EE" w:rsidRPr="00787196" w:rsidRDefault="003121EE" w:rsidP="002161E4">
            <w:pPr>
              <w:autoSpaceDE w:val="0"/>
              <w:autoSpaceDN w:val="0"/>
              <w:adjustRightInd w:val="0"/>
              <w:spacing w:before="0" w:after="0" w:line="240" w:lineRule="auto"/>
              <w:jc w:val="left"/>
              <w:rPr>
                <w:rFonts w:cs="Arial"/>
                <w:color w:val="000000"/>
                <w:sz w:val="20"/>
                <w:szCs w:val="20"/>
              </w:rPr>
            </w:pPr>
          </w:p>
        </w:tc>
        <w:tc>
          <w:tcPr>
            <w:tcW w:w="1194" w:type="dxa"/>
            <w:tcBorders>
              <w:left w:val="nil"/>
              <w:right w:val="nil"/>
            </w:tcBorders>
            <w:shd w:val="clear" w:color="auto" w:fill="FFFFFF"/>
            <w:vAlign w:val="center"/>
          </w:tcPr>
          <w:p w14:paraId="59765A57"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711" w:type="dxa"/>
            <w:tcBorders>
              <w:left w:val="nil"/>
              <w:right w:val="nil"/>
            </w:tcBorders>
            <w:shd w:val="clear" w:color="auto" w:fill="FFFFFF"/>
            <w:vAlign w:val="center"/>
          </w:tcPr>
          <w:p w14:paraId="228343A5" w14:textId="77777777" w:rsidR="003121EE" w:rsidRPr="00787196" w:rsidRDefault="003121EE" w:rsidP="003121EE">
            <w:pPr>
              <w:autoSpaceDE w:val="0"/>
              <w:autoSpaceDN w:val="0"/>
              <w:adjustRightInd w:val="0"/>
              <w:spacing w:before="0" w:after="0" w:line="240" w:lineRule="auto"/>
              <w:jc w:val="center"/>
              <w:rPr>
                <w:rFonts w:cs="Arial"/>
                <w:color w:val="000000"/>
                <w:sz w:val="20"/>
                <w:szCs w:val="20"/>
              </w:rPr>
            </w:pPr>
          </w:p>
        </w:tc>
        <w:tc>
          <w:tcPr>
            <w:tcW w:w="832" w:type="dxa"/>
            <w:tcBorders>
              <w:left w:val="nil"/>
              <w:right w:val="nil"/>
            </w:tcBorders>
            <w:shd w:val="clear" w:color="auto" w:fill="FFFFFF"/>
          </w:tcPr>
          <w:p w14:paraId="2C74B31E" w14:textId="230218EF"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1203" w:type="dxa"/>
            <w:tcBorders>
              <w:left w:val="nil"/>
              <w:right w:val="nil"/>
            </w:tcBorders>
            <w:shd w:val="clear" w:color="auto" w:fill="FFFFFF"/>
          </w:tcPr>
          <w:p w14:paraId="140854E0"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c>
          <w:tcPr>
            <w:tcW w:w="1062" w:type="dxa"/>
            <w:tcBorders>
              <w:left w:val="nil"/>
              <w:right w:val="nil"/>
            </w:tcBorders>
            <w:shd w:val="clear" w:color="auto" w:fill="FFFFFF"/>
          </w:tcPr>
          <w:p w14:paraId="1EACDA16" w14:textId="77777777" w:rsidR="003121EE" w:rsidRPr="00787196" w:rsidRDefault="003121EE" w:rsidP="002161E4">
            <w:pPr>
              <w:autoSpaceDE w:val="0"/>
              <w:autoSpaceDN w:val="0"/>
              <w:adjustRightInd w:val="0"/>
              <w:spacing w:before="0" w:after="0" w:line="240" w:lineRule="auto"/>
              <w:rPr>
                <w:rFonts w:cs="Arial"/>
                <w:color w:val="000000"/>
                <w:sz w:val="20"/>
                <w:szCs w:val="20"/>
              </w:rPr>
            </w:pPr>
          </w:p>
        </w:tc>
      </w:tr>
    </w:tbl>
    <w:p w14:paraId="7249553C" w14:textId="77777777" w:rsidR="002A5D13" w:rsidRPr="00787196" w:rsidRDefault="002A5D13" w:rsidP="002A5D13">
      <w:pPr>
        <w:spacing w:before="0" w:after="0" w:line="240" w:lineRule="auto"/>
        <w:rPr>
          <w:i/>
          <w:iCs/>
          <w:sz w:val="16"/>
          <w:szCs w:val="14"/>
        </w:rPr>
      </w:pPr>
      <w:r w:rsidRPr="00787196">
        <w:rPr>
          <w:i/>
          <w:iCs/>
          <w:sz w:val="16"/>
          <w:szCs w:val="14"/>
        </w:rPr>
        <w:t>**Correlation significant at 0.01 level (2-tailed)</w:t>
      </w:r>
    </w:p>
    <w:p w14:paraId="28554181" w14:textId="5DA5F335" w:rsidR="00524DDF" w:rsidRPr="00787196" w:rsidRDefault="002A5D13" w:rsidP="002A5D13">
      <w:pPr>
        <w:spacing w:before="0" w:after="0" w:line="240" w:lineRule="auto"/>
        <w:rPr>
          <w:i/>
          <w:iCs/>
          <w:sz w:val="16"/>
          <w:szCs w:val="14"/>
        </w:rPr>
      </w:pPr>
      <w:r w:rsidRPr="00787196">
        <w:rPr>
          <w:i/>
          <w:iCs/>
          <w:sz w:val="16"/>
          <w:szCs w:val="14"/>
        </w:rPr>
        <w:t>*Correlation significant at the 0.05 level (2- tailed)</w:t>
      </w:r>
    </w:p>
    <w:p w14:paraId="427017A3" w14:textId="77777777" w:rsidR="00524DDF" w:rsidRPr="00787196" w:rsidRDefault="00524DDF">
      <w:pPr>
        <w:spacing w:before="0" w:after="0" w:line="240" w:lineRule="auto"/>
        <w:jc w:val="left"/>
        <w:rPr>
          <w:i/>
          <w:iCs/>
          <w:sz w:val="18"/>
          <w:szCs w:val="16"/>
        </w:rPr>
      </w:pPr>
      <w:r w:rsidRPr="00787196">
        <w:rPr>
          <w:i/>
          <w:iCs/>
          <w:sz w:val="18"/>
          <w:szCs w:val="16"/>
        </w:rPr>
        <w:br w:type="page"/>
      </w:r>
    </w:p>
    <w:p w14:paraId="5004A7CB" w14:textId="77777777" w:rsidR="00B34AF7" w:rsidRPr="00787196" w:rsidRDefault="00B34AF7" w:rsidP="002A5D13">
      <w:pPr>
        <w:spacing w:before="0" w:after="0" w:line="240" w:lineRule="auto"/>
        <w:rPr>
          <w:i/>
          <w:iCs/>
          <w:sz w:val="18"/>
          <w:szCs w:val="16"/>
        </w:rPr>
      </w:pPr>
    </w:p>
    <w:p w14:paraId="59BF84B7" w14:textId="6E38BA3E" w:rsidR="00F576F7" w:rsidRPr="00787196" w:rsidRDefault="00F576F7" w:rsidP="00F576F7">
      <w:pPr>
        <w:spacing w:before="0"/>
        <w:rPr>
          <w:szCs w:val="24"/>
        </w:rPr>
      </w:pPr>
      <w:r w:rsidRPr="00787196">
        <w:rPr>
          <w:szCs w:val="24"/>
        </w:rPr>
        <w:t xml:space="preserve">Individuals with baseline need of dentures in the upper arch, coping inadequately, negatively by showing avoidance and self-blaming themselves, who already </w:t>
      </w:r>
      <w:r w:rsidR="00524DDF" w:rsidRPr="00787196">
        <w:rPr>
          <w:szCs w:val="24"/>
        </w:rPr>
        <w:t>have</w:t>
      </w:r>
      <w:r w:rsidRPr="00787196">
        <w:rPr>
          <w:szCs w:val="24"/>
        </w:rPr>
        <w:t xml:space="preserve"> </w:t>
      </w:r>
      <w:r w:rsidR="00524DDF" w:rsidRPr="00787196">
        <w:rPr>
          <w:szCs w:val="24"/>
        </w:rPr>
        <w:t>worn a</w:t>
      </w:r>
      <w:r w:rsidRPr="00787196">
        <w:rPr>
          <w:szCs w:val="24"/>
        </w:rPr>
        <w:t xml:space="preserve"> prosthesis in the upper arch had higher use of inadequate, negative and avoidant coping strateg</w:t>
      </w:r>
      <w:r w:rsidR="00524DDF" w:rsidRPr="00787196">
        <w:rPr>
          <w:szCs w:val="24"/>
        </w:rPr>
        <w:t>ies</w:t>
      </w:r>
      <w:r w:rsidRPr="00787196">
        <w:rPr>
          <w:szCs w:val="24"/>
        </w:rPr>
        <w:t xml:space="preserve"> at follow-up. The model explained 14.7% of the variation in inadequate, negative and avoidant coping scores at follow-up (T2). Number of teeth present and </w:t>
      </w:r>
      <w:r w:rsidR="00E265DF" w:rsidRPr="00787196">
        <w:rPr>
          <w:szCs w:val="24"/>
        </w:rPr>
        <w:t>presence of</w:t>
      </w:r>
      <w:r w:rsidRPr="00787196">
        <w:rPr>
          <w:szCs w:val="24"/>
        </w:rPr>
        <w:t xml:space="preserve"> occluding pairs of teeth were tested in the model and excluded post testing</w:t>
      </w:r>
      <w:r w:rsidR="00E265DF" w:rsidRPr="00787196">
        <w:rPr>
          <w:szCs w:val="24"/>
        </w:rPr>
        <w:t xml:space="preserve"> due to the lack of significant associations</w:t>
      </w:r>
      <w:r w:rsidRPr="00787196">
        <w:rPr>
          <w:szCs w:val="24"/>
        </w:rPr>
        <w:t>.</w:t>
      </w:r>
    </w:p>
    <w:p w14:paraId="54A58C13" w14:textId="1909C36C" w:rsidR="00B34AF7" w:rsidRPr="00787196" w:rsidRDefault="004D0E98" w:rsidP="00524DDF">
      <w:pPr>
        <w:spacing w:before="0"/>
        <w:rPr>
          <w:szCs w:val="24"/>
        </w:rPr>
      </w:pPr>
      <w:r w:rsidRPr="00787196">
        <w:rPr>
          <w:szCs w:val="24"/>
        </w:rPr>
        <w:t xml:space="preserve">The best regression model for the predictors of </w:t>
      </w:r>
      <w:r w:rsidR="00930F04" w:rsidRPr="00787196">
        <w:rPr>
          <w:szCs w:val="24"/>
        </w:rPr>
        <w:t xml:space="preserve">positive and adequate </w:t>
      </w:r>
      <w:r w:rsidRPr="00787196">
        <w:rPr>
          <w:szCs w:val="24"/>
        </w:rPr>
        <w:t>coping strateg</w:t>
      </w:r>
      <w:r w:rsidR="00930F04" w:rsidRPr="00787196">
        <w:rPr>
          <w:szCs w:val="24"/>
        </w:rPr>
        <w:t>y factor</w:t>
      </w:r>
      <w:r w:rsidRPr="00787196">
        <w:rPr>
          <w:szCs w:val="24"/>
        </w:rPr>
        <w:t xml:space="preserve"> at follow up</w:t>
      </w:r>
      <w:r w:rsidR="00112E81" w:rsidRPr="00787196">
        <w:rPr>
          <w:szCs w:val="24"/>
        </w:rPr>
        <w:t xml:space="preserve"> (T2)</w:t>
      </w:r>
      <w:r w:rsidRPr="00787196">
        <w:rPr>
          <w:szCs w:val="24"/>
        </w:rPr>
        <w:t xml:space="preserve"> is presented in </w:t>
      </w:r>
      <w:r w:rsidR="00935BB5" w:rsidRPr="00787196">
        <w:rPr>
          <w:szCs w:val="24"/>
        </w:rPr>
        <w:t>Table 5-</w:t>
      </w:r>
      <w:r w:rsidRPr="00787196">
        <w:rPr>
          <w:szCs w:val="24"/>
        </w:rPr>
        <w:t>3</w:t>
      </w:r>
      <w:r w:rsidR="00930F04" w:rsidRPr="00787196">
        <w:rPr>
          <w:szCs w:val="24"/>
        </w:rPr>
        <w:t>1</w:t>
      </w:r>
      <w:r w:rsidRPr="00787196">
        <w:rPr>
          <w:szCs w:val="24"/>
        </w:rPr>
        <w:t xml:space="preserve">. Individuals who </w:t>
      </w:r>
      <w:r w:rsidR="00112E81" w:rsidRPr="00787196">
        <w:rPr>
          <w:szCs w:val="24"/>
        </w:rPr>
        <w:t xml:space="preserve">had baseline occluding pairs of teeth, </w:t>
      </w:r>
      <w:r w:rsidRPr="00787196">
        <w:rPr>
          <w:szCs w:val="24"/>
        </w:rPr>
        <w:t>used</w:t>
      </w:r>
      <w:r w:rsidR="00112E81" w:rsidRPr="00787196">
        <w:rPr>
          <w:szCs w:val="24"/>
        </w:rPr>
        <w:t xml:space="preserve"> more positive and adequate</w:t>
      </w:r>
      <w:r w:rsidRPr="00787196">
        <w:rPr>
          <w:szCs w:val="24"/>
        </w:rPr>
        <w:t xml:space="preserve"> coping strategies </w:t>
      </w:r>
      <w:r w:rsidR="00112E81" w:rsidRPr="00787196">
        <w:rPr>
          <w:szCs w:val="24"/>
        </w:rPr>
        <w:t>accounted for higher positive and adequate coping strategies at</w:t>
      </w:r>
      <w:r w:rsidRPr="00787196">
        <w:rPr>
          <w:szCs w:val="24"/>
        </w:rPr>
        <w:t xml:space="preserve"> follow-up</w:t>
      </w:r>
      <w:r w:rsidR="00112E81" w:rsidRPr="00787196">
        <w:rPr>
          <w:szCs w:val="24"/>
        </w:rPr>
        <w:t xml:space="preserve"> (T2)</w:t>
      </w:r>
      <w:r w:rsidRPr="00787196">
        <w:rPr>
          <w:szCs w:val="24"/>
        </w:rPr>
        <w:t xml:space="preserve">. </w:t>
      </w:r>
      <w:r w:rsidR="00112E81" w:rsidRPr="00787196">
        <w:rPr>
          <w:szCs w:val="24"/>
        </w:rPr>
        <w:t>Positive and adequate</w:t>
      </w:r>
      <w:r w:rsidRPr="00787196">
        <w:rPr>
          <w:szCs w:val="24"/>
        </w:rPr>
        <w:t xml:space="preserve"> coping</w:t>
      </w:r>
      <w:r w:rsidR="00112E81" w:rsidRPr="00787196">
        <w:rPr>
          <w:szCs w:val="24"/>
        </w:rPr>
        <w:t xml:space="preserve"> scores accounted for 6</w:t>
      </w:r>
      <w:r w:rsidRPr="00787196">
        <w:rPr>
          <w:szCs w:val="24"/>
        </w:rPr>
        <w:t>.</w:t>
      </w:r>
      <w:r w:rsidR="00112E81" w:rsidRPr="00787196">
        <w:rPr>
          <w:szCs w:val="24"/>
        </w:rPr>
        <w:t>2</w:t>
      </w:r>
      <w:r w:rsidRPr="00787196">
        <w:rPr>
          <w:szCs w:val="24"/>
        </w:rPr>
        <w:t xml:space="preserve">% variance in the model. </w:t>
      </w:r>
      <w:r w:rsidR="00F926FB" w:rsidRPr="00787196">
        <w:rPr>
          <w:szCs w:val="24"/>
        </w:rPr>
        <w:t>P</w:t>
      </w:r>
      <w:r w:rsidRPr="00787196">
        <w:rPr>
          <w:szCs w:val="24"/>
        </w:rPr>
        <w:t>rosthetic</w:t>
      </w:r>
      <w:r w:rsidR="00F926FB" w:rsidRPr="00787196">
        <w:rPr>
          <w:szCs w:val="24"/>
        </w:rPr>
        <w:t xml:space="preserve"> need</w:t>
      </w:r>
      <w:r w:rsidRPr="00787196">
        <w:rPr>
          <w:szCs w:val="24"/>
        </w:rPr>
        <w:t xml:space="preserve"> (</w:t>
      </w:r>
      <w:r w:rsidR="00F926FB" w:rsidRPr="00787196">
        <w:rPr>
          <w:szCs w:val="24"/>
        </w:rPr>
        <w:t xml:space="preserve">both </w:t>
      </w:r>
      <w:r w:rsidRPr="00787196">
        <w:rPr>
          <w:szCs w:val="24"/>
        </w:rPr>
        <w:t>upper</w:t>
      </w:r>
      <w:r w:rsidR="00F926FB" w:rsidRPr="00787196">
        <w:rPr>
          <w:szCs w:val="24"/>
        </w:rPr>
        <w:t xml:space="preserve"> and lower</w:t>
      </w:r>
      <w:r w:rsidRPr="00787196">
        <w:rPr>
          <w:szCs w:val="24"/>
        </w:rPr>
        <w:t xml:space="preserve"> arch</w:t>
      </w:r>
      <w:r w:rsidR="00DE0D28" w:rsidRPr="00787196">
        <w:rPr>
          <w:szCs w:val="24"/>
        </w:rPr>
        <w:t>es</w:t>
      </w:r>
      <w:r w:rsidRPr="00787196">
        <w:rPr>
          <w:szCs w:val="24"/>
        </w:rPr>
        <w:t>)</w:t>
      </w:r>
      <w:r w:rsidR="00F926FB" w:rsidRPr="00787196">
        <w:rPr>
          <w:szCs w:val="24"/>
        </w:rPr>
        <w:t xml:space="preserve">, number of teeth present </w:t>
      </w:r>
      <w:r w:rsidRPr="00787196">
        <w:rPr>
          <w:szCs w:val="24"/>
        </w:rPr>
        <w:t>were not significant an</w:t>
      </w:r>
      <w:r w:rsidR="00DE0D28" w:rsidRPr="00787196">
        <w:rPr>
          <w:szCs w:val="24"/>
        </w:rPr>
        <w:t>d were excluded from the model.</w:t>
      </w:r>
    </w:p>
    <w:p w14:paraId="5D54FB5D" w14:textId="27835850" w:rsidR="00930F04" w:rsidRPr="00787196" w:rsidRDefault="00930F04" w:rsidP="00D1431C">
      <w:pPr>
        <w:pStyle w:val="Caption"/>
        <w:keepNext/>
        <w:spacing w:after="0"/>
        <w:rPr>
          <w:b/>
          <w:bCs/>
          <w:i w:val="0"/>
          <w:iCs w:val="0"/>
          <w:color w:val="auto"/>
          <w:sz w:val="20"/>
          <w:szCs w:val="20"/>
        </w:rPr>
      </w:pPr>
      <w:bookmarkStart w:id="318" w:name="_Toc488655560"/>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31</w:t>
      </w:r>
      <w:r w:rsidR="000332A1" w:rsidRPr="00787196">
        <w:rPr>
          <w:b/>
          <w:bCs/>
          <w:i w:val="0"/>
          <w:iCs w:val="0"/>
          <w:color w:val="auto"/>
          <w:sz w:val="20"/>
          <w:szCs w:val="20"/>
        </w:rPr>
        <w:fldChar w:fldCharType="end"/>
      </w:r>
      <w:r w:rsidR="00D0397C" w:rsidRPr="00787196">
        <w:rPr>
          <w:b/>
          <w:bCs/>
          <w:i w:val="0"/>
          <w:iCs w:val="0"/>
          <w:color w:val="auto"/>
          <w:sz w:val="20"/>
          <w:szCs w:val="20"/>
        </w:rPr>
        <w:t>.</w:t>
      </w:r>
      <w:r w:rsidRPr="00787196">
        <w:rPr>
          <w:b/>
          <w:bCs/>
          <w:i w:val="0"/>
          <w:iCs w:val="0"/>
          <w:color w:val="auto"/>
          <w:sz w:val="20"/>
          <w:szCs w:val="20"/>
        </w:rPr>
        <w:t xml:space="preserve"> Stepwise forward multiple regression model for positive/</w:t>
      </w:r>
      <w:r w:rsidR="00B04AF5" w:rsidRPr="00787196">
        <w:rPr>
          <w:b/>
          <w:bCs/>
          <w:i w:val="0"/>
          <w:iCs w:val="0"/>
          <w:color w:val="auto"/>
          <w:sz w:val="20"/>
          <w:szCs w:val="20"/>
        </w:rPr>
        <w:t xml:space="preserve"> </w:t>
      </w:r>
      <w:r w:rsidR="00D1431C" w:rsidRPr="00787196">
        <w:rPr>
          <w:b/>
          <w:bCs/>
          <w:i w:val="0"/>
          <w:iCs w:val="0"/>
          <w:color w:val="auto"/>
          <w:sz w:val="20"/>
          <w:szCs w:val="20"/>
        </w:rPr>
        <w:t>adequate Brief COPE f</w:t>
      </w:r>
      <w:r w:rsidRPr="00787196">
        <w:rPr>
          <w:b/>
          <w:bCs/>
          <w:i w:val="0"/>
          <w:iCs w:val="0"/>
          <w:color w:val="auto"/>
          <w:sz w:val="20"/>
          <w:szCs w:val="20"/>
        </w:rPr>
        <w:t>a</w:t>
      </w:r>
      <w:r w:rsidR="00D1431C" w:rsidRPr="00787196">
        <w:rPr>
          <w:b/>
          <w:bCs/>
          <w:i w:val="0"/>
          <w:iCs w:val="0"/>
          <w:color w:val="auto"/>
          <w:sz w:val="20"/>
          <w:szCs w:val="20"/>
        </w:rPr>
        <w:t>c</w:t>
      </w:r>
      <w:r w:rsidRPr="00787196">
        <w:rPr>
          <w:b/>
          <w:bCs/>
          <w:i w:val="0"/>
          <w:iCs w:val="0"/>
          <w:color w:val="auto"/>
          <w:sz w:val="20"/>
          <w:szCs w:val="20"/>
        </w:rPr>
        <w:t>t</w:t>
      </w:r>
      <w:r w:rsidR="00D1431C" w:rsidRPr="00787196">
        <w:rPr>
          <w:b/>
          <w:bCs/>
          <w:i w:val="0"/>
          <w:iCs w:val="0"/>
          <w:color w:val="auto"/>
          <w:sz w:val="20"/>
          <w:szCs w:val="20"/>
        </w:rPr>
        <w:t>or</w:t>
      </w:r>
      <w:r w:rsidRPr="00787196">
        <w:rPr>
          <w:b/>
          <w:bCs/>
          <w:i w:val="0"/>
          <w:iCs w:val="0"/>
          <w:color w:val="auto"/>
          <w:sz w:val="20"/>
          <w:szCs w:val="20"/>
        </w:rPr>
        <w:t xml:space="preserve"> follow-up (T2)</w:t>
      </w:r>
      <w:bookmarkEnd w:id="318"/>
    </w:p>
    <w:tbl>
      <w:tblPr>
        <w:tblpPr w:leftFromText="180" w:rightFromText="180" w:vertAnchor="text" w:horzAnchor="margin" w:tblpY="173"/>
        <w:tblW w:w="8263" w:type="dxa"/>
        <w:tblBorders>
          <w:top w:val="single" w:sz="8" w:space="0" w:color="000000"/>
          <w:bottom w:val="single" w:sz="8" w:space="0" w:color="000000"/>
        </w:tblBorders>
        <w:tblLook w:val="04A0" w:firstRow="1" w:lastRow="0" w:firstColumn="1" w:lastColumn="0" w:noHBand="0" w:noVBand="1"/>
      </w:tblPr>
      <w:tblGrid>
        <w:gridCol w:w="3287"/>
        <w:gridCol w:w="1150"/>
        <w:gridCol w:w="828"/>
        <w:gridCol w:w="805"/>
        <w:gridCol w:w="1165"/>
        <w:gridCol w:w="1028"/>
      </w:tblGrid>
      <w:tr w:rsidR="00930F04" w:rsidRPr="00787196" w14:paraId="7C61CC2A" w14:textId="77777777" w:rsidTr="00D336B9">
        <w:trPr>
          <w:trHeight w:val="625"/>
        </w:trPr>
        <w:tc>
          <w:tcPr>
            <w:tcW w:w="3287" w:type="dxa"/>
            <w:tcBorders>
              <w:top w:val="single" w:sz="8" w:space="0" w:color="000000"/>
              <w:bottom w:val="single" w:sz="8" w:space="0" w:color="000000"/>
            </w:tcBorders>
            <w:shd w:val="clear" w:color="auto" w:fill="FFFFFF"/>
            <w:vAlign w:val="center"/>
          </w:tcPr>
          <w:p w14:paraId="5AAE9D76" w14:textId="1B065938" w:rsidR="00930F04" w:rsidRPr="00787196" w:rsidRDefault="00930F04" w:rsidP="00D1431C">
            <w:pPr>
              <w:autoSpaceDE w:val="0"/>
              <w:autoSpaceDN w:val="0"/>
              <w:adjustRightInd w:val="0"/>
              <w:spacing w:before="0" w:after="0" w:line="240" w:lineRule="auto"/>
              <w:jc w:val="left"/>
              <w:rPr>
                <w:rFonts w:cs="Arial"/>
                <w:b/>
                <w:bCs/>
                <w:color w:val="000000"/>
                <w:sz w:val="20"/>
                <w:szCs w:val="20"/>
              </w:rPr>
            </w:pPr>
            <w:bookmarkStart w:id="319" w:name="_Toc456211195"/>
            <w:r w:rsidRPr="00787196">
              <w:rPr>
                <w:rFonts w:cs="Arial"/>
                <w:b/>
                <w:bCs/>
                <w:color w:val="000000"/>
                <w:sz w:val="20"/>
                <w:szCs w:val="20"/>
              </w:rPr>
              <w:t xml:space="preserve">Predictors of positive/ adequate </w:t>
            </w:r>
            <w:r w:rsidR="00D1431C" w:rsidRPr="00787196">
              <w:rPr>
                <w:rFonts w:cs="Arial"/>
                <w:b/>
                <w:bCs/>
                <w:color w:val="000000"/>
                <w:sz w:val="20"/>
                <w:szCs w:val="20"/>
              </w:rPr>
              <w:t>factor</w:t>
            </w:r>
            <w:r w:rsidRPr="00787196">
              <w:rPr>
                <w:rFonts w:cs="Arial"/>
                <w:b/>
                <w:bCs/>
                <w:color w:val="000000"/>
                <w:sz w:val="20"/>
                <w:szCs w:val="20"/>
              </w:rPr>
              <w:t xml:space="preserve"> at follow-up (T2)</w:t>
            </w:r>
          </w:p>
        </w:tc>
        <w:tc>
          <w:tcPr>
            <w:tcW w:w="1150" w:type="dxa"/>
            <w:tcBorders>
              <w:top w:val="single" w:sz="8" w:space="0" w:color="000000"/>
              <w:bottom w:val="single" w:sz="8" w:space="0" w:color="000000"/>
            </w:tcBorders>
            <w:shd w:val="clear" w:color="auto" w:fill="FFFFFF"/>
            <w:vAlign w:val="center"/>
          </w:tcPr>
          <w:p w14:paraId="77DB92AD" w14:textId="77777777"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828" w:type="dxa"/>
            <w:tcBorders>
              <w:top w:val="single" w:sz="8" w:space="0" w:color="000000"/>
              <w:bottom w:val="single" w:sz="8" w:space="0" w:color="000000"/>
            </w:tcBorders>
            <w:shd w:val="clear" w:color="auto" w:fill="FFFFFF"/>
            <w:vAlign w:val="center"/>
          </w:tcPr>
          <w:p w14:paraId="3ACDB026" w14:textId="7A06C144"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05" w:type="dxa"/>
            <w:tcBorders>
              <w:top w:val="single" w:sz="8" w:space="0" w:color="000000"/>
              <w:bottom w:val="single" w:sz="8" w:space="0" w:color="000000"/>
            </w:tcBorders>
            <w:shd w:val="clear" w:color="auto" w:fill="FFFFFF"/>
            <w:vAlign w:val="center"/>
          </w:tcPr>
          <w:p w14:paraId="3D96FCBF" w14:textId="4CAD98DA" w:rsidR="00930F04" w:rsidRPr="00787196" w:rsidRDefault="00930F04" w:rsidP="00D336B9">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165" w:type="dxa"/>
            <w:tcBorders>
              <w:top w:val="single" w:sz="8" w:space="0" w:color="000000"/>
              <w:bottom w:val="single" w:sz="8" w:space="0" w:color="000000"/>
            </w:tcBorders>
            <w:shd w:val="clear" w:color="auto" w:fill="FFFFFF"/>
            <w:vAlign w:val="center"/>
          </w:tcPr>
          <w:p w14:paraId="646AF5A4" w14:textId="77777777"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765E6EA4" w14:textId="77777777"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028" w:type="dxa"/>
            <w:tcBorders>
              <w:top w:val="single" w:sz="8" w:space="0" w:color="000000"/>
              <w:bottom w:val="single" w:sz="8" w:space="0" w:color="000000"/>
            </w:tcBorders>
            <w:shd w:val="clear" w:color="auto" w:fill="FFFFFF"/>
            <w:vAlign w:val="center"/>
          </w:tcPr>
          <w:p w14:paraId="1FC77028" w14:textId="77777777"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41267BA2" w14:textId="77777777" w:rsidR="00930F04" w:rsidRPr="00787196" w:rsidRDefault="00930F04" w:rsidP="00D336B9">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930F04" w:rsidRPr="00787196" w14:paraId="1ABE7B4D" w14:textId="77777777" w:rsidTr="00D336B9">
        <w:trPr>
          <w:trHeight w:val="468"/>
        </w:trPr>
        <w:tc>
          <w:tcPr>
            <w:tcW w:w="3287" w:type="dxa"/>
            <w:shd w:val="clear" w:color="auto" w:fill="FFFFFF"/>
            <w:vAlign w:val="center"/>
          </w:tcPr>
          <w:p w14:paraId="6F135972" w14:textId="739BBCAE" w:rsidR="00930F04" w:rsidRPr="00787196" w:rsidRDefault="00DE0D28" w:rsidP="00D336B9">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O</w:t>
            </w:r>
            <w:r w:rsidR="0008107B" w:rsidRPr="00787196">
              <w:rPr>
                <w:rFonts w:cs="Arial"/>
                <w:color w:val="000000"/>
                <w:sz w:val="20"/>
                <w:szCs w:val="20"/>
              </w:rPr>
              <w:t>ccluding pairs of teeth</w:t>
            </w:r>
          </w:p>
        </w:tc>
        <w:tc>
          <w:tcPr>
            <w:tcW w:w="1150" w:type="dxa"/>
            <w:tcBorders>
              <w:left w:val="nil"/>
              <w:right w:val="nil"/>
            </w:tcBorders>
            <w:shd w:val="clear" w:color="auto" w:fill="FFFFFF"/>
            <w:vAlign w:val="center"/>
          </w:tcPr>
          <w:p w14:paraId="545B4A65" w14:textId="78B3A013" w:rsidR="00930F04" w:rsidRPr="00787196" w:rsidRDefault="00930F0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w:t>
            </w:r>
            <w:r w:rsidR="00A47E44" w:rsidRPr="00787196">
              <w:rPr>
                <w:rFonts w:cs="Arial"/>
                <w:color w:val="000000"/>
                <w:sz w:val="20"/>
                <w:szCs w:val="20"/>
              </w:rPr>
              <w:t>193*</w:t>
            </w:r>
            <w:r w:rsidRPr="00787196">
              <w:rPr>
                <w:rFonts w:cs="Arial"/>
                <w:color w:val="000000"/>
                <w:sz w:val="20"/>
                <w:szCs w:val="20"/>
              </w:rPr>
              <w:t>*</w:t>
            </w:r>
          </w:p>
        </w:tc>
        <w:tc>
          <w:tcPr>
            <w:tcW w:w="828" w:type="dxa"/>
            <w:tcBorders>
              <w:left w:val="nil"/>
              <w:right w:val="nil"/>
            </w:tcBorders>
            <w:shd w:val="clear" w:color="auto" w:fill="FFFFFF"/>
            <w:vAlign w:val="center"/>
          </w:tcPr>
          <w:p w14:paraId="72EC6E72" w14:textId="79AD6667" w:rsidR="00930F04" w:rsidRPr="00787196" w:rsidRDefault="00A47E4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7.4231</w:t>
            </w:r>
          </w:p>
        </w:tc>
        <w:tc>
          <w:tcPr>
            <w:tcW w:w="805" w:type="dxa"/>
            <w:tcBorders>
              <w:left w:val="nil"/>
              <w:right w:val="nil"/>
            </w:tcBorders>
            <w:shd w:val="clear" w:color="auto" w:fill="FFFFFF"/>
            <w:vAlign w:val="center"/>
          </w:tcPr>
          <w:p w14:paraId="4D41F8C1" w14:textId="167FADF3" w:rsidR="00930F04" w:rsidRPr="00787196" w:rsidRDefault="00A47E4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0.038</w:t>
            </w:r>
          </w:p>
        </w:tc>
        <w:tc>
          <w:tcPr>
            <w:tcW w:w="1165" w:type="dxa"/>
            <w:tcBorders>
              <w:left w:val="nil"/>
              <w:right w:val="nil"/>
            </w:tcBorders>
            <w:shd w:val="clear" w:color="auto" w:fill="FFFFFF"/>
            <w:vAlign w:val="center"/>
          </w:tcPr>
          <w:p w14:paraId="76F0EBD0" w14:textId="5D2471FB" w:rsidR="00930F04" w:rsidRPr="00787196" w:rsidRDefault="00930F0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w:t>
            </w:r>
            <w:r w:rsidR="00A47E44" w:rsidRPr="00787196">
              <w:rPr>
                <w:rFonts w:cs="Arial"/>
                <w:color w:val="000000"/>
                <w:sz w:val="20"/>
                <w:szCs w:val="20"/>
              </w:rPr>
              <w:t>33</w:t>
            </w:r>
          </w:p>
        </w:tc>
        <w:tc>
          <w:tcPr>
            <w:tcW w:w="1028" w:type="dxa"/>
            <w:tcBorders>
              <w:left w:val="nil"/>
              <w:right w:val="nil"/>
            </w:tcBorders>
            <w:shd w:val="clear" w:color="auto" w:fill="FFFFFF"/>
            <w:vAlign w:val="center"/>
          </w:tcPr>
          <w:p w14:paraId="13937364" w14:textId="7A0A04B3" w:rsidR="00930F04" w:rsidRPr="00787196" w:rsidRDefault="00930F0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w:t>
            </w:r>
            <w:r w:rsidR="00A47E44" w:rsidRPr="00787196">
              <w:rPr>
                <w:rFonts w:cs="Arial"/>
                <w:color w:val="000000"/>
                <w:sz w:val="20"/>
                <w:szCs w:val="20"/>
              </w:rPr>
              <w:t>38</w:t>
            </w:r>
          </w:p>
        </w:tc>
      </w:tr>
      <w:tr w:rsidR="00930F04" w:rsidRPr="00787196" w14:paraId="42D722A2" w14:textId="77777777" w:rsidTr="00D336B9">
        <w:trPr>
          <w:trHeight w:val="565"/>
        </w:trPr>
        <w:tc>
          <w:tcPr>
            <w:tcW w:w="3287" w:type="dxa"/>
            <w:shd w:val="clear" w:color="auto" w:fill="FFFFFF"/>
            <w:vAlign w:val="center"/>
          </w:tcPr>
          <w:p w14:paraId="188D06C0" w14:textId="65D935A4" w:rsidR="00930F04" w:rsidRPr="00787196" w:rsidRDefault="00A47E44" w:rsidP="00D1431C">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Positive/</w:t>
            </w:r>
            <w:r w:rsidR="00930F04" w:rsidRPr="00787196">
              <w:rPr>
                <w:rFonts w:cs="Arial"/>
                <w:color w:val="000000"/>
                <w:sz w:val="20"/>
                <w:szCs w:val="20"/>
              </w:rPr>
              <w:t xml:space="preserve">adequate </w:t>
            </w:r>
            <w:r w:rsidR="00D1431C" w:rsidRPr="00787196">
              <w:rPr>
                <w:rFonts w:cs="Arial"/>
                <w:color w:val="000000"/>
                <w:sz w:val="20"/>
                <w:szCs w:val="20"/>
              </w:rPr>
              <w:t>factor</w:t>
            </w:r>
            <w:r w:rsidR="00930F04" w:rsidRPr="00787196">
              <w:rPr>
                <w:rFonts w:cs="Arial"/>
                <w:color w:val="000000"/>
                <w:sz w:val="20"/>
                <w:szCs w:val="20"/>
              </w:rPr>
              <w:t>(baseline)</w:t>
            </w:r>
          </w:p>
        </w:tc>
        <w:tc>
          <w:tcPr>
            <w:tcW w:w="1150" w:type="dxa"/>
            <w:tcBorders>
              <w:left w:val="nil"/>
              <w:right w:val="nil"/>
            </w:tcBorders>
            <w:shd w:val="clear" w:color="auto" w:fill="FFFFFF"/>
            <w:vAlign w:val="center"/>
          </w:tcPr>
          <w:p w14:paraId="7548BC0E" w14:textId="18A00A2D" w:rsidR="00930F04" w:rsidRPr="00787196" w:rsidRDefault="00D0397C" w:rsidP="00D336B9">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 xml:space="preserve">  </w:t>
            </w:r>
            <w:r w:rsidR="00930F04" w:rsidRPr="00787196">
              <w:rPr>
                <w:rFonts w:cs="Arial"/>
                <w:color w:val="000000"/>
                <w:sz w:val="20"/>
                <w:szCs w:val="20"/>
              </w:rPr>
              <w:t>0.</w:t>
            </w:r>
            <w:r w:rsidR="00A47E44" w:rsidRPr="00787196">
              <w:rPr>
                <w:rFonts w:cs="Arial"/>
                <w:color w:val="000000"/>
                <w:sz w:val="20"/>
                <w:szCs w:val="20"/>
              </w:rPr>
              <w:t>157</w:t>
            </w:r>
            <w:r w:rsidR="00930F04" w:rsidRPr="00787196">
              <w:rPr>
                <w:rFonts w:cs="Arial"/>
                <w:color w:val="000000"/>
                <w:sz w:val="20"/>
                <w:szCs w:val="20"/>
              </w:rPr>
              <w:t>*</w:t>
            </w:r>
          </w:p>
        </w:tc>
        <w:tc>
          <w:tcPr>
            <w:tcW w:w="828" w:type="dxa"/>
            <w:tcBorders>
              <w:left w:val="nil"/>
              <w:right w:val="nil"/>
            </w:tcBorders>
            <w:shd w:val="clear" w:color="auto" w:fill="FFFFFF"/>
            <w:vAlign w:val="center"/>
          </w:tcPr>
          <w:p w14:paraId="468A03D6" w14:textId="375958B8" w:rsidR="00930F04" w:rsidRPr="00787196" w:rsidRDefault="00A47E44" w:rsidP="00D336B9">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6.263</w:t>
            </w:r>
          </w:p>
        </w:tc>
        <w:tc>
          <w:tcPr>
            <w:tcW w:w="805" w:type="dxa"/>
            <w:tcBorders>
              <w:left w:val="nil"/>
              <w:right w:val="nil"/>
            </w:tcBorders>
            <w:shd w:val="clear" w:color="auto" w:fill="FFFFFF"/>
            <w:vAlign w:val="center"/>
          </w:tcPr>
          <w:p w14:paraId="026349CB" w14:textId="47F92842" w:rsidR="00930F04" w:rsidRPr="00787196" w:rsidRDefault="00930F0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w:t>
            </w:r>
            <w:r w:rsidR="00A47E44" w:rsidRPr="00787196">
              <w:rPr>
                <w:rFonts w:cs="Arial"/>
                <w:color w:val="000000"/>
                <w:sz w:val="20"/>
                <w:szCs w:val="20"/>
              </w:rPr>
              <w:t>.062</w:t>
            </w:r>
          </w:p>
        </w:tc>
        <w:tc>
          <w:tcPr>
            <w:tcW w:w="1165" w:type="dxa"/>
            <w:tcBorders>
              <w:left w:val="nil"/>
              <w:right w:val="nil"/>
            </w:tcBorders>
            <w:shd w:val="clear" w:color="auto" w:fill="FFFFFF"/>
            <w:vAlign w:val="center"/>
          </w:tcPr>
          <w:p w14:paraId="3612A905" w14:textId="552A486A" w:rsidR="00930F04" w:rsidRPr="00787196" w:rsidRDefault="00A47E44"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0.052</w:t>
            </w:r>
          </w:p>
        </w:tc>
        <w:tc>
          <w:tcPr>
            <w:tcW w:w="1028" w:type="dxa"/>
            <w:tcBorders>
              <w:left w:val="nil"/>
              <w:right w:val="nil"/>
            </w:tcBorders>
            <w:shd w:val="clear" w:color="auto" w:fill="FFFFFF"/>
            <w:vAlign w:val="center"/>
          </w:tcPr>
          <w:p w14:paraId="04EAE81C" w14:textId="39F5E246" w:rsidR="00930F04" w:rsidRPr="00787196" w:rsidRDefault="00F17C32" w:rsidP="00D336B9">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0.025</w:t>
            </w:r>
          </w:p>
        </w:tc>
      </w:tr>
      <w:tr w:rsidR="00930F04" w:rsidRPr="00787196" w14:paraId="6A328E86" w14:textId="77777777" w:rsidTr="00D336B9">
        <w:trPr>
          <w:trHeight w:val="232"/>
        </w:trPr>
        <w:tc>
          <w:tcPr>
            <w:tcW w:w="3287" w:type="dxa"/>
            <w:shd w:val="clear" w:color="auto" w:fill="FFFFFF"/>
          </w:tcPr>
          <w:p w14:paraId="0E3AEAAF" w14:textId="77777777" w:rsidR="00930F04" w:rsidRPr="00787196" w:rsidRDefault="00930F04" w:rsidP="00D336B9">
            <w:pPr>
              <w:spacing w:before="0" w:after="0"/>
              <w:jc w:val="left"/>
              <w:rPr>
                <w:sz w:val="20"/>
                <w:szCs w:val="20"/>
                <w:u w:val="single"/>
              </w:rPr>
            </w:pPr>
            <w:r w:rsidRPr="00787196">
              <w:rPr>
                <w:sz w:val="20"/>
                <w:szCs w:val="20"/>
                <w:u w:val="single"/>
              </w:rPr>
              <w:t>Excluded variables</w:t>
            </w:r>
          </w:p>
        </w:tc>
        <w:tc>
          <w:tcPr>
            <w:tcW w:w="1150" w:type="dxa"/>
            <w:tcBorders>
              <w:left w:val="nil"/>
              <w:right w:val="nil"/>
            </w:tcBorders>
            <w:shd w:val="clear" w:color="auto" w:fill="FFFFFF"/>
          </w:tcPr>
          <w:p w14:paraId="0549E251" w14:textId="77777777" w:rsidR="00930F04" w:rsidRPr="00787196" w:rsidRDefault="00930F04" w:rsidP="00D336B9">
            <w:pPr>
              <w:spacing w:before="0" w:after="0" w:line="240" w:lineRule="auto"/>
              <w:rPr>
                <w:sz w:val="20"/>
                <w:szCs w:val="20"/>
              </w:rPr>
            </w:pPr>
          </w:p>
        </w:tc>
        <w:tc>
          <w:tcPr>
            <w:tcW w:w="828" w:type="dxa"/>
            <w:tcBorders>
              <w:left w:val="nil"/>
              <w:right w:val="nil"/>
            </w:tcBorders>
            <w:shd w:val="clear" w:color="auto" w:fill="FFFFFF"/>
            <w:vAlign w:val="center"/>
          </w:tcPr>
          <w:p w14:paraId="22408864" w14:textId="77777777" w:rsidR="00930F04" w:rsidRPr="00787196" w:rsidRDefault="00930F04" w:rsidP="00D336B9">
            <w:pPr>
              <w:spacing w:before="0" w:after="0" w:line="240" w:lineRule="auto"/>
              <w:jc w:val="center"/>
              <w:rPr>
                <w:sz w:val="20"/>
                <w:szCs w:val="20"/>
              </w:rPr>
            </w:pPr>
          </w:p>
        </w:tc>
        <w:tc>
          <w:tcPr>
            <w:tcW w:w="805" w:type="dxa"/>
            <w:tcBorders>
              <w:left w:val="nil"/>
              <w:right w:val="nil"/>
            </w:tcBorders>
            <w:shd w:val="clear" w:color="auto" w:fill="FFFFFF"/>
          </w:tcPr>
          <w:p w14:paraId="7E7BED60" w14:textId="531330B6" w:rsidR="00930F04" w:rsidRPr="00787196" w:rsidRDefault="00930F04" w:rsidP="00D336B9">
            <w:pPr>
              <w:spacing w:before="0" w:after="0" w:line="240" w:lineRule="auto"/>
              <w:rPr>
                <w:sz w:val="20"/>
                <w:szCs w:val="20"/>
              </w:rPr>
            </w:pPr>
          </w:p>
        </w:tc>
        <w:tc>
          <w:tcPr>
            <w:tcW w:w="1165" w:type="dxa"/>
            <w:tcBorders>
              <w:left w:val="nil"/>
              <w:right w:val="nil"/>
            </w:tcBorders>
            <w:shd w:val="clear" w:color="auto" w:fill="FFFFFF"/>
          </w:tcPr>
          <w:p w14:paraId="734E85AA" w14:textId="77777777" w:rsidR="00930F04" w:rsidRPr="00787196" w:rsidRDefault="00930F04" w:rsidP="00D336B9">
            <w:pPr>
              <w:spacing w:before="0" w:after="0" w:line="240" w:lineRule="auto"/>
              <w:rPr>
                <w:sz w:val="20"/>
                <w:szCs w:val="20"/>
              </w:rPr>
            </w:pPr>
          </w:p>
        </w:tc>
        <w:tc>
          <w:tcPr>
            <w:tcW w:w="1028" w:type="dxa"/>
            <w:tcBorders>
              <w:left w:val="nil"/>
              <w:right w:val="nil"/>
            </w:tcBorders>
            <w:shd w:val="clear" w:color="auto" w:fill="FFFFFF"/>
          </w:tcPr>
          <w:p w14:paraId="266ACC76" w14:textId="77777777" w:rsidR="00930F04" w:rsidRPr="00787196" w:rsidRDefault="00930F04" w:rsidP="00D336B9">
            <w:pPr>
              <w:spacing w:before="0" w:after="0" w:line="240" w:lineRule="auto"/>
              <w:rPr>
                <w:sz w:val="20"/>
                <w:szCs w:val="20"/>
              </w:rPr>
            </w:pPr>
          </w:p>
        </w:tc>
      </w:tr>
      <w:tr w:rsidR="00930F04" w:rsidRPr="00787196" w14:paraId="2EA3005A" w14:textId="77777777" w:rsidTr="00D336B9">
        <w:trPr>
          <w:trHeight w:val="507"/>
        </w:trPr>
        <w:tc>
          <w:tcPr>
            <w:tcW w:w="3287" w:type="dxa"/>
            <w:shd w:val="clear" w:color="auto" w:fill="FFFFFF"/>
            <w:vAlign w:val="bottom"/>
          </w:tcPr>
          <w:p w14:paraId="3092ABB5" w14:textId="5D092288" w:rsidR="00930F04" w:rsidRPr="00787196" w:rsidRDefault="00A47E44" w:rsidP="00D336B9">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Prosthetic need (both upper and lower arches), Number of teeth present</w:t>
            </w:r>
          </w:p>
        </w:tc>
        <w:tc>
          <w:tcPr>
            <w:tcW w:w="1150" w:type="dxa"/>
            <w:tcBorders>
              <w:left w:val="nil"/>
              <w:right w:val="nil"/>
            </w:tcBorders>
            <w:shd w:val="clear" w:color="auto" w:fill="FFFFFF"/>
            <w:vAlign w:val="center"/>
          </w:tcPr>
          <w:p w14:paraId="05D2105B" w14:textId="77777777" w:rsidR="00930F04" w:rsidRPr="00787196" w:rsidRDefault="00930F04" w:rsidP="00D336B9">
            <w:pPr>
              <w:autoSpaceDE w:val="0"/>
              <w:autoSpaceDN w:val="0"/>
              <w:adjustRightInd w:val="0"/>
              <w:spacing w:before="0" w:after="0" w:line="240" w:lineRule="auto"/>
              <w:rPr>
                <w:rFonts w:cs="Arial"/>
                <w:color w:val="000000"/>
                <w:sz w:val="20"/>
                <w:szCs w:val="20"/>
              </w:rPr>
            </w:pPr>
          </w:p>
        </w:tc>
        <w:tc>
          <w:tcPr>
            <w:tcW w:w="828" w:type="dxa"/>
            <w:tcBorders>
              <w:left w:val="nil"/>
              <w:right w:val="nil"/>
            </w:tcBorders>
            <w:shd w:val="clear" w:color="auto" w:fill="FFFFFF"/>
            <w:vAlign w:val="center"/>
          </w:tcPr>
          <w:p w14:paraId="13D0AE48" w14:textId="77777777" w:rsidR="00930F04" w:rsidRPr="00787196" w:rsidRDefault="00930F04" w:rsidP="00D336B9">
            <w:pPr>
              <w:autoSpaceDE w:val="0"/>
              <w:autoSpaceDN w:val="0"/>
              <w:adjustRightInd w:val="0"/>
              <w:spacing w:before="0" w:after="0" w:line="240" w:lineRule="auto"/>
              <w:jc w:val="center"/>
              <w:rPr>
                <w:rFonts w:cs="Arial"/>
                <w:color w:val="000000"/>
                <w:sz w:val="20"/>
                <w:szCs w:val="20"/>
              </w:rPr>
            </w:pPr>
          </w:p>
        </w:tc>
        <w:tc>
          <w:tcPr>
            <w:tcW w:w="805" w:type="dxa"/>
            <w:tcBorders>
              <w:left w:val="nil"/>
              <w:right w:val="nil"/>
            </w:tcBorders>
            <w:shd w:val="clear" w:color="auto" w:fill="FFFFFF"/>
          </w:tcPr>
          <w:p w14:paraId="66CA1F1D" w14:textId="20BD28BD" w:rsidR="00930F04" w:rsidRPr="00787196" w:rsidRDefault="00930F04" w:rsidP="00D336B9">
            <w:pPr>
              <w:autoSpaceDE w:val="0"/>
              <w:autoSpaceDN w:val="0"/>
              <w:adjustRightInd w:val="0"/>
              <w:spacing w:before="0" w:after="0" w:line="240" w:lineRule="auto"/>
              <w:rPr>
                <w:rFonts w:cs="Arial"/>
                <w:color w:val="000000"/>
                <w:sz w:val="20"/>
                <w:szCs w:val="20"/>
              </w:rPr>
            </w:pPr>
          </w:p>
        </w:tc>
        <w:tc>
          <w:tcPr>
            <w:tcW w:w="1165" w:type="dxa"/>
            <w:tcBorders>
              <w:left w:val="nil"/>
              <w:right w:val="nil"/>
            </w:tcBorders>
            <w:shd w:val="clear" w:color="auto" w:fill="FFFFFF"/>
          </w:tcPr>
          <w:p w14:paraId="7318943E" w14:textId="77777777" w:rsidR="00930F04" w:rsidRPr="00787196" w:rsidRDefault="00930F04" w:rsidP="00D336B9">
            <w:pPr>
              <w:autoSpaceDE w:val="0"/>
              <w:autoSpaceDN w:val="0"/>
              <w:adjustRightInd w:val="0"/>
              <w:spacing w:before="0" w:after="0" w:line="240" w:lineRule="auto"/>
              <w:rPr>
                <w:rFonts w:cs="Arial"/>
                <w:color w:val="000000"/>
                <w:sz w:val="20"/>
                <w:szCs w:val="20"/>
              </w:rPr>
            </w:pPr>
          </w:p>
        </w:tc>
        <w:tc>
          <w:tcPr>
            <w:tcW w:w="1028" w:type="dxa"/>
            <w:tcBorders>
              <w:left w:val="nil"/>
              <w:right w:val="nil"/>
            </w:tcBorders>
            <w:shd w:val="clear" w:color="auto" w:fill="FFFFFF"/>
          </w:tcPr>
          <w:p w14:paraId="10FC0045" w14:textId="77777777" w:rsidR="00930F04" w:rsidRPr="00787196" w:rsidRDefault="00930F04" w:rsidP="00D336B9">
            <w:pPr>
              <w:autoSpaceDE w:val="0"/>
              <w:autoSpaceDN w:val="0"/>
              <w:adjustRightInd w:val="0"/>
              <w:spacing w:before="0" w:after="0" w:line="240" w:lineRule="auto"/>
              <w:rPr>
                <w:rFonts w:cs="Arial"/>
                <w:color w:val="000000"/>
                <w:sz w:val="20"/>
                <w:szCs w:val="20"/>
              </w:rPr>
            </w:pPr>
          </w:p>
        </w:tc>
      </w:tr>
      <w:tr w:rsidR="00D336B9" w:rsidRPr="00787196" w14:paraId="28D0209B" w14:textId="77777777" w:rsidTr="00D336B9">
        <w:trPr>
          <w:trHeight w:val="20"/>
        </w:trPr>
        <w:tc>
          <w:tcPr>
            <w:tcW w:w="3287" w:type="dxa"/>
            <w:shd w:val="clear" w:color="auto" w:fill="FFFFFF"/>
            <w:vAlign w:val="center"/>
          </w:tcPr>
          <w:p w14:paraId="295C3768"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c>
          <w:tcPr>
            <w:tcW w:w="1150" w:type="dxa"/>
            <w:tcBorders>
              <w:left w:val="nil"/>
              <w:right w:val="nil"/>
            </w:tcBorders>
            <w:shd w:val="clear" w:color="auto" w:fill="FFFFFF"/>
            <w:vAlign w:val="center"/>
          </w:tcPr>
          <w:p w14:paraId="51C64FDF"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c>
          <w:tcPr>
            <w:tcW w:w="828" w:type="dxa"/>
            <w:tcBorders>
              <w:left w:val="nil"/>
              <w:right w:val="nil"/>
            </w:tcBorders>
            <w:shd w:val="clear" w:color="auto" w:fill="FFFFFF"/>
            <w:vAlign w:val="center"/>
          </w:tcPr>
          <w:p w14:paraId="3FF2F59A"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c>
          <w:tcPr>
            <w:tcW w:w="805" w:type="dxa"/>
            <w:tcBorders>
              <w:left w:val="nil"/>
              <w:right w:val="nil"/>
            </w:tcBorders>
            <w:shd w:val="clear" w:color="auto" w:fill="FFFFFF"/>
            <w:vAlign w:val="center"/>
          </w:tcPr>
          <w:p w14:paraId="66C4FBBF"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c>
          <w:tcPr>
            <w:tcW w:w="1165" w:type="dxa"/>
            <w:tcBorders>
              <w:left w:val="nil"/>
              <w:right w:val="nil"/>
            </w:tcBorders>
            <w:shd w:val="clear" w:color="auto" w:fill="FFFFFF"/>
            <w:vAlign w:val="center"/>
          </w:tcPr>
          <w:p w14:paraId="2DFAB052"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c>
          <w:tcPr>
            <w:tcW w:w="1028" w:type="dxa"/>
            <w:tcBorders>
              <w:left w:val="nil"/>
              <w:right w:val="nil"/>
            </w:tcBorders>
            <w:shd w:val="clear" w:color="auto" w:fill="FFFFFF"/>
            <w:vAlign w:val="center"/>
          </w:tcPr>
          <w:p w14:paraId="054AFCC7" w14:textId="77777777" w:rsidR="00D336B9" w:rsidRPr="00787196" w:rsidRDefault="00D336B9" w:rsidP="00D336B9">
            <w:pPr>
              <w:autoSpaceDE w:val="0"/>
              <w:autoSpaceDN w:val="0"/>
              <w:adjustRightInd w:val="0"/>
              <w:spacing w:before="0" w:after="0" w:line="240" w:lineRule="auto"/>
              <w:jc w:val="center"/>
              <w:rPr>
                <w:rFonts w:cs="Arial"/>
                <w:color w:val="000000"/>
                <w:sz w:val="20"/>
                <w:szCs w:val="20"/>
              </w:rPr>
            </w:pPr>
          </w:p>
        </w:tc>
      </w:tr>
    </w:tbl>
    <w:p w14:paraId="78215A7F" w14:textId="77777777" w:rsidR="00F926FB" w:rsidRPr="00787196" w:rsidRDefault="00F926FB" w:rsidP="00F926FB">
      <w:pPr>
        <w:spacing w:before="0" w:after="0" w:line="240" w:lineRule="auto"/>
        <w:rPr>
          <w:i/>
          <w:iCs/>
          <w:sz w:val="18"/>
          <w:szCs w:val="16"/>
        </w:rPr>
      </w:pPr>
      <w:r w:rsidRPr="00787196">
        <w:rPr>
          <w:i/>
          <w:iCs/>
          <w:sz w:val="18"/>
          <w:szCs w:val="16"/>
        </w:rPr>
        <w:t>**Correlation significant at 0.01 level (2-tailed)</w:t>
      </w:r>
    </w:p>
    <w:p w14:paraId="3299B731" w14:textId="77777777" w:rsidR="00F926FB" w:rsidRPr="00787196" w:rsidRDefault="00F926FB" w:rsidP="00F926FB">
      <w:pPr>
        <w:spacing w:before="0" w:after="0" w:line="240" w:lineRule="auto"/>
        <w:rPr>
          <w:i/>
          <w:iCs/>
          <w:sz w:val="18"/>
          <w:szCs w:val="16"/>
        </w:rPr>
      </w:pPr>
      <w:r w:rsidRPr="00787196">
        <w:rPr>
          <w:i/>
          <w:iCs/>
          <w:sz w:val="18"/>
          <w:szCs w:val="16"/>
        </w:rPr>
        <w:t>*Correlation significant at the 0.05 level (2- tailed)</w:t>
      </w:r>
    </w:p>
    <w:p w14:paraId="7AD2B5BB" w14:textId="77777777" w:rsidR="00F926FB" w:rsidRPr="00787196" w:rsidRDefault="00F926FB">
      <w:pPr>
        <w:spacing w:before="0" w:after="0" w:line="240" w:lineRule="auto"/>
        <w:jc w:val="left"/>
      </w:pPr>
    </w:p>
    <w:p w14:paraId="7E45AC4C" w14:textId="77777777" w:rsidR="00524DDF" w:rsidRPr="00787196" w:rsidRDefault="00524DDF">
      <w:pPr>
        <w:spacing w:before="0" w:after="0" w:line="240" w:lineRule="auto"/>
        <w:jc w:val="left"/>
        <w:rPr>
          <w:szCs w:val="24"/>
        </w:rPr>
      </w:pPr>
      <w:r w:rsidRPr="00787196">
        <w:rPr>
          <w:szCs w:val="24"/>
        </w:rPr>
        <w:br w:type="page"/>
      </w:r>
    </w:p>
    <w:p w14:paraId="6A59974C" w14:textId="5B99F376" w:rsidR="00F926FB" w:rsidRPr="00787196" w:rsidRDefault="00F926FB" w:rsidP="00F926FB">
      <w:pPr>
        <w:spacing w:before="0"/>
        <w:rPr>
          <w:szCs w:val="24"/>
        </w:rPr>
      </w:pPr>
      <w:r w:rsidRPr="00787196">
        <w:rPr>
          <w:szCs w:val="24"/>
        </w:rPr>
        <w:lastRenderedPageBreak/>
        <w:t xml:space="preserve">The predictors of self-blaming coping strategy factor at follow up (T2) was analysed and is presented in </w:t>
      </w:r>
      <w:r w:rsidR="00935BB5" w:rsidRPr="00787196">
        <w:rPr>
          <w:szCs w:val="24"/>
        </w:rPr>
        <w:t>Table 5-</w:t>
      </w:r>
      <w:r w:rsidRPr="00787196">
        <w:rPr>
          <w:szCs w:val="24"/>
        </w:rPr>
        <w:t xml:space="preserve">32. Individuals who used more </w:t>
      </w:r>
      <w:r w:rsidR="00B30F13" w:rsidRPr="00787196">
        <w:rPr>
          <w:szCs w:val="24"/>
        </w:rPr>
        <w:t xml:space="preserve">baseline self-blaming </w:t>
      </w:r>
      <w:r w:rsidRPr="00787196">
        <w:rPr>
          <w:szCs w:val="24"/>
        </w:rPr>
        <w:t xml:space="preserve">coping strategies accounted for higher </w:t>
      </w:r>
      <w:r w:rsidR="00B30F13" w:rsidRPr="00787196">
        <w:rPr>
          <w:szCs w:val="24"/>
        </w:rPr>
        <w:t>self-blame</w:t>
      </w:r>
      <w:r w:rsidRPr="00787196">
        <w:rPr>
          <w:szCs w:val="24"/>
        </w:rPr>
        <w:t xml:space="preserve"> coping strategies at follow-up (T2). </w:t>
      </w:r>
      <w:r w:rsidR="00B30F13" w:rsidRPr="00787196">
        <w:rPr>
          <w:szCs w:val="24"/>
        </w:rPr>
        <w:t>Self-blame</w:t>
      </w:r>
      <w:r w:rsidRPr="00787196">
        <w:rPr>
          <w:szCs w:val="24"/>
        </w:rPr>
        <w:t xml:space="preserve"> coping scores accounted for </w:t>
      </w:r>
      <w:r w:rsidR="00B30F13" w:rsidRPr="00787196">
        <w:rPr>
          <w:szCs w:val="24"/>
        </w:rPr>
        <w:t>11</w:t>
      </w:r>
      <w:r w:rsidRPr="00787196">
        <w:rPr>
          <w:szCs w:val="24"/>
        </w:rPr>
        <w:t xml:space="preserve">% variance in the model. </w:t>
      </w:r>
      <w:r w:rsidR="008858C6" w:rsidRPr="00787196">
        <w:rPr>
          <w:szCs w:val="24"/>
        </w:rPr>
        <w:t>No other variables were used in the model from baseline (T1).</w:t>
      </w:r>
      <w:r w:rsidRPr="00787196">
        <w:rPr>
          <w:szCs w:val="24"/>
        </w:rPr>
        <w:t xml:space="preserve"> </w:t>
      </w:r>
    </w:p>
    <w:p w14:paraId="447994F7" w14:textId="31897550" w:rsidR="00645E0F" w:rsidRPr="00787196" w:rsidRDefault="00645E0F" w:rsidP="00D1431C">
      <w:pPr>
        <w:pStyle w:val="Caption"/>
        <w:keepNext/>
        <w:spacing w:after="0"/>
        <w:rPr>
          <w:b/>
          <w:bCs/>
          <w:i w:val="0"/>
          <w:iCs w:val="0"/>
          <w:color w:val="auto"/>
          <w:sz w:val="20"/>
          <w:szCs w:val="20"/>
        </w:rPr>
      </w:pPr>
      <w:bookmarkStart w:id="320" w:name="_Toc488655561"/>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32</w:t>
      </w:r>
      <w:r w:rsidR="000332A1" w:rsidRPr="00787196">
        <w:rPr>
          <w:b/>
          <w:bCs/>
          <w:i w:val="0"/>
          <w:iCs w:val="0"/>
          <w:color w:val="auto"/>
          <w:sz w:val="20"/>
          <w:szCs w:val="20"/>
        </w:rPr>
        <w:fldChar w:fldCharType="end"/>
      </w:r>
      <w:r w:rsidRPr="00787196">
        <w:rPr>
          <w:b/>
          <w:bCs/>
          <w:i w:val="0"/>
          <w:iCs w:val="0"/>
          <w:color w:val="auto"/>
          <w:sz w:val="20"/>
          <w:szCs w:val="20"/>
        </w:rPr>
        <w:t xml:space="preserve">. Stepwise forward multiple regression model for self-blame </w:t>
      </w:r>
      <w:r w:rsidR="00D1431C" w:rsidRPr="00787196">
        <w:rPr>
          <w:b/>
          <w:bCs/>
          <w:i w:val="0"/>
          <w:iCs w:val="0"/>
          <w:color w:val="auto"/>
          <w:sz w:val="20"/>
          <w:szCs w:val="20"/>
        </w:rPr>
        <w:t>factor</w:t>
      </w:r>
      <w:r w:rsidRPr="00787196">
        <w:rPr>
          <w:b/>
          <w:bCs/>
          <w:i w:val="0"/>
          <w:iCs w:val="0"/>
          <w:color w:val="auto"/>
          <w:sz w:val="20"/>
          <w:szCs w:val="20"/>
        </w:rPr>
        <w:t xml:space="preserve"> at follow-up (T2)</w:t>
      </w:r>
      <w:bookmarkEnd w:id="320"/>
    </w:p>
    <w:tbl>
      <w:tblPr>
        <w:tblpPr w:leftFromText="180" w:rightFromText="180" w:vertAnchor="text" w:horzAnchor="margin" w:tblpY="173"/>
        <w:tblW w:w="8371" w:type="dxa"/>
        <w:tblBorders>
          <w:top w:val="single" w:sz="8" w:space="0" w:color="000000"/>
          <w:bottom w:val="single" w:sz="8" w:space="0" w:color="000000"/>
        </w:tblBorders>
        <w:tblLook w:val="04A0" w:firstRow="1" w:lastRow="0" w:firstColumn="1" w:lastColumn="0" w:noHBand="0" w:noVBand="1"/>
      </w:tblPr>
      <w:tblGrid>
        <w:gridCol w:w="3313"/>
        <w:gridCol w:w="1164"/>
        <w:gridCol w:w="859"/>
        <w:gridCol w:w="816"/>
        <w:gridCol w:w="1179"/>
        <w:gridCol w:w="1040"/>
      </w:tblGrid>
      <w:tr w:rsidR="00F926FB" w:rsidRPr="00787196" w14:paraId="49201C72" w14:textId="77777777" w:rsidTr="00B04AF5">
        <w:trPr>
          <w:trHeight w:val="686"/>
        </w:trPr>
        <w:tc>
          <w:tcPr>
            <w:tcW w:w="3348" w:type="dxa"/>
            <w:tcBorders>
              <w:top w:val="single" w:sz="8" w:space="0" w:color="000000"/>
              <w:bottom w:val="single" w:sz="8" w:space="0" w:color="000000"/>
            </w:tcBorders>
            <w:shd w:val="clear" w:color="auto" w:fill="FFFFFF"/>
            <w:vAlign w:val="center"/>
          </w:tcPr>
          <w:p w14:paraId="459B6177" w14:textId="6BBB6259" w:rsidR="00F926FB" w:rsidRPr="00787196" w:rsidRDefault="00F926FB" w:rsidP="00D1431C">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 xml:space="preserve">Predictors of </w:t>
            </w:r>
            <w:r w:rsidR="00B30F13" w:rsidRPr="00787196">
              <w:rPr>
                <w:rFonts w:cs="Arial"/>
                <w:b/>
                <w:bCs/>
                <w:color w:val="000000"/>
                <w:sz w:val="20"/>
                <w:szCs w:val="20"/>
              </w:rPr>
              <w:t>self-blame</w:t>
            </w:r>
            <w:r w:rsidRPr="00787196">
              <w:rPr>
                <w:rFonts w:cs="Arial"/>
                <w:b/>
                <w:bCs/>
                <w:color w:val="000000"/>
                <w:sz w:val="20"/>
                <w:szCs w:val="20"/>
              </w:rPr>
              <w:t xml:space="preserve"> </w:t>
            </w:r>
            <w:r w:rsidR="00D1431C" w:rsidRPr="00787196">
              <w:rPr>
                <w:rFonts w:cs="Arial"/>
                <w:b/>
                <w:bCs/>
                <w:color w:val="000000"/>
                <w:sz w:val="20"/>
                <w:szCs w:val="20"/>
              </w:rPr>
              <w:t xml:space="preserve">factor </w:t>
            </w:r>
            <w:r w:rsidRPr="00787196">
              <w:rPr>
                <w:rFonts w:cs="Arial"/>
                <w:b/>
                <w:bCs/>
                <w:color w:val="000000"/>
                <w:sz w:val="20"/>
                <w:szCs w:val="20"/>
              </w:rPr>
              <w:t>at follow-up (T2)</w:t>
            </w:r>
          </w:p>
        </w:tc>
        <w:tc>
          <w:tcPr>
            <w:tcW w:w="1168" w:type="dxa"/>
            <w:tcBorders>
              <w:top w:val="single" w:sz="8" w:space="0" w:color="000000"/>
              <w:bottom w:val="single" w:sz="8" w:space="0" w:color="000000"/>
            </w:tcBorders>
            <w:shd w:val="clear" w:color="auto" w:fill="FFFFFF"/>
            <w:vAlign w:val="center"/>
          </w:tcPr>
          <w:p w14:paraId="74F6E672"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815" w:type="dxa"/>
            <w:tcBorders>
              <w:top w:val="single" w:sz="8" w:space="0" w:color="000000"/>
              <w:bottom w:val="single" w:sz="8" w:space="0" w:color="000000"/>
            </w:tcBorders>
            <w:shd w:val="clear" w:color="auto" w:fill="FFFFFF"/>
            <w:vAlign w:val="center"/>
          </w:tcPr>
          <w:p w14:paraId="3EF3A9E9"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17" w:type="dxa"/>
            <w:tcBorders>
              <w:top w:val="single" w:sz="8" w:space="0" w:color="000000"/>
              <w:bottom w:val="single" w:sz="8" w:space="0" w:color="000000"/>
            </w:tcBorders>
            <w:shd w:val="clear" w:color="auto" w:fill="FFFFFF"/>
            <w:vAlign w:val="center"/>
          </w:tcPr>
          <w:p w14:paraId="24CA2B49"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181" w:type="dxa"/>
            <w:tcBorders>
              <w:top w:val="single" w:sz="8" w:space="0" w:color="000000"/>
              <w:bottom w:val="single" w:sz="8" w:space="0" w:color="000000"/>
            </w:tcBorders>
            <w:shd w:val="clear" w:color="auto" w:fill="FFFFFF"/>
            <w:vAlign w:val="center"/>
          </w:tcPr>
          <w:p w14:paraId="7AEB489D"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2F4D989C"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042" w:type="dxa"/>
            <w:tcBorders>
              <w:top w:val="single" w:sz="8" w:space="0" w:color="000000"/>
              <w:bottom w:val="single" w:sz="8" w:space="0" w:color="000000"/>
            </w:tcBorders>
            <w:shd w:val="clear" w:color="auto" w:fill="FFFFFF"/>
            <w:vAlign w:val="center"/>
          </w:tcPr>
          <w:p w14:paraId="4EE46FF6"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2CA821A9" w14:textId="77777777" w:rsidR="00F926FB" w:rsidRPr="00787196" w:rsidRDefault="00F926FB" w:rsidP="00F926FB">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F926FB" w:rsidRPr="00787196" w14:paraId="1745060D" w14:textId="77777777" w:rsidTr="00B04AF5">
        <w:trPr>
          <w:trHeight w:val="123"/>
        </w:trPr>
        <w:tc>
          <w:tcPr>
            <w:tcW w:w="3348" w:type="dxa"/>
            <w:shd w:val="clear" w:color="auto" w:fill="FFFFFF"/>
            <w:vAlign w:val="bottom"/>
          </w:tcPr>
          <w:p w14:paraId="6FF02943" w14:textId="77777777" w:rsidR="00F926FB" w:rsidRPr="00787196" w:rsidRDefault="00F926FB" w:rsidP="00F926FB">
            <w:pPr>
              <w:autoSpaceDE w:val="0"/>
              <w:autoSpaceDN w:val="0"/>
              <w:adjustRightInd w:val="0"/>
              <w:spacing w:before="0" w:after="0" w:line="240" w:lineRule="auto"/>
              <w:jc w:val="left"/>
              <w:rPr>
                <w:rFonts w:cs="Arial"/>
                <w:b/>
                <w:bCs/>
                <w:color w:val="000000"/>
                <w:sz w:val="20"/>
                <w:szCs w:val="20"/>
              </w:rPr>
            </w:pPr>
          </w:p>
        </w:tc>
        <w:tc>
          <w:tcPr>
            <w:tcW w:w="1168" w:type="dxa"/>
            <w:tcBorders>
              <w:left w:val="nil"/>
              <w:right w:val="nil"/>
            </w:tcBorders>
            <w:shd w:val="clear" w:color="auto" w:fill="FFFFFF"/>
            <w:vAlign w:val="center"/>
          </w:tcPr>
          <w:p w14:paraId="6B6BE619"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c>
          <w:tcPr>
            <w:tcW w:w="815" w:type="dxa"/>
            <w:tcBorders>
              <w:left w:val="nil"/>
              <w:right w:val="nil"/>
            </w:tcBorders>
            <w:shd w:val="clear" w:color="auto" w:fill="FFFFFF"/>
            <w:vAlign w:val="center"/>
          </w:tcPr>
          <w:p w14:paraId="2567498A"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c>
          <w:tcPr>
            <w:tcW w:w="817" w:type="dxa"/>
            <w:tcBorders>
              <w:left w:val="nil"/>
              <w:right w:val="nil"/>
            </w:tcBorders>
            <w:shd w:val="clear" w:color="auto" w:fill="FFFFFF"/>
            <w:vAlign w:val="center"/>
          </w:tcPr>
          <w:p w14:paraId="067D01BD"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c>
          <w:tcPr>
            <w:tcW w:w="1181" w:type="dxa"/>
            <w:tcBorders>
              <w:left w:val="nil"/>
              <w:right w:val="nil"/>
            </w:tcBorders>
            <w:shd w:val="clear" w:color="auto" w:fill="FFFFFF"/>
            <w:vAlign w:val="center"/>
          </w:tcPr>
          <w:p w14:paraId="04B85188"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c>
          <w:tcPr>
            <w:tcW w:w="1042" w:type="dxa"/>
            <w:tcBorders>
              <w:left w:val="nil"/>
              <w:right w:val="nil"/>
            </w:tcBorders>
            <w:shd w:val="clear" w:color="auto" w:fill="FFFFFF"/>
            <w:vAlign w:val="center"/>
          </w:tcPr>
          <w:p w14:paraId="2E1C85C8"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r>
      <w:tr w:rsidR="00F926FB" w:rsidRPr="00787196" w14:paraId="508CA4D3" w14:textId="77777777" w:rsidTr="00B04AF5">
        <w:trPr>
          <w:trHeight w:val="406"/>
        </w:trPr>
        <w:tc>
          <w:tcPr>
            <w:tcW w:w="3348" w:type="dxa"/>
            <w:shd w:val="clear" w:color="auto" w:fill="FFFFFF"/>
            <w:vAlign w:val="center"/>
          </w:tcPr>
          <w:p w14:paraId="4E05E3A2" w14:textId="4E1E10B2" w:rsidR="00F926FB" w:rsidRPr="00787196" w:rsidRDefault="00BB03B1" w:rsidP="007E4D0C">
            <w:pPr>
              <w:autoSpaceDE w:val="0"/>
              <w:autoSpaceDN w:val="0"/>
              <w:adjustRightInd w:val="0"/>
              <w:spacing w:before="0" w:after="0" w:line="240" w:lineRule="auto"/>
              <w:jc w:val="left"/>
              <w:rPr>
                <w:rFonts w:cs="Arial"/>
                <w:color w:val="000000"/>
                <w:sz w:val="21"/>
                <w:szCs w:val="21"/>
              </w:rPr>
            </w:pPr>
            <w:r w:rsidRPr="00787196">
              <w:rPr>
                <w:rFonts w:cs="Arial"/>
                <w:color w:val="000000"/>
                <w:sz w:val="21"/>
                <w:szCs w:val="21"/>
              </w:rPr>
              <w:t>Self-blame (baseline)</w:t>
            </w:r>
            <w:r w:rsidR="00F926FB" w:rsidRPr="00787196">
              <w:rPr>
                <w:rFonts w:cs="Arial"/>
                <w:color w:val="000000"/>
                <w:sz w:val="21"/>
                <w:szCs w:val="21"/>
              </w:rPr>
              <w:t xml:space="preserve"> </w:t>
            </w:r>
          </w:p>
        </w:tc>
        <w:tc>
          <w:tcPr>
            <w:tcW w:w="1168" w:type="dxa"/>
            <w:tcBorders>
              <w:left w:val="nil"/>
              <w:right w:val="nil"/>
            </w:tcBorders>
            <w:shd w:val="clear" w:color="auto" w:fill="FFFFFF"/>
            <w:vAlign w:val="center"/>
          </w:tcPr>
          <w:p w14:paraId="52FA9F8F" w14:textId="1DD34ABF" w:rsidR="00F926FB" w:rsidRPr="00787196" w:rsidRDefault="00F926FB" w:rsidP="00B30F13">
            <w:pPr>
              <w:autoSpaceDE w:val="0"/>
              <w:autoSpaceDN w:val="0"/>
              <w:adjustRightInd w:val="0"/>
              <w:spacing w:before="0" w:after="0" w:line="240" w:lineRule="auto"/>
              <w:jc w:val="center"/>
              <w:rPr>
                <w:rFonts w:cs="Arial"/>
                <w:color w:val="000000"/>
                <w:sz w:val="21"/>
                <w:szCs w:val="21"/>
              </w:rPr>
            </w:pPr>
            <w:r w:rsidRPr="00787196">
              <w:rPr>
                <w:rFonts w:cs="Arial"/>
                <w:color w:val="000000"/>
                <w:sz w:val="21"/>
                <w:szCs w:val="21"/>
              </w:rPr>
              <w:t xml:space="preserve">   0.</w:t>
            </w:r>
            <w:r w:rsidR="00B30F13" w:rsidRPr="00787196">
              <w:rPr>
                <w:rFonts w:cs="Arial"/>
                <w:color w:val="000000"/>
                <w:sz w:val="21"/>
                <w:szCs w:val="21"/>
              </w:rPr>
              <w:t>3</w:t>
            </w:r>
            <w:r w:rsidRPr="00787196">
              <w:rPr>
                <w:rFonts w:cs="Arial"/>
                <w:color w:val="000000"/>
                <w:sz w:val="21"/>
                <w:szCs w:val="21"/>
              </w:rPr>
              <w:t>3</w:t>
            </w:r>
            <w:r w:rsidR="00B30F13" w:rsidRPr="00787196">
              <w:rPr>
                <w:rFonts w:cs="Arial"/>
                <w:color w:val="000000"/>
                <w:sz w:val="21"/>
                <w:szCs w:val="21"/>
              </w:rPr>
              <w:t>2</w:t>
            </w:r>
            <w:r w:rsidRPr="00787196">
              <w:rPr>
                <w:rFonts w:cs="Arial"/>
                <w:color w:val="000000"/>
                <w:sz w:val="21"/>
                <w:szCs w:val="21"/>
              </w:rPr>
              <w:t>**</w:t>
            </w:r>
          </w:p>
        </w:tc>
        <w:tc>
          <w:tcPr>
            <w:tcW w:w="815" w:type="dxa"/>
            <w:tcBorders>
              <w:left w:val="nil"/>
              <w:right w:val="nil"/>
            </w:tcBorders>
            <w:shd w:val="clear" w:color="auto" w:fill="FFFFFF"/>
            <w:vAlign w:val="center"/>
          </w:tcPr>
          <w:p w14:paraId="73C80564" w14:textId="2688825E" w:rsidR="00F926FB" w:rsidRPr="00787196" w:rsidRDefault="00BB03B1" w:rsidP="00BB03B1">
            <w:pPr>
              <w:autoSpaceDE w:val="0"/>
              <w:autoSpaceDN w:val="0"/>
              <w:adjustRightInd w:val="0"/>
              <w:spacing w:before="0" w:after="0" w:line="240" w:lineRule="auto"/>
              <w:jc w:val="center"/>
              <w:rPr>
                <w:rFonts w:cs="Arial"/>
                <w:color w:val="000000"/>
                <w:sz w:val="21"/>
                <w:szCs w:val="21"/>
              </w:rPr>
            </w:pPr>
            <w:r w:rsidRPr="00787196">
              <w:rPr>
                <w:rFonts w:cs="Arial"/>
                <w:color w:val="000000"/>
                <w:sz w:val="21"/>
                <w:szCs w:val="21"/>
              </w:rPr>
              <w:t>23.336</w:t>
            </w:r>
          </w:p>
        </w:tc>
        <w:tc>
          <w:tcPr>
            <w:tcW w:w="817" w:type="dxa"/>
            <w:tcBorders>
              <w:left w:val="nil"/>
              <w:right w:val="nil"/>
            </w:tcBorders>
            <w:shd w:val="clear" w:color="auto" w:fill="FFFFFF"/>
            <w:vAlign w:val="center"/>
          </w:tcPr>
          <w:p w14:paraId="5B83C25D" w14:textId="0CF70525" w:rsidR="00F926FB" w:rsidRPr="00787196" w:rsidRDefault="00B30F13" w:rsidP="00B30F13">
            <w:pPr>
              <w:autoSpaceDE w:val="0"/>
              <w:autoSpaceDN w:val="0"/>
              <w:adjustRightInd w:val="0"/>
              <w:spacing w:before="0" w:after="0" w:line="240" w:lineRule="auto"/>
              <w:jc w:val="center"/>
              <w:rPr>
                <w:rFonts w:cs="Arial"/>
                <w:color w:val="000000"/>
                <w:sz w:val="21"/>
                <w:szCs w:val="21"/>
              </w:rPr>
            </w:pPr>
            <w:r w:rsidRPr="00787196">
              <w:rPr>
                <w:rFonts w:cs="Arial"/>
                <w:color w:val="000000"/>
                <w:sz w:val="21"/>
                <w:szCs w:val="21"/>
              </w:rPr>
              <w:t>0.110</w:t>
            </w:r>
          </w:p>
        </w:tc>
        <w:tc>
          <w:tcPr>
            <w:tcW w:w="1181" w:type="dxa"/>
            <w:tcBorders>
              <w:left w:val="nil"/>
              <w:right w:val="nil"/>
            </w:tcBorders>
            <w:shd w:val="clear" w:color="auto" w:fill="FFFFFF"/>
            <w:vAlign w:val="center"/>
          </w:tcPr>
          <w:p w14:paraId="68C45F7F" w14:textId="102AB6B7" w:rsidR="00F926FB" w:rsidRPr="00787196" w:rsidRDefault="00F926FB" w:rsidP="00B30F13">
            <w:pPr>
              <w:autoSpaceDE w:val="0"/>
              <w:autoSpaceDN w:val="0"/>
              <w:adjustRightInd w:val="0"/>
              <w:spacing w:before="0" w:after="0" w:line="240" w:lineRule="auto"/>
              <w:jc w:val="center"/>
              <w:rPr>
                <w:rFonts w:cs="Arial"/>
                <w:color w:val="000000"/>
                <w:sz w:val="21"/>
                <w:szCs w:val="21"/>
              </w:rPr>
            </w:pPr>
            <w:r w:rsidRPr="00787196">
              <w:rPr>
                <w:rFonts w:cs="Arial"/>
                <w:color w:val="000000"/>
                <w:sz w:val="21"/>
                <w:szCs w:val="21"/>
              </w:rPr>
              <w:t>0.</w:t>
            </w:r>
            <w:r w:rsidR="00B30F13" w:rsidRPr="00787196">
              <w:rPr>
                <w:rFonts w:cs="Arial"/>
                <w:color w:val="000000"/>
                <w:sz w:val="21"/>
                <w:szCs w:val="21"/>
              </w:rPr>
              <w:t>1</w:t>
            </w:r>
            <w:r w:rsidRPr="00787196">
              <w:rPr>
                <w:rFonts w:cs="Arial"/>
                <w:color w:val="000000"/>
                <w:sz w:val="21"/>
                <w:szCs w:val="21"/>
              </w:rPr>
              <w:t>0</w:t>
            </w:r>
            <w:r w:rsidR="00B30F13" w:rsidRPr="00787196">
              <w:rPr>
                <w:rFonts w:cs="Arial"/>
                <w:color w:val="000000"/>
                <w:sz w:val="21"/>
                <w:szCs w:val="21"/>
              </w:rPr>
              <w:t>5</w:t>
            </w:r>
          </w:p>
        </w:tc>
        <w:tc>
          <w:tcPr>
            <w:tcW w:w="1042" w:type="dxa"/>
            <w:tcBorders>
              <w:left w:val="nil"/>
              <w:right w:val="nil"/>
            </w:tcBorders>
            <w:shd w:val="clear" w:color="auto" w:fill="FFFFFF"/>
            <w:vAlign w:val="center"/>
          </w:tcPr>
          <w:p w14:paraId="509072B0" w14:textId="199EF622" w:rsidR="00F926FB" w:rsidRPr="00787196" w:rsidRDefault="00F926FB" w:rsidP="00B30F13">
            <w:pPr>
              <w:autoSpaceDE w:val="0"/>
              <w:autoSpaceDN w:val="0"/>
              <w:adjustRightInd w:val="0"/>
              <w:spacing w:before="0" w:after="0" w:line="240" w:lineRule="auto"/>
              <w:jc w:val="center"/>
              <w:rPr>
                <w:rFonts w:cs="Arial"/>
                <w:color w:val="000000"/>
                <w:sz w:val="21"/>
                <w:szCs w:val="21"/>
              </w:rPr>
            </w:pPr>
            <w:r w:rsidRPr="00787196">
              <w:rPr>
                <w:rFonts w:cs="Arial"/>
                <w:color w:val="000000"/>
                <w:sz w:val="21"/>
                <w:szCs w:val="21"/>
              </w:rPr>
              <w:t>0.</w:t>
            </w:r>
            <w:r w:rsidR="00B30F13" w:rsidRPr="00787196">
              <w:rPr>
                <w:rFonts w:cs="Arial"/>
                <w:color w:val="000000"/>
                <w:sz w:val="21"/>
                <w:szCs w:val="21"/>
              </w:rPr>
              <w:t>11</w:t>
            </w:r>
            <w:r w:rsidRPr="00787196">
              <w:rPr>
                <w:rFonts w:cs="Arial"/>
                <w:color w:val="000000"/>
                <w:sz w:val="21"/>
                <w:szCs w:val="21"/>
              </w:rPr>
              <w:t>0</w:t>
            </w:r>
          </w:p>
        </w:tc>
      </w:tr>
      <w:tr w:rsidR="00F926FB" w:rsidRPr="00787196" w14:paraId="6BF475A7" w14:textId="77777777" w:rsidTr="00B04AF5">
        <w:trPr>
          <w:trHeight w:val="104"/>
        </w:trPr>
        <w:tc>
          <w:tcPr>
            <w:tcW w:w="3348" w:type="dxa"/>
            <w:shd w:val="clear" w:color="auto" w:fill="FFFFFF"/>
            <w:vAlign w:val="bottom"/>
          </w:tcPr>
          <w:p w14:paraId="47B9D55C" w14:textId="77777777" w:rsidR="00F926FB" w:rsidRPr="00787196" w:rsidRDefault="00F926FB" w:rsidP="00F926FB">
            <w:pPr>
              <w:autoSpaceDE w:val="0"/>
              <w:autoSpaceDN w:val="0"/>
              <w:adjustRightInd w:val="0"/>
              <w:spacing w:before="0" w:after="0" w:line="240" w:lineRule="auto"/>
              <w:jc w:val="left"/>
              <w:rPr>
                <w:rFonts w:cs="Arial"/>
                <w:color w:val="000000"/>
                <w:sz w:val="20"/>
                <w:szCs w:val="20"/>
              </w:rPr>
            </w:pPr>
          </w:p>
        </w:tc>
        <w:tc>
          <w:tcPr>
            <w:tcW w:w="1168" w:type="dxa"/>
            <w:tcBorders>
              <w:left w:val="nil"/>
              <w:right w:val="nil"/>
            </w:tcBorders>
            <w:shd w:val="clear" w:color="auto" w:fill="FFFFFF"/>
            <w:vAlign w:val="center"/>
          </w:tcPr>
          <w:p w14:paraId="3F3AF7C0" w14:textId="77777777" w:rsidR="00F926FB" w:rsidRPr="00787196" w:rsidRDefault="00F926FB" w:rsidP="00F926FB">
            <w:pPr>
              <w:autoSpaceDE w:val="0"/>
              <w:autoSpaceDN w:val="0"/>
              <w:adjustRightInd w:val="0"/>
              <w:spacing w:before="0" w:after="0" w:line="240" w:lineRule="auto"/>
              <w:rPr>
                <w:rFonts w:cs="Arial"/>
                <w:color w:val="000000"/>
                <w:sz w:val="20"/>
                <w:szCs w:val="20"/>
              </w:rPr>
            </w:pPr>
          </w:p>
        </w:tc>
        <w:tc>
          <w:tcPr>
            <w:tcW w:w="815" w:type="dxa"/>
            <w:tcBorders>
              <w:left w:val="nil"/>
              <w:right w:val="nil"/>
            </w:tcBorders>
            <w:shd w:val="clear" w:color="auto" w:fill="FFFFFF"/>
            <w:vAlign w:val="center"/>
          </w:tcPr>
          <w:p w14:paraId="543F459C" w14:textId="77777777" w:rsidR="00F926FB" w:rsidRPr="00787196" w:rsidRDefault="00F926FB" w:rsidP="00F926FB">
            <w:pPr>
              <w:autoSpaceDE w:val="0"/>
              <w:autoSpaceDN w:val="0"/>
              <w:adjustRightInd w:val="0"/>
              <w:spacing w:before="0" w:after="0" w:line="240" w:lineRule="auto"/>
              <w:jc w:val="center"/>
              <w:rPr>
                <w:rFonts w:cs="Arial"/>
                <w:color w:val="000000"/>
                <w:sz w:val="20"/>
                <w:szCs w:val="20"/>
              </w:rPr>
            </w:pPr>
          </w:p>
        </w:tc>
        <w:tc>
          <w:tcPr>
            <w:tcW w:w="817" w:type="dxa"/>
            <w:tcBorders>
              <w:left w:val="nil"/>
              <w:right w:val="nil"/>
            </w:tcBorders>
            <w:shd w:val="clear" w:color="auto" w:fill="FFFFFF"/>
          </w:tcPr>
          <w:p w14:paraId="1A5E48BE" w14:textId="77777777" w:rsidR="00F926FB" w:rsidRPr="00787196" w:rsidRDefault="00F926FB" w:rsidP="00F926FB">
            <w:pPr>
              <w:autoSpaceDE w:val="0"/>
              <w:autoSpaceDN w:val="0"/>
              <w:adjustRightInd w:val="0"/>
              <w:spacing w:before="0" w:after="0" w:line="240" w:lineRule="auto"/>
              <w:rPr>
                <w:rFonts w:cs="Arial"/>
                <w:color w:val="000000"/>
                <w:sz w:val="20"/>
                <w:szCs w:val="20"/>
              </w:rPr>
            </w:pPr>
          </w:p>
        </w:tc>
        <w:tc>
          <w:tcPr>
            <w:tcW w:w="1181" w:type="dxa"/>
            <w:tcBorders>
              <w:left w:val="nil"/>
              <w:right w:val="nil"/>
            </w:tcBorders>
            <w:shd w:val="clear" w:color="auto" w:fill="FFFFFF"/>
          </w:tcPr>
          <w:p w14:paraId="2E19570C" w14:textId="77777777" w:rsidR="00F926FB" w:rsidRPr="00787196" w:rsidRDefault="00F926FB" w:rsidP="00F926FB">
            <w:pPr>
              <w:autoSpaceDE w:val="0"/>
              <w:autoSpaceDN w:val="0"/>
              <w:adjustRightInd w:val="0"/>
              <w:spacing w:before="0" w:after="0" w:line="240" w:lineRule="auto"/>
              <w:rPr>
                <w:rFonts w:cs="Arial"/>
                <w:color w:val="000000"/>
                <w:sz w:val="20"/>
                <w:szCs w:val="20"/>
              </w:rPr>
            </w:pPr>
          </w:p>
        </w:tc>
        <w:tc>
          <w:tcPr>
            <w:tcW w:w="1042" w:type="dxa"/>
            <w:tcBorders>
              <w:left w:val="nil"/>
              <w:right w:val="nil"/>
            </w:tcBorders>
            <w:shd w:val="clear" w:color="auto" w:fill="FFFFFF"/>
          </w:tcPr>
          <w:p w14:paraId="1D2D3FC7" w14:textId="77777777" w:rsidR="00F926FB" w:rsidRPr="00787196" w:rsidRDefault="00F926FB" w:rsidP="00F926FB">
            <w:pPr>
              <w:autoSpaceDE w:val="0"/>
              <w:autoSpaceDN w:val="0"/>
              <w:adjustRightInd w:val="0"/>
              <w:spacing w:before="0" w:after="0" w:line="240" w:lineRule="auto"/>
              <w:rPr>
                <w:rFonts w:cs="Arial"/>
                <w:color w:val="000000"/>
                <w:sz w:val="20"/>
                <w:szCs w:val="20"/>
              </w:rPr>
            </w:pPr>
          </w:p>
        </w:tc>
      </w:tr>
    </w:tbl>
    <w:p w14:paraId="7E360C65" w14:textId="77777777" w:rsidR="002A4B24" w:rsidRPr="00787196" w:rsidRDefault="002A4B24" w:rsidP="002A4B24">
      <w:pPr>
        <w:spacing w:before="0" w:after="0" w:line="240" w:lineRule="auto"/>
        <w:rPr>
          <w:i/>
          <w:iCs/>
          <w:sz w:val="18"/>
          <w:szCs w:val="16"/>
        </w:rPr>
      </w:pPr>
      <w:r w:rsidRPr="00787196">
        <w:rPr>
          <w:i/>
          <w:iCs/>
          <w:sz w:val="18"/>
          <w:szCs w:val="16"/>
        </w:rPr>
        <w:t>**Correlation significant at 0.01 level (2-tailed)</w:t>
      </w:r>
    </w:p>
    <w:p w14:paraId="3B2A8C6A" w14:textId="77777777" w:rsidR="00F926FB" w:rsidRPr="00787196" w:rsidRDefault="00F926FB">
      <w:pPr>
        <w:spacing w:before="0" w:after="0" w:line="240" w:lineRule="auto"/>
        <w:jc w:val="left"/>
      </w:pPr>
    </w:p>
    <w:p w14:paraId="5161D9DD" w14:textId="77777777" w:rsidR="002A4B24" w:rsidRPr="00787196" w:rsidRDefault="002A4B24">
      <w:pPr>
        <w:spacing w:before="0" w:after="0" w:line="240" w:lineRule="auto"/>
        <w:jc w:val="left"/>
      </w:pPr>
    </w:p>
    <w:p w14:paraId="5A8594CD" w14:textId="7B4342F1" w:rsidR="002A4B24" w:rsidRPr="00787196" w:rsidRDefault="002A4B24" w:rsidP="002A4B24">
      <w:pPr>
        <w:spacing w:before="0"/>
        <w:rPr>
          <w:sz w:val="22"/>
        </w:rPr>
      </w:pPr>
      <w:r w:rsidRPr="00787196">
        <w:rPr>
          <w:szCs w:val="24"/>
        </w:rPr>
        <w:t xml:space="preserve">Table 5-33 presents the best model for the predictors of religion coping at follow-up (T2). Individuals who used more baseline </w:t>
      </w:r>
      <w:r w:rsidR="00BB03B1" w:rsidRPr="00787196">
        <w:rPr>
          <w:szCs w:val="24"/>
        </w:rPr>
        <w:t>strategies</w:t>
      </w:r>
      <w:r w:rsidRPr="00787196">
        <w:rPr>
          <w:szCs w:val="24"/>
        </w:rPr>
        <w:t xml:space="preserve"> based on religious and spiritual belief</w:t>
      </w:r>
      <w:r w:rsidR="00BB03B1" w:rsidRPr="00787196">
        <w:rPr>
          <w:szCs w:val="24"/>
        </w:rPr>
        <w:t>s</w:t>
      </w:r>
      <w:r w:rsidRPr="00787196">
        <w:rPr>
          <w:szCs w:val="24"/>
        </w:rPr>
        <w:t xml:space="preserve"> accounted for higher religion coping strategies at follow-up (T2). Religion coping</w:t>
      </w:r>
      <w:r w:rsidR="0079054F" w:rsidRPr="00787196">
        <w:rPr>
          <w:szCs w:val="24"/>
        </w:rPr>
        <w:t xml:space="preserve"> scores accounted for 48</w:t>
      </w:r>
      <w:r w:rsidRPr="00787196">
        <w:rPr>
          <w:szCs w:val="24"/>
        </w:rPr>
        <w:t>% variance in the model. No other variables were used in the mo</w:t>
      </w:r>
      <w:r w:rsidR="00D336B9" w:rsidRPr="00787196">
        <w:rPr>
          <w:szCs w:val="24"/>
        </w:rPr>
        <w:t>del from baseline (T1). Occupation of an individual was not significant and was excluded from the model</w:t>
      </w:r>
    </w:p>
    <w:tbl>
      <w:tblPr>
        <w:tblpPr w:leftFromText="180" w:rightFromText="180" w:vertAnchor="text" w:horzAnchor="margin" w:tblpY="1045"/>
        <w:tblW w:w="8287" w:type="dxa"/>
        <w:tblBorders>
          <w:top w:val="single" w:sz="8" w:space="0" w:color="000000"/>
          <w:bottom w:val="single" w:sz="8" w:space="0" w:color="000000"/>
        </w:tblBorders>
        <w:tblLook w:val="04A0" w:firstRow="1" w:lastRow="0" w:firstColumn="1" w:lastColumn="0" w:noHBand="0" w:noVBand="1"/>
      </w:tblPr>
      <w:tblGrid>
        <w:gridCol w:w="3212"/>
        <w:gridCol w:w="1142"/>
        <w:gridCol w:w="939"/>
        <w:gridCol w:w="804"/>
        <w:gridCol w:w="1163"/>
        <w:gridCol w:w="1027"/>
      </w:tblGrid>
      <w:tr w:rsidR="00D336B9" w:rsidRPr="00787196" w14:paraId="2B5240CC" w14:textId="77777777" w:rsidTr="00A5430A">
        <w:trPr>
          <w:trHeight w:val="686"/>
        </w:trPr>
        <w:tc>
          <w:tcPr>
            <w:tcW w:w="3212" w:type="dxa"/>
            <w:tcBorders>
              <w:top w:val="single" w:sz="8" w:space="0" w:color="000000"/>
              <w:bottom w:val="single" w:sz="8" w:space="0" w:color="000000"/>
            </w:tcBorders>
            <w:shd w:val="clear" w:color="auto" w:fill="FFFFFF"/>
            <w:vAlign w:val="center"/>
          </w:tcPr>
          <w:p w14:paraId="3DB72943" w14:textId="24DF3F28" w:rsidR="00D336B9" w:rsidRPr="00787196" w:rsidRDefault="00D336B9" w:rsidP="00D1431C">
            <w:pPr>
              <w:autoSpaceDE w:val="0"/>
              <w:autoSpaceDN w:val="0"/>
              <w:adjustRightInd w:val="0"/>
              <w:spacing w:before="0" w:after="0" w:line="240" w:lineRule="auto"/>
              <w:jc w:val="left"/>
              <w:rPr>
                <w:rFonts w:cs="Arial"/>
                <w:b/>
                <w:bCs/>
                <w:color w:val="000000"/>
                <w:sz w:val="20"/>
                <w:szCs w:val="20"/>
              </w:rPr>
            </w:pPr>
            <w:r w:rsidRPr="00787196">
              <w:rPr>
                <w:rFonts w:cs="Arial"/>
                <w:b/>
                <w:bCs/>
                <w:color w:val="000000"/>
                <w:sz w:val="20"/>
                <w:szCs w:val="20"/>
              </w:rPr>
              <w:t xml:space="preserve">Predictors of religion </w:t>
            </w:r>
            <w:r w:rsidR="00D1431C" w:rsidRPr="00787196">
              <w:rPr>
                <w:rFonts w:cs="Arial"/>
                <w:b/>
                <w:bCs/>
                <w:color w:val="000000"/>
                <w:sz w:val="20"/>
                <w:szCs w:val="20"/>
              </w:rPr>
              <w:t xml:space="preserve">factor </w:t>
            </w:r>
            <w:r w:rsidRPr="00787196">
              <w:rPr>
                <w:rFonts w:cs="Arial"/>
                <w:b/>
                <w:bCs/>
                <w:color w:val="000000"/>
                <w:sz w:val="20"/>
                <w:szCs w:val="20"/>
              </w:rPr>
              <w:t>at follow-up (T2)</w:t>
            </w:r>
          </w:p>
        </w:tc>
        <w:tc>
          <w:tcPr>
            <w:tcW w:w="1142" w:type="dxa"/>
            <w:tcBorders>
              <w:top w:val="single" w:sz="8" w:space="0" w:color="000000"/>
              <w:bottom w:val="single" w:sz="8" w:space="0" w:color="000000"/>
            </w:tcBorders>
            <w:shd w:val="clear" w:color="auto" w:fill="FFFFFF"/>
            <w:vAlign w:val="center"/>
          </w:tcPr>
          <w:p w14:paraId="36B6C98E"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β</w:t>
            </w:r>
          </w:p>
        </w:tc>
        <w:tc>
          <w:tcPr>
            <w:tcW w:w="939" w:type="dxa"/>
            <w:tcBorders>
              <w:top w:val="single" w:sz="8" w:space="0" w:color="000000"/>
              <w:bottom w:val="single" w:sz="8" w:space="0" w:color="000000"/>
            </w:tcBorders>
            <w:shd w:val="clear" w:color="auto" w:fill="FFFFFF"/>
            <w:vAlign w:val="center"/>
          </w:tcPr>
          <w:p w14:paraId="1D5F1ABD"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F</w:t>
            </w:r>
          </w:p>
        </w:tc>
        <w:tc>
          <w:tcPr>
            <w:tcW w:w="804" w:type="dxa"/>
            <w:tcBorders>
              <w:top w:val="single" w:sz="8" w:space="0" w:color="000000"/>
              <w:bottom w:val="single" w:sz="8" w:space="0" w:color="000000"/>
            </w:tcBorders>
            <w:shd w:val="clear" w:color="auto" w:fill="FFFFFF"/>
            <w:vAlign w:val="center"/>
          </w:tcPr>
          <w:p w14:paraId="64918971"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vertAlign w:val="superscript"/>
              </w:rPr>
            </w:pPr>
            <w:r w:rsidRPr="00787196">
              <w:rPr>
                <w:rFonts w:cs="Arial"/>
                <w:b/>
                <w:bCs/>
                <w:color w:val="000000"/>
                <w:sz w:val="20"/>
                <w:szCs w:val="20"/>
              </w:rPr>
              <w:t>R</w:t>
            </w:r>
            <w:r w:rsidRPr="00787196">
              <w:rPr>
                <w:rFonts w:cs="Arial"/>
                <w:b/>
                <w:bCs/>
                <w:color w:val="000000"/>
                <w:sz w:val="20"/>
                <w:szCs w:val="20"/>
                <w:vertAlign w:val="superscript"/>
              </w:rPr>
              <w:t>2</w:t>
            </w:r>
          </w:p>
        </w:tc>
        <w:tc>
          <w:tcPr>
            <w:tcW w:w="1163" w:type="dxa"/>
            <w:tcBorders>
              <w:top w:val="single" w:sz="8" w:space="0" w:color="000000"/>
              <w:bottom w:val="single" w:sz="8" w:space="0" w:color="000000"/>
            </w:tcBorders>
            <w:shd w:val="clear" w:color="auto" w:fill="FFFFFF"/>
            <w:vAlign w:val="center"/>
          </w:tcPr>
          <w:p w14:paraId="3E52AA83"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0464441A"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Adjusted</w:t>
            </w:r>
          </w:p>
        </w:tc>
        <w:tc>
          <w:tcPr>
            <w:tcW w:w="1027" w:type="dxa"/>
            <w:tcBorders>
              <w:top w:val="single" w:sz="8" w:space="0" w:color="000000"/>
              <w:bottom w:val="single" w:sz="8" w:space="0" w:color="000000"/>
            </w:tcBorders>
            <w:shd w:val="clear" w:color="auto" w:fill="FFFFFF"/>
            <w:vAlign w:val="center"/>
          </w:tcPr>
          <w:p w14:paraId="15954B20"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R</w:t>
            </w:r>
            <w:r w:rsidRPr="00787196">
              <w:rPr>
                <w:rFonts w:cs="Arial"/>
                <w:b/>
                <w:bCs/>
                <w:color w:val="000000"/>
                <w:sz w:val="20"/>
                <w:szCs w:val="20"/>
                <w:vertAlign w:val="superscript"/>
              </w:rPr>
              <w:t>2</w:t>
            </w:r>
          </w:p>
          <w:p w14:paraId="1B6FCE83" w14:textId="77777777" w:rsidR="00D336B9" w:rsidRPr="00787196" w:rsidRDefault="00D336B9" w:rsidP="00A5430A">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Change</w:t>
            </w:r>
          </w:p>
        </w:tc>
      </w:tr>
      <w:tr w:rsidR="00D336B9" w:rsidRPr="00787196" w14:paraId="0C39D881" w14:textId="77777777" w:rsidTr="00A5430A">
        <w:trPr>
          <w:trHeight w:val="123"/>
        </w:trPr>
        <w:tc>
          <w:tcPr>
            <w:tcW w:w="3212" w:type="dxa"/>
            <w:shd w:val="clear" w:color="auto" w:fill="FFFFFF"/>
            <w:vAlign w:val="bottom"/>
          </w:tcPr>
          <w:p w14:paraId="0D8C9759" w14:textId="77777777" w:rsidR="00D336B9" w:rsidRPr="00787196" w:rsidRDefault="00D336B9" w:rsidP="00A5430A">
            <w:pPr>
              <w:autoSpaceDE w:val="0"/>
              <w:autoSpaceDN w:val="0"/>
              <w:adjustRightInd w:val="0"/>
              <w:spacing w:before="0" w:after="0" w:line="240" w:lineRule="auto"/>
              <w:jc w:val="left"/>
              <w:rPr>
                <w:rFonts w:cs="Arial"/>
                <w:b/>
                <w:bCs/>
                <w:color w:val="000000"/>
                <w:sz w:val="20"/>
                <w:szCs w:val="20"/>
              </w:rPr>
            </w:pPr>
          </w:p>
        </w:tc>
        <w:tc>
          <w:tcPr>
            <w:tcW w:w="1142" w:type="dxa"/>
            <w:tcBorders>
              <w:left w:val="nil"/>
              <w:right w:val="nil"/>
            </w:tcBorders>
            <w:shd w:val="clear" w:color="auto" w:fill="FFFFFF"/>
            <w:vAlign w:val="center"/>
          </w:tcPr>
          <w:p w14:paraId="6596DE83"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939" w:type="dxa"/>
            <w:tcBorders>
              <w:left w:val="nil"/>
              <w:right w:val="nil"/>
            </w:tcBorders>
            <w:shd w:val="clear" w:color="auto" w:fill="FFFFFF"/>
            <w:vAlign w:val="center"/>
          </w:tcPr>
          <w:p w14:paraId="67E335BB"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804" w:type="dxa"/>
            <w:tcBorders>
              <w:left w:val="nil"/>
              <w:right w:val="nil"/>
            </w:tcBorders>
            <w:shd w:val="clear" w:color="auto" w:fill="FFFFFF"/>
            <w:vAlign w:val="center"/>
          </w:tcPr>
          <w:p w14:paraId="12914797"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1163" w:type="dxa"/>
            <w:tcBorders>
              <w:left w:val="nil"/>
              <w:right w:val="nil"/>
            </w:tcBorders>
            <w:shd w:val="clear" w:color="auto" w:fill="FFFFFF"/>
            <w:vAlign w:val="center"/>
          </w:tcPr>
          <w:p w14:paraId="6A741A9C"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1027" w:type="dxa"/>
            <w:tcBorders>
              <w:left w:val="nil"/>
              <w:right w:val="nil"/>
            </w:tcBorders>
            <w:shd w:val="clear" w:color="auto" w:fill="FFFFFF"/>
            <w:vAlign w:val="center"/>
          </w:tcPr>
          <w:p w14:paraId="032DB9B4"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r>
      <w:tr w:rsidR="00D336B9" w:rsidRPr="00787196" w14:paraId="61022131" w14:textId="77777777" w:rsidTr="00A5430A">
        <w:trPr>
          <w:trHeight w:val="106"/>
        </w:trPr>
        <w:tc>
          <w:tcPr>
            <w:tcW w:w="3212" w:type="dxa"/>
            <w:shd w:val="clear" w:color="auto" w:fill="FFFFFF"/>
            <w:vAlign w:val="center"/>
          </w:tcPr>
          <w:p w14:paraId="2233837E" w14:textId="512E21CE" w:rsidR="00D336B9" w:rsidRPr="00787196" w:rsidRDefault="00D336B9"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 xml:space="preserve">Religion </w:t>
            </w:r>
            <w:r w:rsidR="00D1431C" w:rsidRPr="00787196">
              <w:rPr>
                <w:rFonts w:cs="Arial"/>
                <w:color w:val="000000"/>
                <w:sz w:val="20"/>
                <w:szCs w:val="20"/>
              </w:rPr>
              <w:t xml:space="preserve">factor </w:t>
            </w:r>
            <w:r w:rsidRPr="00787196">
              <w:rPr>
                <w:rFonts w:cs="Arial"/>
                <w:color w:val="000000"/>
                <w:sz w:val="20"/>
                <w:szCs w:val="20"/>
              </w:rPr>
              <w:t xml:space="preserve">(baseline) </w:t>
            </w:r>
          </w:p>
        </w:tc>
        <w:tc>
          <w:tcPr>
            <w:tcW w:w="1142" w:type="dxa"/>
            <w:tcBorders>
              <w:left w:val="nil"/>
              <w:right w:val="nil"/>
            </w:tcBorders>
            <w:shd w:val="clear" w:color="auto" w:fill="FFFFFF"/>
            <w:vAlign w:val="center"/>
          </w:tcPr>
          <w:p w14:paraId="2D482CD7"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 xml:space="preserve">   0.693**</w:t>
            </w:r>
          </w:p>
        </w:tc>
        <w:tc>
          <w:tcPr>
            <w:tcW w:w="939" w:type="dxa"/>
            <w:tcBorders>
              <w:left w:val="nil"/>
              <w:right w:val="nil"/>
            </w:tcBorders>
            <w:shd w:val="clear" w:color="auto" w:fill="FFFFFF"/>
            <w:vAlign w:val="center"/>
          </w:tcPr>
          <w:p w14:paraId="44ED07EA"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174.246</w:t>
            </w:r>
          </w:p>
        </w:tc>
        <w:tc>
          <w:tcPr>
            <w:tcW w:w="804" w:type="dxa"/>
            <w:tcBorders>
              <w:left w:val="nil"/>
              <w:right w:val="nil"/>
            </w:tcBorders>
            <w:shd w:val="clear" w:color="auto" w:fill="FFFFFF"/>
            <w:vAlign w:val="center"/>
          </w:tcPr>
          <w:p w14:paraId="545568FF"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0.480</w:t>
            </w:r>
          </w:p>
        </w:tc>
        <w:tc>
          <w:tcPr>
            <w:tcW w:w="1163" w:type="dxa"/>
            <w:tcBorders>
              <w:left w:val="nil"/>
              <w:right w:val="nil"/>
            </w:tcBorders>
            <w:shd w:val="clear" w:color="auto" w:fill="FFFFFF"/>
            <w:vAlign w:val="center"/>
          </w:tcPr>
          <w:p w14:paraId="6BA9DDA5"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0.477</w:t>
            </w:r>
          </w:p>
        </w:tc>
        <w:tc>
          <w:tcPr>
            <w:tcW w:w="1027" w:type="dxa"/>
            <w:tcBorders>
              <w:left w:val="nil"/>
              <w:right w:val="nil"/>
            </w:tcBorders>
            <w:shd w:val="clear" w:color="auto" w:fill="FFFFFF"/>
            <w:vAlign w:val="center"/>
          </w:tcPr>
          <w:p w14:paraId="6EA8E911"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0.480</w:t>
            </w:r>
          </w:p>
        </w:tc>
      </w:tr>
      <w:tr w:rsidR="00D336B9" w:rsidRPr="00787196" w14:paraId="5BB60220" w14:textId="77777777" w:rsidTr="00A5430A">
        <w:trPr>
          <w:trHeight w:val="106"/>
        </w:trPr>
        <w:tc>
          <w:tcPr>
            <w:tcW w:w="3212" w:type="dxa"/>
            <w:shd w:val="clear" w:color="auto" w:fill="FFFFFF"/>
            <w:vAlign w:val="bottom"/>
          </w:tcPr>
          <w:p w14:paraId="29C043EC" w14:textId="77777777" w:rsidR="00D336B9" w:rsidRPr="00787196" w:rsidRDefault="00D336B9" w:rsidP="00A5430A">
            <w:pPr>
              <w:autoSpaceDE w:val="0"/>
              <w:autoSpaceDN w:val="0"/>
              <w:adjustRightInd w:val="0"/>
              <w:spacing w:before="0" w:after="0" w:line="240" w:lineRule="auto"/>
              <w:jc w:val="left"/>
              <w:rPr>
                <w:rFonts w:cs="Arial"/>
                <w:color w:val="000000"/>
                <w:sz w:val="20"/>
                <w:szCs w:val="20"/>
              </w:rPr>
            </w:pPr>
          </w:p>
        </w:tc>
        <w:tc>
          <w:tcPr>
            <w:tcW w:w="1142" w:type="dxa"/>
            <w:tcBorders>
              <w:left w:val="nil"/>
              <w:right w:val="nil"/>
            </w:tcBorders>
            <w:shd w:val="clear" w:color="auto" w:fill="FFFFFF"/>
            <w:vAlign w:val="center"/>
          </w:tcPr>
          <w:p w14:paraId="4FFA7685"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939" w:type="dxa"/>
            <w:tcBorders>
              <w:left w:val="nil"/>
              <w:right w:val="nil"/>
            </w:tcBorders>
            <w:shd w:val="clear" w:color="auto" w:fill="FFFFFF"/>
            <w:vAlign w:val="center"/>
          </w:tcPr>
          <w:p w14:paraId="56A1B896"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804" w:type="dxa"/>
            <w:tcBorders>
              <w:left w:val="nil"/>
              <w:right w:val="nil"/>
            </w:tcBorders>
            <w:shd w:val="clear" w:color="auto" w:fill="FFFFFF"/>
          </w:tcPr>
          <w:p w14:paraId="15333E64"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163" w:type="dxa"/>
            <w:tcBorders>
              <w:left w:val="nil"/>
              <w:right w:val="nil"/>
            </w:tcBorders>
            <w:shd w:val="clear" w:color="auto" w:fill="FFFFFF"/>
          </w:tcPr>
          <w:p w14:paraId="69ED4B62"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027" w:type="dxa"/>
            <w:tcBorders>
              <w:left w:val="nil"/>
              <w:right w:val="nil"/>
            </w:tcBorders>
            <w:shd w:val="clear" w:color="auto" w:fill="FFFFFF"/>
          </w:tcPr>
          <w:p w14:paraId="4F71CC43"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r>
      <w:tr w:rsidR="00D336B9" w:rsidRPr="00787196" w14:paraId="16B784A6" w14:textId="77777777" w:rsidTr="00A5430A">
        <w:trPr>
          <w:trHeight w:val="104"/>
        </w:trPr>
        <w:tc>
          <w:tcPr>
            <w:tcW w:w="3212" w:type="dxa"/>
            <w:shd w:val="clear" w:color="auto" w:fill="FFFFFF"/>
          </w:tcPr>
          <w:p w14:paraId="707C7305" w14:textId="77777777" w:rsidR="00D336B9" w:rsidRPr="00787196" w:rsidRDefault="00D336B9" w:rsidP="00A5430A">
            <w:pPr>
              <w:autoSpaceDE w:val="0"/>
              <w:autoSpaceDN w:val="0"/>
              <w:adjustRightInd w:val="0"/>
              <w:spacing w:before="0" w:after="0" w:line="240" w:lineRule="auto"/>
              <w:jc w:val="left"/>
              <w:rPr>
                <w:rFonts w:cs="Arial"/>
                <w:color w:val="000000"/>
                <w:sz w:val="20"/>
                <w:szCs w:val="20"/>
              </w:rPr>
            </w:pPr>
            <w:r w:rsidRPr="00787196">
              <w:rPr>
                <w:sz w:val="20"/>
                <w:szCs w:val="20"/>
                <w:u w:val="single"/>
              </w:rPr>
              <w:t>Excluded variables</w:t>
            </w:r>
          </w:p>
        </w:tc>
        <w:tc>
          <w:tcPr>
            <w:tcW w:w="1142" w:type="dxa"/>
            <w:tcBorders>
              <w:left w:val="nil"/>
              <w:right w:val="nil"/>
            </w:tcBorders>
            <w:shd w:val="clear" w:color="auto" w:fill="FFFFFF"/>
          </w:tcPr>
          <w:p w14:paraId="71556825"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939" w:type="dxa"/>
            <w:tcBorders>
              <w:left w:val="nil"/>
              <w:right w:val="nil"/>
            </w:tcBorders>
            <w:shd w:val="clear" w:color="auto" w:fill="FFFFFF"/>
            <w:vAlign w:val="center"/>
          </w:tcPr>
          <w:p w14:paraId="748951D8"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804" w:type="dxa"/>
            <w:tcBorders>
              <w:left w:val="nil"/>
              <w:right w:val="nil"/>
            </w:tcBorders>
            <w:shd w:val="clear" w:color="auto" w:fill="FFFFFF"/>
          </w:tcPr>
          <w:p w14:paraId="5315B5CB"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163" w:type="dxa"/>
            <w:tcBorders>
              <w:left w:val="nil"/>
              <w:right w:val="nil"/>
            </w:tcBorders>
            <w:shd w:val="clear" w:color="auto" w:fill="FFFFFF"/>
          </w:tcPr>
          <w:p w14:paraId="02EBFD00"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027" w:type="dxa"/>
            <w:tcBorders>
              <w:left w:val="nil"/>
              <w:right w:val="nil"/>
            </w:tcBorders>
            <w:shd w:val="clear" w:color="auto" w:fill="FFFFFF"/>
          </w:tcPr>
          <w:p w14:paraId="32558AB8"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r>
      <w:tr w:rsidR="00D336B9" w:rsidRPr="00787196" w14:paraId="0DA746C9" w14:textId="77777777" w:rsidTr="00A5430A">
        <w:trPr>
          <w:trHeight w:val="298"/>
        </w:trPr>
        <w:tc>
          <w:tcPr>
            <w:tcW w:w="3212" w:type="dxa"/>
            <w:shd w:val="clear" w:color="auto" w:fill="FFFFFF"/>
            <w:vAlign w:val="bottom"/>
          </w:tcPr>
          <w:p w14:paraId="19688995" w14:textId="77777777" w:rsidR="00D336B9" w:rsidRPr="00787196" w:rsidRDefault="00D336B9" w:rsidP="00A5430A">
            <w:pPr>
              <w:autoSpaceDE w:val="0"/>
              <w:autoSpaceDN w:val="0"/>
              <w:adjustRightInd w:val="0"/>
              <w:spacing w:before="0" w:after="0" w:line="240" w:lineRule="auto"/>
              <w:jc w:val="left"/>
              <w:rPr>
                <w:rFonts w:cs="Arial"/>
                <w:color w:val="000000"/>
                <w:sz w:val="20"/>
                <w:szCs w:val="20"/>
              </w:rPr>
            </w:pPr>
            <w:r w:rsidRPr="00787196">
              <w:rPr>
                <w:rFonts w:cs="Arial"/>
                <w:color w:val="000000"/>
                <w:sz w:val="20"/>
                <w:szCs w:val="20"/>
              </w:rPr>
              <w:t>Occupation</w:t>
            </w:r>
          </w:p>
        </w:tc>
        <w:tc>
          <w:tcPr>
            <w:tcW w:w="1142" w:type="dxa"/>
            <w:tcBorders>
              <w:left w:val="nil"/>
              <w:right w:val="nil"/>
            </w:tcBorders>
            <w:shd w:val="clear" w:color="auto" w:fill="FFFFFF"/>
            <w:vAlign w:val="center"/>
          </w:tcPr>
          <w:p w14:paraId="5A72D239"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939" w:type="dxa"/>
            <w:tcBorders>
              <w:left w:val="nil"/>
              <w:right w:val="nil"/>
            </w:tcBorders>
            <w:shd w:val="clear" w:color="auto" w:fill="FFFFFF"/>
            <w:vAlign w:val="center"/>
          </w:tcPr>
          <w:p w14:paraId="01F7BE49"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804" w:type="dxa"/>
            <w:tcBorders>
              <w:left w:val="nil"/>
              <w:right w:val="nil"/>
            </w:tcBorders>
            <w:shd w:val="clear" w:color="auto" w:fill="FFFFFF"/>
          </w:tcPr>
          <w:p w14:paraId="184BA760"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163" w:type="dxa"/>
            <w:tcBorders>
              <w:left w:val="nil"/>
              <w:right w:val="nil"/>
            </w:tcBorders>
            <w:shd w:val="clear" w:color="auto" w:fill="FFFFFF"/>
          </w:tcPr>
          <w:p w14:paraId="2960D1D7"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027" w:type="dxa"/>
            <w:tcBorders>
              <w:left w:val="nil"/>
              <w:right w:val="nil"/>
            </w:tcBorders>
            <w:shd w:val="clear" w:color="auto" w:fill="FFFFFF"/>
          </w:tcPr>
          <w:p w14:paraId="025EE5EC"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r>
      <w:tr w:rsidR="00D336B9" w:rsidRPr="00787196" w14:paraId="0C75B66D" w14:textId="77777777" w:rsidTr="00A5430A">
        <w:trPr>
          <w:trHeight w:val="20"/>
        </w:trPr>
        <w:tc>
          <w:tcPr>
            <w:tcW w:w="3212" w:type="dxa"/>
            <w:shd w:val="clear" w:color="auto" w:fill="FFFFFF"/>
          </w:tcPr>
          <w:p w14:paraId="65533B67" w14:textId="77777777" w:rsidR="00D336B9" w:rsidRPr="00787196" w:rsidRDefault="00D336B9" w:rsidP="00A5430A">
            <w:pPr>
              <w:autoSpaceDE w:val="0"/>
              <w:autoSpaceDN w:val="0"/>
              <w:adjustRightInd w:val="0"/>
              <w:spacing w:before="0" w:after="0" w:line="240" w:lineRule="auto"/>
              <w:jc w:val="left"/>
              <w:rPr>
                <w:rFonts w:cs="Arial"/>
                <w:color w:val="000000"/>
                <w:sz w:val="20"/>
                <w:szCs w:val="20"/>
              </w:rPr>
            </w:pPr>
          </w:p>
        </w:tc>
        <w:tc>
          <w:tcPr>
            <w:tcW w:w="1142" w:type="dxa"/>
            <w:tcBorders>
              <w:left w:val="nil"/>
              <w:right w:val="nil"/>
            </w:tcBorders>
            <w:shd w:val="clear" w:color="auto" w:fill="FFFFFF"/>
          </w:tcPr>
          <w:p w14:paraId="451AB99B"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939" w:type="dxa"/>
            <w:tcBorders>
              <w:left w:val="nil"/>
              <w:right w:val="nil"/>
            </w:tcBorders>
            <w:shd w:val="clear" w:color="auto" w:fill="FFFFFF"/>
            <w:vAlign w:val="center"/>
          </w:tcPr>
          <w:p w14:paraId="2D4F4B52" w14:textId="77777777" w:rsidR="00D336B9" w:rsidRPr="00787196" w:rsidRDefault="00D336B9" w:rsidP="00A5430A">
            <w:pPr>
              <w:autoSpaceDE w:val="0"/>
              <w:autoSpaceDN w:val="0"/>
              <w:adjustRightInd w:val="0"/>
              <w:spacing w:before="0" w:after="0" w:line="240" w:lineRule="auto"/>
              <w:jc w:val="center"/>
              <w:rPr>
                <w:rFonts w:cs="Arial"/>
                <w:color w:val="000000"/>
                <w:sz w:val="20"/>
                <w:szCs w:val="20"/>
              </w:rPr>
            </w:pPr>
          </w:p>
        </w:tc>
        <w:tc>
          <w:tcPr>
            <w:tcW w:w="804" w:type="dxa"/>
            <w:tcBorders>
              <w:left w:val="nil"/>
              <w:right w:val="nil"/>
            </w:tcBorders>
            <w:shd w:val="clear" w:color="auto" w:fill="FFFFFF"/>
          </w:tcPr>
          <w:p w14:paraId="560964BA"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163" w:type="dxa"/>
            <w:tcBorders>
              <w:left w:val="nil"/>
              <w:right w:val="nil"/>
            </w:tcBorders>
            <w:shd w:val="clear" w:color="auto" w:fill="FFFFFF"/>
          </w:tcPr>
          <w:p w14:paraId="416A088A"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c>
          <w:tcPr>
            <w:tcW w:w="1027" w:type="dxa"/>
            <w:tcBorders>
              <w:left w:val="nil"/>
              <w:right w:val="nil"/>
            </w:tcBorders>
            <w:shd w:val="clear" w:color="auto" w:fill="FFFFFF"/>
          </w:tcPr>
          <w:p w14:paraId="1BD66F3A" w14:textId="77777777" w:rsidR="00D336B9" w:rsidRPr="00787196" w:rsidRDefault="00D336B9" w:rsidP="00A5430A">
            <w:pPr>
              <w:autoSpaceDE w:val="0"/>
              <w:autoSpaceDN w:val="0"/>
              <w:adjustRightInd w:val="0"/>
              <w:spacing w:before="0" w:after="0" w:line="240" w:lineRule="auto"/>
              <w:rPr>
                <w:rFonts w:cs="Arial"/>
                <w:color w:val="000000"/>
                <w:sz w:val="20"/>
                <w:szCs w:val="20"/>
              </w:rPr>
            </w:pPr>
          </w:p>
        </w:tc>
      </w:tr>
    </w:tbl>
    <w:p w14:paraId="5DE6E650" w14:textId="0166555C" w:rsidR="00BB03B1" w:rsidRPr="00787196" w:rsidRDefault="00BB03B1" w:rsidP="00475AA5">
      <w:pPr>
        <w:pStyle w:val="Caption"/>
        <w:keepNext/>
        <w:ind w:right="140"/>
        <w:jc w:val="left"/>
        <w:rPr>
          <w:b/>
          <w:bCs/>
          <w:i w:val="0"/>
          <w:iCs w:val="0"/>
          <w:color w:val="auto"/>
          <w:sz w:val="20"/>
          <w:szCs w:val="20"/>
        </w:rPr>
      </w:pPr>
      <w:bookmarkStart w:id="321" w:name="_Toc488655562"/>
      <w:r w:rsidRPr="00787196">
        <w:rPr>
          <w:b/>
          <w:bCs/>
          <w:i w:val="0"/>
          <w:iCs w:val="0"/>
          <w:color w:val="auto"/>
          <w:sz w:val="20"/>
          <w:szCs w:val="20"/>
        </w:rPr>
        <w:t xml:space="preserve">Table </w:t>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STYLEREF 1 \s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5</w:t>
      </w:r>
      <w:r w:rsidR="000332A1" w:rsidRPr="00787196">
        <w:rPr>
          <w:b/>
          <w:bCs/>
          <w:i w:val="0"/>
          <w:iCs w:val="0"/>
          <w:color w:val="auto"/>
          <w:sz w:val="20"/>
          <w:szCs w:val="20"/>
        </w:rPr>
        <w:fldChar w:fldCharType="end"/>
      </w:r>
      <w:r w:rsidR="000332A1" w:rsidRPr="00787196">
        <w:rPr>
          <w:b/>
          <w:bCs/>
          <w:i w:val="0"/>
          <w:iCs w:val="0"/>
          <w:color w:val="auto"/>
          <w:sz w:val="20"/>
          <w:szCs w:val="20"/>
        </w:rPr>
        <w:noBreakHyphen/>
      </w:r>
      <w:r w:rsidR="000332A1" w:rsidRPr="00787196">
        <w:rPr>
          <w:b/>
          <w:bCs/>
          <w:i w:val="0"/>
          <w:iCs w:val="0"/>
          <w:color w:val="auto"/>
          <w:sz w:val="20"/>
          <w:szCs w:val="20"/>
        </w:rPr>
        <w:fldChar w:fldCharType="begin"/>
      </w:r>
      <w:r w:rsidR="000332A1" w:rsidRPr="00787196">
        <w:rPr>
          <w:b/>
          <w:bCs/>
          <w:i w:val="0"/>
          <w:iCs w:val="0"/>
          <w:color w:val="auto"/>
          <w:sz w:val="20"/>
          <w:szCs w:val="20"/>
        </w:rPr>
        <w:instrText xml:space="preserve"> SEQ Table \* ARABIC \s 1 </w:instrText>
      </w:r>
      <w:r w:rsidR="000332A1" w:rsidRPr="00787196">
        <w:rPr>
          <w:b/>
          <w:bCs/>
          <w:i w:val="0"/>
          <w:iCs w:val="0"/>
          <w:color w:val="auto"/>
          <w:sz w:val="20"/>
          <w:szCs w:val="20"/>
        </w:rPr>
        <w:fldChar w:fldCharType="separate"/>
      </w:r>
      <w:r w:rsidR="00C069BC" w:rsidRPr="00787196">
        <w:rPr>
          <w:b/>
          <w:bCs/>
          <w:i w:val="0"/>
          <w:iCs w:val="0"/>
          <w:noProof/>
          <w:color w:val="auto"/>
          <w:sz w:val="20"/>
          <w:szCs w:val="20"/>
        </w:rPr>
        <w:t>33</w:t>
      </w:r>
      <w:r w:rsidR="000332A1" w:rsidRPr="00787196">
        <w:rPr>
          <w:b/>
          <w:bCs/>
          <w:i w:val="0"/>
          <w:iCs w:val="0"/>
          <w:color w:val="auto"/>
          <w:sz w:val="20"/>
          <w:szCs w:val="20"/>
        </w:rPr>
        <w:fldChar w:fldCharType="end"/>
      </w:r>
      <w:r w:rsidRPr="00787196">
        <w:rPr>
          <w:b/>
          <w:bCs/>
          <w:i w:val="0"/>
          <w:iCs w:val="0"/>
          <w:color w:val="auto"/>
          <w:sz w:val="20"/>
          <w:szCs w:val="20"/>
        </w:rPr>
        <w:t xml:space="preserve">. Stepwise forward multiple regression model for </w:t>
      </w:r>
      <w:r w:rsidR="00D1431C" w:rsidRPr="00787196">
        <w:rPr>
          <w:b/>
          <w:bCs/>
          <w:i w:val="0"/>
          <w:iCs w:val="0"/>
          <w:color w:val="auto"/>
          <w:sz w:val="20"/>
          <w:szCs w:val="20"/>
        </w:rPr>
        <w:t>R</w:t>
      </w:r>
      <w:r w:rsidRPr="00787196">
        <w:rPr>
          <w:b/>
          <w:bCs/>
          <w:i w:val="0"/>
          <w:iCs w:val="0"/>
          <w:color w:val="auto"/>
          <w:sz w:val="20"/>
          <w:szCs w:val="20"/>
        </w:rPr>
        <w:t>eligion</w:t>
      </w:r>
      <w:r w:rsidR="00D1431C" w:rsidRPr="00787196">
        <w:rPr>
          <w:b/>
          <w:bCs/>
          <w:i w:val="0"/>
          <w:iCs w:val="0"/>
          <w:color w:val="auto"/>
          <w:sz w:val="20"/>
          <w:szCs w:val="20"/>
        </w:rPr>
        <w:t xml:space="preserve"> </w:t>
      </w:r>
      <w:r w:rsidR="008E02E7" w:rsidRPr="00787196">
        <w:rPr>
          <w:b/>
          <w:bCs/>
          <w:i w:val="0"/>
          <w:iCs w:val="0"/>
          <w:color w:val="auto"/>
          <w:sz w:val="20"/>
          <w:szCs w:val="20"/>
        </w:rPr>
        <w:t>factor at</w:t>
      </w:r>
      <w:r w:rsidRPr="00787196">
        <w:rPr>
          <w:b/>
          <w:bCs/>
          <w:i w:val="0"/>
          <w:iCs w:val="0"/>
          <w:color w:val="auto"/>
          <w:sz w:val="20"/>
          <w:szCs w:val="20"/>
        </w:rPr>
        <w:t xml:space="preserve"> follow-up (T2)</w:t>
      </w:r>
      <w:bookmarkEnd w:id="321"/>
    </w:p>
    <w:p w14:paraId="53D7ED60" w14:textId="77777777" w:rsidR="00B04AF5" w:rsidRPr="00787196" w:rsidRDefault="00B04AF5" w:rsidP="00B04AF5">
      <w:pPr>
        <w:spacing w:before="0" w:after="0" w:line="240" w:lineRule="auto"/>
        <w:rPr>
          <w:i/>
          <w:iCs/>
          <w:sz w:val="18"/>
          <w:szCs w:val="16"/>
        </w:rPr>
      </w:pPr>
      <w:r w:rsidRPr="00787196">
        <w:rPr>
          <w:i/>
          <w:iCs/>
          <w:sz w:val="18"/>
          <w:szCs w:val="16"/>
        </w:rPr>
        <w:t>**Correlation significant at 0.01 level (2-tailed)</w:t>
      </w:r>
    </w:p>
    <w:p w14:paraId="31EFE088" w14:textId="77777777" w:rsidR="002A4B24" w:rsidRPr="00787196" w:rsidRDefault="002A4B24">
      <w:pPr>
        <w:spacing w:before="0" w:after="0" w:line="240" w:lineRule="auto"/>
        <w:jc w:val="left"/>
      </w:pPr>
    </w:p>
    <w:p w14:paraId="0036AFE2" w14:textId="5FADBB1F" w:rsidR="00BB557F" w:rsidRPr="00787196" w:rsidRDefault="004A661D" w:rsidP="00D1431C">
      <w:pPr>
        <w:pStyle w:val="Heading3"/>
      </w:pPr>
      <w:r w:rsidRPr="00787196">
        <w:br w:type="page"/>
      </w:r>
      <w:bookmarkStart w:id="322" w:name="_Toc488655677"/>
      <w:r w:rsidR="00BB557F" w:rsidRPr="00787196">
        <w:lastRenderedPageBreak/>
        <w:t>Summary of key relationships</w:t>
      </w:r>
      <w:bookmarkEnd w:id="319"/>
      <w:bookmarkEnd w:id="322"/>
      <w:r w:rsidR="00BB557F" w:rsidRPr="00787196">
        <w:t xml:space="preserve"> </w:t>
      </w:r>
    </w:p>
    <w:p w14:paraId="74D88394" w14:textId="0DB8AF4C" w:rsidR="002C345D" w:rsidRPr="00787196" w:rsidRDefault="00BB557F" w:rsidP="0038252B">
      <w:r w:rsidRPr="00787196">
        <w:t xml:space="preserve">Figure 5-5 summarises the relationships identified in the regression models. </w:t>
      </w:r>
      <w:r w:rsidR="002F6546" w:rsidRPr="00787196">
        <w:t xml:space="preserve">The predictors of coping strategies at follow up were religious coping strategy at baseline alone. The predictors of OHQoL at follow up were OHQoL and chewing ability at baseline and the </w:t>
      </w:r>
      <w:r w:rsidR="0038252B" w:rsidRPr="00787196">
        <w:t>number of teeth present</w:t>
      </w:r>
      <w:r w:rsidR="002F6546" w:rsidRPr="00787196">
        <w:t xml:space="preserve">. The predictors of denture satisfaction at follow up were denture satisfaction and chewing ability at baseline and the </w:t>
      </w:r>
      <w:r w:rsidR="0038252B" w:rsidRPr="00787196">
        <w:t xml:space="preserve">number of </w:t>
      </w:r>
      <w:r w:rsidR="002F6546" w:rsidRPr="00787196">
        <w:t xml:space="preserve">occluding pairs </w:t>
      </w:r>
      <w:r w:rsidR="0038252B" w:rsidRPr="00787196">
        <w:t>present</w:t>
      </w:r>
      <w:r w:rsidR="002F6546" w:rsidRPr="00787196">
        <w:t xml:space="preserve">.  </w:t>
      </w:r>
    </w:p>
    <w:p w14:paraId="2317C47F" w14:textId="3D9C1020" w:rsidR="002F6546" w:rsidRPr="00787196" w:rsidRDefault="002F6546" w:rsidP="0018307F">
      <w:r w:rsidRPr="00787196">
        <w:t xml:space="preserve">The predictors of chewing ability at follow up were OHQoL, and chewing ability at baseline and </w:t>
      </w:r>
      <w:r w:rsidR="00A20FE5" w:rsidRPr="00787196">
        <w:t xml:space="preserve">the </w:t>
      </w:r>
      <w:r w:rsidR="0038252B" w:rsidRPr="00787196">
        <w:t>number of teeth present</w:t>
      </w:r>
      <w:r w:rsidRPr="00787196">
        <w:t xml:space="preserve">. </w:t>
      </w:r>
      <w:r w:rsidR="0073148F" w:rsidRPr="00787196">
        <w:t>In the</w:t>
      </w:r>
      <w:r w:rsidRPr="00787196">
        <w:t xml:space="preserve"> cross-sectional relationships </w:t>
      </w:r>
      <w:r w:rsidR="00DC6284" w:rsidRPr="00787196">
        <w:t>age was</w:t>
      </w:r>
      <w:r w:rsidRPr="00787196">
        <w:t xml:space="preserve"> associated with </w:t>
      </w:r>
      <w:r w:rsidR="0075588A" w:rsidRPr="00787196">
        <w:t>number of teeth present</w:t>
      </w:r>
      <w:r w:rsidRPr="00787196">
        <w:t xml:space="preserve">, prosthetic need (both arches), time taken to seek dentures since tooth loss and </w:t>
      </w:r>
      <w:r w:rsidR="0075588A" w:rsidRPr="00787196">
        <w:t xml:space="preserve">number of </w:t>
      </w:r>
      <w:r w:rsidRPr="00787196">
        <w:t xml:space="preserve">occluding pairs status. Also, concern about oral health had cross-sectional association with </w:t>
      </w:r>
      <w:r w:rsidR="0018307F" w:rsidRPr="00787196">
        <w:t>number of teeth present in an individual</w:t>
      </w:r>
      <w:r w:rsidRPr="00787196">
        <w:t xml:space="preserve"> and the prosthetic treatment need </w:t>
      </w:r>
      <w:r w:rsidR="0018307F" w:rsidRPr="00787196">
        <w:t>of the</w:t>
      </w:r>
      <w:r w:rsidRPr="00787196">
        <w:t xml:space="preserve"> lower arch. Education status of the </w:t>
      </w:r>
      <w:r w:rsidR="004A661D" w:rsidRPr="00787196">
        <w:t>individual</w:t>
      </w:r>
      <w:r w:rsidRPr="00787196">
        <w:t xml:space="preserve"> had a cross-sectional </w:t>
      </w:r>
      <w:r w:rsidR="0018307F" w:rsidRPr="00787196">
        <w:t xml:space="preserve">association </w:t>
      </w:r>
      <w:r w:rsidRPr="00787196">
        <w:t xml:space="preserve">with the </w:t>
      </w:r>
      <w:r w:rsidR="0018307F" w:rsidRPr="00787196">
        <w:t xml:space="preserve">number of </w:t>
      </w:r>
      <w:r w:rsidRPr="00787196">
        <w:t xml:space="preserve">occluding pairs </w:t>
      </w:r>
      <w:r w:rsidR="0018307F" w:rsidRPr="00787196">
        <w:t>present</w:t>
      </w:r>
      <w:r w:rsidRPr="00787196">
        <w:t>.</w:t>
      </w:r>
    </w:p>
    <w:p w14:paraId="6F2F04FE" w14:textId="77777777" w:rsidR="00BB557F" w:rsidRPr="00787196" w:rsidRDefault="00BB557F" w:rsidP="0027062E">
      <w:pPr>
        <w:sectPr w:rsidR="00BB557F" w:rsidRPr="00787196" w:rsidSect="00A5430A">
          <w:headerReference w:type="default" r:id="rId28"/>
          <w:type w:val="nextColumn"/>
          <w:pgSz w:w="11906" w:h="16838"/>
          <w:pgMar w:top="1134" w:right="1416" w:bottom="1134" w:left="2268" w:header="624" w:footer="0" w:gutter="0"/>
          <w:cols w:space="708"/>
          <w:docGrid w:linePitch="360"/>
        </w:sectPr>
      </w:pPr>
    </w:p>
    <w:p w14:paraId="52904CD5" w14:textId="0B1C1801" w:rsidR="0057714E" w:rsidRPr="00787196" w:rsidRDefault="00FB3499" w:rsidP="00755F46">
      <w:r w:rsidRPr="00787196">
        <w:rPr>
          <w:noProof/>
        </w:rPr>
        <w:lastRenderedPageBreak/>
        <mc:AlternateContent>
          <mc:Choice Requires="wps">
            <w:drawing>
              <wp:anchor distT="0" distB="0" distL="114300" distR="114300" simplePos="0" relativeHeight="251623936" behindDoc="0" locked="0" layoutInCell="1" allowOverlap="1" wp14:anchorId="3BF7043B" wp14:editId="1897577B">
                <wp:simplePos x="0" y="0"/>
                <wp:positionH relativeFrom="column">
                  <wp:posOffset>-257382</wp:posOffset>
                </wp:positionH>
                <wp:positionV relativeFrom="paragraph">
                  <wp:posOffset>70456</wp:posOffset>
                </wp:positionV>
                <wp:extent cx="9218428" cy="329610"/>
                <wp:effectExtent l="0" t="0" r="1905" b="0"/>
                <wp:wrapNone/>
                <wp:docPr id="213" name="Text Box 213"/>
                <wp:cNvGraphicFramePr/>
                <a:graphic xmlns:a="http://schemas.openxmlformats.org/drawingml/2006/main">
                  <a:graphicData uri="http://schemas.microsoft.com/office/word/2010/wordprocessingShape">
                    <wps:wsp>
                      <wps:cNvSpPr txBox="1"/>
                      <wps:spPr>
                        <a:xfrm>
                          <a:off x="0" y="0"/>
                          <a:ext cx="9218428" cy="329610"/>
                        </a:xfrm>
                        <a:prstGeom prst="rect">
                          <a:avLst/>
                        </a:prstGeom>
                        <a:solidFill>
                          <a:prstClr val="white"/>
                        </a:solidFill>
                        <a:ln>
                          <a:noFill/>
                        </a:ln>
                        <a:effectLst/>
                      </wps:spPr>
                      <wps:txbx>
                        <w:txbxContent>
                          <w:p w14:paraId="0DFE49F2" w14:textId="2AE14FA4" w:rsidR="006E7D7A" w:rsidRPr="0079553A" w:rsidRDefault="006E7D7A" w:rsidP="00B21836">
                            <w:pPr>
                              <w:pStyle w:val="Caption"/>
                              <w:jc w:val="center"/>
                              <w:rPr>
                                <w:b/>
                                <w:bCs/>
                                <w:i w:val="0"/>
                                <w:iCs w:val="0"/>
                                <w:color w:val="000000" w:themeColor="text1"/>
                                <w:sz w:val="24"/>
                                <w:szCs w:val="24"/>
                              </w:rPr>
                            </w:pPr>
                            <w:bookmarkStart w:id="323" w:name="_Toc488655591"/>
                            <w:r w:rsidRPr="0079553A">
                              <w:rPr>
                                <w:b/>
                                <w:bCs/>
                                <w:i w:val="0"/>
                                <w:iCs w:val="0"/>
                                <w:color w:val="000000" w:themeColor="text1"/>
                                <w:sz w:val="24"/>
                                <w:szCs w:val="24"/>
                              </w:rPr>
                              <w:t xml:space="preserve">Figure </w:t>
                            </w:r>
                            <w:r>
                              <w:rPr>
                                <w:b/>
                                <w:bCs/>
                                <w:i w:val="0"/>
                                <w:iCs w:val="0"/>
                                <w:color w:val="000000" w:themeColor="text1"/>
                                <w:sz w:val="24"/>
                                <w:szCs w:val="24"/>
                              </w:rPr>
                              <w:fldChar w:fldCharType="begin"/>
                            </w:r>
                            <w:r>
                              <w:rPr>
                                <w:b/>
                                <w:bCs/>
                                <w:i w:val="0"/>
                                <w:iCs w:val="0"/>
                                <w:color w:val="000000" w:themeColor="text1"/>
                                <w:sz w:val="24"/>
                                <w:szCs w:val="24"/>
                              </w:rPr>
                              <w:instrText xml:space="preserve"> STYLEREF 1 \s </w:instrText>
                            </w:r>
                            <w:r>
                              <w:rPr>
                                <w:b/>
                                <w:bCs/>
                                <w:i w:val="0"/>
                                <w:iCs w:val="0"/>
                                <w:color w:val="000000" w:themeColor="text1"/>
                                <w:sz w:val="24"/>
                                <w:szCs w:val="24"/>
                              </w:rPr>
                              <w:fldChar w:fldCharType="separate"/>
                            </w:r>
                            <w:r>
                              <w:rPr>
                                <w:b/>
                                <w:bCs/>
                                <w:i w:val="0"/>
                                <w:iCs w:val="0"/>
                                <w:noProof/>
                                <w:color w:val="000000" w:themeColor="text1"/>
                                <w:sz w:val="24"/>
                                <w:szCs w:val="24"/>
                              </w:rPr>
                              <w:t>5</w:t>
                            </w:r>
                            <w:r>
                              <w:rPr>
                                <w:b/>
                                <w:bCs/>
                                <w:i w:val="0"/>
                                <w:iCs w:val="0"/>
                                <w:color w:val="000000" w:themeColor="text1"/>
                                <w:sz w:val="24"/>
                                <w:szCs w:val="24"/>
                              </w:rPr>
                              <w:fldChar w:fldCharType="end"/>
                            </w:r>
                            <w:r>
                              <w:rPr>
                                <w:b/>
                                <w:bCs/>
                                <w:i w:val="0"/>
                                <w:iCs w:val="0"/>
                                <w:color w:val="000000" w:themeColor="text1"/>
                                <w:sz w:val="24"/>
                                <w:szCs w:val="24"/>
                              </w:rPr>
                              <w:noBreakHyphen/>
                            </w:r>
                            <w:r>
                              <w:rPr>
                                <w:b/>
                                <w:bCs/>
                                <w:i w:val="0"/>
                                <w:iCs w:val="0"/>
                                <w:color w:val="000000" w:themeColor="text1"/>
                                <w:sz w:val="24"/>
                                <w:szCs w:val="24"/>
                              </w:rPr>
                              <w:fldChar w:fldCharType="begin"/>
                            </w:r>
                            <w:r>
                              <w:rPr>
                                <w:b/>
                                <w:bCs/>
                                <w:i w:val="0"/>
                                <w:iCs w:val="0"/>
                                <w:color w:val="000000" w:themeColor="text1"/>
                                <w:sz w:val="24"/>
                                <w:szCs w:val="24"/>
                              </w:rPr>
                              <w:instrText xml:space="preserve"> SEQ Figure \* ARABIC \s 1 </w:instrText>
                            </w:r>
                            <w:r>
                              <w:rPr>
                                <w:b/>
                                <w:bCs/>
                                <w:i w:val="0"/>
                                <w:iCs w:val="0"/>
                                <w:color w:val="000000" w:themeColor="text1"/>
                                <w:sz w:val="24"/>
                                <w:szCs w:val="24"/>
                              </w:rPr>
                              <w:fldChar w:fldCharType="separate"/>
                            </w:r>
                            <w:r>
                              <w:rPr>
                                <w:b/>
                                <w:bCs/>
                                <w:i w:val="0"/>
                                <w:iCs w:val="0"/>
                                <w:noProof/>
                                <w:color w:val="000000" w:themeColor="text1"/>
                                <w:sz w:val="24"/>
                                <w:szCs w:val="24"/>
                              </w:rPr>
                              <w:t>5</w:t>
                            </w:r>
                            <w:r>
                              <w:rPr>
                                <w:b/>
                                <w:bCs/>
                                <w:i w:val="0"/>
                                <w:iCs w:val="0"/>
                                <w:color w:val="000000" w:themeColor="text1"/>
                                <w:sz w:val="24"/>
                                <w:szCs w:val="24"/>
                              </w:rPr>
                              <w:fldChar w:fldCharType="end"/>
                            </w:r>
                            <w:r>
                              <w:rPr>
                                <w:b/>
                                <w:bCs/>
                                <w:i w:val="0"/>
                                <w:iCs w:val="0"/>
                                <w:color w:val="000000" w:themeColor="text1"/>
                                <w:sz w:val="24"/>
                                <w:szCs w:val="24"/>
                              </w:rPr>
                              <w:t>. Summary of predictors of denture outcomes at follow-up T2</w:t>
                            </w:r>
                            <w:bookmarkEnd w:id="323"/>
                          </w:p>
                          <w:p w14:paraId="5CC7A63A" w14:textId="45DC901A" w:rsidR="006E7D7A" w:rsidRPr="00EA67DB" w:rsidRDefault="006E7D7A" w:rsidP="001D3975">
                            <w:pPr>
                              <w:pStyle w:val="Caption"/>
                              <w:spacing w:before="0" w:after="0"/>
                              <w:jc w:val="center"/>
                              <w:rPr>
                                <w:b/>
                                <w:bCs/>
                                <w:i w:val="0"/>
                                <w:iCs w:val="0"/>
                                <w:color w:val="auto"/>
                                <w:sz w:val="24"/>
                                <w:szCs w:val="24"/>
                              </w:rPr>
                            </w:pPr>
                          </w:p>
                          <w:p w14:paraId="7240E113" w14:textId="77777777" w:rsidR="006E7D7A" w:rsidRDefault="006E7D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043B" id="Text Box 213" o:spid="_x0000_s1157" type="#_x0000_t202" style="position:absolute;left:0;text-align:left;margin-left:-20.25pt;margin-top:5.55pt;width:725.85pt;height:25.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" stroked="f">
                <v:textbox inset="0,0,0,0">
                  <w:txbxContent>
                    <w:p w14:paraId="0DFE49F2" w14:textId="2AE14FA4" w:rsidR="006E7D7A" w:rsidRPr="0079553A" w:rsidRDefault="006E7D7A" w:rsidP="00B21836">
                      <w:pPr>
                        <w:pStyle w:val="Caption"/>
                        <w:jc w:val="center"/>
                        <w:rPr>
                          <w:b/>
                          <w:bCs/>
                          <w:i w:val="0"/>
                          <w:iCs w:val="0"/>
                          <w:color w:val="000000" w:themeColor="text1"/>
                          <w:sz w:val="24"/>
                          <w:szCs w:val="24"/>
                        </w:rPr>
                      </w:pPr>
                      <w:bookmarkStart w:id="324" w:name="_Toc488655591"/>
                      <w:r w:rsidRPr="0079553A">
                        <w:rPr>
                          <w:b/>
                          <w:bCs/>
                          <w:i w:val="0"/>
                          <w:iCs w:val="0"/>
                          <w:color w:val="000000" w:themeColor="text1"/>
                          <w:sz w:val="24"/>
                          <w:szCs w:val="24"/>
                        </w:rPr>
                        <w:t xml:space="preserve">Figure </w:t>
                      </w:r>
                      <w:r>
                        <w:rPr>
                          <w:b/>
                          <w:bCs/>
                          <w:i w:val="0"/>
                          <w:iCs w:val="0"/>
                          <w:color w:val="000000" w:themeColor="text1"/>
                          <w:sz w:val="24"/>
                          <w:szCs w:val="24"/>
                        </w:rPr>
                        <w:fldChar w:fldCharType="begin"/>
                      </w:r>
                      <w:r>
                        <w:rPr>
                          <w:b/>
                          <w:bCs/>
                          <w:i w:val="0"/>
                          <w:iCs w:val="0"/>
                          <w:color w:val="000000" w:themeColor="text1"/>
                          <w:sz w:val="24"/>
                          <w:szCs w:val="24"/>
                        </w:rPr>
                        <w:instrText xml:space="preserve"> STYLEREF 1 \s </w:instrText>
                      </w:r>
                      <w:r>
                        <w:rPr>
                          <w:b/>
                          <w:bCs/>
                          <w:i w:val="0"/>
                          <w:iCs w:val="0"/>
                          <w:color w:val="000000" w:themeColor="text1"/>
                          <w:sz w:val="24"/>
                          <w:szCs w:val="24"/>
                        </w:rPr>
                        <w:fldChar w:fldCharType="separate"/>
                      </w:r>
                      <w:r>
                        <w:rPr>
                          <w:b/>
                          <w:bCs/>
                          <w:i w:val="0"/>
                          <w:iCs w:val="0"/>
                          <w:noProof/>
                          <w:color w:val="000000" w:themeColor="text1"/>
                          <w:sz w:val="24"/>
                          <w:szCs w:val="24"/>
                        </w:rPr>
                        <w:t>5</w:t>
                      </w:r>
                      <w:r>
                        <w:rPr>
                          <w:b/>
                          <w:bCs/>
                          <w:i w:val="0"/>
                          <w:iCs w:val="0"/>
                          <w:color w:val="000000" w:themeColor="text1"/>
                          <w:sz w:val="24"/>
                          <w:szCs w:val="24"/>
                        </w:rPr>
                        <w:fldChar w:fldCharType="end"/>
                      </w:r>
                      <w:r>
                        <w:rPr>
                          <w:b/>
                          <w:bCs/>
                          <w:i w:val="0"/>
                          <w:iCs w:val="0"/>
                          <w:color w:val="000000" w:themeColor="text1"/>
                          <w:sz w:val="24"/>
                          <w:szCs w:val="24"/>
                        </w:rPr>
                        <w:noBreakHyphen/>
                      </w:r>
                      <w:r>
                        <w:rPr>
                          <w:b/>
                          <w:bCs/>
                          <w:i w:val="0"/>
                          <w:iCs w:val="0"/>
                          <w:color w:val="000000" w:themeColor="text1"/>
                          <w:sz w:val="24"/>
                          <w:szCs w:val="24"/>
                        </w:rPr>
                        <w:fldChar w:fldCharType="begin"/>
                      </w:r>
                      <w:r>
                        <w:rPr>
                          <w:b/>
                          <w:bCs/>
                          <w:i w:val="0"/>
                          <w:iCs w:val="0"/>
                          <w:color w:val="000000" w:themeColor="text1"/>
                          <w:sz w:val="24"/>
                          <w:szCs w:val="24"/>
                        </w:rPr>
                        <w:instrText xml:space="preserve"> SEQ Figure \* ARABIC \s 1 </w:instrText>
                      </w:r>
                      <w:r>
                        <w:rPr>
                          <w:b/>
                          <w:bCs/>
                          <w:i w:val="0"/>
                          <w:iCs w:val="0"/>
                          <w:color w:val="000000" w:themeColor="text1"/>
                          <w:sz w:val="24"/>
                          <w:szCs w:val="24"/>
                        </w:rPr>
                        <w:fldChar w:fldCharType="separate"/>
                      </w:r>
                      <w:r>
                        <w:rPr>
                          <w:b/>
                          <w:bCs/>
                          <w:i w:val="0"/>
                          <w:iCs w:val="0"/>
                          <w:noProof/>
                          <w:color w:val="000000" w:themeColor="text1"/>
                          <w:sz w:val="24"/>
                          <w:szCs w:val="24"/>
                        </w:rPr>
                        <w:t>5</w:t>
                      </w:r>
                      <w:r>
                        <w:rPr>
                          <w:b/>
                          <w:bCs/>
                          <w:i w:val="0"/>
                          <w:iCs w:val="0"/>
                          <w:color w:val="000000" w:themeColor="text1"/>
                          <w:sz w:val="24"/>
                          <w:szCs w:val="24"/>
                        </w:rPr>
                        <w:fldChar w:fldCharType="end"/>
                      </w:r>
                      <w:r>
                        <w:rPr>
                          <w:b/>
                          <w:bCs/>
                          <w:i w:val="0"/>
                          <w:iCs w:val="0"/>
                          <w:color w:val="000000" w:themeColor="text1"/>
                          <w:sz w:val="24"/>
                          <w:szCs w:val="24"/>
                        </w:rPr>
                        <w:t>. Summary of predictors of denture outcomes at follow-up T2</w:t>
                      </w:r>
                      <w:bookmarkEnd w:id="324"/>
                    </w:p>
                    <w:p w14:paraId="5CC7A63A" w14:textId="45DC901A" w:rsidR="006E7D7A" w:rsidRPr="00EA67DB" w:rsidRDefault="006E7D7A" w:rsidP="001D3975">
                      <w:pPr>
                        <w:pStyle w:val="Caption"/>
                        <w:spacing w:before="0" w:after="0"/>
                        <w:jc w:val="center"/>
                        <w:rPr>
                          <w:b/>
                          <w:bCs/>
                          <w:i w:val="0"/>
                          <w:iCs w:val="0"/>
                          <w:color w:val="auto"/>
                          <w:sz w:val="24"/>
                          <w:szCs w:val="24"/>
                        </w:rPr>
                      </w:pPr>
                    </w:p>
                    <w:p w14:paraId="7240E113" w14:textId="77777777" w:rsidR="006E7D7A" w:rsidRDefault="006E7D7A"/>
                  </w:txbxContent>
                </v:textbox>
              </v:shape>
            </w:pict>
          </mc:Fallback>
        </mc:AlternateContent>
      </w:r>
    </w:p>
    <w:p w14:paraId="3525546F" w14:textId="4FD19450" w:rsidR="001C1A5A" w:rsidRPr="00787196" w:rsidRDefault="00701EB9" w:rsidP="00755F46">
      <w:r w:rsidRPr="00787196">
        <w:rPr>
          <w:noProof/>
        </w:rPr>
        <mc:AlternateContent>
          <mc:Choice Requires="wps">
            <w:drawing>
              <wp:anchor distT="0" distB="0" distL="114300" distR="114300" simplePos="0" relativeHeight="251656704" behindDoc="0" locked="0" layoutInCell="1" allowOverlap="1" wp14:anchorId="7F80B6E3" wp14:editId="0103D3F1">
                <wp:simplePos x="0" y="0"/>
                <wp:positionH relativeFrom="column">
                  <wp:posOffset>6108700</wp:posOffset>
                </wp:positionH>
                <wp:positionV relativeFrom="paragraph">
                  <wp:posOffset>226695</wp:posOffset>
                </wp:positionV>
                <wp:extent cx="1367067" cy="333024"/>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367067" cy="333024"/>
                        </a:xfrm>
                        <a:prstGeom prst="rect">
                          <a:avLst/>
                        </a:prstGeom>
                        <a:noFill/>
                        <a:ln w="6350">
                          <a:noFill/>
                        </a:ln>
                      </wps:spPr>
                      <wps:txbx>
                        <w:txbxContent>
                          <w:p w14:paraId="21B27C44" w14:textId="083F64F4" w:rsidR="006E7D7A" w:rsidRPr="0061436F" w:rsidRDefault="006E7D7A" w:rsidP="00433A88">
                            <w:pPr>
                              <w:spacing w:before="0" w:after="0" w:line="240" w:lineRule="auto"/>
                              <w:rPr>
                                <w:b/>
                                <w:bCs/>
                                <w:sz w:val="28"/>
                                <w:szCs w:val="28"/>
                              </w:rPr>
                            </w:pPr>
                            <w:r w:rsidRPr="006B5A0C">
                              <w:rPr>
                                <w:b/>
                                <w:bCs/>
                                <w:sz w:val="22"/>
                              </w:rPr>
                              <w:t>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B6E3" id="Text Box 268" o:spid="_x0000_s1158" type="#_x0000_t202" style="position:absolute;left:0;text-align:left;margin-left:481pt;margin-top:17.85pt;width:107.65pt;height:2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" filled="f" stroked="f" strokeweight=".5pt">
                <v:textbox>
                  <w:txbxContent>
                    <w:p w14:paraId="21B27C44" w14:textId="083F64F4" w:rsidR="006E7D7A" w:rsidRPr="0061436F" w:rsidRDefault="006E7D7A" w:rsidP="00433A88">
                      <w:pPr>
                        <w:spacing w:before="0" w:after="0" w:line="240" w:lineRule="auto"/>
                        <w:rPr>
                          <w:b/>
                          <w:bCs/>
                          <w:sz w:val="28"/>
                          <w:szCs w:val="28"/>
                        </w:rPr>
                      </w:pPr>
                      <w:r w:rsidRPr="006B5A0C">
                        <w:rPr>
                          <w:b/>
                          <w:bCs/>
                          <w:sz w:val="22"/>
                        </w:rPr>
                        <w:t>FOLLOW-UP</w:t>
                      </w:r>
                    </w:p>
                  </w:txbxContent>
                </v:textbox>
              </v:shape>
            </w:pict>
          </mc:Fallback>
        </mc:AlternateContent>
      </w:r>
      <w:r w:rsidRPr="00787196">
        <w:rPr>
          <w:noProof/>
        </w:rPr>
        <mc:AlternateContent>
          <mc:Choice Requires="wps">
            <w:drawing>
              <wp:anchor distT="0" distB="0" distL="114300" distR="114300" simplePos="0" relativeHeight="251659776" behindDoc="0" locked="0" layoutInCell="1" allowOverlap="1" wp14:anchorId="7832DF2E" wp14:editId="0AE67841">
                <wp:simplePos x="0" y="0"/>
                <wp:positionH relativeFrom="column">
                  <wp:posOffset>678180</wp:posOffset>
                </wp:positionH>
                <wp:positionV relativeFrom="paragraph">
                  <wp:posOffset>120650</wp:posOffset>
                </wp:positionV>
                <wp:extent cx="1244950" cy="409904"/>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244950" cy="409904"/>
                        </a:xfrm>
                        <a:custGeom>
                          <a:avLst/>
                          <a:gdLst>
                            <a:gd name="connsiteX0" fmla="*/ 0 w 1052918"/>
                            <a:gd name="connsiteY0" fmla="*/ 0 h 236482"/>
                            <a:gd name="connsiteX1" fmla="*/ 1052918 w 1052918"/>
                            <a:gd name="connsiteY1" fmla="*/ 0 h 236482"/>
                            <a:gd name="connsiteX2" fmla="*/ 1052918 w 1052918"/>
                            <a:gd name="connsiteY2" fmla="*/ 236482 h 236482"/>
                            <a:gd name="connsiteX3" fmla="*/ 0 w 1052918"/>
                            <a:gd name="connsiteY3" fmla="*/ 236482 h 236482"/>
                            <a:gd name="connsiteX4" fmla="*/ 0 w 1052918"/>
                            <a:gd name="connsiteY4" fmla="*/ 0 h 236482"/>
                            <a:gd name="connsiteX0" fmla="*/ 0 w 1052918"/>
                            <a:gd name="connsiteY0" fmla="*/ 0 h 236482"/>
                            <a:gd name="connsiteX1" fmla="*/ 1052918 w 1052918"/>
                            <a:gd name="connsiteY1" fmla="*/ 0 h 236482"/>
                            <a:gd name="connsiteX2" fmla="*/ 1052918 w 1052918"/>
                            <a:gd name="connsiteY2" fmla="*/ 236482 h 236482"/>
                            <a:gd name="connsiteX3" fmla="*/ 0 w 1052918"/>
                            <a:gd name="connsiteY3" fmla="*/ 236482 h 236482"/>
                            <a:gd name="connsiteX4" fmla="*/ 15766 w 1052918"/>
                            <a:gd name="connsiteY4" fmla="*/ 126124 h 236482"/>
                            <a:gd name="connsiteX5" fmla="*/ 0 w 1052918"/>
                            <a:gd name="connsiteY5" fmla="*/ 0 h 236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2918" h="236482">
                              <a:moveTo>
                                <a:pt x="0" y="0"/>
                              </a:moveTo>
                              <a:lnTo>
                                <a:pt x="1052918" y="0"/>
                              </a:lnTo>
                              <a:lnTo>
                                <a:pt x="1052918" y="236482"/>
                              </a:lnTo>
                              <a:lnTo>
                                <a:pt x="0" y="236482"/>
                              </a:lnTo>
                              <a:lnTo>
                                <a:pt x="15766" y="126124"/>
                              </a:lnTo>
                              <a:lnTo>
                                <a:pt x="0" y="0"/>
                              </a:lnTo>
                              <a:close/>
                            </a:path>
                          </a:pathLst>
                        </a:custGeom>
                        <a:noFill/>
                        <a:ln w="6350">
                          <a:noFill/>
                        </a:ln>
                      </wps:spPr>
                      <wps:txbx>
                        <w:txbxContent>
                          <w:p w14:paraId="225008CA" w14:textId="240E8B95" w:rsidR="006E7D7A" w:rsidRPr="0061436F" w:rsidRDefault="006E7D7A" w:rsidP="00433A88">
                            <w:pPr>
                              <w:spacing w:before="0" w:after="0" w:line="240" w:lineRule="auto"/>
                              <w:rPr>
                                <w:b/>
                                <w:bCs/>
                                <w:sz w:val="28"/>
                                <w:szCs w:val="28"/>
                              </w:rPr>
                            </w:pPr>
                            <w:r w:rsidRPr="006B5A0C">
                              <w:rPr>
                                <w:b/>
                                <w:bCs/>
                                <w:szCs w:val="24"/>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DF2E" id="Text Box 269" o:spid="_x0000_s1159" style="position:absolute;left:0;text-align:left;margin-left:53.4pt;margin-top:9.5pt;width:98.05pt;height:3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2918,236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" adj="-11796480,,5400" path="m,l1052918,r,236482l,236482,15766,126124,,xe" filled="f" stroked="f" strokeweight=".5pt">
                <v:stroke joinstyle="miter"/>
                <v:formulas/>
                <v:path arrowok="t" o:connecttype="custom" o:connectlocs="0,0;1244950,0;1244950,409904;0,409904;18641,218616;0,0" o:connectangles="0,0,0,0,0,0" textboxrect="0,0,1052918,236482"/>
                <v:textbox>
                  <w:txbxContent>
                    <w:p w14:paraId="225008CA" w14:textId="240E8B95" w:rsidR="006E7D7A" w:rsidRPr="0061436F" w:rsidRDefault="006E7D7A" w:rsidP="00433A88">
                      <w:pPr>
                        <w:spacing w:before="0" w:after="0" w:line="240" w:lineRule="auto"/>
                        <w:rPr>
                          <w:b/>
                          <w:bCs/>
                          <w:sz w:val="28"/>
                          <w:szCs w:val="28"/>
                        </w:rPr>
                      </w:pPr>
                      <w:r w:rsidRPr="006B5A0C">
                        <w:rPr>
                          <w:b/>
                          <w:bCs/>
                          <w:szCs w:val="24"/>
                        </w:rPr>
                        <w:t>BASELINE</w:t>
                      </w:r>
                    </w:p>
                  </w:txbxContent>
                </v:textbox>
              </v:shape>
            </w:pict>
          </mc:Fallback>
        </mc:AlternateContent>
      </w:r>
    </w:p>
    <w:p w14:paraId="1AE3983E" w14:textId="16053706" w:rsidR="00F40DA0" w:rsidRPr="00787196" w:rsidRDefault="00097C0A" w:rsidP="00F40DA0">
      <w:pPr>
        <w:spacing w:before="0" w:after="0"/>
        <w:rPr>
          <w:rFonts w:cs="Arial"/>
        </w:rPr>
      </w:pPr>
      <w:r w:rsidRPr="00787196">
        <w:rPr>
          <w:noProof/>
        </w:rPr>
        <mc:AlternateContent>
          <mc:Choice Requires="wps">
            <w:drawing>
              <wp:anchor distT="0" distB="0" distL="114300" distR="114300" simplePos="0" relativeHeight="251674112" behindDoc="0" locked="0" layoutInCell="1" allowOverlap="1" wp14:anchorId="45573365" wp14:editId="46A015D4">
                <wp:simplePos x="0" y="0"/>
                <wp:positionH relativeFrom="column">
                  <wp:posOffset>499110</wp:posOffset>
                </wp:positionH>
                <wp:positionV relativeFrom="paragraph">
                  <wp:posOffset>5398</wp:posOffset>
                </wp:positionV>
                <wp:extent cx="1592317" cy="331076"/>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592317" cy="331076"/>
                        </a:xfrm>
                        <a:prstGeom prst="rect">
                          <a:avLst/>
                        </a:prstGeom>
                        <a:noFill/>
                        <a:ln w="6350">
                          <a:noFill/>
                        </a:ln>
                      </wps:spPr>
                      <wps:txbx>
                        <w:txbxContent>
                          <w:p w14:paraId="031B6140" w14:textId="79EFD033" w:rsidR="006E7D7A" w:rsidRPr="0061436F" w:rsidRDefault="006E7D7A" w:rsidP="00433A88">
                            <w:pPr>
                              <w:spacing w:before="0" w:after="0" w:line="240" w:lineRule="auto"/>
                              <w:rPr>
                                <w:b/>
                                <w:bCs/>
                              </w:rPr>
                            </w:pPr>
                            <w:r w:rsidRPr="006B5A0C">
                              <w:rPr>
                                <w:b/>
                                <w:bCs/>
                                <w:sz w:val="21"/>
                                <w:szCs w:val="20"/>
                              </w:rPr>
                              <w:t>CLINICAL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3365" id="Text Box 126" o:spid="_x0000_s1160" type="#_x0000_t202" style="position:absolute;left:0;text-align:left;margin-left:39.3pt;margin-top:.45pt;width:125.4pt;height:26.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" filled="f" stroked="f" strokeweight=".5pt">
                <v:textbox>
                  <w:txbxContent>
                    <w:p w14:paraId="031B6140" w14:textId="79EFD033" w:rsidR="006E7D7A" w:rsidRPr="0061436F" w:rsidRDefault="006E7D7A" w:rsidP="00433A88">
                      <w:pPr>
                        <w:spacing w:before="0" w:after="0" w:line="240" w:lineRule="auto"/>
                        <w:rPr>
                          <w:b/>
                          <w:bCs/>
                        </w:rPr>
                      </w:pPr>
                      <w:r w:rsidRPr="006B5A0C">
                        <w:rPr>
                          <w:b/>
                          <w:bCs/>
                          <w:sz w:val="21"/>
                          <w:szCs w:val="20"/>
                        </w:rPr>
                        <w:t>CLINICAL STATUS</w:t>
                      </w:r>
                    </w:p>
                  </w:txbxContent>
                </v:textbox>
              </v:shape>
            </w:pict>
          </mc:Fallback>
        </mc:AlternateContent>
      </w:r>
    </w:p>
    <w:p w14:paraId="28543B3F" w14:textId="0A6EE3FF" w:rsidR="00F40DA0" w:rsidRPr="00787196" w:rsidRDefault="00097C0A" w:rsidP="00F40DA0">
      <w:pPr>
        <w:spacing w:before="0" w:after="0"/>
        <w:rPr>
          <w:rFonts w:eastAsia="Calibri" w:cs="Arial"/>
          <w:lang w:eastAsia="en-US"/>
        </w:rPr>
      </w:pPr>
      <w:r w:rsidRPr="00787196">
        <w:rPr>
          <w:noProof/>
        </w:rPr>
        <mc:AlternateContent>
          <mc:Choice Requires="wps">
            <w:drawing>
              <wp:anchor distT="0" distB="0" distL="114300" distR="114300" simplePos="0" relativeHeight="251592192" behindDoc="0" locked="0" layoutInCell="1" allowOverlap="1" wp14:anchorId="261CD09E" wp14:editId="06723E8C">
                <wp:simplePos x="0" y="0"/>
                <wp:positionH relativeFrom="column">
                  <wp:posOffset>475298</wp:posOffset>
                </wp:positionH>
                <wp:positionV relativeFrom="paragraph">
                  <wp:posOffset>79375</wp:posOffset>
                </wp:positionV>
                <wp:extent cx="1481137" cy="1142683"/>
                <wp:effectExtent l="0" t="0" r="24130" b="19685"/>
                <wp:wrapNone/>
                <wp:docPr id="316" name="Rectangle 316"/>
                <wp:cNvGraphicFramePr/>
                <a:graphic xmlns:a="http://schemas.openxmlformats.org/drawingml/2006/main">
                  <a:graphicData uri="http://schemas.microsoft.com/office/word/2010/wordprocessingShape">
                    <wps:wsp>
                      <wps:cNvSpPr/>
                      <wps:spPr>
                        <a:xfrm>
                          <a:off x="0" y="0"/>
                          <a:ext cx="1481137" cy="1142683"/>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00FB" id="Rectangle 316" o:spid="_x0000_s1026" style="position:absolute;margin-left:37.45pt;margin-top:6.25pt;width:116.6pt;height:9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" fillcolor="white [3212]" strokecolor="black [3213]" strokeweight="1pt">
                <v:stroke dashstyle="dash"/>
              </v:rect>
            </w:pict>
          </mc:Fallback>
        </mc:AlternateContent>
      </w:r>
      <w:r w:rsidRPr="00787196">
        <w:rPr>
          <w:noProof/>
        </w:rPr>
        <mc:AlternateContent>
          <mc:Choice Requires="wps">
            <w:drawing>
              <wp:anchor distT="0" distB="0" distL="114300" distR="114300" simplePos="0" relativeHeight="251606528" behindDoc="0" locked="0" layoutInCell="1" allowOverlap="1" wp14:anchorId="75EA8FF2" wp14:editId="67D63874">
                <wp:simplePos x="0" y="0"/>
                <wp:positionH relativeFrom="column">
                  <wp:posOffset>714057</wp:posOffset>
                </wp:positionH>
                <wp:positionV relativeFrom="paragraph">
                  <wp:posOffset>240030</wp:posOffset>
                </wp:positionV>
                <wp:extent cx="977265" cy="381000"/>
                <wp:effectExtent l="0" t="0" r="13335" b="19050"/>
                <wp:wrapNone/>
                <wp:docPr id="1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81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DC474" w14:textId="43F9A068" w:rsidR="006E7D7A" w:rsidRPr="005E6A89" w:rsidRDefault="006E7D7A" w:rsidP="00433A88">
                            <w:pPr>
                              <w:pStyle w:val="NormalWeb"/>
                              <w:spacing w:before="0" w:beforeAutospacing="0" w:after="0" w:afterAutospacing="0"/>
                              <w:jc w:val="center"/>
                              <w:textAlignment w:val="baseline"/>
                              <w:rPr>
                                <w:rFonts w:ascii="Arial" w:hAnsi="Arial" w:cs="Arial"/>
                                <w:color w:val="000000"/>
                                <w:sz w:val="22"/>
                                <w:szCs w:val="22"/>
                                <w:lang w:val="en-GB"/>
                                <w14:textOutline w14:w="0" w14:cap="rnd" w14:cmpd="sng" w14:algn="ctr">
                                  <w14:solidFill>
                                    <w14:srgbClr w14:val="000000"/>
                                  </w14:solidFill>
                                  <w14:prstDash w14:val="solid"/>
                                  <w14:bevel/>
                                </w14:textOutline>
                              </w:rPr>
                            </w:pPr>
                            <w:r w:rsidRPr="00614243">
                              <w:rPr>
                                <w:rFonts w:ascii="Arial" w:hAnsi="Arial" w:cs="Arial"/>
                                <w:color w:val="000000"/>
                                <w:sz w:val="20"/>
                                <w:szCs w:val="20"/>
                                <w:lang w:val="en-GB"/>
                                <w14:textOutline w14:w="0" w14:cap="rnd" w14:cmpd="sng" w14:algn="ctr">
                                  <w14:solidFill>
                                    <w14:srgbClr w14:val="000000"/>
                                  </w14:solidFill>
                                  <w14:prstDash w14:val="solid"/>
                                  <w14:bevel/>
                                </w14:textOutline>
                              </w:rPr>
                              <w:t>No of teeth present</w:t>
                            </w:r>
                          </w:p>
                        </w:txbxContent>
                      </wps:txbx>
                      <wps:bodyPr rot="0" vert="horz" wrap="square" lIns="91440" tIns="45720" rIns="91440" bIns="45720" anchor="ctr" anchorCtr="0" upright="1">
                        <a:noAutofit/>
                      </wps:bodyPr>
                    </wps:wsp>
                  </a:graphicData>
                </a:graphic>
              </wp:anchor>
            </w:drawing>
          </mc:Choice>
          <mc:Fallback>
            <w:pict>
              <v:shape w14:anchorId="75EA8FF2" id="Text Box 1890" o:spid="_x0000_s1161" type="#_x0000_t202" style="position:absolute;left:0;text-align:left;margin-left:56.2pt;margin-top:18.9pt;width:76.95pt;height:30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" filled="f" strokeweight="1pt">
                <v:textbox>
                  <w:txbxContent>
                    <w:p w14:paraId="52DDC474" w14:textId="43F9A068" w:rsidR="006E7D7A" w:rsidRPr="005E6A89" w:rsidRDefault="006E7D7A" w:rsidP="00433A88">
                      <w:pPr>
                        <w:pStyle w:val="NormalWeb"/>
                        <w:spacing w:before="0" w:beforeAutospacing="0" w:after="0" w:afterAutospacing="0"/>
                        <w:jc w:val="center"/>
                        <w:textAlignment w:val="baseline"/>
                        <w:rPr>
                          <w:rFonts w:ascii="Arial" w:hAnsi="Arial" w:cs="Arial"/>
                          <w:color w:val="000000"/>
                          <w:sz w:val="22"/>
                          <w:szCs w:val="22"/>
                          <w:lang w:val="en-GB"/>
                          <w14:textOutline w14:w="0" w14:cap="rnd" w14:cmpd="sng" w14:algn="ctr">
                            <w14:solidFill>
                              <w14:srgbClr w14:val="000000"/>
                            </w14:solidFill>
                            <w14:prstDash w14:val="solid"/>
                            <w14:bevel/>
                          </w14:textOutline>
                        </w:rPr>
                      </w:pPr>
                      <w:r w:rsidRPr="00614243">
                        <w:rPr>
                          <w:rFonts w:ascii="Arial" w:hAnsi="Arial" w:cs="Arial"/>
                          <w:color w:val="000000"/>
                          <w:sz w:val="20"/>
                          <w:szCs w:val="20"/>
                          <w:lang w:val="en-GB"/>
                          <w14:textOutline w14:w="0" w14:cap="rnd" w14:cmpd="sng" w14:algn="ctr">
                            <w14:solidFill>
                              <w14:srgbClr w14:val="000000"/>
                            </w14:solidFill>
                            <w14:prstDash w14:val="solid"/>
                            <w14:bevel/>
                          </w14:textOutline>
                        </w:rPr>
                        <w:t>No of teeth present</w:t>
                      </w:r>
                    </w:p>
                  </w:txbxContent>
                </v:textbox>
              </v:shape>
            </w:pict>
          </mc:Fallback>
        </mc:AlternateContent>
      </w:r>
      <w:r w:rsidR="009D7561" w:rsidRPr="00787196">
        <w:rPr>
          <w:noProof/>
        </w:rPr>
        <mc:AlternateContent>
          <mc:Choice Requires="wps">
            <w:drawing>
              <wp:anchor distT="0" distB="0" distL="114300" distR="114300" simplePos="0" relativeHeight="251676160" behindDoc="0" locked="0" layoutInCell="1" allowOverlap="1" wp14:anchorId="79A4B37A" wp14:editId="2040B1CE">
                <wp:simplePos x="0" y="0"/>
                <wp:positionH relativeFrom="column">
                  <wp:posOffset>5945943</wp:posOffset>
                </wp:positionH>
                <wp:positionV relativeFrom="paragraph">
                  <wp:posOffset>109768</wp:posOffset>
                </wp:positionV>
                <wp:extent cx="1446486" cy="331076"/>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446486" cy="331076"/>
                        </a:xfrm>
                        <a:prstGeom prst="rect">
                          <a:avLst/>
                        </a:prstGeom>
                        <a:noFill/>
                        <a:ln w="6350">
                          <a:noFill/>
                        </a:ln>
                      </wps:spPr>
                      <wps:txbx>
                        <w:txbxContent>
                          <w:p w14:paraId="4D36AEED" w14:textId="0C00D540" w:rsidR="006E7D7A" w:rsidRPr="0061436F" w:rsidRDefault="006E7D7A" w:rsidP="00433A88">
                            <w:pPr>
                              <w:spacing w:before="0" w:after="0" w:line="240" w:lineRule="auto"/>
                              <w:jc w:val="center"/>
                              <w:rPr>
                                <w:b/>
                                <w:bCs/>
                              </w:rPr>
                            </w:pPr>
                            <w:r w:rsidRPr="0061436F">
                              <w:rPr>
                                <w:b/>
                                <w:bCs/>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4B37A" id="Text Box 127" o:spid="_x0000_s1162" type="#_x0000_t202" style="position:absolute;left:0;text-align:left;margin-left:468.2pt;margin-top:8.65pt;width:113.9pt;height:26.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" filled="f" stroked="f" strokeweight=".5pt">
                <v:textbox>
                  <w:txbxContent>
                    <w:p w14:paraId="4D36AEED" w14:textId="0C00D540" w:rsidR="006E7D7A" w:rsidRPr="0061436F" w:rsidRDefault="006E7D7A" w:rsidP="00433A88">
                      <w:pPr>
                        <w:spacing w:before="0" w:after="0" w:line="240" w:lineRule="auto"/>
                        <w:jc w:val="center"/>
                        <w:rPr>
                          <w:b/>
                          <w:bCs/>
                        </w:rPr>
                      </w:pPr>
                      <w:r w:rsidRPr="0061436F">
                        <w:rPr>
                          <w:b/>
                          <w:bCs/>
                        </w:rPr>
                        <w:t>OUTCOMES</w:t>
                      </w:r>
                    </w:p>
                  </w:txbxContent>
                </v:textbox>
              </v:shape>
            </w:pict>
          </mc:Fallback>
        </mc:AlternateContent>
      </w:r>
    </w:p>
    <w:p w14:paraId="4271A69F" w14:textId="1ACC3CDD" w:rsidR="00F40DA0" w:rsidRPr="00787196" w:rsidRDefault="000B25DE" w:rsidP="00F40DA0">
      <w:pPr>
        <w:spacing w:before="0" w:after="0"/>
        <w:rPr>
          <w:rFonts w:eastAsia="Calibri" w:cs="Arial"/>
          <w:lang w:eastAsia="en-US"/>
        </w:rPr>
      </w:pPr>
      <w:r w:rsidRPr="00787196">
        <w:rPr>
          <w:noProof/>
        </w:rPr>
        <mc:AlternateContent>
          <mc:Choice Requires="wps">
            <w:drawing>
              <wp:anchor distT="0" distB="0" distL="114300" distR="114300" simplePos="0" relativeHeight="251714048" behindDoc="0" locked="0" layoutInCell="1" allowOverlap="1" wp14:anchorId="28479ED0" wp14:editId="6CF1E262">
                <wp:simplePos x="0" y="0"/>
                <wp:positionH relativeFrom="column">
                  <wp:posOffset>2761933</wp:posOffset>
                </wp:positionH>
                <wp:positionV relativeFrom="paragraph">
                  <wp:posOffset>51753</wp:posOffset>
                </wp:positionV>
                <wp:extent cx="863600" cy="271145"/>
                <wp:effectExtent l="0" t="0" r="0" b="0"/>
                <wp:wrapNone/>
                <wp:docPr id="280"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DEABF7F" w14:textId="4EE6FC8E" w:rsidR="006E7D7A" w:rsidRPr="00307EFB" w:rsidRDefault="006E7D7A" w:rsidP="000B25DE">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277</w:t>
                            </w:r>
                          </w:p>
                          <w:p w14:paraId="31C15A08" w14:textId="77777777" w:rsidR="006E7D7A" w:rsidRDefault="006E7D7A" w:rsidP="000B25DE"/>
                          <w:p w14:paraId="61A7B82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A508270" w14:textId="77777777" w:rsidR="006E7D7A" w:rsidRDefault="006E7D7A" w:rsidP="000B25DE"/>
                          <w:p w14:paraId="7DA8ED75"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4AA9B90" w14:textId="77777777" w:rsidR="006E7D7A" w:rsidRDefault="006E7D7A" w:rsidP="000B25DE"/>
                          <w:p w14:paraId="301EB91B"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5B019D3" w14:textId="77777777" w:rsidR="006E7D7A" w:rsidRDefault="006E7D7A" w:rsidP="000B25DE"/>
                          <w:p w14:paraId="6FDB856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3997A69" w14:textId="77777777" w:rsidR="006E7D7A" w:rsidRDefault="006E7D7A" w:rsidP="000B25DE"/>
                          <w:p w14:paraId="41F9FEC3"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AF58E8" w14:textId="77777777" w:rsidR="006E7D7A" w:rsidRDefault="006E7D7A" w:rsidP="000B25DE"/>
                          <w:p w14:paraId="17F27C7F"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9EE12A" w14:textId="77777777" w:rsidR="006E7D7A" w:rsidRDefault="006E7D7A" w:rsidP="000B25DE"/>
                          <w:p w14:paraId="0630D79C"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79ED0" id="Text Box 1885" o:spid="_x0000_s1163" type="#_x0000_t202" style="position:absolute;left:0;text-align:left;margin-left:217.5pt;margin-top:4.1pt;width:68pt;height:2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" filled="f" stroked="f">
                <v:textbox>
                  <w:txbxContent>
                    <w:p w14:paraId="7DEABF7F" w14:textId="4EE6FC8E" w:rsidR="006E7D7A" w:rsidRPr="00307EFB" w:rsidRDefault="006E7D7A" w:rsidP="000B25DE">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277</w:t>
                      </w:r>
                    </w:p>
                    <w:p w14:paraId="31C15A08" w14:textId="77777777" w:rsidR="006E7D7A" w:rsidRDefault="006E7D7A" w:rsidP="000B25DE"/>
                    <w:p w14:paraId="61A7B82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A508270" w14:textId="77777777" w:rsidR="006E7D7A" w:rsidRDefault="006E7D7A" w:rsidP="000B25DE"/>
                    <w:p w14:paraId="7DA8ED75"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4AA9B90" w14:textId="77777777" w:rsidR="006E7D7A" w:rsidRDefault="006E7D7A" w:rsidP="000B25DE"/>
                    <w:p w14:paraId="301EB91B"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5B019D3" w14:textId="77777777" w:rsidR="006E7D7A" w:rsidRDefault="006E7D7A" w:rsidP="000B25DE"/>
                    <w:p w14:paraId="6FDB856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3997A69" w14:textId="77777777" w:rsidR="006E7D7A" w:rsidRDefault="006E7D7A" w:rsidP="000B25DE"/>
                    <w:p w14:paraId="41F9FEC3"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AF58E8" w14:textId="77777777" w:rsidR="006E7D7A" w:rsidRDefault="006E7D7A" w:rsidP="000B25DE"/>
                    <w:p w14:paraId="17F27C7F"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9EE12A" w14:textId="77777777" w:rsidR="006E7D7A" w:rsidRDefault="006E7D7A" w:rsidP="000B25DE"/>
                    <w:p w14:paraId="0630D79C"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097C0A" w:rsidRPr="00787196">
        <w:rPr>
          <w:rFonts w:cs="Arial"/>
          <w:noProof/>
        </w:rPr>
        <mc:AlternateContent>
          <mc:Choice Requires="wps">
            <w:drawing>
              <wp:anchor distT="0" distB="0" distL="114300" distR="114300" simplePos="0" relativeHeight="251704832" behindDoc="0" locked="0" layoutInCell="1" allowOverlap="1" wp14:anchorId="08B4D4A9" wp14:editId="1686AC6F">
                <wp:simplePos x="0" y="0"/>
                <wp:positionH relativeFrom="column">
                  <wp:posOffset>1704024</wp:posOffset>
                </wp:positionH>
                <wp:positionV relativeFrom="paragraph">
                  <wp:posOffset>145098</wp:posOffset>
                </wp:positionV>
                <wp:extent cx="4376420" cy="418782"/>
                <wp:effectExtent l="0" t="0" r="81280" b="95885"/>
                <wp:wrapNone/>
                <wp:docPr id="267" name="Straight Arrow Connector 267"/>
                <wp:cNvGraphicFramePr/>
                <a:graphic xmlns:a="http://schemas.openxmlformats.org/drawingml/2006/main">
                  <a:graphicData uri="http://schemas.microsoft.com/office/word/2010/wordprocessingShape">
                    <wps:wsp>
                      <wps:cNvCnPr/>
                      <wps:spPr>
                        <a:xfrm>
                          <a:off x="0" y="0"/>
                          <a:ext cx="4376420" cy="41878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9862C4" id="Straight Arrow Connector 267" o:spid="_x0000_s1026" type="#_x0000_t32" style="position:absolute;margin-left:134.2pt;margin-top:11.45pt;width:344.6pt;height:32.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" strokecolor="windowText" strokeweight="1pt">
                <v:stroke endarrow="block" joinstyle="miter"/>
              </v:shape>
            </w:pict>
          </mc:Fallback>
        </mc:AlternateContent>
      </w:r>
      <w:r w:rsidR="00097C0A" w:rsidRPr="00787196">
        <w:rPr>
          <w:rFonts w:cs="Arial"/>
          <w:noProof/>
        </w:rPr>
        <mc:AlternateContent>
          <mc:Choice Requires="wps">
            <w:drawing>
              <wp:anchor distT="0" distB="0" distL="114300" distR="114300" simplePos="0" relativeHeight="251703808" behindDoc="0" locked="0" layoutInCell="1" allowOverlap="1" wp14:anchorId="5189A221" wp14:editId="4791E847">
                <wp:simplePos x="0" y="0"/>
                <wp:positionH relativeFrom="column">
                  <wp:posOffset>1704023</wp:posOffset>
                </wp:positionH>
                <wp:positionV relativeFrom="paragraph">
                  <wp:posOffset>159384</wp:posOffset>
                </wp:positionV>
                <wp:extent cx="4370705" cy="1400175"/>
                <wp:effectExtent l="0" t="0" r="86995" b="66675"/>
                <wp:wrapNone/>
                <wp:docPr id="266" name="Straight Arrow Connector 266"/>
                <wp:cNvGraphicFramePr/>
                <a:graphic xmlns:a="http://schemas.openxmlformats.org/drawingml/2006/main">
                  <a:graphicData uri="http://schemas.microsoft.com/office/word/2010/wordprocessingShape">
                    <wps:wsp>
                      <wps:cNvCnPr/>
                      <wps:spPr>
                        <a:xfrm>
                          <a:off x="0" y="0"/>
                          <a:ext cx="4370705" cy="14001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95F85" id="Straight Arrow Connector 266" o:spid="_x0000_s1026" type="#_x0000_t32" style="position:absolute;margin-left:134.2pt;margin-top:12.55pt;width:344.15pt;height:11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" strokecolor="black [3200]" strokeweight="1pt">
                <v:stroke endarrow="block" joinstyle="miter"/>
              </v:shape>
            </w:pict>
          </mc:Fallback>
        </mc:AlternateContent>
      </w:r>
      <w:r w:rsidR="009D7561" w:rsidRPr="00787196">
        <w:rPr>
          <w:noProof/>
        </w:rPr>
        <mc:AlternateContent>
          <mc:Choice Requires="wps">
            <w:drawing>
              <wp:anchor distT="0" distB="0" distL="114300" distR="114300" simplePos="0" relativeHeight="251590144" behindDoc="0" locked="0" layoutInCell="1" allowOverlap="1" wp14:anchorId="12BFAC6A" wp14:editId="4388D059">
                <wp:simplePos x="0" y="0"/>
                <wp:positionH relativeFrom="column">
                  <wp:posOffset>5862320</wp:posOffset>
                </wp:positionH>
                <wp:positionV relativeFrom="paragraph">
                  <wp:posOffset>207010</wp:posOffset>
                </wp:positionV>
                <wp:extent cx="1529080" cy="1765300"/>
                <wp:effectExtent l="0" t="0" r="13970" b="25400"/>
                <wp:wrapNone/>
                <wp:docPr id="123" name="Rectangle 123"/>
                <wp:cNvGraphicFramePr/>
                <a:graphic xmlns:a="http://schemas.openxmlformats.org/drawingml/2006/main">
                  <a:graphicData uri="http://schemas.microsoft.com/office/word/2010/wordprocessingShape">
                    <wps:wsp>
                      <wps:cNvSpPr/>
                      <wps:spPr>
                        <a:xfrm>
                          <a:off x="0" y="0"/>
                          <a:ext cx="1529080" cy="176530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367E" id="Rectangle 123" o:spid="_x0000_s1026" style="position:absolute;margin-left:461.6pt;margin-top:16.3pt;width:120.4pt;height:13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" fillcolor="window" strokecolor="windowText" strokeweight="1pt">
                <v:stroke dashstyle="dash"/>
              </v:rect>
            </w:pict>
          </mc:Fallback>
        </mc:AlternateContent>
      </w:r>
    </w:p>
    <w:p w14:paraId="1D11E739" w14:textId="1DF558C7" w:rsidR="00F40DA0" w:rsidRPr="00787196" w:rsidRDefault="00F7060D" w:rsidP="00F40DA0">
      <w:pPr>
        <w:spacing w:before="0" w:after="0"/>
        <w:rPr>
          <w:rFonts w:eastAsia="Calibri" w:cs="Arial"/>
          <w:lang w:eastAsia="en-US"/>
        </w:rPr>
      </w:pPr>
      <w:r w:rsidRPr="00787196">
        <w:rPr>
          <w:noProof/>
        </w:rPr>
        <mc:AlternateContent>
          <mc:Choice Requires="wps">
            <w:drawing>
              <wp:anchor distT="0" distB="0" distL="114300" distR="114300" simplePos="0" relativeHeight="251715072" behindDoc="0" locked="0" layoutInCell="1" allowOverlap="1" wp14:anchorId="7213B7FE" wp14:editId="72ADB707">
                <wp:simplePos x="0" y="0"/>
                <wp:positionH relativeFrom="column">
                  <wp:posOffset>2749550</wp:posOffset>
                </wp:positionH>
                <wp:positionV relativeFrom="paragraph">
                  <wp:posOffset>117475</wp:posOffset>
                </wp:positionV>
                <wp:extent cx="863600" cy="271145"/>
                <wp:effectExtent l="0" t="0" r="0" b="0"/>
                <wp:wrapNone/>
                <wp:docPr id="281"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A859664" w14:textId="2AFCABA3"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163</w:t>
                            </w:r>
                          </w:p>
                          <w:p w14:paraId="51E752F8" w14:textId="77777777" w:rsidR="006E7D7A" w:rsidRDefault="006E7D7A" w:rsidP="00E82E7B"/>
                          <w:p w14:paraId="3266C95D"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C47C363" w14:textId="77777777" w:rsidR="006E7D7A" w:rsidRDefault="006E7D7A" w:rsidP="00E82E7B"/>
                          <w:p w14:paraId="581F7532"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9DFDCE6" w14:textId="77777777" w:rsidR="006E7D7A" w:rsidRDefault="006E7D7A" w:rsidP="00E82E7B"/>
                          <w:p w14:paraId="2C2A4650"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CD82DF9" w14:textId="77777777" w:rsidR="006E7D7A" w:rsidRDefault="006E7D7A" w:rsidP="00E82E7B"/>
                          <w:p w14:paraId="3C688B2A"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1AF9EB5" w14:textId="77777777" w:rsidR="006E7D7A" w:rsidRDefault="006E7D7A" w:rsidP="00E82E7B"/>
                          <w:p w14:paraId="19682E11"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BC1160" w14:textId="77777777" w:rsidR="006E7D7A" w:rsidRDefault="006E7D7A" w:rsidP="00E82E7B"/>
                          <w:p w14:paraId="65F3697D"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622C38A" w14:textId="77777777" w:rsidR="006E7D7A" w:rsidRDefault="006E7D7A" w:rsidP="00E82E7B"/>
                          <w:p w14:paraId="3EB46AE3"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3B7FE" id="_x0000_s1164" type="#_x0000_t202" style="position:absolute;left:0;text-align:left;margin-left:216.5pt;margin-top:9.25pt;width:68pt;height:21.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" filled="f" stroked="f">
                <v:textbox>
                  <w:txbxContent>
                    <w:p w14:paraId="5A859664" w14:textId="2AFCABA3"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163</w:t>
                      </w:r>
                    </w:p>
                    <w:p w14:paraId="51E752F8" w14:textId="77777777" w:rsidR="006E7D7A" w:rsidRDefault="006E7D7A" w:rsidP="00E82E7B"/>
                    <w:p w14:paraId="3266C95D"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C47C363" w14:textId="77777777" w:rsidR="006E7D7A" w:rsidRDefault="006E7D7A" w:rsidP="00E82E7B"/>
                    <w:p w14:paraId="581F7532"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9DFDCE6" w14:textId="77777777" w:rsidR="006E7D7A" w:rsidRDefault="006E7D7A" w:rsidP="00E82E7B"/>
                    <w:p w14:paraId="2C2A4650"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CD82DF9" w14:textId="77777777" w:rsidR="006E7D7A" w:rsidRDefault="006E7D7A" w:rsidP="00E82E7B"/>
                    <w:p w14:paraId="3C688B2A"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1AF9EB5" w14:textId="77777777" w:rsidR="006E7D7A" w:rsidRDefault="006E7D7A" w:rsidP="00E82E7B"/>
                    <w:p w14:paraId="19682E11"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BC1160" w14:textId="77777777" w:rsidR="006E7D7A" w:rsidRDefault="006E7D7A" w:rsidP="00E82E7B"/>
                    <w:p w14:paraId="65F3697D"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622C38A" w14:textId="77777777" w:rsidR="006E7D7A" w:rsidRDefault="006E7D7A" w:rsidP="00E82E7B"/>
                    <w:p w14:paraId="3EB46AE3"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9D7561" w:rsidRPr="00787196">
        <w:rPr>
          <w:noProof/>
        </w:rPr>
        <mc:AlternateContent>
          <mc:Choice Requires="wps">
            <w:drawing>
              <wp:anchor distT="0" distB="0" distL="114300" distR="114300" simplePos="0" relativeHeight="251673088" behindDoc="0" locked="0" layoutInCell="1" allowOverlap="1" wp14:anchorId="2C660429" wp14:editId="0D537970">
                <wp:simplePos x="0" y="0"/>
                <wp:positionH relativeFrom="column">
                  <wp:posOffset>6082140</wp:posOffset>
                </wp:positionH>
                <wp:positionV relativeFrom="paragraph">
                  <wp:posOffset>100177</wp:posOffset>
                </wp:positionV>
                <wp:extent cx="1118870" cy="377825"/>
                <wp:effectExtent l="0" t="0" r="24130" b="22225"/>
                <wp:wrapNone/>
                <wp:docPr id="239"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77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149FF" w14:textId="3B00EA1E" w:rsidR="006E7D7A" w:rsidRPr="00220E7A" w:rsidRDefault="006E7D7A" w:rsidP="00CA0929">
                            <w:pPr>
                              <w:pStyle w:val="NormalWeb"/>
                              <w:spacing w:before="0" w:beforeAutospacing="0" w:after="0" w:afterAutospacing="0"/>
                              <w:jc w:val="center"/>
                              <w:textAlignment w:val="baseline"/>
                              <w:rPr>
                                <w:rFonts w:ascii="Arial" w:hAnsi="Arial" w:cs="Arial"/>
                                <w:color w:val="000000"/>
                                <w:kern w:val="24"/>
                                <w:lang w:val="en-GB"/>
                              </w:rPr>
                            </w:pPr>
                            <w:r w:rsidRPr="00220E7A">
                              <w:rPr>
                                <w:rFonts w:ascii="Arial" w:hAnsi="Arial" w:cs="Arial"/>
                                <w:color w:val="000000"/>
                                <w:kern w:val="24"/>
                                <w:lang w:val="en-GB"/>
                              </w:rPr>
                              <w:t>OHQoL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60429" id="Text Box 1892" o:spid="_x0000_s1165" type="#_x0000_t202" style="position:absolute;left:0;text-align:left;margin-left:478.9pt;margin-top:7.9pt;width:88.1pt;height:2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" filled="f" strokeweight="1pt">
                <v:textbox>
                  <w:txbxContent>
                    <w:p w14:paraId="663149FF" w14:textId="3B00EA1E" w:rsidR="006E7D7A" w:rsidRPr="00220E7A" w:rsidRDefault="006E7D7A" w:rsidP="00CA0929">
                      <w:pPr>
                        <w:pStyle w:val="NormalWeb"/>
                        <w:spacing w:before="0" w:beforeAutospacing="0" w:after="0" w:afterAutospacing="0"/>
                        <w:jc w:val="center"/>
                        <w:textAlignment w:val="baseline"/>
                        <w:rPr>
                          <w:rFonts w:ascii="Arial" w:hAnsi="Arial" w:cs="Arial"/>
                          <w:color w:val="000000"/>
                          <w:kern w:val="24"/>
                          <w:lang w:val="en-GB"/>
                        </w:rPr>
                      </w:pPr>
                      <w:r w:rsidRPr="00220E7A">
                        <w:rPr>
                          <w:rFonts w:ascii="Arial" w:hAnsi="Arial" w:cs="Arial"/>
                          <w:color w:val="000000"/>
                          <w:kern w:val="24"/>
                          <w:lang w:val="en-GB"/>
                        </w:rPr>
                        <w:t>OHQoL</w:t>
                      </w:r>
                    </w:p>
                  </w:txbxContent>
                </v:textbox>
              </v:shape>
            </w:pict>
          </mc:Fallback>
        </mc:AlternateContent>
      </w:r>
    </w:p>
    <w:p w14:paraId="52E037CB" w14:textId="43986D45" w:rsidR="00F40DA0" w:rsidRPr="00787196" w:rsidRDefault="00116234" w:rsidP="00F40DA0">
      <w:pPr>
        <w:spacing w:before="0" w:after="0"/>
        <w:rPr>
          <w:rFonts w:eastAsia="Calibri" w:cs="Arial"/>
          <w:lang w:eastAsia="en-US"/>
        </w:rPr>
      </w:pPr>
      <w:r w:rsidRPr="00787196">
        <w:rPr>
          <w:rFonts w:cs="Arial"/>
          <w:noProof/>
        </w:rPr>
        <mc:AlternateContent>
          <mc:Choice Requires="wps">
            <w:drawing>
              <wp:anchor distT="0" distB="0" distL="114300" distR="114300" simplePos="0" relativeHeight="251707904" behindDoc="0" locked="0" layoutInCell="1" allowOverlap="1" wp14:anchorId="4D281CF4" wp14:editId="566674C2">
                <wp:simplePos x="0" y="0"/>
                <wp:positionH relativeFrom="margin">
                  <wp:posOffset>1708785</wp:posOffset>
                </wp:positionH>
                <wp:positionV relativeFrom="paragraph">
                  <wp:posOffset>62229</wp:posOffset>
                </wp:positionV>
                <wp:extent cx="4371975" cy="1704975"/>
                <wp:effectExtent l="0" t="38100" r="47625" b="28575"/>
                <wp:wrapNone/>
                <wp:docPr id="273" name="Straight Arrow Connector 273"/>
                <wp:cNvGraphicFramePr/>
                <a:graphic xmlns:a="http://schemas.openxmlformats.org/drawingml/2006/main">
                  <a:graphicData uri="http://schemas.microsoft.com/office/word/2010/wordprocessingShape">
                    <wps:wsp>
                      <wps:cNvCnPr/>
                      <wps:spPr>
                        <a:xfrm flipV="1">
                          <a:off x="0" y="0"/>
                          <a:ext cx="4371975" cy="17049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1B067B" id="Straight Arrow Connector 273" o:spid="_x0000_s1026" type="#_x0000_t32" style="position:absolute;margin-left:134.55pt;margin-top:4.9pt;width:344.25pt;height:134.25pt;flip:y;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" strokecolor="windowText" strokeweight="1pt">
                <v:stroke endarrow="block" joinstyle="miter"/>
                <w10:wrap anchorx="margin"/>
              </v:shape>
            </w:pict>
          </mc:Fallback>
        </mc:AlternateContent>
      </w:r>
      <w:r w:rsidRPr="00787196">
        <w:rPr>
          <w:rFonts w:cs="Arial"/>
          <w:noProof/>
        </w:rPr>
        <mc:AlternateContent>
          <mc:Choice Requires="wps">
            <w:drawing>
              <wp:anchor distT="0" distB="0" distL="114300" distR="114300" simplePos="0" relativeHeight="251708928" behindDoc="0" locked="0" layoutInCell="1" allowOverlap="1" wp14:anchorId="76C3D1B7" wp14:editId="339A23B9">
                <wp:simplePos x="0" y="0"/>
                <wp:positionH relativeFrom="column">
                  <wp:posOffset>1832610</wp:posOffset>
                </wp:positionH>
                <wp:positionV relativeFrom="paragraph">
                  <wp:posOffset>138430</wp:posOffset>
                </wp:positionV>
                <wp:extent cx="4243388" cy="395288"/>
                <wp:effectExtent l="0" t="0" r="81280" b="81280"/>
                <wp:wrapNone/>
                <wp:docPr id="274" name="Straight Arrow Connector 274"/>
                <wp:cNvGraphicFramePr/>
                <a:graphic xmlns:a="http://schemas.openxmlformats.org/drawingml/2006/main">
                  <a:graphicData uri="http://schemas.microsoft.com/office/word/2010/wordprocessingShape">
                    <wps:wsp>
                      <wps:cNvCnPr/>
                      <wps:spPr>
                        <a:xfrm>
                          <a:off x="0" y="0"/>
                          <a:ext cx="4243388" cy="39528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29A10C" id="Straight Arrow Connector 274" o:spid="_x0000_s1026" type="#_x0000_t32" style="position:absolute;margin-left:144.3pt;margin-top:10.9pt;width:334.15pt;height:31.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" strokecolor="windowText" strokeweight="1pt">
                <v:stroke endarrow="block" joinstyle="miter"/>
              </v:shape>
            </w:pict>
          </mc:Fallback>
        </mc:AlternateContent>
      </w:r>
      <w:r w:rsidR="00097C0A" w:rsidRPr="00787196">
        <w:rPr>
          <w:noProof/>
        </w:rPr>
        <mc:AlternateContent>
          <mc:Choice Requires="wps">
            <w:drawing>
              <wp:anchor distT="0" distB="0" distL="114300" distR="114300" simplePos="0" relativeHeight="251613696" behindDoc="0" locked="0" layoutInCell="1" allowOverlap="1" wp14:anchorId="5416EDC1" wp14:editId="3B59439A">
                <wp:simplePos x="0" y="0"/>
                <wp:positionH relativeFrom="column">
                  <wp:posOffset>687070</wp:posOffset>
                </wp:positionH>
                <wp:positionV relativeFrom="paragraph">
                  <wp:posOffset>3810</wp:posOffset>
                </wp:positionV>
                <wp:extent cx="1149985" cy="267970"/>
                <wp:effectExtent l="0" t="0" r="12065" b="17780"/>
                <wp:wrapNone/>
                <wp:docPr id="276"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679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5677DF" w14:textId="019D3EAF" w:rsidR="006E7D7A" w:rsidRPr="00BB557F" w:rsidRDefault="006E7D7A" w:rsidP="00116234">
                            <w:pPr>
                              <w:pStyle w:val="NormalWeb"/>
                              <w:spacing w:before="0" w:beforeAutospacing="0" w:after="0" w:afterAutospacing="0"/>
                              <w:jc w:val="center"/>
                              <w:textAlignment w:val="baseline"/>
                              <w:rPr>
                                <w:rFonts w:ascii="Arial" w:hAnsi="Arial" w:cs="Arial"/>
                                <w:color w:val="000000"/>
                                <w:sz w:val="20"/>
                                <w:szCs w:val="20"/>
                              </w:rPr>
                            </w:pPr>
                            <w:r w:rsidRPr="00614243">
                              <w:rPr>
                                <w:rFonts w:ascii="Arial" w:hAnsi="Arial" w:cs="Arial"/>
                                <w:color w:val="000000"/>
                                <w:sz w:val="20"/>
                                <w:szCs w:val="20"/>
                              </w:rPr>
                              <w:t>Occluding pairs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6EDC1" id="_x0000_s1166" type="#_x0000_t202" style="position:absolute;left:0;text-align:left;margin-left:54.1pt;margin-top:.3pt;width:90.55pt;height:2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" filled="f" strokeweight="1pt">
                <v:textbox>
                  <w:txbxContent>
                    <w:p w14:paraId="5E5677DF" w14:textId="019D3EAF" w:rsidR="006E7D7A" w:rsidRPr="00BB557F" w:rsidRDefault="006E7D7A" w:rsidP="00116234">
                      <w:pPr>
                        <w:pStyle w:val="NormalWeb"/>
                        <w:spacing w:before="0" w:beforeAutospacing="0" w:after="0" w:afterAutospacing="0"/>
                        <w:jc w:val="center"/>
                        <w:textAlignment w:val="baseline"/>
                        <w:rPr>
                          <w:rFonts w:ascii="Arial" w:hAnsi="Arial" w:cs="Arial"/>
                          <w:color w:val="000000"/>
                          <w:sz w:val="20"/>
                          <w:szCs w:val="20"/>
                        </w:rPr>
                      </w:pPr>
                      <w:r w:rsidRPr="00614243">
                        <w:rPr>
                          <w:rFonts w:ascii="Arial" w:hAnsi="Arial" w:cs="Arial"/>
                          <w:color w:val="000000"/>
                          <w:sz w:val="20"/>
                          <w:szCs w:val="20"/>
                        </w:rPr>
                        <w:t>Occluding pairs</w:t>
                      </w:r>
                    </w:p>
                  </w:txbxContent>
                </v:textbox>
              </v:shape>
            </w:pict>
          </mc:Fallback>
        </mc:AlternateContent>
      </w:r>
      <w:r w:rsidR="00CA0929" w:rsidRPr="00787196">
        <w:rPr>
          <w:rFonts w:cs="Arial"/>
          <w:noProof/>
        </w:rPr>
        <mc:AlternateContent>
          <mc:Choice Requires="wps">
            <w:drawing>
              <wp:anchor distT="0" distB="0" distL="114300" distR="114300" simplePos="0" relativeHeight="251705856" behindDoc="0" locked="0" layoutInCell="1" allowOverlap="1" wp14:anchorId="13AD505F" wp14:editId="6A834B27">
                <wp:simplePos x="0" y="0"/>
                <wp:positionH relativeFrom="column">
                  <wp:posOffset>1699260</wp:posOffset>
                </wp:positionH>
                <wp:positionV relativeFrom="paragraph">
                  <wp:posOffset>43180</wp:posOffset>
                </wp:positionV>
                <wp:extent cx="4376738" cy="2924175"/>
                <wp:effectExtent l="0" t="38100" r="62230" b="28575"/>
                <wp:wrapNone/>
                <wp:docPr id="270" name="Straight Arrow Connector 270"/>
                <wp:cNvGraphicFramePr/>
                <a:graphic xmlns:a="http://schemas.openxmlformats.org/drawingml/2006/main">
                  <a:graphicData uri="http://schemas.microsoft.com/office/word/2010/wordprocessingShape">
                    <wps:wsp>
                      <wps:cNvCnPr/>
                      <wps:spPr>
                        <a:xfrm flipV="1">
                          <a:off x="0" y="0"/>
                          <a:ext cx="4376738" cy="29241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874CC4" id="Straight Arrow Connector 270" o:spid="_x0000_s1026" type="#_x0000_t32" style="position:absolute;margin-left:133.8pt;margin-top:3.4pt;width:344.65pt;height:230.2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" strokecolor="windowText" strokeweight="1pt">
                <v:stroke endarrow="block" joinstyle="miter"/>
              </v:shape>
            </w:pict>
          </mc:Fallback>
        </mc:AlternateContent>
      </w:r>
    </w:p>
    <w:p w14:paraId="7EC94886" w14:textId="49A4D7B1" w:rsidR="00F40DA0" w:rsidRPr="00787196" w:rsidRDefault="00433A88" w:rsidP="00F40DA0">
      <w:pPr>
        <w:spacing w:before="0" w:after="0"/>
        <w:rPr>
          <w:rFonts w:eastAsia="Calibri" w:cs="Arial"/>
          <w:lang w:eastAsia="en-US"/>
        </w:rPr>
      </w:pPr>
      <w:r w:rsidRPr="00787196">
        <w:rPr>
          <w:noProof/>
        </w:rPr>
        <mc:AlternateContent>
          <mc:Choice Requires="wps">
            <w:drawing>
              <wp:anchor distT="0" distB="0" distL="114300" distR="114300" simplePos="0" relativeHeight="251716096" behindDoc="0" locked="0" layoutInCell="1" allowOverlap="1" wp14:anchorId="22FE6D2D" wp14:editId="49E6F9B3">
                <wp:simplePos x="0" y="0"/>
                <wp:positionH relativeFrom="column">
                  <wp:posOffset>2759075</wp:posOffset>
                </wp:positionH>
                <wp:positionV relativeFrom="paragraph">
                  <wp:posOffset>4445</wp:posOffset>
                </wp:positionV>
                <wp:extent cx="863600" cy="271145"/>
                <wp:effectExtent l="0" t="0" r="0" b="0"/>
                <wp:wrapNone/>
                <wp:docPr id="282"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69CDCB4" w14:textId="6B865525" w:rsidR="006E7D7A" w:rsidRPr="00307EFB" w:rsidRDefault="006E7D7A" w:rsidP="00E82E7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239</w:t>
                            </w:r>
                          </w:p>
                          <w:p w14:paraId="2ACBDDCD" w14:textId="77777777" w:rsidR="006E7D7A" w:rsidRDefault="006E7D7A" w:rsidP="00E82E7B"/>
                          <w:p w14:paraId="6A08D757"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03A0496" w14:textId="77777777" w:rsidR="006E7D7A" w:rsidRDefault="006E7D7A" w:rsidP="00E82E7B"/>
                          <w:p w14:paraId="7CCEE27A"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7D3696B" w14:textId="77777777" w:rsidR="006E7D7A" w:rsidRDefault="006E7D7A" w:rsidP="00E82E7B"/>
                          <w:p w14:paraId="747FF487"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BD4C3E5" w14:textId="77777777" w:rsidR="006E7D7A" w:rsidRDefault="006E7D7A" w:rsidP="00E82E7B"/>
                          <w:p w14:paraId="5C6C14E9"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96B1E10" w14:textId="77777777" w:rsidR="006E7D7A" w:rsidRDefault="006E7D7A" w:rsidP="00E82E7B"/>
                          <w:p w14:paraId="5D6D2979"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FDCE2BF" w14:textId="77777777" w:rsidR="006E7D7A" w:rsidRDefault="006E7D7A" w:rsidP="00E82E7B"/>
                          <w:p w14:paraId="17F3806C"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3926A33" w14:textId="77777777" w:rsidR="006E7D7A" w:rsidRDefault="006E7D7A" w:rsidP="00E82E7B"/>
                          <w:p w14:paraId="530124DB"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E6D2D" id="_x0000_s1167" type="#_x0000_t202" style="position:absolute;left:0;text-align:left;margin-left:217.25pt;margin-top:.35pt;width:68pt;height:21.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" filled="f" stroked="f">
                <v:textbox>
                  <w:txbxContent>
                    <w:p w14:paraId="669CDCB4" w14:textId="6B865525" w:rsidR="006E7D7A" w:rsidRPr="00307EFB" w:rsidRDefault="006E7D7A" w:rsidP="00E82E7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239</w:t>
                      </w:r>
                    </w:p>
                    <w:p w14:paraId="2ACBDDCD" w14:textId="77777777" w:rsidR="006E7D7A" w:rsidRDefault="006E7D7A" w:rsidP="00E82E7B"/>
                    <w:p w14:paraId="6A08D757"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03A0496" w14:textId="77777777" w:rsidR="006E7D7A" w:rsidRDefault="006E7D7A" w:rsidP="00E82E7B"/>
                    <w:p w14:paraId="7CCEE27A"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7D3696B" w14:textId="77777777" w:rsidR="006E7D7A" w:rsidRDefault="006E7D7A" w:rsidP="00E82E7B"/>
                    <w:p w14:paraId="747FF487"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BD4C3E5" w14:textId="77777777" w:rsidR="006E7D7A" w:rsidRDefault="006E7D7A" w:rsidP="00E82E7B"/>
                    <w:p w14:paraId="5C6C14E9"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96B1E10" w14:textId="77777777" w:rsidR="006E7D7A" w:rsidRDefault="006E7D7A" w:rsidP="00E82E7B"/>
                    <w:p w14:paraId="5D6D2979"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FDCE2BF" w14:textId="77777777" w:rsidR="006E7D7A" w:rsidRDefault="006E7D7A" w:rsidP="00E82E7B"/>
                    <w:p w14:paraId="17F3806C"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3926A33" w14:textId="77777777" w:rsidR="006E7D7A" w:rsidRDefault="006E7D7A" w:rsidP="00E82E7B"/>
                    <w:p w14:paraId="530124DB" w14:textId="77777777" w:rsidR="006E7D7A" w:rsidRPr="001F0BA8" w:rsidRDefault="006E7D7A" w:rsidP="00E82E7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9D7561" w:rsidRPr="00787196">
        <w:rPr>
          <w:noProof/>
        </w:rPr>
        <mc:AlternateContent>
          <mc:Choice Requires="wps">
            <w:drawing>
              <wp:anchor distT="0" distB="0" distL="114300" distR="114300" simplePos="0" relativeHeight="251608576" behindDoc="0" locked="0" layoutInCell="1" allowOverlap="1" wp14:anchorId="56F1615E" wp14:editId="3D061C66">
                <wp:simplePos x="0" y="0"/>
                <wp:positionH relativeFrom="column">
                  <wp:posOffset>6074847</wp:posOffset>
                </wp:positionH>
                <wp:positionV relativeFrom="paragraph">
                  <wp:posOffset>49618</wp:posOffset>
                </wp:positionV>
                <wp:extent cx="1118563" cy="409575"/>
                <wp:effectExtent l="0" t="0" r="24765" b="28575"/>
                <wp:wrapNone/>
                <wp:docPr id="246"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563" cy="409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B71E98" w14:textId="1CAEF60A" w:rsidR="006E7D7A" w:rsidRPr="00CE6392" w:rsidRDefault="006E7D7A" w:rsidP="004C5CF2">
                            <w:pPr>
                              <w:pStyle w:val="NormalWeb"/>
                              <w:spacing w:before="0" w:beforeAutospacing="0" w:after="0" w:afterAutospacing="0"/>
                              <w:jc w:val="center"/>
                              <w:textAlignment w:val="baseline"/>
                              <w:rPr>
                                <w:rFonts w:ascii="Arial" w:hAnsi="Arial" w:cs="Arial"/>
                                <w:color w:val="000000"/>
                                <w:kern w:val="24"/>
                                <w:sz w:val="20"/>
                                <w:szCs w:val="20"/>
                              </w:rPr>
                            </w:pPr>
                            <w:r w:rsidRPr="00CE6392">
                              <w:rPr>
                                <w:rFonts w:ascii="Arial" w:hAnsi="Arial" w:cs="Arial"/>
                                <w:color w:val="000000"/>
                                <w:kern w:val="24"/>
                                <w:sz w:val="20"/>
                                <w:szCs w:val="20"/>
                                <w:lang w:val="fr-FR"/>
                              </w:rPr>
                              <w:t>Denture satisfaction</w:t>
                            </w:r>
                          </w:p>
                          <w:p w14:paraId="521DADB8" w14:textId="77777777" w:rsidR="006E7D7A" w:rsidRDefault="006E7D7A"/>
                          <w:p w14:paraId="7E6902A1" w14:textId="77777777" w:rsidR="006E7D7A" w:rsidRPr="00CE6392" w:rsidRDefault="006E7D7A" w:rsidP="004C5CF2">
                            <w:pPr>
                              <w:pStyle w:val="NormalWeb"/>
                              <w:spacing w:before="0" w:beforeAutospacing="0" w:after="0" w:afterAutospacing="0"/>
                              <w:jc w:val="center"/>
                              <w:textAlignment w:val="baseline"/>
                              <w:rPr>
                                <w:rFonts w:ascii="Arial" w:hAnsi="Arial" w:cs="Arial"/>
                                <w:color w:val="000000"/>
                                <w:kern w:val="24"/>
                                <w:sz w:val="20"/>
                                <w:szCs w:val="20"/>
                              </w:rPr>
                            </w:pPr>
                            <w:r w:rsidRPr="00CE6392">
                              <w:rPr>
                                <w:rFonts w:ascii="Arial" w:hAnsi="Arial" w:cs="Arial"/>
                                <w:color w:val="000000"/>
                                <w:kern w:val="24"/>
                                <w:sz w:val="20"/>
                                <w:szCs w:val="20"/>
                                <w:lang w:val="fr-FR"/>
                              </w:rPr>
                              <w:t>Denture satisfaction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1615E" id="_x0000_s1168" type="#_x0000_t202" style="position:absolute;left:0;text-align:left;margin-left:478.35pt;margin-top:3.9pt;width:88.1pt;height:3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" filled="f" strokeweight="1pt">
                <v:textbox>
                  <w:txbxContent>
                    <w:p w14:paraId="7EB71E98" w14:textId="1CAEF60A" w:rsidR="006E7D7A" w:rsidRPr="00CE6392" w:rsidRDefault="006E7D7A" w:rsidP="004C5CF2">
                      <w:pPr>
                        <w:pStyle w:val="NormalWeb"/>
                        <w:spacing w:before="0" w:beforeAutospacing="0" w:after="0" w:afterAutospacing="0"/>
                        <w:jc w:val="center"/>
                        <w:textAlignment w:val="baseline"/>
                        <w:rPr>
                          <w:rFonts w:ascii="Arial" w:hAnsi="Arial" w:cs="Arial"/>
                          <w:color w:val="000000"/>
                          <w:kern w:val="24"/>
                          <w:sz w:val="20"/>
                          <w:szCs w:val="20"/>
                        </w:rPr>
                      </w:pPr>
                      <w:r w:rsidRPr="00CE6392">
                        <w:rPr>
                          <w:rFonts w:ascii="Arial" w:hAnsi="Arial" w:cs="Arial"/>
                          <w:color w:val="000000"/>
                          <w:kern w:val="24"/>
                          <w:sz w:val="20"/>
                          <w:szCs w:val="20"/>
                          <w:lang w:val="fr-FR"/>
                        </w:rPr>
                        <w:t>Denture satisfaction</w:t>
                      </w:r>
                    </w:p>
                    <w:p w14:paraId="521DADB8" w14:textId="77777777" w:rsidR="006E7D7A" w:rsidRDefault="006E7D7A"/>
                    <w:p w14:paraId="7E6902A1" w14:textId="77777777" w:rsidR="006E7D7A" w:rsidRPr="00CE6392" w:rsidRDefault="006E7D7A" w:rsidP="004C5CF2">
                      <w:pPr>
                        <w:pStyle w:val="NormalWeb"/>
                        <w:spacing w:before="0" w:beforeAutospacing="0" w:after="0" w:afterAutospacing="0"/>
                        <w:jc w:val="center"/>
                        <w:textAlignment w:val="baseline"/>
                        <w:rPr>
                          <w:rFonts w:ascii="Arial" w:hAnsi="Arial" w:cs="Arial"/>
                          <w:color w:val="000000"/>
                          <w:kern w:val="24"/>
                          <w:sz w:val="20"/>
                          <w:szCs w:val="20"/>
                        </w:rPr>
                      </w:pPr>
                      <w:r w:rsidRPr="00CE6392">
                        <w:rPr>
                          <w:rFonts w:ascii="Arial" w:hAnsi="Arial" w:cs="Arial"/>
                          <w:color w:val="000000"/>
                          <w:kern w:val="24"/>
                          <w:sz w:val="20"/>
                          <w:szCs w:val="20"/>
                          <w:lang w:val="fr-FR"/>
                        </w:rPr>
                        <w:t>Denture satisfaction</w:t>
                      </w:r>
                    </w:p>
                  </w:txbxContent>
                </v:textbox>
              </v:shape>
            </w:pict>
          </mc:Fallback>
        </mc:AlternateContent>
      </w:r>
    </w:p>
    <w:p w14:paraId="0AF03E76" w14:textId="487FF7FA" w:rsidR="00F40DA0" w:rsidRPr="00787196" w:rsidRDefault="00116234" w:rsidP="00F40DA0">
      <w:pPr>
        <w:spacing w:before="0" w:after="0"/>
        <w:rPr>
          <w:rFonts w:eastAsia="Calibri" w:cs="Arial"/>
          <w:lang w:eastAsia="en-US"/>
        </w:rPr>
      </w:pPr>
      <w:r w:rsidRPr="00787196">
        <w:rPr>
          <w:rFonts w:cs="Arial"/>
          <w:noProof/>
        </w:rPr>
        <mc:AlternateContent>
          <mc:Choice Requires="wps">
            <w:drawing>
              <wp:anchor distT="0" distB="0" distL="114300" distR="114300" simplePos="0" relativeHeight="251710976" behindDoc="0" locked="0" layoutInCell="1" allowOverlap="1" wp14:anchorId="71F63C08" wp14:editId="2E7C3CC3">
                <wp:simplePos x="0" y="0"/>
                <wp:positionH relativeFrom="column">
                  <wp:posOffset>1713548</wp:posOffset>
                </wp:positionH>
                <wp:positionV relativeFrom="paragraph">
                  <wp:posOffset>12700</wp:posOffset>
                </wp:positionV>
                <wp:extent cx="4352607" cy="1880870"/>
                <wp:effectExtent l="0" t="38100" r="48260" b="24130"/>
                <wp:wrapNone/>
                <wp:docPr id="277" name="Straight Arrow Connector 277"/>
                <wp:cNvGraphicFramePr/>
                <a:graphic xmlns:a="http://schemas.openxmlformats.org/drawingml/2006/main">
                  <a:graphicData uri="http://schemas.microsoft.com/office/word/2010/wordprocessingShape">
                    <wps:wsp>
                      <wps:cNvCnPr/>
                      <wps:spPr>
                        <a:xfrm flipV="1">
                          <a:off x="0" y="0"/>
                          <a:ext cx="4352607" cy="18808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6CAEF5" id="Straight Arrow Connector 277" o:spid="_x0000_s1026" type="#_x0000_t32" style="position:absolute;margin-left:134.95pt;margin-top:1pt;width:342.7pt;height:148.1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" strokecolor="windowText" strokeweight="1pt">
                <v:stroke endarrow="block" joinstyle="miter"/>
              </v:shape>
            </w:pict>
          </mc:Fallback>
        </mc:AlternateContent>
      </w:r>
      <w:r w:rsidRPr="00787196">
        <w:rPr>
          <w:rFonts w:cs="Arial"/>
          <w:noProof/>
        </w:rPr>
        <mc:AlternateContent>
          <mc:Choice Requires="wps">
            <w:drawing>
              <wp:anchor distT="0" distB="0" distL="114300" distR="114300" simplePos="0" relativeHeight="251709952" behindDoc="0" locked="0" layoutInCell="1" allowOverlap="1" wp14:anchorId="7FF75BFC" wp14:editId="6F33D828">
                <wp:simplePos x="0" y="0"/>
                <wp:positionH relativeFrom="margin">
                  <wp:posOffset>1699260</wp:posOffset>
                </wp:positionH>
                <wp:positionV relativeFrom="paragraph">
                  <wp:posOffset>17462</wp:posOffset>
                </wp:positionV>
                <wp:extent cx="4367213" cy="2409507"/>
                <wp:effectExtent l="0" t="38100" r="52705" b="29210"/>
                <wp:wrapNone/>
                <wp:docPr id="275" name="Straight Arrow Connector 275"/>
                <wp:cNvGraphicFramePr/>
                <a:graphic xmlns:a="http://schemas.openxmlformats.org/drawingml/2006/main">
                  <a:graphicData uri="http://schemas.microsoft.com/office/word/2010/wordprocessingShape">
                    <wps:wsp>
                      <wps:cNvCnPr/>
                      <wps:spPr>
                        <a:xfrm flipV="1">
                          <a:off x="0" y="0"/>
                          <a:ext cx="4367213" cy="240950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2D4F3" id="Straight Arrow Connector 275" o:spid="_x0000_s1026" type="#_x0000_t32" style="position:absolute;margin-left:133.8pt;margin-top:1.35pt;width:343.9pt;height:189.7pt;flip:y;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" strokecolor="windowText" strokeweight="1pt">
                <v:stroke endarrow="block" joinstyle="miter"/>
                <w10:wrap anchorx="margin"/>
              </v:shape>
            </w:pict>
          </mc:Fallback>
        </mc:AlternateContent>
      </w:r>
    </w:p>
    <w:p w14:paraId="3D98D90F" w14:textId="2ACB27F6" w:rsidR="00F40DA0" w:rsidRPr="00787196" w:rsidRDefault="00097C0A" w:rsidP="00F40DA0">
      <w:pPr>
        <w:spacing w:before="0" w:after="0"/>
        <w:rPr>
          <w:rFonts w:eastAsia="Calibri" w:cs="Arial"/>
          <w:lang w:eastAsia="en-US"/>
        </w:rPr>
      </w:pPr>
      <w:r w:rsidRPr="00787196">
        <w:rPr>
          <w:rFonts w:cs="Arial"/>
          <w:noProof/>
        </w:rPr>
        <mc:AlternateContent>
          <mc:Choice Requires="wps">
            <w:drawing>
              <wp:anchor distT="0" distB="0" distL="114300" distR="114300" simplePos="0" relativeHeight="251712000" behindDoc="0" locked="0" layoutInCell="1" allowOverlap="1" wp14:anchorId="37DC74F8" wp14:editId="32F87623">
                <wp:simplePos x="0" y="0"/>
                <wp:positionH relativeFrom="column">
                  <wp:posOffset>1713548</wp:posOffset>
                </wp:positionH>
                <wp:positionV relativeFrom="paragraph">
                  <wp:posOffset>230822</wp:posOffset>
                </wp:positionV>
                <wp:extent cx="4359592" cy="762000"/>
                <wp:effectExtent l="0" t="57150" r="3175" b="19050"/>
                <wp:wrapNone/>
                <wp:docPr id="278" name="Straight Arrow Connector 278"/>
                <wp:cNvGraphicFramePr/>
                <a:graphic xmlns:a="http://schemas.openxmlformats.org/drawingml/2006/main">
                  <a:graphicData uri="http://schemas.microsoft.com/office/word/2010/wordprocessingShape">
                    <wps:wsp>
                      <wps:cNvCnPr/>
                      <wps:spPr>
                        <a:xfrm flipV="1">
                          <a:off x="0" y="0"/>
                          <a:ext cx="4359592" cy="76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7DAF3" id="Straight Arrow Connector 278" o:spid="_x0000_s1026" type="#_x0000_t32" style="position:absolute;margin-left:134.95pt;margin-top:18.15pt;width:343.25pt;height:60p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" strokecolor="windowText" strokeweight="1pt">
                <v:stroke endarrow="block" joinstyle="miter"/>
              </v:shape>
            </w:pict>
          </mc:Fallback>
        </mc:AlternateContent>
      </w:r>
      <w:r w:rsidR="00CA0929" w:rsidRPr="00787196">
        <w:rPr>
          <w:rFonts w:cs="Arial"/>
          <w:noProof/>
        </w:rPr>
        <mc:AlternateContent>
          <mc:Choice Requires="wps">
            <w:drawing>
              <wp:anchor distT="0" distB="0" distL="114300" distR="114300" simplePos="0" relativeHeight="251706880" behindDoc="0" locked="0" layoutInCell="1" allowOverlap="1" wp14:anchorId="44DB669F" wp14:editId="00D8DD15">
                <wp:simplePos x="0" y="0"/>
                <wp:positionH relativeFrom="column">
                  <wp:posOffset>1704024</wp:posOffset>
                </wp:positionH>
                <wp:positionV relativeFrom="paragraph">
                  <wp:posOffset>249873</wp:posOffset>
                </wp:positionV>
                <wp:extent cx="4362450" cy="1933257"/>
                <wp:effectExtent l="0" t="38100" r="57150" b="29210"/>
                <wp:wrapNone/>
                <wp:docPr id="272" name="Straight Arrow Connector 272"/>
                <wp:cNvGraphicFramePr/>
                <a:graphic xmlns:a="http://schemas.openxmlformats.org/drawingml/2006/main">
                  <a:graphicData uri="http://schemas.microsoft.com/office/word/2010/wordprocessingShape">
                    <wps:wsp>
                      <wps:cNvCnPr/>
                      <wps:spPr>
                        <a:xfrm flipV="1">
                          <a:off x="0" y="0"/>
                          <a:ext cx="4362450" cy="193325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4178CA" id="Straight Arrow Connector 272" o:spid="_x0000_s1026" type="#_x0000_t32" style="position:absolute;margin-left:134.2pt;margin-top:19.7pt;width:343.5pt;height:152.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" strokecolor="windowText" strokeweight="1pt">
                <v:stroke endarrow="block" joinstyle="miter"/>
              </v:shape>
            </w:pict>
          </mc:Fallback>
        </mc:AlternateContent>
      </w:r>
      <w:r w:rsidR="00FB3499" w:rsidRPr="00787196">
        <w:rPr>
          <w:noProof/>
        </w:rPr>
        <mc:AlternateContent>
          <mc:Choice Requires="wps">
            <w:drawing>
              <wp:anchor distT="0" distB="0" distL="114300" distR="114300" simplePos="0" relativeHeight="251610624" behindDoc="0" locked="0" layoutInCell="1" allowOverlap="1" wp14:anchorId="045064BF" wp14:editId="1AA6233B">
                <wp:simplePos x="0" y="0"/>
                <wp:positionH relativeFrom="column">
                  <wp:posOffset>6074115</wp:posOffset>
                </wp:positionH>
                <wp:positionV relativeFrom="paragraph">
                  <wp:posOffset>82964</wp:posOffset>
                </wp:positionV>
                <wp:extent cx="1166495" cy="297712"/>
                <wp:effectExtent l="0" t="0" r="14605" b="26670"/>
                <wp:wrapNone/>
                <wp:docPr id="248"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77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98D1BE" w14:textId="18EA1BA1" w:rsidR="006E7D7A" w:rsidRPr="00CE6392" w:rsidRDefault="006E7D7A" w:rsidP="004C5CF2">
                            <w:pPr>
                              <w:pStyle w:val="NormalWeb"/>
                              <w:spacing w:before="0" w:beforeAutospacing="0" w:after="0" w:afterAutospacing="0"/>
                              <w:jc w:val="center"/>
                              <w:textAlignment w:val="baseline"/>
                              <w:rPr>
                                <w:rFonts w:ascii="Arial" w:hAnsi="Arial" w:cs="Arial"/>
                                <w:b/>
                                <w:color w:val="000000"/>
                                <w:kern w:val="24"/>
                                <w:sz w:val="20"/>
                                <w:szCs w:val="20"/>
                              </w:rPr>
                            </w:pPr>
                            <w:r w:rsidRPr="00CE6392">
                              <w:rPr>
                                <w:rFonts w:ascii="Arial" w:hAnsi="Arial" w:cs="Arial"/>
                                <w:bCs/>
                                <w:color w:val="000000"/>
                                <w:kern w:val="24"/>
                                <w:sz w:val="20"/>
                                <w:szCs w:val="20"/>
                              </w:rPr>
                              <w:t>Chewing ability</w:t>
                            </w:r>
                          </w:p>
                          <w:p w14:paraId="29B33FF0" w14:textId="77777777" w:rsidR="006E7D7A" w:rsidRDefault="006E7D7A"/>
                          <w:p w14:paraId="42316A1D" w14:textId="68208CF2" w:rsidR="006E7D7A" w:rsidRPr="00CE6392" w:rsidRDefault="006E7D7A" w:rsidP="004C5CF2">
                            <w:pPr>
                              <w:pStyle w:val="NormalWeb"/>
                              <w:spacing w:before="0" w:beforeAutospacing="0" w:after="0" w:afterAutospacing="0"/>
                              <w:jc w:val="center"/>
                              <w:textAlignment w:val="baseline"/>
                              <w:rPr>
                                <w:rFonts w:ascii="Arial" w:hAnsi="Arial" w:cs="Arial"/>
                                <w:b/>
                                <w:color w:val="000000"/>
                                <w:kern w:val="24"/>
                                <w:sz w:val="20"/>
                                <w:szCs w:val="20"/>
                              </w:rPr>
                            </w:pPr>
                            <w:r w:rsidRPr="00CE6392">
                              <w:rPr>
                                <w:rFonts w:ascii="Arial" w:hAnsi="Arial" w:cs="Arial"/>
                                <w:bCs/>
                                <w:color w:val="000000"/>
                                <w:kern w:val="24"/>
                                <w:sz w:val="20"/>
                                <w:szCs w:val="20"/>
                              </w:rPr>
                              <w:t>Chewing ability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64BF" id="_x0000_s1169" type="#_x0000_t202" style="position:absolute;left:0;text-align:left;margin-left:478.3pt;margin-top:6.55pt;width:91.85pt;height:2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" filled="f" strokeweight="1pt">
                <v:textbox>
                  <w:txbxContent>
                    <w:p w14:paraId="4898D1BE" w14:textId="18EA1BA1" w:rsidR="006E7D7A" w:rsidRPr="00CE6392" w:rsidRDefault="006E7D7A" w:rsidP="004C5CF2">
                      <w:pPr>
                        <w:pStyle w:val="NormalWeb"/>
                        <w:spacing w:before="0" w:beforeAutospacing="0" w:after="0" w:afterAutospacing="0"/>
                        <w:jc w:val="center"/>
                        <w:textAlignment w:val="baseline"/>
                        <w:rPr>
                          <w:rFonts w:ascii="Arial" w:hAnsi="Arial" w:cs="Arial"/>
                          <w:b/>
                          <w:color w:val="000000"/>
                          <w:kern w:val="24"/>
                          <w:sz w:val="20"/>
                          <w:szCs w:val="20"/>
                        </w:rPr>
                      </w:pPr>
                      <w:r w:rsidRPr="00CE6392">
                        <w:rPr>
                          <w:rFonts w:ascii="Arial" w:hAnsi="Arial" w:cs="Arial"/>
                          <w:bCs/>
                          <w:color w:val="000000"/>
                          <w:kern w:val="24"/>
                          <w:sz w:val="20"/>
                          <w:szCs w:val="20"/>
                        </w:rPr>
                        <w:t>Chewing ability</w:t>
                      </w:r>
                    </w:p>
                    <w:p w14:paraId="29B33FF0" w14:textId="77777777" w:rsidR="006E7D7A" w:rsidRDefault="006E7D7A"/>
                    <w:p w14:paraId="42316A1D" w14:textId="68208CF2" w:rsidR="006E7D7A" w:rsidRPr="00CE6392" w:rsidRDefault="006E7D7A" w:rsidP="004C5CF2">
                      <w:pPr>
                        <w:pStyle w:val="NormalWeb"/>
                        <w:spacing w:before="0" w:beforeAutospacing="0" w:after="0" w:afterAutospacing="0"/>
                        <w:jc w:val="center"/>
                        <w:textAlignment w:val="baseline"/>
                        <w:rPr>
                          <w:rFonts w:ascii="Arial" w:hAnsi="Arial" w:cs="Arial"/>
                          <w:b/>
                          <w:color w:val="000000"/>
                          <w:kern w:val="24"/>
                          <w:sz w:val="20"/>
                          <w:szCs w:val="20"/>
                        </w:rPr>
                      </w:pPr>
                      <w:r w:rsidRPr="00CE6392">
                        <w:rPr>
                          <w:rFonts w:ascii="Arial" w:hAnsi="Arial" w:cs="Arial"/>
                          <w:bCs/>
                          <w:color w:val="000000"/>
                          <w:kern w:val="24"/>
                          <w:sz w:val="20"/>
                          <w:szCs w:val="20"/>
                        </w:rPr>
                        <w:t>Chewing ability</w:t>
                      </w:r>
                    </w:p>
                  </w:txbxContent>
                </v:textbox>
              </v:shape>
            </w:pict>
          </mc:Fallback>
        </mc:AlternateContent>
      </w:r>
      <w:r w:rsidR="009D7561" w:rsidRPr="00787196">
        <w:rPr>
          <w:noProof/>
        </w:rPr>
        <mc:AlternateContent>
          <mc:Choice Requires="wps">
            <w:drawing>
              <wp:anchor distT="0" distB="0" distL="114300" distR="114300" simplePos="0" relativeHeight="251663872" behindDoc="0" locked="0" layoutInCell="1" allowOverlap="1" wp14:anchorId="6A526062" wp14:editId="72A2558A">
                <wp:simplePos x="0" y="0"/>
                <wp:positionH relativeFrom="column">
                  <wp:posOffset>556304</wp:posOffset>
                </wp:positionH>
                <wp:positionV relativeFrom="paragraph">
                  <wp:posOffset>264051</wp:posOffset>
                </wp:positionV>
                <wp:extent cx="1446486" cy="331076"/>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446486" cy="331076"/>
                        </a:xfrm>
                        <a:prstGeom prst="rect">
                          <a:avLst/>
                        </a:prstGeom>
                        <a:noFill/>
                        <a:ln w="6350">
                          <a:noFill/>
                        </a:ln>
                      </wps:spPr>
                      <wps:txbx>
                        <w:txbxContent>
                          <w:p w14:paraId="2EA2A233" w14:textId="06A9D210" w:rsidR="006E7D7A" w:rsidRPr="0061436F" w:rsidRDefault="006E7D7A" w:rsidP="00433A88">
                            <w:pPr>
                              <w:spacing w:before="0" w:after="0" w:line="240" w:lineRule="auto"/>
                              <w:rPr>
                                <w:b/>
                                <w:bCs/>
                              </w:rPr>
                            </w:pPr>
                            <w:r>
                              <w:rPr>
                                <w:b/>
                                <w:bCs/>
                              </w:rPr>
                              <w:t xml:space="preserv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26062" id="Text Box 271" o:spid="_x0000_s1170" type="#_x0000_t202" style="position:absolute;left:0;text-align:left;margin-left:43.8pt;margin-top:20.8pt;width:113.9pt;height:2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" filled="f" stroked="f" strokeweight=".5pt">
                <v:textbox>
                  <w:txbxContent>
                    <w:p w14:paraId="2EA2A233" w14:textId="06A9D210" w:rsidR="006E7D7A" w:rsidRPr="0061436F" w:rsidRDefault="006E7D7A" w:rsidP="00433A88">
                      <w:pPr>
                        <w:spacing w:before="0" w:after="0" w:line="240" w:lineRule="auto"/>
                        <w:rPr>
                          <w:b/>
                          <w:bCs/>
                        </w:rPr>
                      </w:pPr>
                      <w:r>
                        <w:rPr>
                          <w:b/>
                          <w:bCs/>
                        </w:rPr>
                        <w:t xml:space="preserve">    OUTCOMES</w:t>
                      </w:r>
                    </w:p>
                  </w:txbxContent>
                </v:textbox>
              </v:shape>
            </w:pict>
          </mc:Fallback>
        </mc:AlternateContent>
      </w:r>
    </w:p>
    <w:p w14:paraId="2BCBE406" w14:textId="3A4E17B3" w:rsidR="00F40DA0" w:rsidRPr="00787196" w:rsidRDefault="00F7060D" w:rsidP="00F40DA0">
      <w:pPr>
        <w:spacing w:before="0" w:after="0"/>
        <w:rPr>
          <w:rFonts w:eastAsia="Calibri" w:cs="Arial"/>
          <w:lang w:eastAsia="en-US"/>
        </w:rPr>
      </w:pPr>
      <w:r w:rsidRPr="00787196">
        <w:rPr>
          <w:noProof/>
        </w:rPr>
        <mc:AlternateContent>
          <mc:Choice Requires="wps">
            <w:drawing>
              <wp:anchor distT="0" distB="0" distL="114300" distR="114300" simplePos="0" relativeHeight="251713024" behindDoc="0" locked="0" layoutInCell="1" allowOverlap="1" wp14:anchorId="6D52FDBE" wp14:editId="58B882EF">
                <wp:simplePos x="0" y="0"/>
                <wp:positionH relativeFrom="column">
                  <wp:posOffset>2285047</wp:posOffset>
                </wp:positionH>
                <wp:positionV relativeFrom="paragraph">
                  <wp:posOffset>27623</wp:posOffset>
                </wp:positionV>
                <wp:extent cx="863600" cy="261620"/>
                <wp:effectExtent l="0" t="0" r="0" b="5080"/>
                <wp:wrapNone/>
                <wp:docPr id="279"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616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95A29EA" w14:textId="032ADB0F" w:rsidR="006E7D7A" w:rsidRPr="00307EFB" w:rsidRDefault="006E7D7A" w:rsidP="000B25DE">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246</w:t>
                            </w:r>
                          </w:p>
                          <w:p w14:paraId="4306E893" w14:textId="77777777" w:rsidR="006E7D7A" w:rsidRDefault="006E7D7A" w:rsidP="000B25DE"/>
                          <w:p w14:paraId="7B151ED3"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44C732B" w14:textId="77777777" w:rsidR="006E7D7A" w:rsidRDefault="006E7D7A" w:rsidP="000B25DE"/>
                          <w:p w14:paraId="33EB35D4"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17CCD92" w14:textId="77777777" w:rsidR="006E7D7A" w:rsidRDefault="006E7D7A" w:rsidP="000B25DE"/>
                          <w:p w14:paraId="0BE745CA"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26D1180" w14:textId="77777777" w:rsidR="006E7D7A" w:rsidRDefault="006E7D7A" w:rsidP="000B25DE"/>
                          <w:p w14:paraId="6D45416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EAE775" w14:textId="77777777" w:rsidR="006E7D7A" w:rsidRDefault="006E7D7A" w:rsidP="000B25DE"/>
                          <w:p w14:paraId="12BE41A8"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7E98ED1" w14:textId="77777777" w:rsidR="006E7D7A" w:rsidRDefault="006E7D7A" w:rsidP="000B25DE"/>
                          <w:p w14:paraId="4618B80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D589EB0" w14:textId="77777777" w:rsidR="006E7D7A" w:rsidRDefault="006E7D7A" w:rsidP="000B25DE"/>
                          <w:p w14:paraId="0BCC9DFB"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2FDBE" id="_x0000_s1171" type="#_x0000_t202" style="position:absolute;left:0;text-align:left;margin-left:179.9pt;margin-top:2.2pt;width:68pt;height:20.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" filled="f" stroked="f">
                <v:textbox>
                  <w:txbxContent>
                    <w:p w14:paraId="695A29EA" w14:textId="032ADB0F" w:rsidR="006E7D7A" w:rsidRPr="00307EFB" w:rsidRDefault="006E7D7A" w:rsidP="000B25DE">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246</w:t>
                      </w:r>
                    </w:p>
                    <w:p w14:paraId="4306E893" w14:textId="77777777" w:rsidR="006E7D7A" w:rsidRDefault="006E7D7A" w:rsidP="000B25DE"/>
                    <w:p w14:paraId="7B151ED3"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44C732B" w14:textId="77777777" w:rsidR="006E7D7A" w:rsidRDefault="006E7D7A" w:rsidP="000B25DE"/>
                    <w:p w14:paraId="33EB35D4"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17CCD92" w14:textId="77777777" w:rsidR="006E7D7A" w:rsidRDefault="006E7D7A" w:rsidP="000B25DE"/>
                    <w:p w14:paraId="0BE745CA"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26D1180" w14:textId="77777777" w:rsidR="006E7D7A" w:rsidRDefault="006E7D7A" w:rsidP="000B25DE"/>
                    <w:p w14:paraId="6D45416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EAE775" w14:textId="77777777" w:rsidR="006E7D7A" w:rsidRDefault="006E7D7A" w:rsidP="000B25DE"/>
                    <w:p w14:paraId="12BE41A8"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7E98ED1" w14:textId="77777777" w:rsidR="006E7D7A" w:rsidRDefault="006E7D7A" w:rsidP="000B25DE"/>
                    <w:p w14:paraId="4618B806"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D589EB0" w14:textId="77777777" w:rsidR="006E7D7A" w:rsidRDefault="006E7D7A" w:rsidP="000B25DE"/>
                    <w:p w14:paraId="0BCC9DFB" w14:textId="77777777" w:rsidR="006E7D7A" w:rsidRPr="001F0BA8" w:rsidRDefault="006E7D7A" w:rsidP="000B25DE">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p>
    <w:p w14:paraId="47F79046" w14:textId="754591A7" w:rsidR="00F40DA0" w:rsidRPr="00787196" w:rsidRDefault="00433A88" w:rsidP="00F40DA0">
      <w:pPr>
        <w:spacing w:before="0" w:after="0"/>
        <w:rPr>
          <w:rFonts w:eastAsia="Calibri" w:cs="Arial"/>
          <w:sz w:val="36"/>
          <w:szCs w:val="36"/>
          <w:lang w:eastAsia="en-US"/>
        </w:rPr>
      </w:pPr>
      <w:r w:rsidRPr="00787196">
        <w:rPr>
          <w:noProof/>
        </w:rPr>
        <mc:AlternateContent>
          <mc:Choice Requires="wps">
            <w:drawing>
              <wp:anchor distT="0" distB="0" distL="114300" distR="114300" simplePos="0" relativeHeight="251720192" behindDoc="0" locked="0" layoutInCell="1" allowOverlap="1" wp14:anchorId="625B3919" wp14:editId="3983ED5B">
                <wp:simplePos x="0" y="0"/>
                <wp:positionH relativeFrom="column">
                  <wp:posOffset>2257107</wp:posOffset>
                </wp:positionH>
                <wp:positionV relativeFrom="paragraph">
                  <wp:posOffset>250507</wp:posOffset>
                </wp:positionV>
                <wp:extent cx="863600" cy="271145"/>
                <wp:effectExtent l="0" t="0" r="0" b="0"/>
                <wp:wrapNone/>
                <wp:docPr id="287"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AC8B70" w14:textId="4F3B39B9"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116</w:t>
                            </w:r>
                          </w:p>
                          <w:p w14:paraId="476DF625" w14:textId="77777777" w:rsidR="006E7D7A" w:rsidRDefault="006E7D7A" w:rsidP="00701EB9"/>
                          <w:p w14:paraId="6088B498"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7850C2C" w14:textId="77777777" w:rsidR="006E7D7A" w:rsidRDefault="006E7D7A" w:rsidP="00701EB9"/>
                          <w:p w14:paraId="4630F5D6"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F53E456" w14:textId="77777777" w:rsidR="006E7D7A" w:rsidRDefault="006E7D7A" w:rsidP="00701EB9"/>
                          <w:p w14:paraId="306BB007"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4CCEE4" w14:textId="77777777" w:rsidR="006E7D7A" w:rsidRDefault="006E7D7A" w:rsidP="00701EB9"/>
                          <w:p w14:paraId="53A9CC35"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0BDCC1" w14:textId="77777777" w:rsidR="006E7D7A" w:rsidRDefault="006E7D7A" w:rsidP="00701EB9"/>
                          <w:p w14:paraId="4620A73D"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DBCA1CE" w14:textId="77777777" w:rsidR="006E7D7A" w:rsidRDefault="006E7D7A" w:rsidP="00701EB9"/>
                          <w:p w14:paraId="78984316"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4528886" w14:textId="77777777" w:rsidR="006E7D7A" w:rsidRDefault="006E7D7A" w:rsidP="00701EB9"/>
                          <w:p w14:paraId="6D4C34F3"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B3919" id="_x0000_s1172" type="#_x0000_t202" style="position:absolute;left:0;text-align:left;margin-left:177.7pt;margin-top:19.7pt;width:68pt;height:21.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" filled="f" stroked="f">
                <v:textbox>
                  <w:txbxContent>
                    <w:p w14:paraId="05AC8B70" w14:textId="4F3B39B9"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116</w:t>
                      </w:r>
                    </w:p>
                    <w:p w14:paraId="476DF625" w14:textId="77777777" w:rsidR="006E7D7A" w:rsidRDefault="006E7D7A" w:rsidP="00701EB9"/>
                    <w:p w14:paraId="6088B498"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7850C2C" w14:textId="77777777" w:rsidR="006E7D7A" w:rsidRDefault="006E7D7A" w:rsidP="00701EB9"/>
                    <w:p w14:paraId="4630F5D6"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F53E456" w14:textId="77777777" w:rsidR="006E7D7A" w:rsidRDefault="006E7D7A" w:rsidP="00701EB9"/>
                    <w:p w14:paraId="306BB007"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4CCEE4" w14:textId="77777777" w:rsidR="006E7D7A" w:rsidRDefault="006E7D7A" w:rsidP="00701EB9"/>
                    <w:p w14:paraId="53A9CC35"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0BDCC1" w14:textId="77777777" w:rsidR="006E7D7A" w:rsidRDefault="006E7D7A" w:rsidP="00701EB9"/>
                    <w:p w14:paraId="4620A73D"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DBCA1CE" w14:textId="77777777" w:rsidR="006E7D7A" w:rsidRDefault="006E7D7A" w:rsidP="00701EB9"/>
                    <w:p w14:paraId="78984316"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4528886" w14:textId="77777777" w:rsidR="006E7D7A" w:rsidRDefault="006E7D7A" w:rsidP="00701EB9"/>
                    <w:p w14:paraId="6D4C34F3"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Pr="00787196">
        <w:rPr>
          <w:noProof/>
        </w:rPr>
        <mc:AlternateContent>
          <mc:Choice Requires="wps">
            <w:drawing>
              <wp:anchor distT="0" distB="0" distL="114300" distR="114300" simplePos="0" relativeHeight="251718144" behindDoc="0" locked="0" layoutInCell="1" allowOverlap="1" wp14:anchorId="1C8E10E4" wp14:editId="1535906E">
                <wp:simplePos x="0" y="0"/>
                <wp:positionH relativeFrom="column">
                  <wp:posOffset>4110038</wp:posOffset>
                </wp:positionH>
                <wp:positionV relativeFrom="paragraph">
                  <wp:posOffset>80010</wp:posOffset>
                </wp:positionV>
                <wp:extent cx="863600" cy="271145"/>
                <wp:effectExtent l="0" t="0" r="0" b="0"/>
                <wp:wrapNone/>
                <wp:docPr id="284"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7E5A5E4" w14:textId="1B49B876"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182</w:t>
                            </w:r>
                          </w:p>
                          <w:p w14:paraId="0019DD78" w14:textId="77777777" w:rsidR="006E7D7A" w:rsidRDefault="006E7D7A" w:rsidP="002E6922"/>
                          <w:p w14:paraId="7B51FC90"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531475" w14:textId="77777777" w:rsidR="006E7D7A" w:rsidRDefault="006E7D7A" w:rsidP="002E6922"/>
                          <w:p w14:paraId="75447C3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F5ED852" w14:textId="77777777" w:rsidR="006E7D7A" w:rsidRDefault="006E7D7A" w:rsidP="002E6922"/>
                          <w:p w14:paraId="549DA96A"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F79295D" w14:textId="77777777" w:rsidR="006E7D7A" w:rsidRDefault="006E7D7A" w:rsidP="002E6922"/>
                          <w:p w14:paraId="2634B72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F63B30E" w14:textId="77777777" w:rsidR="006E7D7A" w:rsidRDefault="006E7D7A" w:rsidP="002E6922"/>
                          <w:p w14:paraId="3ED8F009"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37D5BD8" w14:textId="77777777" w:rsidR="006E7D7A" w:rsidRDefault="006E7D7A" w:rsidP="002E6922"/>
                          <w:p w14:paraId="1B39276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AA8EA76" w14:textId="77777777" w:rsidR="006E7D7A" w:rsidRDefault="006E7D7A" w:rsidP="002E6922"/>
                          <w:p w14:paraId="3D37A77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E10E4" id="_x0000_s1173" type="#_x0000_t202" style="position:absolute;left:0;text-align:left;margin-left:323.65pt;margin-top:6.3pt;width:68pt;height:21.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" filled="f" stroked="f">
                <v:textbox>
                  <w:txbxContent>
                    <w:p w14:paraId="37E5A5E4" w14:textId="1B49B876"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182</w:t>
                      </w:r>
                    </w:p>
                    <w:p w14:paraId="0019DD78" w14:textId="77777777" w:rsidR="006E7D7A" w:rsidRDefault="006E7D7A" w:rsidP="002E6922"/>
                    <w:p w14:paraId="7B51FC90"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531475" w14:textId="77777777" w:rsidR="006E7D7A" w:rsidRDefault="006E7D7A" w:rsidP="002E6922"/>
                    <w:p w14:paraId="75447C3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F5ED852" w14:textId="77777777" w:rsidR="006E7D7A" w:rsidRDefault="006E7D7A" w:rsidP="002E6922"/>
                    <w:p w14:paraId="549DA96A"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F79295D" w14:textId="77777777" w:rsidR="006E7D7A" w:rsidRDefault="006E7D7A" w:rsidP="002E6922"/>
                    <w:p w14:paraId="2634B72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F63B30E" w14:textId="77777777" w:rsidR="006E7D7A" w:rsidRDefault="006E7D7A" w:rsidP="002E6922"/>
                    <w:p w14:paraId="3ED8F009"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37D5BD8" w14:textId="77777777" w:rsidR="006E7D7A" w:rsidRDefault="006E7D7A" w:rsidP="002E6922"/>
                    <w:p w14:paraId="1B39276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AA8EA76" w14:textId="77777777" w:rsidR="006E7D7A" w:rsidRDefault="006E7D7A" w:rsidP="002E6922"/>
                    <w:p w14:paraId="3D37A77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097C0A" w:rsidRPr="00787196">
        <w:rPr>
          <w:noProof/>
        </w:rPr>
        <mc:AlternateContent>
          <mc:Choice Requires="wps">
            <w:drawing>
              <wp:anchor distT="0" distB="0" distL="114300" distR="114300" simplePos="0" relativeHeight="251591168" behindDoc="0" locked="0" layoutInCell="1" allowOverlap="1" wp14:anchorId="2202F3A2" wp14:editId="42F293AB">
                <wp:simplePos x="0" y="0"/>
                <wp:positionH relativeFrom="column">
                  <wp:posOffset>475299</wp:posOffset>
                </wp:positionH>
                <wp:positionV relativeFrom="paragraph">
                  <wp:posOffset>133668</wp:posOffset>
                </wp:positionV>
                <wp:extent cx="1585912" cy="1828800"/>
                <wp:effectExtent l="0" t="0" r="14605" b="19050"/>
                <wp:wrapNone/>
                <wp:docPr id="317" name="Rectangle 317"/>
                <wp:cNvGraphicFramePr/>
                <a:graphic xmlns:a="http://schemas.openxmlformats.org/drawingml/2006/main">
                  <a:graphicData uri="http://schemas.microsoft.com/office/word/2010/wordprocessingShape">
                    <wps:wsp>
                      <wps:cNvSpPr/>
                      <wps:spPr>
                        <a:xfrm>
                          <a:off x="0" y="0"/>
                          <a:ext cx="1585912" cy="182880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5A67B" id="Rectangle 317" o:spid="_x0000_s1026" style="position:absolute;margin-left:37.45pt;margin-top:10.55pt;width:124.85pt;height:2in;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" fillcolor="white [3212]" strokecolor="black [3213]" strokeweight="1pt">
                <v:stroke dashstyle="dash"/>
              </v:rect>
            </w:pict>
          </mc:Fallback>
        </mc:AlternateContent>
      </w:r>
      <w:r w:rsidR="009D7561" w:rsidRPr="00787196">
        <w:rPr>
          <w:noProof/>
        </w:rPr>
        <mc:AlternateContent>
          <mc:Choice Requires="wps">
            <w:drawing>
              <wp:anchor distT="0" distB="0" distL="114300" distR="114300" simplePos="0" relativeHeight="251666944" behindDoc="0" locked="0" layoutInCell="1" allowOverlap="1" wp14:anchorId="55D6B02B" wp14:editId="6F17DA70">
                <wp:simplePos x="0" y="0"/>
                <wp:positionH relativeFrom="column">
                  <wp:posOffset>763587</wp:posOffset>
                </wp:positionH>
                <wp:positionV relativeFrom="paragraph">
                  <wp:posOffset>239395</wp:posOffset>
                </wp:positionV>
                <wp:extent cx="947117" cy="440690"/>
                <wp:effectExtent l="0" t="0" r="24765" b="16510"/>
                <wp:wrapNone/>
                <wp:docPr id="315"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117" cy="4406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55EEB" w14:textId="1230AF76" w:rsidR="006E7D7A" w:rsidRPr="001F0BA8" w:rsidRDefault="006E7D7A" w:rsidP="00116234">
                            <w:pPr>
                              <w:pStyle w:val="NormalWeb"/>
                              <w:spacing w:before="0" w:beforeAutospacing="0" w:after="0" w:afterAutospacing="0"/>
                              <w:jc w:val="center"/>
                              <w:textAlignment w:val="baseline"/>
                              <w:rPr>
                                <w:rFonts w:ascii="Arial" w:hAnsi="Arial" w:cs="Arial"/>
                                <w:color w:val="000000"/>
                                <w:sz w:val="18"/>
                                <w:szCs w:val="18"/>
                                <w:lang w:val="en-GB"/>
                              </w:rPr>
                            </w:pPr>
                            <w:r w:rsidRPr="00614243">
                              <w:rPr>
                                <w:rFonts w:ascii="Arial" w:hAnsi="Arial" w:cs="Arial"/>
                                <w:color w:val="000000"/>
                                <w:sz w:val="20"/>
                                <w:szCs w:val="20"/>
                                <w:lang w:val="en-GB"/>
                              </w:rPr>
                              <w:t>OHQoL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B02B" id="_x0000_s1174" type="#_x0000_t202" style="position:absolute;left:0;text-align:left;margin-left:60.1pt;margin-top:18.85pt;width:74.6pt;height:34.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" filled="f" strokeweight="1pt">
                <v:textbox>
                  <w:txbxContent>
                    <w:p w14:paraId="78455EEB" w14:textId="1230AF76" w:rsidR="006E7D7A" w:rsidRPr="001F0BA8" w:rsidRDefault="006E7D7A" w:rsidP="00116234">
                      <w:pPr>
                        <w:pStyle w:val="NormalWeb"/>
                        <w:spacing w:before="0" w:beforeAutospacing="0" w:after="0" w:afterAutospacing="0"/>
                        <w:jc w:val="center"/>
                        <w:textAlignment w:val="baseline"/>
                        <w:rPr>
                          <w:rFonts w:ascii="Arial" w:hAnsi="Arial" w:cs="Arial"/>
                          <w:color w:val="000000"/>
                          <w:sz w:val="18"/>
                          <w:szCs w:val="18"/>
                          <w:lang w:val="en-GB"/>
                        </w:rPr>
                      </w:pPr>
                      <w:r w:rsidRPr="00614243">
                        <w:rPr>
                          <w:rFonts w:ascii="Arial" w:hAnsi="Arial" w:cs="Arial"/>
                          <w:color w:val="000000"/>
                          <w:sz w:val="20"/>
                          <w:szCs w:val="20"/>
                          <w:lang w:val="en-GB"/>
                        </w:rPr>
                        <w:t>OHQoL</w:t>
                      </w:r>
                    </w:p>
                  </w:txbxContent>
                </v:textbox>
              </v:shape>
            </w:pict>
          </mc:Fallback>
        </mc:AlternateContent>
      </w:r>
      <w:r w:rsidR="00F40DA0" w:rsidRPr="00787196">
        <w:rPr>
          <w:rFonts w:eastAsia="Calibri" w:cs="Arial"/>
          <w:sz w:val="36"/>
          <w:szCs w:val="36"/>
          <w:lang w:eastAsia="en-US"/>
        </w:rPr>
        <w:t xml:space="preserve">  </w:t>
      </w:r>
    </w:p>
    <w:p w14:paraId="7F669BF3" w14:textId="520290B8" w:rsidR="00F40DA0" w:rsidRPr="00787196" w:rsidRDefault="00433A88" w:rsidP="00F40DA0">
      <w:pPr>
        <w:spacing w:before="0" w:after="0"/>
        <w:rPr>
          <w:rFonts w:cs="Arial"/>
        </w:rPr>
      </w:pPr>
      <w:r w:rsidRPr="00787196">
        <w:rPr>
          <w:noProof/>
        </w:rPr>
        <mc:AlternateContent>
          <mc:Choice Requires="wps">
            <w:drawing>
              <wp:anchor distT="0" distB="0" distL="114300" distR="114300" simplePos="0" relativeHeight="251719168" behindDoc="0" locked="0" layoutInCell="1" allowOverlap="1" wp14:anchorId="2FECC2D8" wp14:editId="0123FA4B">
                <wp:simplePos x="0" y="0"/>
                <wp:positionH relativeFrom="column">
                  <wp:posOffset>4110037</wp:posOffset>
                </wp:positionH>
                <wp:positionV relativeFrom="paragraph">
                  <wp:posOffset>8255</wp:posOffset>
                </wp:positionV>
                <wp:extent cx="863600" cy="271145"/>
                <wp:effectExtent l="0" t="0" r="0" b="0"/>
                <wp:wrapNone/>
                <wp:docPr id="285"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FB7CB8B" w14:textId="59A67C7D"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569</w:t>
                            </w:r>
                          </w:p>
                          <w:p w14:paraId="59087367" w14:textId="77777777" w:rsidR="006E7D7A" w:rsidRDefault="006E7D7A" w:rsidP="002E6922"/>
                          <w:p w14:paraId="34402371"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B9C648B" w14:textId="77777777" w:rsidR="006E7D7A" w:rsidRDefault="006E7D7A" w:rsidP="002E6922"/>
                          <w:p w14:paraId="59C9EEB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2D750CC" w14:textId="77777777" w:rsidR="006E7D7A" w:rsidRDefault="006E7D7A" w:rsidP="002E6922"/>
                          <w:p w14:paraId="0943810C"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DBA6227" w14:textId="77777777" w:rsidR="006E7D7A" w:rsidRDefault="006E7D7A" w:rsidP="002E6922"/>
                          <w:p w14:paraId="7254663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AE2CD36" w14:textId="77777777" w:rsidR="006E7D7A" w:rsidRDefault="006E7D7A" w:rsidP="002E6922"/>
                          <w:p w14:paraId="59E75A1F"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B79385F" w14:textId="77777777" w:rsidR="006E7D7A" w:rsidRDefault="006E7D7A" w:rsidP="002E6922"/>
                          <w:p w14:paraId="14745793"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E506BAF" w14:textId="77777777" w:rsidR="006E7D7A" w:rsidRDefault="006E7D7A" w:rsidP="002E6922"/>
                          <w:p w14:paraId="7E3FE4C6"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CC2D8" id="_x0000_s1175" type="#_x0000_t202" style="position:absolute;left:0;text-align:left;margin-left:323.6pt;margin-top:.65pt;width:68pt;height:21.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" filled="f" stroked="f">
                <v:textbox>
                  <w:txbxContent>
                    <w:p w14:paraId="4FB7CB8B" w14:textId="59A67C7D"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569</w:t>
                      </w:r>
                    </w:p>
                    <w:p w14:paraId="59087367" w14:textId="77777777" w:rsidR="006E7D7A" w:rsidRDefault="006E7D7A" w:rsidP="002E6922"/>
                    <w:p w14:paraId="34402371"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B9C648B" w14:textId="77777777" w:rsidR="006E7D7A" w:rsidRDefault="006E7D7A" w:rsidP="002E6922"/>
                    <w:p w14:paraId="59C9EEB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2D750CC" w14:textId="77777777" w:rsidR="006E7D7A" w:rsidRDefault="006E7D7A" w:rsidP="002E6922"/>
                    <w:p w14:paraId="0943810C"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DBA6227" w14:textId="77777777" w:rsidR="006E7D7A" w:rsidRDefault="006E7D7A" w:rsidP="002E6922"/>
                    <w:p w14:paraId="7254663B"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AE2CD36" w14:textId="77777777" w:rsidR="006E7D7A" w:rsidRDefault="006E7D7A" w:rsidP="002E6922"/>
                    <w:p w14:paraId="59E75A1F"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B79385F" w14:textId="77777777" w:rsidR="006E7D7A" w:rsidRDefault="006E7D7A" w:rsidP="002E6922"/>
                    <w:p w14:paraId="14745793"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E506BAF" w14:textId="77777777" w:rsidR="006E7D7A" w:rsidRDefault="006E7D7A" w:rsidP="002E6922"/>
                    <w:p w14:paraId="7E3FE4C6"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2E6922" w:rsidRPr="00787196">
        <w:rPr>
          <w:noProof/>
        </w:rPr>
        <mc:AlternateContent>
          <mc:Choice Requires="wps">
            <w:drawing>
              <wp:anchor distT="0" distB="0" distL="114300" distR="114300" simplePos="0" relativeHeight="251717120" behindDoc="0" locked="0" layoutInCell="1" allowOverlap="1" wp14:anchorId="2874E9C4" wp14:editId="5C45CF9C">
                <wp:simplePos x="0" y="0"/>
                <wp:positionH relativeFrom="column">
                  <wp:posOffset>1904683</wp:posOffset>
                </wp:positionH>
                <wp:positionV relativeFrom="paragraph">
                  <wp:posOffset>157480</wp:posOffset>
                </wp:positionV>
                <wp:extent cx="863600" cy="271145"/>
                <wp:effectExtent l="0" t="0" r="0" b="0"/>
                <wp:wrapNone/>
                <wp:docPr id="283"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732803B" w14:textId="5E8A77D2"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204</w:t>
                            </w:r>
                          </w:p>
                          <w:p w14:paraId="476E36AB" w14:textId="77777777" w:rsidR="006E7D7A" w:rsidRDefault="006E7D7A" w:rsidP="002E6922"/>
                          <w:p w14:paraId="6A3412CA"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AC1B2F6" w14:textId="77777777" w:rsidR="006E7D7A" w:rsidRDefault="006E7D7A" w:rsidP="002E6922"/>
                          <w:p w14:paraId="23FB7092"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01A456B" w14:textId="77777777" w:rsidR="006E7D7A" w:rsidRDefault="006E7D7A" w:rsidP="002E6922"/>
                          <w:p w14:paraId="0AE5CC1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CD2C335" w14:textId="77777777" w:rsidR="006E7D7A" w:rsidRDefault="006E7D7A" w:rsidP="002E6922"/>
                          <w:p w14:paraId="2C9782FD"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88FE16" w14:textId="77777777" w:rsidR="006E7D7A" w:rsidRDefault="006E7D7A" w:rsidP="002E6922"/>
                          <w:p w14:paraId="61886FD7"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A37652B" w14:textId="77777777" w:rsidR="006E7D7A" w:rsidRDefault="006E7D7A" w:rsidP="002E6922"/>
                          <w:p w14:paraId="4A310933"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63AB68D" w14:textId="77777777" w:rsidR="006E7D7A" w:rsidRDefault="006E7D7A" w:rsidP="002E6922"/>
                          <w:p w14:paraId="257A34F0"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4E9C4" id="_x0000_s1176" type="#_x0000_t202" style="position:absolute;left:0;text-align:left;margin-left:150pt;margin-top:12.4pt;width:68pt;height:21.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" filled="f" stroked="f">
                <v:textbox>
                  <w:txbxContent>
                    <w:p w14:paraId="5732803B" w14:textId="5E8A77D2" w:rsidR="006E7D7A" w:rsidRPr="00307EFB" w:rsidRDefault="006E7D7A" w:rsidP="002E6922">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204</w:t>
                      </w:r>
                    </w:p>
                    <w:p w14:paraId="476E36AB" w14:textId="77777777" w:rsidR="006E7D7A" w:rsidRDefault="006E7D7A" w:rsidP="002E6922"/>
                    <w:p w14:paraId="6A3412CA"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AC1B2F6" w14:textId="77777777" w:rsidR="006E7D7A" w:rsidRDefault="006E7D7A" w:rsidP="002E6922"/>
                    <w:p w14:paraId="23FB7092"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01A456B" w14:textId="77777777" w:rsidR="006E7D7A" w:rsidRDefault="006E7D7A" w:rsidP="002E6922"/>
                    <w:p w14:paraId="0AE5CC14"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CD2C335" w14:textId="77777777" w:rsidR="006E7D7A" w:rsidRDefault="006E7D7A" w:rsidP="002E6922"/>
                    <w:p w14:paraId="2C9782FD"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88FE16" w14:textId="77777777" w:rsidR="006E7D7A" w:rsidRDefault="006E7D7A" w:rsidP="002E6922"/>
                    <w:p w14:paraId="61886FD7"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A37652B" w14:textId="77777777" w:rsidR="006E7D7A" w:rsidRDefault="006E7D7A" w:rsidP="002E6922"/>
                    <w:p w14:paraId="4A310933"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63AB68D" w14:textId="77777777" w:rsidR="006E7D7A" w:rsidRDefault="006E7D7A" w:rsidP="002E6922"/>
                    <w:p w14:paraId="257A34F0" w14:textId="77777777" w:rsidR="006E7D7A" w:rsidRPr="001F0BA8" w:rsidRDefault="006E7D7A" w:rsidP="002E6922">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p>
    <w:p w14:paraId="1E79C745" w14:textId="224E0830" w:rsidR="00F40DA0" w:rsidRPr="00787196" w:rsidRDefault="00F40DA0" w:rsidP="00F40DA0">
      <w:pPr>
        <w:pStyle w:val="Caption"/>
        <w:spacing w:before="0" w:after="0" w:line="276" w:lineRule="auto"/>
        <w:rPr>
          <w:rFonts w:cs="Arial"/>
        </w:rPr>
      </w:pPr>
    </w:p>
    <w:p w14:paraId="40DE5DA2" w14:textId="269CF141" w:rsidR="00F40DA0" w:rsidRPr="00787196" w:rsidRDefault="00433A88" w:rsidP="00F40DA0">
      <w:pPr>
        <w:spacing w:before="0" w:after="0"/>
        <w:rPr>
          <w:rFonts w:cs="Arial"/>
        </w:rPr>
      </w:pPr>
      <w:r w:rsidRPr="00787196">
        <w:rPr>
          <w:noProof/>
        </w:rPr>
        <mc:AlternateContent>
          <mc:Choice Requires="wps">
            <w:drawing>
              <wp:anchor distT="0" distB="0" distL="114300" distR="114300" simplePos="0" relativeHeight="251721216" behindDoc="0" locked="0" layoutInCell="1" allowOverlap="1" wp14:anchorId="07CE9998" wp14:editId="7D3A6EA2">
                <wp:simplePos x="0" y="0"/>
                <wp:positionH relativeFrom="column">
                  <wp:posOffset>1885950</wp:posOffset>
                </wp:positionH>
                <wp:positionV relativeFrom="paragraph">
                  <wp:posOffset>104775</wp:posOffset>
                </wp:positionV>
                <wp:extent cx="863600" cy="271145"/>
                <wp:effectExtent l="0" t="0" r="0" b="0"/>
                <wp:wrapNone/>
                <wp:docPr id="35"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9E40D5C" w14:textId="10A75FE0"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194</w:t>
                            </w:r>
                          </w:p>
                          <w:p w14:paraId="3CE1798F" w14:textId="77777777" w:rsidR="006E7D7A" w:rsidRDefault="006E7D7A" w:rsidP="00701EB9"/>
                          <w:p w14:paraId="3101359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671EF79" w14:textId="77777777" w:rsidR="006E7D7A" w:rsidRDefault="006E7D7A" w:rsidP="00701EB9"/>
                          <w:p w14:paraId="2BFCB3F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8912815" w14:textId="77777777" w:rsidR="006E7D7A" w:rsidRDefault="006E7D7A" w:rsidP="00701EB9"/>
                          <w:p w14:paraId="13BB7231"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9187CFF" w14:textId="77777777" w:rsidR="006E7D7A" w:rsidRDefault="006E7D7A" w:rsidP="00701EB9"/>
                          <w:p w14:paraId="5B800925"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9EBA75B" w14:textId="77777777" w:rsidR="006E7D7A" w:rsidRDefault="006E7D7A" w:rsidP="00701EB9"/>
                          <w:p w14:paraId="408042DF"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9245AC" w14:textId="77777777" w:rsidR="006E7D7A" w:rsidRDefault="006E7D7A" w:rsidP="00701EB9"/>
                          <w:p w14:paraId="6D87971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5BC7C18" w14:textId="77777777" w:rsidR="006E7D7A" w:rsidRDefault="006E7D7A" w:rsidP="00701EB9"/>
                          <w:p w14:paraId="2AF14850"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E9998" id="_x0000_s1177" type="#_x0000_t202" style="position:absolute;left:0;text-align:left;margin-left:148.5pt;margin-top:8.25pt;width:68pt;height:21.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" filled="f" stroked="f">
                <v:textbox>
                  <w:txbxContent>
                    <w:p w14:paraId="79E40D5C" w14:textId="10A75FE0" w:rsidR="006E7D7A" w:rsidRPr="00307EFB" w:rsidRDefault="006E7D7A" w:rsidP="00701EB9">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194</w:t>
                      </w:r>
                    </w:p>
                    <w:p w14:paraId="3CE1798F" w14:textId="77777777" w:rsidR="006E7D7A" w:rsidRDefault="006E7D7A" w:rsidP="00701EB9"/>
                    <w:p w14:paraId="3101359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671EF79" w14:textId="77777777" w:rsidR="006E7D7A" w:rsidRDefault="006E7D7A" w:rsidP="00701EB9"/>
                    <w:p w14:paraId="2BFCB3F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8912815" w14:textId="77777777" w:rsidR="006E7D7A" w:rsidRDefault="006E7D7A" w:rsidP="00701EB9"/>
                    <w:p w14:paraId="13BB7231"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9187CFF" w14:textId="77777777" w:rsidR="006E7D7A" w:rsidRDefault="006E7D7A" w:rsidP="00701EB9"/>
                    <w:p w14:paraId="5B800925"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9EBA75B" w14:textId="77777777" w:rsidR="006E7D7A" w:rsidRDefault="006E7D7A" w:rsidP="00701EB9"/>
                    <w:p w14:paraId="408042DF"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9245AC" w14:textId="77777777" w:rsidR="006E7D7A" w:rsidRDefault="006E7D7A" w:rsidP="00701EB9"/>
                    <w:p w14:paraId="6D879719"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5BC7C18" w14:textId="77777777" w:rsidR="006E7D7A" w:rsidRDefault="006E7D7A" w:rsidP="00701EB9"/>
                    <w:p w14:paraId="2AF14850" w14:textId="77777777" w:rsidR="006E7D7A" w:rsidRPr="001F0BA8" w:rsidRDefault="006E7D7A" w:rsidP="00701EB9">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9D7561" w:rsidRPr="00787196">
        <w:rPr>
          <w:noProof/>
        </w:rPr>
        <mc:AlternateContent>
          <mc:Choice Requires="wps">
            <w:drawing>
              <wp:anchor distT="0" distB="0" distL="114300" distR="114300" simplePos="0" relativeHeight="251664896" behindDoc="0" locked="0" layoutInCell="1" allowOverlap="1" wp14:anchorId="5591BE28" wp14:editId="45B335C9">
                <wp:simplePos x="0" y="0"/>
                <wp:positionH relativeFrom="column">
                  <wp:posOffset>766927</wp:posOffset>
                </wp:positionH>
                <wp:positionV relativeFrom="paragraph">
                  <wp:posOffset>47253</wp:posOffset>
                </wp:positionV>
                <wp:extent cx="947117" cy="440690"/>
                <wp:effectExtent l="0" t="0" r="24765" b="16510"/>
                <wp:wrapNone/>
                <wp:docPr id="31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117" cy="4406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BAEBB" w14:textId="447145BF"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Denture satisfaction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1BE28" id="_x0000_s1178" type="#_x0000_t202" style="position:absolute;left:0;text-align:left;margin-left:60.4pt;margin-top:3.7pt;width:74.6pt;height:34.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" filled="f" strokeweight="1pt">
                <v:textbox>
                  <w:txbxContent>
                    <w:p w14:paraId="3F1BAEBB" w14:textId="447145BF"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Denture satisfaction </w:t>
                      </w:r>
                    </w:p>
                  </w:txbxContent>
                </v:textbox>
              </v:shape>
            </w:pict>
          </mc:Fallback>
        </mc:AlternateContent>
      </w:r>
    </w:p>
    <w:p w14:paraId="54A58D9F" w14:textId="3E9E413E" w:rsidR="001377FB" w:rsidRPr="00787196" w:rsidRDefault="00BA7D46" w:rsidP="00755F46">
      <w:r w:rsidRPr="00787196">
        <w:rPr>
          <w:b/>
          <w:bCs/>
          <w:i/>
          <w:iCs/>
          <w:noProof/>
          <w:szCs w:val="24"/>
        </w:rPr>
        <mc:AlternateContent>
          <mc:Choice Requires="wps">
            <w:drawing>
              <wp:anchor distT="0" distB="0" distL="114300" distR="114300" simplePos="0" relativeHeight="251722240" behindDoc="0" locked="0" layoutInCell="1" allowOverlap="1" wp14:anchorId="3C1B2A38" wp14:editId="07234075">
                <wp:simplePos x="0" y="0"/>
                <wp:positionH relativeFrom="column">
                  <wp:posOffset>4309110</wp:posOffset>
                </wp:positionH>
                <wp:positionV relativeFrom="paragraph">
                  <wp:posOffset>305435</wp:posOffset>
                </wp:positionV>
                <wp:extent cx="552450" cy="0"/>
                <wp:effectExtent l="0" t="76200" r="19050" b="95250"/>
                <wp:wrapNone/>
                <wp:docPr id="39" name="Straight Arrow Connector 39"/>
                <wp:cNvGraphicFramePr/>
                <a:graphic xmlns:a="http://schemas.openxmlformats.org/drawingml/2006/main">
                  <a:graphicData uri="http://schemas.microsoft.com/office/word/2010/wordprocessingShape">
                    <wps:wsp>
                      <wps:cNvCnPr/>
                      <wps:spPr>
                        <a:xfrm>
                          <a:off x="0" y="0"/>
                          <a:ext cx="5524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FD3526" id="Straight Arrow Connector 39" o:spid="_x0000_s1026" type="#_x0000_t32" style="position:absolute;margin-left:339.3pt;margin-top:24.05pt;width:43.5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" strokecolor="black [3200]" strokeweight="1pt">
                <v:stroke endarrow="block" joinstyle="miter"/>
              </v:shape>
            </w:pict>
          </mc:Fallback>
        </mc:AlternateContent>
      </w:r>
      <w:r w:rsidR="00222EFB" w:rsidRPr="00787196">
        <w:rPr>
          <w:b/>
          <w:bCs/>
          <w:i/>
          <w:iCs/>
          <w:noProof/>
          <w:szCs w:val="24"/>
        </w:rPr>
        <mc:AlternateContent>
          <mc:Choice Requires="wps">
            <w:drawing>
              <wp:anchor distT="0" distB="0" distL="114300" distR="114300" simplePos="0" relativeHeight="251675136" behindDoc="0" locked="0" layoutInCell="1" allowOverlap="1" wp14:anchorId="24C5D62C" wp14:editId="6E6C7336">
                <wp:simplePos x="0" y="0"/>
                <wp:positionH relativeFrom="column">
                  <wp:posOffset>4118610</wp:posOffset>
                </wp:positionH>
                <wp:positionV relativeFrom="paragraph">
                  <wp:posOffset>67310</wp:posOffset>
                </wp:positionV>
                <wp:extent cx="3632200" cy="371161"/>
                <wp:effectExtent l="0" t="0" r="0" b="0"/>
                <wp:wrapNone/>
                <wp:docPr id="10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371161"/>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5673861F"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8ED4109" w14:textId="3D05B26C" w:rsidR="006E7D7A" w:rsidRPr="00F4030F" w:rsidRDefault="006E7D7A" w:rsidP="00222EFB">
                            <w:pPr>
                              <w:pStyle w:val="NormalWeb"/>
                              <w:bidi/>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lysis </w:t>
                            </w:r>
                            <w:r w:rsidRPr="00222EFB">
                              <w:rPr>
                                <w:rFonts w:ascii="Arial" w:hAnsi="Arial" w:cs="Arial"/>
                                <w:i/>
                                <w:iCs/>
                                <w:color w:val="000000"/>
                                <w:sz w:val="18"/>
                                <w:szCs w:val="18"/>
                                <w:lang w:val="en-GB"/>
                                <w14:textOutline w14:w="0" w14:cap="rnd" w14:cmpd="sng" w14:algn="ctr">
                                  <w14:solidFill>
                                    <w14:srgbClr w14:val="000000"/>
                                  </w14:solidFill>
                                  <w14:prstDash w14:val="solid"/>
                                  <w14:bevel/>
                                </w14:textOutline>
                              </w:rPr>
                              <w:t>p</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&lt; 0.05</w:t>
                            </w:r>
                          </w:p>
                          <w:p w14:paraId="30E4ADB8"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FE92F3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FC4C30B"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A7B5F13" w14:textId="77777777" w:rsidR="006E7D7A" w:rsidRDefault="006E7D7A" w:rsidP="0061436F"/>
                          <w:p w14:paraId="69FB5330"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9B338DE"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1B999416"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DD2D7F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CB540D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084F422" w14:textId="77777777" w:rsidR="006E7D7A" w:rsidRDefault="006E7D7A" w:rsidP="0061436F"/>
                          <w:p w14:paraId="6796A480"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931AEC6"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20AA77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DC7494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153532E"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4AAE77F" w14:textId="77777777" w:rsidR="006E7D7A" w:rsidRDefault="006E7D7A" w:rsidP="0061436F"/>
                          <w:p w14:paraId="0B7FE089"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D5A2BD"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75D1049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EAB516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D5ED02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96566F9" w14:textId="77777777" w:rsidR="006E7D7A" w:rsidRDefault="006E7D7A"/>
                          <w:p w14:paraId="614D72DE" w14:textId="42E80C4E"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33CA769"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ysis p &lt; 0.05</w:t>
                            </w:r>
                          </w:p>
                          <w:p w14:paraId="78EF67B8"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36AF25C"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8E07849"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673393A" w14:textId="77777777" w:rsidR="006E7D7A" w:rsidRDefault="006E7D7A" w:rsidP="0061436F"/>
                          <w:p w14:paraId="2D671C18"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7AD9D22"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A720815"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3ACC23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5A4188B"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34E4E6F" w14:textId="77777777" w:rsidR="006E7D7A" w:rsidRDefault="006E7D7A" w:rsidP="0061436F"/>
                          <w:p w14:paraId="0E23CC2C"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E5C7147"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B727A9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1D61633"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D1E7B7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5737560" w14:textId="77777777" w:rsidR="006E7D7A" w:rsidRDefault="006E7D7A" w:rsidP="0061436F"/>
                          <w:p w14:paraId="596AA1FD"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AD55700"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1577910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702FD3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8B96B71"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5D62C" id="_x0000_s1179" type="#_x0000_t202" style="position:absolute;left:0;text-align:left;margin-left:324.3pt;margin-top:5.3pt;width:286pt;height:2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" filled="f" stroked="f" strokeweight="1pt">
                <v:textbox>
                  <w:txbxContent>
                    <w:p w14:paraId="5673861F"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8ED4109" w14:textId="3D05B26C" w:rsidR="006E7D7A" w:rsidRPr="00F4030F" w:rsidRDefault="006E7D7A" w:rsidP="00222EFB">
                      <w:pPr>
                        <w:pStyle w:val="NormalWeb"/>
                        <w:bidi/>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lysis </w:t>
                      </w:r>
                      <w:r w:rsidRPr="00222EFB">
                        <w:rPr>
                          <w:rFonts w:ascii="Arial" w:hAnsi="Arial" w:cs="Arial"/>
                          <w:i/>
                          <w:iCs/>
                          <w:color w:val="000000"/>
                          <w:sz w:val="18"/>
                          <w:szCs w:val="18"/>
                          <w:lang w:val="en-GB"/>
                          <w14:textOutline w14:w="0" w14:cap="rnd" w14:cmpd="sng" w14:algn="ctr">
                            <w14:solidFill>
                              <w14:srgbClr w14:val="000000"/>
                            </w14:solidFill>
                            <w14:prstDash w14:val="solid"/>
                            <w14:bevel/>
                          </w14:textOutline>
                        </w:rPr>
                        <w:t>p</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&lt; 0.05</w:t>
                      </w:r>
                    </w:p>
                    <w:p w14:paraId="30E4ADB8"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FE92F3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FC4C30B"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A7B5F13" w14:textId="77777777" w:rsidR="006E7D7A" w:rsidRDefault="006E7D7A" w:rsidP="0061436F"/>
                    <w:p w14:paraId="69FB5330"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9B338DE"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1B999416"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DD2D7F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CB540D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084F422" w14:textId="77777777" w:rsidR="006E7D7A" w:rsidRDefault="006E7D7A" w:rsidP="0061436F"/>
                    <w:p w14:paraId="6796A480"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931AEC6"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20AA77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DC7494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153532E"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4AAE77F" w14:textId="77777777" w:rsidR="006E7D7A" w:rsidRDefault="006E7D7A" w:rsidP="0061436F"/>
                    <w:p w14:paraId="0B7FE089"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D5A2BD"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75D1049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EAB516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D5ED02F"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96566F9" w14:textId="77777777" w:rsidR="006E7D7A" w:rsidRDefault="006E7D7A"/>
                    <w:p w14:paraId="614D72DE" w14:textId="42E80C4E"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33CA769"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ysis p &lt; 0.05</w:t>
                      </w:r>
                    </w:p>
                    <w:p w14:paraId="78EF67B8"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36AF25C"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8E07849"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673393A" w14:textId="77777777" w:rsidR="006E7D7A" w:rsidRDefault="006E7D7A" w:rsidP="0061436F"/>
                    <w:p w14:paraId="2D671C18"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7AD9D22"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A720815"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3ACC23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5A4188B"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34E4E6F" w14:textId="77777777" w:rsidR="006E7D7A" w:rsidRDefault="006E7D7A" w:rsidP="0061436F"/>
                    <w:p w14:paraId="0E23CC2C"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E5C7147"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B727A9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1D61633"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D1E7B77"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5737560" w14:textId="77777777" w:rsidR="006E7D7A" w:rsidRDefault="006E7D7A" w:rsidP="0061436F"/>
                    <w:p w14:paraId="596AA1FD" w14:textId="77777777" w:rsidR="006E7D7A"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AD55700" w14:textId="77777777" w:rsidR="006E7D7A" w:rsidRPr="00F4030F" w:rsidRDefault="006E7D7A" w:rsidP="0061436F">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15779104"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702FD3A"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8B96B71" w14:textId="77777777" w:rsidR="006E7D7A" w:rsidRPr="00D4773B" w:rsidRDefault="006E7D7A" w:rsidP="0061436F">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txbxContent>
                </v:textbox>
              </v:shape>
            </w:pict>
          </mc:Fallback>
        </mc:AlternateContent>
      </w:r>
      <w:r w:rsidR="004C5CF2" w:rsidRPr="00787196">
        <w:rPr>
          <w:noProof/>
        </w:rPr>
        <mc:AlternateContent>
          <mc:Choice Requires="wps">
            <w:drawing>
              <wp:anchor distT="0" distB="0" distL="114300" distR="114300" simplePos="0" relativeHeight="251665920" behindDoc="0" locked="0" layoutInCell="1" allowOverlap="1" wp14:anchorId="4724F9D1" wp14:editId="518CCCFC">
                <wp:simplePos x="0" y="0"/>
                <wp:positionH relativeFrom="column">
                  <wp:posOffset>750526</wp:posOffset>
                </wp:positionH>
                <wp:positionV relativeFrom="paragraph">
                  <wp:posOffset>351506</wp:posOffset>
                </wp:positionV>
                <wp:extent cx="946785" cy="440690"/>
                <wp:effectExtent l="0" t="0" r="24765" b="16510"/>
                <wp:wrapNone/>
                <wp:docPr id="313"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40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8537B" w14:textId="070408E4" w:rsidR="006E7D7A" w:rsidRPr="001F0BA8" w:rsidRDefault="006E7D7A" w:rsidP="00116234">
                            <w:pPr>
                              <w:pStyle w:val="NormalWeb"/>
                              <w:spacing w:before="0" w:beforeAutospacing="0" w:after="0" w:afterAutospacing="0"/>
                              <w:jc w:val="center"/>
                              <w:textAlignment w:val="baseline"/>
                              <w:rPr>
                                <w:rFonts w:ascii="Arial" w:hAnsi="Arial" w:cs="Arial"/>
                                <w:color w:val="000000"/>
                                <w:sz w:val="18"/>
                                <w:szCs w:val="18"/>
                                <w:lang w:val="en-GB"/>
                              </w:rPr>
                            </w:pPr>
                            <w:r w:rsidRPr="00614243">
                              <w:rPr>
                                <w:rFonts w:ascii="Arial" w:hAnsi="Arial" w:cs="Arial"/>
                                <w:color w:val="000000"/>
                                <w:sz w:val="20"/>
                                <w:szCs w:val="20"/>
                                <w:lang w:val="en-GB"/>
                              </w:rPr>
                              <w:t>Chewing ability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4F9D1" id="_x0000_s1180" type="#_x0000_t202" style="position:absolute;left:0;text-align:left;margin-left:59.1pt;margin-top:27.7pt;width:74.55pt;height:3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" filled="f">
                <v:textbox>
                  <w:txbxContent>
                    <w:p w14:paraId="0528537B" w14:textId="070408E4" w:rsidR="006E7D7A" w:rsidRPr="001F0BA8" w:rsidRDefault="006E7D7A" w:rsidP="00116234">
                      <w:pPr>
                        <w:pStyle w:val="NormalWeb"/>
                        <w:spacing w:before="0" w:beforeAutospacing="0" w:after="0" w:afterAutospacing="0"/>
                        <w:jc w:val="center"/>
                        <w:textAlignment w:val="baseline"/>
                        <w:rPr>
                          <w:rFonts w:ascii="Arial" w:hAnsi="Arial" w:cs="Arial"/>
                          <w:color w:val="000000"/>
                          <w:sz w:val="18"/>
                          <w:szCs w:val="18"/>
                          <w:lang w:val="en-GB"/>
                        </w:rPr>
                      </w:pPr>
                      <w:r w:rsidRPr="00614243">
                        <w:rPr>
                          <w:rFonts w:ascii="Arial" w:hAnsi="Arial" w:cs="Arial"/>
                          <w:color w:val="000000"/>
                          <w:sz w:val="20"/>
                          <w:szCs w:val="20"/>
                          <w:lang w:val="en-GB"/>
                        </w:rPr>
                        <w:t>Chewing ability</w:t>
                      </w:r>
                    </w:p>
                  </w:txbxContent>
                </v:textbox>
              </v:shape>
            </w:pict>
          </mc:Fallback>
        </mc:AlternateContent>
      </w:r>
    </w:p>
    <w:p w14:paraId="54ADB502" w14:textId="2AFB3508" w:rsidR="001377FB" w:rsidRPr="00787196" w:rsidRDefault="00B21836" w:rsidP="00B21836">
      <w:pPr>
        <w:pStyle w:val="Caption"/>
        <w:spacing w:line="360" w:lineRule="auto"/>
        <w:jc w:val="center"/>
        <w:rPr>
          <w:b/>
          <w:bCs/>
          <w:i w:val="0"/>
          <w:iCs w:val="0"/>
          <w:sz w:val="24"/>
          <w:szCs w:val="24"/>
        </w:rPr>
      </w:pPr>
      <w:bookmarkStart w:id="325" w:name="_Toc488655592"/>
      <w:r w:rsidRPr="00787196">
        <w:rPr>
          <w:b/>
          <w:bCs/>
          <w:i w:val="0"/>
          <w:iCs w:val="0"/>
          <w:noProof/>
          <w:sz w:val="24"/>
          <w:szCs w:val="24"/>
        </w:rPr>
        <w:lastRenderedPageBreak/>
        <mc:AlternateContent>
          <mc:Choice Requires="wps">
            <w:drawing>
              <wp:anchor distT="0" distB="0" distL="114300" distR="114300" simplePos="0" relativeHeight="251662848" behindDoc="0" locked="0" layoutInCell="1" allowOverlap="1" wp14:anchorId="59EE8057" wp14:editId="21A0CED1">
                <wp:simplePos x="0" y="0"/>
                <wp:positionH relativeFrom="column">
                  <wp:posOffset>6319490</wp:posOffset>
                </wp:positionH>
                <wp:positionV relativeFrom="paragraph">
                  <wp:posOffset>353695</wp:posOffset>
                </wp:positionV>
                <wp:extent cx="1257300" cy="333024"/>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257300" cy="333024"/>
                        </a:xfrm>
                        <a:prstGeom prst="rect">
                          <a:avLst/>
                        </a:prstGeom>
                        <a:noFill/>
                        <a:ln w="6350">
                          <a:noFill/>
                        </a:ln>
                      </wps:spPr>
                      <wps:txbx>
                        <w:txbxContent>
                          <w:p w14:paraId="1F2ED988" w14:textId="18043690" w:rsidR="006E7D7A" w:rsidRPr="0061436F" w:rsidRDefault="006E7D7A" w:rsidP="00433A88">
                            <w:pPr>
                              <w:spacing w:before="0" w:after="0" w:line="240" w:lineRule="auto"/>
                              <w:rPr>
                                <w:b/>
                                <w:bCs/>
                                <w:sz w:val="28"/>
                                <w:szCs w:val="28"/>
                              </w:rPr>
                            </w:pPr>
                            <w:r w:rsidRPr="0061436F">
                              <w:rPr>
                                <w:b/>
                                <w:bCs/>
                                <w:sz w:val="28"/>
                                <w:szCs w:val="28"/>
                              </w:rPr>
                              <w:t>FOLLOW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E8057" id="Text Box 220" o:spid="_x0000_s1181" type="#_x0000_t202" style="position:absolute;left:0;text-align:left;margin-left:497.6pt;margin-top:27.85pt;width:99pt;height:26.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" filled="f" stroked="f" strokeweight=".5pt">
                <v:textbox>
                  <w:txbxContent>
                    <w:p w14:paraId="1F2ED988" w14:textId="18043690" w:rsidR="006E7D7A" w:rsidRPr="0061436F" w:rsidRDefault="006E7D7A" w:rsidP="00433A88">
                      <w:pPr>
                        <w:spacing w:before="0" w:after="0" w:line="240" w:lineRule="auto"/>
                        <w:rPr>
                          <w:b/>
                          <w:bCs/>
                          <w:sz w:val="28"/>
                          <w:szCs w:val="28"/>
                        </w:rPr>
                      </w:pPr>
                      <w:r w:rsidRPr="0061436F">
                        <w:rPr>
                          <w:b/>
                          <w:bCs/>
                          <w:sz w:val="28"/>
                          <w:szCs w:val="28"/>
                        </w:rPr>
                        <w:t>FOLLOW UP</w:t>
                      </w:r>
                    </w:p>
                  </w:txbxContent>
                </v:textbox>
              </v:shape>
            </w:pict>
          </mc:Fallback>
        </mc:AlternateContent>
      </w:r>
      <w:r w:rsidRPr="00787196">
        <w:rPr>
          <w:b/>
          <w:bCs/>
          <w:i w:val="0"/>
          <w:iCs w:val="0"/>
          <w:noProof/>
          <w:sz w:val="24"/>
          <w:szCs w:val="24"/>
        </w:rPr>
        <mc:AlternateContent>
          <mc:Choice Requires="wps">
            <w:drawing>
              <wp:anchor distT="0" distB="0" distL="114300" distR="114300" simplePos="0" relativeHeight="251661824" behindDoc="0" locked="0" layoutInCell="1" allowOverlap="1" wp14:anchorId="27D84AB5" wp14:editId="312AF7A7">
                <wp:simplePos x="0" y="0"/>
                <wp:positionH relativeFrom="column">
                  <wp:posOffset>941070</wp:posOffset>
                </wp:positionH>
                <wp:positionV relativeFrom="paragraph">
                  <wp:posOffset>346178</wp:posOffset>
                </wp:positionV>
                <wp:extent cx="1244950" cy="409904"/>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244950" cy="409904"/>
                        </a:xfrm>
                        <a:custGeom>
                          <a:avLst/>
                          <a:gdLst>
                            <a:gd name="connsiteX0" fmla="*/ 0 w 1052918"/>
                            <a:gd name="connsiteY0" fmla="*/ 0 h 236482"/>
                            <a:gd name="connsiteX1" fmla="*/ 1052918 w 1052918"/>
                            <a:gd name="connsiteY1" fmla="*/ 0 h 236482"/>
                            <a:gd name="connsiteX2" fmla="*/ 1052918 w 1052918"/>
                            <a:gd name="connsiteY2" fmla="*/ 236482 h 236482"/>
                            <a:gd name="connsiteX3" fmla="*/ 0 w 1052918"/>
                            <a:gd name="connsiteY3" fmla="*/ 236482 h 236482"/>
                            <a:gd name="connsiteX4" fmla="*/ 0 w 1052918"/>
                            <a:gd name="connsiteY4" fmla="*/ 0 h 236482"/>
                            <a:gd name="connsiteX0" fmla="*/ 0 w 1052918"/>
                            <a:gd name="connsiteY0" fmla="*/ 0 h 236482"/>
                            <a:gd name="connsiteX1" fmla="*/ 1052918 w 1052918"/>
                            <a:gd name="connsiteY1" fmla="*/ 0 h 236482"/>
                            <a:gd name="connsiteX2" fmla="*/ 1052918 w 1052918"/>
                            <a:gd name="connsiteY2" fmla="*/ 236482 h 236482"/>
                            <a:gd name="connsiteX3" fmla="*/ 0 w 1052918"/>
                            <a:gd name="connsiteY3" fmla="*/ 236482 h 236482"/>
                            <a:gd name="connsiteX4" fmla="*/ 15766 w 1052918"/>
                            <a:gd name="connsiteY4" fmla="*/ 126124 h 236482"/>
                            <a:gd name="connsiteX5" fmla="*/ 0 w 1052918"/>
                            <a:gd name="connsiteY5" fmla="*/ 0 h 236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2918" h="236482">
                              <a:moveTo>
                                <a:pt x="0" y="0"/>
                              </a:moveTo>
                              <a:lnTo>
                                <a:pt x="1052918" y="0"/>
                              </a:lnTo>
                              <a:lnTo>
                                <a:pt x="1052918" y="236482"/>
                              </a:lnTo>
                              <a:lnTo>
                                <a:pt x="0" y="236482"/>
                              </a:lnTo>
                              <a:lnTo>
                                <a:pt x="15766" y="126124"/>
                              </a:lnTo>
                              <a:lnTo>
                                <a:pt x="0" y="0"/>
                              </a:lnTo>
                              <a:close/>
                            </a:path>
                          </a:pathLst>
                        </a:custGeom>
                        <a:noFill/>
                        <a:ln w="6350">
                          <a:noFill/>
                        </a:ln>
                      </wps:spPr>
                      <wps:txbx>
                        <w:txbxContent>
                          <w:p w14:paraId="294AD30B" w14:textId="00000FD4" w:rsidR="006E7D7A" w:rsidRPr="0061436F" w:rsidRDefault="006E7D7A" w:rsidP="00433A88">
                            <w:pPr>
                              <w:spacing w:before="0" w:after="0" w:line="240" w:lineRule="auto"/>
                              <w:rPr>
                                <w:b/>
                                <w:bCs/>
                                <w:sz w:val="28"/>
                                <w:szCs w:val="28"/>
                              </w:rPr>
                            </w:pPr>
                            <w:r w:rsidRPr="0061436F">
                              <w:rPr>
                                <w:b/>
                                <w:bCs/>
                                <w:sz w:val="28"/>
                                <w:szCs w:val="28"/>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84AB5" id="Text Box 219" o:spid="_x0000_s1182" style="position:absolute;left:0;text-align:left;margin-left:74.1pt;margin-top:27.25pt;width:98.05pt;height:3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2918,2364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" adj="-11796480,,5400" path="m,l1052918,r,236482l,236482,15766,126124,,xe" filled="f" stroked="f" strokeweight=".5pt">
                <v:stroke joinstyle="miter"/>
                <v:formulas/>
                <v:path arrowok="t" o:connecttype="custom" o:connectlocs="0,0;1244950,0;1244950,409904;0,409904;18641,218616;0,0" o:connectangles="0,0,0,0,0,0" textboxrect="0,0,1052918,236482"/>
                <v:textbox>
                  <w:txbxContent>
                    <w:p w14:paraId="294AD30B" w14:textId="00000FD4" w:rsidR="006E7D7A" w:rsidRPr="0061436F" w:rsidRDefault="006E7D7A" w:rsidP="00433A88">
                      <w:pPr>
                        <w:spacing w:before="0" w:after="0" w:line="240" w:lineRule="auto"/>
                        <w:rPr>
                          <w:b/>
                          <w:bCs/>
                          <w:sz w:val="28"/>
                          <w:szCs w:val="28"/>
                        </w:rPr>
                      </w:pPr>
                      <w:r w:rsidRPr="0061436F">
                        <w:rPr>
                          <w:b/>
                          <w:bCs/>
                          <w:sz w:val="28"/>
                          <w:szCs w:val="28"/>
                        </w:rPr>
                        <w:t>BASELINE</w:t>
                      </w:r>
                    </w:p>
                  </w:txbxContent>
                </v:textbox>
              </v:shape>
            </w:pict>
          </mc:Fallback>
        </mc:AlternateContent>
      </w:r>
      <w:r w:rsidRPr="00787196">
        <w:rPr>
          <w:b/>
          <w:bCs/>
          <w:i w:val="0"/>
          <w:iCs w:val="0"/>
          <w:color w:val="000000" w:themeColor="text1"/>
          <w:sz w:val="24"/>
          <w:szCs w:val="24"/>
        </w:rPr>
        <w:t xml:space="preserve">Figure </w:t>
      </w:r>
      <w:r w:rsidR="00786B0E" w:rsidRPr="00787196">
        <w:rPr>
          <w:b/>
          <w:bCs/>
          <w:i w:val="0"/>
          <w:iCs w:val="0"/>
          <w:color w:val="000000" w:themeColor="text1"/>
          <w:sz w:val="24"/>
          <w:szCs w:val="24"/>
        </w:rPr>
        <w:fldChar w:fldCharType="begin"/>
      </w:r>
      <w:r w:rsidR="00786B0E" w:rsidRPr="00787196">
        <w:rPr>
          <w:b/>
          <w:bCs/>
          <w:i w:val="0"/>
          <w:iCs w:val="0"/>
          <w:color w:val="000000" w:themeColor="text1"/>
          <w:sz w:val="24"/>
          <w:szCs w:val="24"/>
        </w:rPr>
        <w:instrText xml:space="preserve"> STYLEREF 1 \s </w:instrText>
      </w:r>
      <w:r w:rsidR="00786B0E" w:rsidRPr="00787196">
        <w:rPr>
          <w:b/>
          <w:bCs/>
          <w:i w:val="0"/>
          <w:iCs w:val="0"/>
          <w:color w:val="000000" w:themeColor="text1"/>
          <w:sz w:val="24"/>
          <w:szCs w:val="24"/>
        </w:rPr>
        <w:fldChar w:fldCharType="separate"/>
      </w:r>
      <w:r w:rsidR="00C069BC" w:rsidRPr="00787196">
        <w:rPr>
          <w:b/>
          <w:bCs/>
          <w:i w:val="0"/>
          <w:iCs w:val="0"/>
          <w:noProof/>
          <w:color w:val="000000" w:themeColor="text1"/>
          <w:sz w:val="24"/>
          <w:szCs w:val="24"/>
        </w:rPr>
        <w:t>5</w:t>
      </w:r>
      <w:r w:rsidR="00786B0E" w:rsidRPr="00787196">
        <w:rPr>
          <w:b/>
          <w:bCs/>
          <w:i w:val="0"/>
          <w:iCs w:val="0"/>
          <w:color w:val="000000" w:themeColor="text1"/>
          <w:sz w:val="24"/>
          <w:szCs w:val="24"/>
        </w:rPr>
        <w:fldChar w:fldCharType="end"/>
      </w:r>
      <w:r w:rsidR="00786B0E" w:rsidRPr="00787196">
        <w:rPr>
          <w:b/>
          <w:bCs/>
          <w:i w:val="0"/>
          <w:iCs w:val="0"/>
          <w:color w:val="000000" w:themeColor="text1"/>
          <w:sz w:val="24"/>
          <w:szCs w:val="24"/>
        </w:rPr>
        <w:noBreakHyphen/>
      </w:r>
      <w:r w:rsidR="00786B0E" w:rsidRPr="00787196">
        <w:rPr>
          <w:b/>
          <w:bCs/>
          <w:i w:val="0"/>
          <w:iCs w:val="0"/>
          <w:color w:val="000000" w:themeColor="text1"/>
          <w:sz w:val="24"/>
          <w:szCs w:val="24"/>
        </w:rPr>
        <w:fldChar w:fldCharType="begin"/>
      </w:r>
      <w:r w:rsidR="00786B0E" w:rsidRPr="00787196">
        <w:rPr>
          <w:b/>
          <w:bCs/>
          <w:i w:val="0"/>
          <w:iCs w:val="0"/>
          <w:color w:val="000000" w:themeColor="text1"/>
          <w:sz w:val="24"/>
          <w:szCs w:val="24"/>
        </w:rPr>
        <w:instrText xml:space="preserve"> SEQ Figure \* ARABIC \s 1 </w:instrText>
      </w:r>
      <w:r w:rsidR="00786B0E" w:rsidRPr="00787196">
        <w:rPr>
          <w:b/>
          <w:bCs/>
          <w:i w:val="0"/>
          <w:iCs w:val="0"/>
          <w:color w:val="000000" w:themeColor="text1"/>
          <w:sz w:val="24"/>
          <w:szCs w:val="24"/>
        </w:rPr>
        <w:fldChar w:fldCharType="separate"/>
      </w:r>
      <w:r w:rsidR="00C069BC" w:rsidRPr="00787196">
        <w:rPr>
          <w:b/>
          <w:bCs/>
          <w:i w:val="0"/>
          <w:iCs w:val="0"/>
          <w:noProof/>
          <w:color w:val="000000" w:themeColor="text1"/>
          <w:sz w:val="24"/>
          <w:szCs w:val="24"/>
        </w:rPr>
        <w:t>6</w:t>
      </w:r>
      <w:r w:rsidR="00786B0E" w:rsidRPr="00787196">
        <w:rPr>
          <w:b/>
          <w:bCs/>
          <w:i w:val="0"/>
          <w:iCs w:val="0"/>
          <w:color w:val="000000" w:themeColor="text1"/>
          <w:sz w:val="24"/>
          <w:szCs w:val="24"/>
        </w:rPr>
        <w:fldChar w:fldCharType="end"/>
      </w:r>
      <w:r w:rsidRPr="00787196">
        <w:rPr>
          <w:b/>
          <w:bCs/>
          <w:i w:val="0"/>
          <w:iCs w:val="0"/>
          <w:color w:val="000000" w:themeColor="text1"/>
          <w:sz w:val="24"/>
          <w:szCs w:val="24"/>
        </w:rPr>
        <w:t>. Summary of predictors of coping strategies at follow-up T2</w:t>
      </w:r>
      <w:bookmarkEnd w:id="325"/>
    </w:p>
    <w:p w14:paraId="639D9FC8" w14:textId="20860740" w:rsidR="00962C4D" w:rsidRPr="00787196" w:rsidRDefault="00B21836" w:rsidP="004C5CF2">
      <w:pPr>
        <w:tabs>
          <w:tab w:val="left" w:pos="9906"/>
        </w:tabs>
      </w:pPr>
      <w:r w:rsidRPr="00787196">
        <w:rPr>
          <w:noProof/>
        </w:rPr>
        <mc:AlternateContent>
          <mc:Choice Requires="wps">
            <w:drawing>
              <wp:anchor distT="0" distB="0" distL="114300" distR="114300" simplePos="0" relativeHeight="251683328" behindDoc="0" locked="0" layoutInCell="1" allowOverlap="1" wp14:anchorId="5DC8DCF3" wp14:editId="586B7F55">
                <wp:simplePos x="0" y="0"/>
                <wp:positionH relativeFrom="column">
                  <wp:posOffset>777240</wp:posOffset>
                </wp:positionH>
                <wp:positionV relativeFrom="paragraph">
                  <wp:posOffset>241994</wp:posOffset>
                </wp:positionV>
                <wp:extent cx="1591945" cy="252007"/>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591945" cy="252007"/>
                        </a:xfrm>
                        <a:prstGeom prst="rect">
                          <a:avLst/>
                        </a:prstGeom>
                        <a:noFill/>
                        <a:ln w="6350">
                          <a:noFill/>
                        </a:ln>
                      </wps:spPr>
                      <wps:txbx>
                        <w:txbxContent>
                          <w:p w14:paraId="2E0E105B" w14:textId="4F181643" w:rsidR="006E7D7A" w:rsidRPr="0061436F" w:rsidRDefault="006E7D7A" w:rsidP="00433A88">
                            <w:pPr>
                              <w:spacing w:before="0" w:after="0" w:line="240" w:lineRule="auto"/>
                              <w:rPr>
                                <w:b/>
                                <w:bCs/>
                              </w:rPr>
                            </w:pPr>
                            <w:r>
                              <w:rPr>
                                <w:b/>
                                <w:bCs/>
                              </w:rPr>
                              <w:t>CLINICAL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DCF3" id="Text Box 214" o:spid="_x0000_s1183" type="#_x0000_t202" style="position:absolute;left:0;text-align:left;margin-left:61.2pt;margin-top:19.05pt;width:125.3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" filled="f" stroked="f" strokeweight=".5pt">
                <v:textbox>
                  <w:txbxContent>
                    <w:p w14:paraId="2E0E105B" w14:textId="4F181643" w:rsidR="006E7D7A" w:rsidRPr="0061436F" w:rsidRDefault="006E7D7A" w:rsidP="00433A88">
                      <w:pPr>
                        <w:spacing w:before="0" w:after="0" w:line="240" w:lineRule="auto"/>
                        <w:rPr>
                          <w:b/>
                          <w:bCs/>
                        </w:rPr>
                      </w:pPr>
                      <w:r>
                        <w:rPr>
                          <w:b/>
                          <w:bCs/>
                        </w:rPr>
                        <w:t>CLINICAL STATUS</w:t>
                      </w:r>
                    </w:p>
                  </w:txbxContent>
                </v:textbox>
              </v:shape>
            </w:pict>
          </mc:Fallback>
        </mc:AlternateContent>
      </w:r>
      <w:r w:rsidRPr="00787196">
        <w:rPr>
          <w:noProof/>
        </w:rPr>
        <mc:AlternateContent>
          <mc:Choice Requires="wps">
            <w:drawing>
              <wp:anchor distT="0" distB="0" distL="114300" distR="114300" simplePos="0" relativeHeight="251682304" behindDoc="0" locked="0" layoutInCell="1" allowOverlap="1" wp14:anchorId="4AC5B13B" wp14:editId="2F00CC87">
                <wp:simplePos x="0" y="0"/>
                <wp:positionH relativeFrom="column">
                  <wp:posOffset>572135</wp:posOffset>
                </wp:positionH>
                <wp:positionV relativeFrom="paragraph">
                  <wp:posOffset>211736</wp:posOffset>
                </wp:positionV>
                <wp:extent cx="1922780" cy="1867141"/>
                <wp:effectExtent l="0" t="0" r="20320" b="19050"/>
                <wp:wrapNone/>
                <wp:docPr id="212" name="Rectangle 212"/>
                <wp:cNvGraphicFramePr/>
                <a:graphic xmlns:a="http://schemas.openxmlformats.org/drawingml/2006/main">
                  <a:graphicData uri="http://schemas.microsoft.com/office/word/2010/wordprocessingShape">
                    <wps:wsp>
                      <wps:cNvSpPr/>
                      <wps:spPr>
                        <a:xfrm>
                          <a:off x="0" y="0"/>
                          <a:ext cx="1922780" cy="1867141"/>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6CA0" id="Rectangle 212" o:spid="_x0000_s1026" style="position:absolute;margin-left:45.05pt;margin-top:16.65pt;width:151.4pt;height:1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" fillcolor="window" strokecolor="windowText" strokeweight="1pt">
                <v:stroke dashstyle="dash"/>
              </v:rect>
            </w:pict>
          </mc:Fallback>
        </mc:AlternateContent>
      </w:r>
    </w:p>
    <w:p w14:paraId="16D2A1A4" w14:textId="7AD6C892" w:rsidR="00D82C9F" w:rsidRPr="00787196" w:rsidRDefault="00116234" w:rsidP="00755F46">
      <w:r w:rsidRPr="00787196">
        <w:rPr>
          <w:noProof/>
        </w:rPr>
        <mc:AlternateContent>
          <mc:Choice Requires="wps">
            <w:drawing>
              <wp:anchor distT="0" distB="0" distL="114300" distR="114300" simplePos="0" relativeHeight="251689472" behindDoc="0" locked="0" layoutInCell="1" allowOverlap="1" wp14:anchorId="1C3B97B2" wp14:editId="4CB3190E">
                <wp:simplePos x="0" y="0"/>
                <wp:positionH relativeFrom="column">
                  <wp:posOffset>2218675</wp:posOffset>
                </wp:positionH>
                <wp:positionV relativeFrom="paragraph">
                  <wp:posOffset>302128</wp:posOffset>
                </wp:positionV>
                <wp:extent cx="4185917" cy="893258"/>
                <wp:effectExtent l="0" t="0" r="81915" b="78740"/>
                <wp:wrapNone/>
                <wp:docPr id="238" name="Straight Arrow Connector 238"/>
                <wp:cNvGraphicFramePr/>
                <a:graphic xmlns:a="http://schemas.openxmlformats.org/drawingml/2006/main">
                  <a:graphicData uri="http://schemas.microsoft.com/office/word/2010/wordprocessingShape">
                    <wps:wsp>
                      <wps:cNvCnPr/>
                      <wps:spPr>
                        <a:xfrm>
                          <a:off x="0" y="0"/>
                          <a:ext cx="4185917" cy="89325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796DF" id="Straight Arrow Connector 238" o:spid="_x0000_s1026" type="#_x0000_t32" style="position:absolute;margin-left:174.7pt;margin-top:23.8pt;width:329.6pt;height:70.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" strokecolor="black [3200]" strokeweight="1pt">
                <v:stroke endarrow="block" joinstyle="miter"/>
              </v:shape>
            </w:pict>
          </mc:Fallback>
        </mc:AlternateContent>
      </w:r>
      <w:r w:rsidR="00AF5347" w:rsidRPr="00787196">
        <w:rPr>
          <w:noProof/>
        </w:rPr>
        <mc:AlternateContent>
          <mc:Choice Requires="wps">
            <w:drawing>
              <wp:anchor distT="0" distB="0" distL="114300" distR="114300" simplePos="0" relativeHeight="251702784" behindDoc="0" locked="0" layoutInCell="1" allowOverlap="1" wp14:anchorId="7C411967" wp14:editId="0DD508E7">
                <wp:simplePos x="0" y="0"/>
                <wp:positionH relativeFrom="column">
                  <wp:posOffset>3148012</wp:posOffset>
                </wp:positionH>
                <wp:positionV relativeFrom="paragraph">
                  <wp:posOffset>323533</wp:posOffset>
                </wp:positionV>
                <wp:extent cx="863600" cy="271145"/>
                <wp:effectExtent l="0" t="0" r="0" b="0"/>
                <wp:wrapNone/>
                <wp:docPr id="265"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B2CC202" w14:textId="2F5B19FB"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170</w:t>
                            </w:r>
                          </w:p>
                          <w:p w14:paraId="7F1BCABF" w14:textId="77777777" w:rsidR="006E7D7A" w:rsidRDefault="006E7D7A" w:rsidP="00AF5347"/>
                          <w:p w14:paraId="683E03A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204BFC" w14:textId="77777777" w:rsidR="006E7D7A" w:rsidRDefault="006E7D7A" w:rsidP="00AF5347"/>
                          <w:p w14:paraId="280FBC3E"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EB56B1D" w14:textId="77777777" w:rsidR="006E7D7A" w:rsidRDefault="006E7D7A" w:rsidP="00AF5347"/>
                          <w:p w14:paraId="10DB3A83"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5607A8C" w14:textId="77777777" w:rsidR="006E7D7A" w:rsidRDefault="006E7D7A" w:rsidP="00AF5347"/>
                          <w:p w14:paraId="214A273A"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CF91CB" w14:textId="77777777" w:rsidR="006E7D7A" w:rsidRDefault="006E7D7A" w:rsidP="00AF5347"/>
                          <w:p w14:paraId="1A18FBA7"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7B0684" w14:textId="77777777" w:rsidR="006E7D7A" w:rsidRDefault="006E7D7A" w:rsidP="00AF5347"/>
                          <w:p w14:paraId="49B5CF6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EE31110" w14:textId="77777777" w:rsidR="006E7D7A" w:rsidRDefault="006E7D7A" w:rsidP="00AF5347"/>
                          <w:p w14:paraId="481280C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11967" id="_x0000_s1184" type="#_x0000_t202" style="position:absolute;left:0;text-align:left;margin-left:247.85pt;margin-top:25.5pt;width:68pt;height:2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" filled="f" stroked="f">
                <v:textbox>
                  <w:txbxContent>
                    <w:p w14:paraId="7B2CC202" w14:textId="2F5B19FB"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170</w:t>
                      </w:r>
                    </w:p>
                    <w:p w14:paraId="7F1BCABF" w14:textId="77777777" w:rsidR="006E7D7A" w:rsidRDefault="006E7D7A" w:rsidP="00AF5347"/>
                    <w:p w14:paraId="683E03A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E204BFC" w14:textId="77777777" w:rsidR="006E7D7A" w:rsidRDefault="006E7D7A" w:rsidP="00AF5347"/>
                    <w:p w14:paraId="280FBC3E"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EB56B1D" w14:textId="77777777" w:rsidR="006E7D7A" w:rsidRDefault="006E7D7A" w:rsidP="00AF5347"/>
                    <w:p w14:paraId="10DB3A83"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5607A8C" w14:textId="77777777" w:rsidR="006E7D7A" w:rsidRDefault="006E7D7A" w:rsidP="00AF5347"/>
                    <w:p w14:paraId="214A273A"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CF91CB" w14:textId="77777777" w:rsidR="006E7D7A" w:rsidRDefault="006E7D7A" w:rsidP="00AF5347"/>
                    <w:p w14:paraId="1A18FBA7"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7B0684" w14:textId="77777777" w:rsidR="006E7D7A" w:rsidRDefault="006E7D7A" w:rsidP="00AF5347"/>
                    <w:p w14:paraId="49B5CF6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EE31110" w14:textId="77777777" w:rsidR="006E7D7A" w:rsidRDefault="006E7D7A" w:rsidP="00AF5347"/>
                    <w:p w14:paraId="481280C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307EFB" w:rsidRPr="00787196">
        <w:rPr>
          <w:noProof/>
        </w:rPr>
        <mc:AlternateContent>
          <mc:Choice Requires="wps">
            <w:drawing>
              <wp:anchor distT="0" distB="0" distL="114300" distR="114300" simplePos="0" relativeHeight="251685376" behindDoc="0" locked="0" layoutInCell="1" allowOverlap="1" wp14:anchorId="7BD62BC0" wp14:editId="40C33F17">
                <wp:simplePos x="0" y="0"/>
                <wp:positionH relativeFrom="column">
                  <wp:posOffset>814705</wp:posOffset>
                </wp:positionH>
                <wp:positionV relativeFrom="paragraph">
                  <wp:posOffset>32385</wp:posOffset>
                </wp:positionV>
                <wp:extent cx="1402146" cy="499110"/>
                <wp:effectExtent l="0" t="0" r="26670" b="15240"/>
                <wp:wrapNone/>
                <wp:docPr id="217"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146" cy="49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EF737" w14:textId="001D9516"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Prosthetic Rx need </w:t>
                            </w:r>
                            <w:r>
                              <w:rPr>
                                <w:rFonts w:ascii="Arial" w:hAnsi="Arial" w:cs="Arial"/>
                                <w:color w:val="000000"/>
                                <w:sz w:val="20"/>
                                <w:szCs w:val="20"/>
                                <w:lang w:val="en-GB"/>
                              </w:rPr>
                              <w:t>(</w:t>
                            </w:r>
                            <w:r w:rsidRPr="00614243">
                              <w:rPr>
                                <w:rFonts w:ascii="Arial" w:hAnsi="Arial" w:cs="Arial"/>
                                <w:color w:val="000000"/>
                                <w:sz w:val="20"/>
                                <w:szCs w:val="20"/>
                                <w:lang w:val="en-GB"/>
                              </w:rPr>
                              <w:t>upper</w:t>
                            </w:r>
                            <w:r>
                              <w:rPr>
                                <w:rFonts w:ascii="Arial" w:hAnsi="Arial" w:cs="Arial"/>
                                <w:color w:val="000000"/>
                                <w:sz w:val="20"/>
                                <w:szCs w:val="20"/>
                                <w:lang w:val="en-GB"/>
                              </w:rPr>
                              <w:t xml:space="preserve"> arch)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62BC0" id="_x0000_s1185" type="#_x0000_t202" style="position:absolute;left:0;text-align:left;margin-left:64.15pt;margin-top:2.55pt;width:110.4pt;height:39.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" filled="f">
                <v:textbox>
                  <w:txbxContent>
                    <w:p w14:paraId="42AEF737" w14:textId="001D9516"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Prosthetic Rx need </w:t>
                      </w:r>
                      <w:r>
                        <w:rPr>
                          <w:rFonts w:ascii="Arial" w:hAnsi="Arial" w:cs="Arial"/>
                          <w:color w:val="000000"/>
                          <w:sz w:val="20"/>
                          <w:szCs w:val="20"/>
                          <w:lang w:val="en-GB"/>
                        </w:rPr>
                        <w:t>(</w:t>
                      </w:r>
                      <w:r w:rsidRPr="00614243">
                        <w:rPr>
                          <w:rFonts w:ascii="Arial" w:hAnsi="Arial" w:cs="Arial"/>
                          <w:color w:val="000000"/>
                          <w:sz w:val="20"/>
                          <w:szCs w:val="20"/>
                          <w:lang w:val="en-GB"/>
                        </w:rPr>
                        <w:t>upper</w:t>
                      </w:r>
                      <w:r>
                        <w:rPr>
                          <w:rFonts w:ascii="Arial" w:hAnsi="Arial" w:cs="Arial"/>
                          <w:color w:val="000000"/>
                          <w:sz w:val="20"/>
                          <w:szCs w:val="20"/>
                          <w:lang w:val="en-GB"/>
                        </w:rPr>
                        <w:t xml:space="preserve"> arch)</w:t>
                      </w:r>
                    </w:p>
                  </w:txbxContent>
                </v:textbox>
              </v:shape>
            </w:pict>
          </mc:Fallback>
        </mc:AlternateContent>
      </w:r>
      <w:r w:rsidR="009D7561" w:rsidRPr="00787196">
        <w:rPr>
          <w:noProof/>
        </w:rPr>
        <mc:AlternateContent>
          <mc:Choice Requires="wps">
            <w:drawing>
              <wp:anchor distT="0" distB="0" distL="114300" distR="114300" simplePos="0" relativeHeight="251667968" behindDoc="0" locked="0" layoutInCell="1" allowOverlap="1" wp14:anchorId="663A0F37" wp14:editId="1D581F89">
                <wp:simplePos x="0" y="0"/>
                <wp:positionH relativeFrom="column">
                  <wp:posOffset>6042989</wp:posOffset>
                </wp:positionH>
                <wp:positionV relativeFrom="paragraph">
                  <wp:posOffset>386518</wp:posOffset>
                </wp:positionV>
                <wp:extent cx="1954925" cy="3074275"/>
                <wp:effectExtent l="0" t="0" r="26670" b="12065"/>
                <wp:wrapNone/>
                <wp:docPr id="102" name="Rectangle 102"/>
                <wp:cNvGraphicFramePr/>
                <a:graphic xmlns:a="http://schemas.openxmlformats.org/drawingml/2006/main">
                  <a:graphicData uri="http://schemas.microsoft.com/office/word/2010/wordprocessingShape">
                    <wps:wsp>
                      <wps:cNvSpPr/>
                      <wps:spPr>
                        <a:xfrm>
                          <a:off x="0" y="0"/>
                          <a:ext cx="1954925" cy="3074275"/>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FB939" id="Rectangle 102" o:spid="_x0000_s1026" style="position:absolute;margin-left:475.85pt;margin-top:30.45pt;width:153.95pt;height:24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" fillcolor="window" strokecolor="windowText" strokeweight="1pt">
                <v:stroke dashstyle="dash"/>
              </v:rect>
            </w:pict>
          </mc:Fallback>
        </mc:AlternateContent>
      </w:r>
    </w:p>
    <w:p w14:paraId="164F1BBC" w14:textId="01C0CF8D" w:rsidR="00D82C9F" w:rsidRPr="00787196" w:rsidRDefault="00116234" w:rsidP="00755F46">
      <w:r w:rsidRPr="00787196">
        <w:rPr>
          <w:noProof/>
        </w:rPr>
        <mc:AlternateContent>
          <mc:Choice Requires="wps">
            <w:drawing>
              <wp:anchor distT="0" distB="0" distL="114300" distR="114300" simplePos="0" relativeHeight="251688448" behindDoc="0" locked="0" layoutInCell="1" allowOverlap="1" wp14:anchorId="1F439D30" wp14:editId="58BE9DDD">
                <wp:simplePos x="0" y="0"/>
                <wp:positionH relativeFrom="column">
                  <wp:posOffset>2229247</wp:posOffset>
                </wp:positionH>
                <wp:positionV relativeFrom="paragraph">
                  <wp:posOffset>380449</wp:posOffset>
                </wp:positionV>
                <wp:extent cx="4207298" cy="364703"/>
                <wp:effectExtent l="0" t="0" r="79375" b="92710"/>
                <wp:wrapNone/>
                <wp:docPr id="237" name="Straight Arrow Connector 237"/>
                <wp:cNvGraphicFramePr/>
                <a:graphic xmlns:a="http://schemas.openxmlformats.org/drawingml/2006/main">
                  <a:graphicData uri="http://schemas.microsoft.com/office/word/2010/wordprocessingShape">
                    <wps:wsp>
                      <wps:cNvCnPr/>
                      <wps:spPr>
                        <a:xfrm>
                          <a:off x="0" y="0"/>
                          <a:ext cx="4207298" cy="36470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7692F" id="Straight Arrow Connector 237" o:spid="_x0000_s1026" type="#_x0000_t32" style="position:absolute;margin-left:175.55pt;margin-top:29.95pt;width:331.3pt;height:2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" strokecolor="black [3200]" strokeweight="1pt">
                <v:stroke endarrow="block" joinstyle="miter"/>
              </v:shape>
            </w:pict>
          </mc:Fallback>
        </mc:AlternateContent>
      </w:r>
      <w:r w:rsidR="00AF5347" w:rsidRPr="00787196">
        <w:rPr>
          <w:noProof/>
        </w:rPr>
        <mc:AlternateContent>
          <mc:Choice Requires="wps">
            <w:drawing>
              <wp:anchor distT="0" distB="0" distL="114300" distR="114300" simplePos="0" relativeHeight="251701760" behindDoc="0" locked="0" layoutInCell="1" allowOverlap="1" wp14:anchorId="3396142B" wp14:editId="23BB11FC">
                <wp:simplePos x="0" y="0"/>
                <wp:positionH relativeFrom="column">
                  <wp:posOffset>3157538</wp:posOffset>
                </wp:positionH>
                <wp:positionV relativeFrom="paragraph">
                  <wp:posOffset>275590</wp:posOffset>
                </wp:positionV>
                <wp:extent cx="863600" cy="271145"/>
                <wp:effectExtent l="0" t="0" r="0" b="0"/>
                <wp:wrapNone/>
                <wp:docPr id="264"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3DC43C" w14:textId="4B6AC1C4"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157</w:t>
                            </w:r>
                          </w:p>
                          <w:p w14:paraId="5C9DDA68" w14:textId="77777777" w:rsidR="006E7D7A" w:rsidRDefault="006E7D7A" w:rsidP="00AF5347"/>
                          <w:p w14:paraId="2ED0B2D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76A5314" w14:textId="77777777" w:rsidR="006E7D7A" w:rsidRDefault="006E7D7A" w:rsidP="00AF5347"/>
                          <w:p w14:paraId="6501DFBC"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F1155A" w14:textId="77777777" w:rsidR="006E7D7A" w:rsidRDefault="006E7D7A" w:rsidP="00AF5347"/>
                          <w:p w14:paraId="22CCE04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8C5FC89" w14:textId="77777777" w:rsidR="006E7D7A" w:rsidRDefault="006E7D7A" w:rsidP="00AF5347"/>
                          <w:p w14:paraId="4E75D256"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912FA6C" w14:textId="77777777" w:rsidR="006E7D7A" w:rsidRDefault="006E7D7A" w:rsidP="00AF5347"/>
                          <w:p w14:paraId="081DB82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72EB5D6" w14:textId="77777777" w:rsidR="006E7D7A" w:rsidRDefault="006E7D7A" w:rsidP="00AF5347"/>
                          <w:p w14:paraId="5602D4BE"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5A85C8F" w14:textId="77777777" w:rsidR="006E7D7A" w:rsidRDefault="006E7D7A" w:rsidP="00AF5347"/>
                          <w:p w14:paraId="66F3A420"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6142B" id="_x0000_s1186" type="#_x0000_t202" style="position:absolute;left:0;text-align:left;margin-left:248.65pt;margin-top:21.7pt;width:68pt;height:21.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" filled="f" stroked="f">
                <v:textbox>
                  <w:txbxContent>
                    <w:p w14:paraId="003DC43C" w14:textId="4B6AC1C4"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157</w:t>
                      </w:r>
                    </w:p>
                    <w:p w14:paraId="5C9DDA68" w14:textId="77777777" w:rsidR="006E7D7A" w:rsidRDefault="006E7D7A" w:rsidP="00AF5347"/>
                    <w:p w14:paraId="2ED0B2D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76A5314" w14:textId="77777777" w:rsidR="006E7D7A" w:rsidRDefault="006E7D7A" w:rsidP="00AF5347"/>
                    <w:p w14:paraId="6501DFBC"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F1155A" w14:textId="77777777" w:rsidR="006E7D7A" w:rsidRDefault="006E7D7A" w:rsidP="00AF5347"/>
                    <w:p w14:paraId="22CCE04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8C5FC89" w14:textId="77777777" w:rsidR="006E7D7A" w:rsidRDefault="006E7D7A" w:rsidP="00AF5347"/>
                    <w:p w14:paraId="4E75D256"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912FA6C" w14:textId="77777777" w:rsidR="006E7D7A" w:rsidRDefault="006E7D7A" w:rsidP="00AF5347"/>
                    <w:p w14:paraId="081DB82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72EB5D6" w14:textId="77777777" w:rsidR="006E7D7A" w:rsidRDefault="006E7D7A" w:rsidP="00AF5347"/>
                    <w:p w14:paraId="5602D4BE"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5A85C8F" w14:textId="77777777" w:rsidR="006E7D7A" w:rsidRDefault="006E7D7A" w:rsidP="00AF5347"/>
                    <w:p w14:paraId="66F3A420"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307EFB" w:rsidRPr="00787196">
        <w:rPr>
          <w:noProof/>
        </w:rPr>
        <mc:AlternateContent>
          <mc:Choice Requires="wps">
            <w:drawing>
              <wp:anchor distT="0" distB="0" distL="114300" distR="114300" simplePos="0" relativeHeight="251686400" behindDoc="0" locked="0" layoutInCell="1" allowOverlap="1" wp14:anchorId="56B98ECA" wp14:editId="5AADBD32">
                <wp:simplePos x="0" y="0"/>
                <wp:positionH relativeFrom="column">
                  <wp:posOffset>817245</wp:posOffset>
                </wp:positionH>
                <wp:positionV relativeFrom="paragraph">
                  <wp:posOffset>128905</wp:posOffset>
                </wp:positionV>
                <wp:extent cx="1402146" cy="499110"/>
                <wp:effectExtent l="0" t="0" r="26670" b="15240"/>
                <wp:wrapNone/>
                <wp:docPr id="218"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146" cy="49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CD343" w14:textId="513A831E"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Prosthetic </w:t>
                            </w:r>
                            <w:r>
                              <w:rPr>
                                <w:rFonts w:ascii="Arial" w:hAnsi="Arial" w:cs="Arial"/>
                                <w:color w:val="000000"/>
                                <w:sz w:val="20"/>
                                <w:szCs w:val="20"/>
                                <w:lang w:val="en-GB"/>
                              </w:rPr>
                              <w:t>status</w:t>
                            </w:r>
                            <w:r w:rsidRPr="00614243">
                              <w:rPr>
                                <w:rFonts w:ascii="Arial" w:hAnsi="Arial" w:cs="Arial"/>
                                <w:color w:val="000000"/>
                                <w:sz w:val="20"/>
                                <w:szCs w:val="20"/>
                                <w:lang w:val="en-GB"/>
                              </w:rPr>
                              <w:t xml:space="preserve"> </w:t>
                            </w:r>
                            <w:r>
                              <w:rPr>
                                <w:rFonts w:ascii="Arial" w:hAnsi="Arial" w:cs="Arial"/>
                                <w:color w:val="000000"/>
                                <w:sz w:val="20"/>
                                <w:szCs w:val="20"/>
                                <w:lang w:val="en-GB"/>
                              </w:rPr>
                              <w:t>(</w:t>
                            </w:r>
                            <w:r w:rsidRPr="00614243">
                              <w:rPr>
                                <w:rFonts w:ascii="Arial" w:hAnsi="Arial" w:cs="Arial"/>
                                <w:color w:val="000000"/>
                                <w:sz w:val="20"/>
                                <w:szCs w:val="20"/>
                                <w:lang w:val="en-GB"/>
                              </w:rPr>
                              <w:t>upper</w:t>
                            </w:r>
                            <w:r>
                              <w:rPr>
                                <w:rFonts w:ascii="Arial" w:hAnsi="Arial" w:cs="Arial"/>
                                <w:color w:val="000000"/>
                                <w:sz w:val="20"/>
                                <w:szCs w:val="20"/>
                                <w:lang w:val="en-GB"/>
                              </w:rPr>
                              <w:t xml:space="preserve"> arch)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98ECA" id="_x0000_s1187" type="#_x0000_t202" style="position:absolute;left:0;text-align:left;margin-left:64.35pt;margin-top:10.15pt;width:110.4pt;height:3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" filled="f">
                <v:textbox>
                  <w:txbxContent>
                    <w:p w14:paraId="7D8CD343" w14:textId="513A831E" w:rsidR="006E7D7A" w:rsidRPr="00614243"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614243">
                        <w:rPr>
                          <w:rFonts w:ascii="Arial" w:hAnsi="Arial" w:cs="Arial"/>
                          <w:color w:val="000000"/>
                          <w:sz w:val="20"/>
                          <w:szCs w:val="20"/>
                          <w:lang w:val="en-GB"/>
                        </w:rPr>
                        <w:t xml:space="preserve">Prosthetic </w:t>
                      </w:r>
                      <w:r>
                        <w:rPr>
                          <w:rFonts w:ascii="Arial" w:hAnsi="Arial" w:cs="Arial"/>
                          <w:color w:val="000000"/>
                          <w:sz w:val="20"/>
                          <w:szCs w:val="20"/>
                          <w:lang w:val="en-GB"/>
                        </w:rPr>
                        <w:t>status</w:t>
                      </w:r>
                      <w:r w:rsidRPr="00614243">
                        <w:rPr>
                          <w:rFonts w:ascii="Arial" w:hAnsi="Arial" w:cs="Arial"/>
                          <w:color w:val="000000"/>
                          <w:sz w:val="20"/>
                          <w:szCs w:val="20"/>
                          <w:lang w:val="en-GB"/>
                        </w:rPr>
                        <w:t xml:space="preserve"> </w:t>
                      </w:r>
                      <w:r>
                        <w:rPr>
                          <w:rFonts w:ascii="Arial" w:hAnsi="Arial" w:cs="Arial"/>
                          <w:color w:val="000000"/>
                          <w:sz w:val="20"/>
                          <w:szCs w:val="20"/>
                          <w:lang w:val="en-GB"/>
                        </w:rPr>
                        <w:t>(</w:t>
                      </w:r>
                      <w:r w:rsidRPr="00614243">
                        <w:rPr>
                          <w:rFonts w:ascii="Arial" w:hAnsi="Arial" w:cs="Arial"/>
                          <w:color w:val="000000"/>
                          <w:sz w:val="20"/>
                          <w:szCs w:val="20"/>
                          <w:lang w:val="en-GB"/>
                        </w:rPr>
                        <w:t>upper</w:t>
                      </w:r>
                      <w:r>
                        <w:rPr>
                          <w:rFonts w:ascii="Arial" w:hAnsi="Arial" w:cs="Arial"/>
                          <w:color w:val="000000"/>
                          <w:sz w:val="20"/>
                          <w:szCs w:val="20"/>
                          <w:lang w:val="en-GB"/>
                        </w:rPr>
                        <w:t xml:space="preserve"> arch)</w:t>
                      </w:r>
                    </w:p>
                  </w:txbxContent>
                </v:textbox>
              </v:shape>
            </w:pict>
          </mc:Fallback>
        </mc:AlternateContent>
      </w:r>
      <w:r w:rsidR="009D7561" w:rsidRPr="00787196">
        <w:rPr>
          <w:noProof/>
        </w:rPr>
        <mc:AlternateContent>
          <mc:Choice Requires="wps">
            <w:drawing>
              <wp:anchor distT="0" distB="0" distL="114300" distR="114300" simplePos="0" relativeHeight="251668992" behindDoc="0" locked="0" layoutInCell="1" allowOverlap="1" wp14:anchorId="394F5B36" wp14:editId="56402066">
                <wp:simplePos x="0" y="0"/>
                <wp:positionH relativeFrom="column">
                  <wp:posOffset>6420419</wp:posOffset>
                </wp:positionH>
                <wp:positionV relativeFrom="paragraph">
                  <wp:posOffset>462367</wp:posOffset>
                </wp:positionV>
                <wp:extent cx="1166495" cy="582295"/>
                <wp:effectExtent l="0" t="0" r="14605" b="27305"/>
                <wp:wrapNone/>
                <wp:docPr id="107"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82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7DFA82" w14:textId="23B40FD2" w:rsidR="006E7D7A" w:rsidRPr="00152FFB" w:rsidRDefault="006E7D7A" w:rsidP="00433A88">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Inadequate- negative coping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F5B36" id="_x0000_s1188" type="#_x0000_t202" style="position:absolute;left:0;text-align:left;margin-left:505.55pt;margin-top:36.4pt;width:91.85pt;height:4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" filled="f">
                <v:textbox>
                  <w:txbxContent>
                    <w:p w14:paraId="1E7DFA82" w14:textId="23B40FD2" w:rsidR="006E7D7A" w:rsidRPr="00152FFB" w:rsidRDefault="006E7D7A" w:rsidP="00433A88">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Inadequate- negative coping</w:t>
                      </w:r>
                    </w:p>
                  </w:txbxContent>
                </v:textbox>
              </v:shape>
            </w:pict>
          </mc:Fallback>
        </mc:AlternateContent>
      </w:r>
      <w:r w:rsidR="009D7561" w:rsidRPr="00787196">
        <w:rPr>
          <w:noProof/>
        </w:rPr>
        <mc:AlternateContent>
          <mc:Choice Requires="wps">
            <w:drawing>
              <wp:anchor distT="0" distB="0" distL="114300" distR="114300" simplePos="0" relativeHeight="251677184" behindDoc="0" locked="0" layoutInCell="1" allowOverlap="1" wp14:anchorId="434C06AC" wp14:editId="7527BED8">
                <wp:simplePos x="0" y="0"/>
                <wp:positionH relativeFrom="column">
                  <wp:posOffset>6042682</wp:posOffset>
                </wp:positionH>
                <wp:positionV relativeFrom="paragraph">
                  <wp:posOffset>10095</wp:posOffset>
                </wp:positionV>
                <wp:extent cx="1907233" cy="378372"/>
                <wp:effectExtent l="0" t="0" r="0" b="3175"/>
                <wp:wrapNone/>
                <wp:docPr id="134" name="Text Box 134"/>
                <wp:cNvGraphicFramePr/>
                <a:graphic xmlns:a="http://schemas.openxmlformats.org/drawingml/2006/main">
                  <a:graphicData uri="http://schemas.microsoft.com/office/word/2010/wordprocessingShape">
                    <wps:wsp>
                      <wps:cNvSpPr txBox="1"/>
                      <wps:spPr>
                        <a:xfrm>
                          <a:off x="0" y="0"/>
                          <a:ext cx="1907233" cy="378372"/>
                        </a:xfrm>
                        <a:prstGeom prst="rect">
                          <a:avLst/>
                        </a:prstGeom>
                        <a:noFill/>
                        <a:ln w="6350">
                          <a:noFill/>
                        </a:ln>
                      </wps:spPr>
                      <wps:txbx>
                        <w:txbxContent>
                          <w:p w14:paraId="073EFCBD" w14:textId="0A761405" w:rsidR="006E7D7A" w:rsidRPr="00220E7A" w:rsidRDefault="006E7D7A" w:rsidP="00433A88">
                            <w:pPr>
                              <w:spacing w:before="0" w:after="0" w:line="240" w:lineRule="auto"/>
                              <w:jc w:val="center"/>
                              <w:rPr>
                                <w:b/>
                                <w:bCs/>
                                <w:szCs w:val="24"/>
                              </w:rPr>
                            </w:pPr>
                            <w:r w:rsidRPr="00220E7A">
                              <w:rPr>
                                <w:b/>
                                <w:bCs/>
                                <w:szCs w:val="24"/>
                              </w:rPr>
                              <w:t xml:space="preserve">COPING 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06AC" id="Text Box 134" o:spid="_x0000_s1189" type="#_x0000_t202" style="position:absolute;left:0;text-align:left;margin-left:475.8pt;margin-top:.8pt;width:150.2pt;height:2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" filled="f" stroked="f" strokeweight=".5pt">
                <v:textbox>
                  <w:txbxContent>
                    <w:p w14:paraId="073EFCBD" w14:textId="0A761405" w:rsidR="006E7D7A" w:rsidRPr="00220E7A" w:rsidRDefault="006E7D7A" w:rsidP="00433A88">
                      <w:pPr>
                        <w:spacing w:before="0" w:after="0" w:line="240" w:lineRule="auto"/>
                        <w:jc w:val="center"/>
                        <w:rPr>
                          <w:b/>
                          <w:bCs/>
                          <w:szCs w:val="24"/>
                        </w:rPr>
                      </w:pPr>
                      <w:r w:rsidRPr="00220E7A">
                        <w:rPr>
                          <w:b/>
                          <w:bCs/>
                          <w:szCs w:val="24"/>
                        </w:rPr>
                        <w:t xml:space="preserve">COPING STRATEGIES </w:t>
                      </w:r>
                    </w:p>
                  </w:txbxContent>
                </v:textbox>
              </v:shape>
            </w:pict>
          </mc:Fallback>
        </mc:AlternateContent>
      </w:r>
    </w:p>
    <w:p w14:paraId="0C82B0CB" w14:textId="27157BC4" w:rsidR="00D82C9F" w:rsidRPr="00787196" w:rsidRDefault="00116234" w:rsidP="00755F46">
      <w:r w:rsidRPr="00787196">
        <w:rPr>
          <w:noProof/>
        </w:rPr>
        <mc:AlternateContent>
          <mc:Choice Requires="wps">
            <w:drawing>
              <wp:anchor distT="0" distB="0" distL="114300" distR="114300" simplePos="0" relativeHeight="251690496" behindDoc="0" locked="0" layoutInCell="1" allowOverlap="1" wp14:anchorId="73A61AC2" wp14:editId="10D163DA">
                <wp:simplePos x="0" y="0"/>
                <wp:positionH relativeFrom="column">
                  <wp:posOffset>2044252</wp:posOffset>
                </wp:positionH>
                <wp:positionV relativeFrom="paragraph">
                  <wp:posOffset>294918</wp:posOffset>
                </wp:positionV>
                <wp:extent cx="4370933" cy="1028102"/>
                <wp:effectExtent l="0" t="57150" r="0" b="19685"/>
                <wp:wrapNone/>
                <wp:docPr id="240" name="Straight Arrow Connector 240"/>
                <wp:cNvGraphicFramePr/>
                <a:graphic xmlns:a="http://schemas.openxmlformats.org/drawingml/2006/main">
                  <a:graphicData uri="http://schemas.microsoft.com/office/word/2010/wordprocessingShape">
                    <wps:wsp>
                      <wps:cNvCnPr/>
                      <wps:spPr>
                        <a:xfrm flipV="1">
                          <a:off x="0" y="0"/>
                          <a:ext cx="4370933" cy="102810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A39B2" id="Straight Arrow Connector 240" o:spid="_x0000_s1026" type="#_x0000_t32" style="position:absolute;margin-left:160.95pt;margin-top:23.2pt;width:344.15pt;height:80.9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" strokecolor="black [3200]" strokeweight="1pt">
                <v:stroke endarrow="block" joinstyle="miter"/>
              </v:shape>
            </w:pict>
          </mc:Fallback>
        </mc:AlternateContent>
      </w:r>
      <w:r w:rsidRPr="00787196">
        <w:rPr>
          <w:noProof/>
        </w:rPr>
        <mc:AlternateContent>
          <mc:Choice Requires="wps">
            <w:drawing>
              <wp:anchor distT="0" distB="0" distL="114300" distR="114300" simplePos="0" relativeHeight="251693568" behindDoc="0" locked="0" layoutInCell="1" allowOverlap="1" wp14:anchorId="1EEE925E" wp14:editId="4BF04D94">
                <wp:simplePos x="0" y="0"/>
                <wp:positionH relativeFrom="column">
                  <wp:posOffset>2038967</wp:posOffset>
                </wp:positionH>
                <wp:positionV relativeFrom="paragraph">
                  <wp:posOffset>278632</wp:posOffset>
                </wp:positionV>
                <wp:extent cx="4365625" cy="2259778"/>
                <wp:effectExtent l="0" t="38100" r="53975" b="26670"/>
                <wp:wrapNone/>
                <wp:docPr id="244" name="Straight Arrow Connector 244"/>
                <wp:cNvGraphicFramePr/>
                <a:graphic xmlns:a="http://schemas.openxmlformats.org/drawingml/2006/main">
                  <a:graphicData uri="http://schemas.microsoft.com/office/word/2010/wordprocessingShape">
                    <wps:wsp>
                      <wps:cNvCnPr/>
                      <wps:spPr>
                        <a:xfrm flipV="1">
                          <a:off x="0" y="0"/>
                          <a:ext cx="4365625" cy="2259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CF2D7" id="Straight Arrow Connector 244" o:spid="_x0000_s1026" type="#_x0000_t32" style="position:absolute;margin-left:160.55pt;margin-top:21.95pt;width:343.75pt;height:177.9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" strokecolor="black [3200]" strokeweight="1pt">
                <v:stroke endarrow="block" joinstyle="miter"/>
              </v:shape>
            </w:pict>
          </mc:Fallback>
        </mc:AlternateContent>
      </w:r>
      <w:r w:rsidRPr="00787196">
        <w:rPr>
          <w:noProof/>
        </w:rPr>
        <mc:AlternateContent>
          <mc:Choice Requires="wps">
            <w:drawing>
              <wp:anchor distT="0" distB="0" distL="114300" distR="114300" simplePos="0" relativeHeight="251687424" behindDoc="0" locked="0" layoutInCell="1" allowOverlap="1" wp14:anchorId="11F21070" wp14:editId="5CDD071F">
                <wp:simplePos x="0" y="0"/>
                <wp:positionH relativeFrom="column">
                  <wp:posOffset>2213390</wp:posOffset>
                </wp:positionH>
                <wp:positionV relativeFrom="paragraph">
                  <wp:posOffset>342489</wp:posOffset>
                </wp:positionV>
                <wp:extent cx="4201997" cy="570839"/>
                <wp:effectExtent l="0" t="0" r="46355" b="77470"/>
                <wp:wrapNone/>
                <wp:docPr id="3" name="Straight Arrow Connector 3"/>
                <wp:cNvGraphicFramePr/>
                <a:graphic xmlns:a="http://schemas.openxmlformats.org/drawingml/2006/main">
                  <a:graphicData uri="http://schemas.microsoft.com/office/word/2010/wordprocessingShape">
                    <wps:wsp>
                      <wps:cNvCnPr/>
                      <wps:spPr>
                        <a:xfrm>
                          <a:off x="0" y="0"/>
                          <a:ext cx="4201997" cy="57083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FA28E" id="Straight Arrow Connector 3" o:spid="_x0000_s1026" type="#_x0000_t32" style="position:absolute;margin-left:174.3pt;margin-top:26.95pt;width:330.85pt;height:44.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" strokecolor="black [3200]" strokeweight="1pt">
                <v:stroke endarrow="block" joinstyle="miter"/>
              </v:shape>
            </w:pict>
          </mc:Fallback>
        </mc:AlternateContent>
      </w:r>
      <w:r w:rsidR="00AF5347" w:rsidRPr="00787196">
        <w:rPr>
          <w:noProof/>
        </w:rPr>
        <mc:AlternateContent>
          <mc:Choice Requires="wps">
            <w:drawing>
              <wp:anchor distT="0" distB="0" distL="114300" distR="114300" simplePos="0" relativeHeight="251700736" behindDoc="0" locked="0" layoutInCell="1" allowOverlap="1" wp14:anchorId="22655E62" wp14:editId="266720BB">
                <wp:simplePos x="0" y="0"/>
                <wp:positionH relativeFrom="column">
                  <wp:posOffset>3161983</wp:posOffset>
                </wp:positionH>
                <wp:positionV relativeFrom="paragraph">
                  <wp:posOffset>290830</wp:posOffset>
                </wp:positionV>
                <wp:extent cx="863600" cy="271145"/>
                <wp:effectExtent l="0" t="0" r="0" b="0"/>
                <wp:wrapNone/>
                <wp:docPr id="263"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CF2A5CD" w14:textId="30817E5B"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193</w:t>
                            </w:r>
                          </w:p>
                          <w:p w14:paraId="43CF8170" w14:textId="77777777" w:rsidR="006E7D7A" w:rsidRDefault="006E7D7A" w:rsidP="00AF5347"/>
                          <w:p w14:paraId="0AA588F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B845F6C" w14:textId="77777777" w:rsidR="006E7D7A" w:rsidRDefault="006E7D7A" w:rsidP="00AF5347"/>
                          <w:p w14:paraId="704D7717"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6DEAAC9" w14:textId="77777777" w:rsidR="006E7D7A" w:rsidRDefault="006E7D7A" w:rsidP="00AF5347"/>
                          <w:p w14:paraId="074ABD8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956D6F0" w14:textId="77777777" w:rsidR="006E7D7A" w:rsidRDefault="006E7D7A" w:rsidP="00AF5347"/>
                          <w:p w14:paraId="738093A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6AE0933" w14:textId="77777777" w:rsidR="006E7D7A" w:rsidRDefault="006E7D7A" w:rsidP="00AF5347"/>
                          <w:p w14:paraId="7DA3A996"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AADEB50" w14:textId="77777777" w:rsidR="006E7D7A" w:rsidRDefault="006E7D7A" w:rsidP="00AF5347"/>
                          <w:p w14:paraId="4D290D71"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AF5766D" w14:textId="77777777" w:rsidR="006E7D7A" w:rsidRDefault="006E7D7A" w:rsidP="00AF5347"/>
                          <w:p w14:paraId="75CD0D4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55E62" id="_x0000_s1190" type="#_x0000_t202" style="position:absolute;left:0;text-align:left;margin-left:249pt;margin-top:22.9pt;width:68pt;height:2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" filled="f" stroked="f">
                <v:textbox>
                  <w:txbxContent>
                    <w:p w14:paraId="3CF2A5CD" w14:textId="30817E5B"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193</w:t>
                      </w:r>
                    </w:p>
                    <w:p w14:paraId="43CF8170" w14:textId="77777777" w:rsidR="006E7D7A" w:rsidRDefault="006E7D7A" w:rsidP="00AF5347"/>
                    <w:p w14:paraId="0AA588F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B845F6C" w14:textId="77777777" w:rsidR="006E7D7A" w:rsidRDefault="006E7D7A" w:rsidP="00AF5347"/>
                    <w:p w14:paraId="704D7717"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6DEAAC9" w14:textId="77777777" w:rsidR="006E7D7A" w:rsidRDefault="006E7D7A" w:rsidP="00AF5347"/>
                    <w:p w14:paraId="074ABD8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956D6F0" w14:textId="77777777" w:rsidR="006E7D7A" w:rsidRDefault="006E7D7A" w:rsidP="00AF5347"/>
                    <w:p w14:paraId="738093AB"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6AE0933" w14:textId="77777777" w:rsidR="006E7D7A" w:rsidRDefault="006E7D7A" w:rsidP="00AF5347"/>
                    <w:p w14:paraId="7DA3A996"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AADEB50" w14:textId="77777777" w:rsidR="006E7D7A" w:rsidRDefault="006E7D7A" w:rsidP="00AF5347"/>
                    <w:p w14:paraId="4D290D71"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AF5766D" w14:textId="77777777" w:rsidR="006E7D7A" w:rsidRDefault="006E7D7A" w:rsidP="00AF5347"/>
                    <w:p w14:paraId="75CD0D49"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307EFB" w:rsidRPr="00787196">
        <w:rPr>
          <w:noProof/>
        </w:rPr>
        <mc:AlternateContent>
          <mc:Choice Requires="wps">
            <w:drawing>
              <wp:anchor distT="0" distB="0" distL="114300" distR="114300" simplePos="0" relativeHeight="251684352" behindDoc="0" locked="0" layoutInCell="1" allowOverlap="1" wp14:anchorId="522AF165" wp14:editId="5D5F720F">
                <wp:simplePos x="0" y="0"/>
                <wp:positionH relativeFrom="column">
                  <wp:posOffset>811530</wp:posOffset>
                </wp:positionH>
                <wp:positionV relativeFrom="paragraph">
                  <wp:posOffset>217170</wp:posOffset>
                </wp:positionV>
                <wp:extent cx="1402715" cy="330835"/>
                <wp:effectExtent l="0" t="0" r="26035" b="12065"/>
                <wp:wrapNone/>
                <wp:docPr id="216"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3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E7354" w14:textId="28FC7033" w:rsidR="006E7D7A" w:rsidRPr="00BB557F" w:rsidRDefault="006E7D7A" w:rsidP="00116234">
                            <w:pPr>
                              <w:pStyle w:val="NormalWeb"/>
                              <w:spacing w:before="0" w:beforeAutospacing="0" w:after="0" w:afterAutospacing="0"/>
                              <w:jc w:val="center"/>
                              <w:textAlignment w:val="baseline"/>
                              <w:rPr>
                                <w:rFonts w:ascii="Arial" w:hAnsi="Arial" w:cs="Arial"/>
                                <w:color w:val="000000"/>
                                <w:sz w:val="20"/>
                                <w:szCs w:val="20"/>
                              </w:rPr>
                            </w:pPr>
                            <w:r w:rsidRPr="00614243">
                              <w:rPr>
                                <w:rFonts w:ascii="Arial" w:hAnsi="Arial" w:cs="Arial"/>
                                <w:color w:val="000000"/>
                                <w:sz w:val="20"/>
                                <w:szCs w:val="20"/>
                              </w:rPr>
                              <w:t>Occluding pairs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AF165" id="_x0000_s1191" type="#_x0000_t202" style="position:absolute;left:0;text-align:left;margin-left:63.9pt;margin-top:17.1pt;width:110.45pt;height:26.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" filled="f">
                <v:textbox>
                  <w:txbxContent>
                    <w:p w14:paraId="051E7354" w14:textId="28FC7033" w:rsidR="006E7D7A" w:rsidRPr="00BB557F" w:rsidRDefault="006E7D7A" w:rsidP="00116234">
                      <w:pPr>
                        <w:pStyle w:val="NormalWeb"/>
                        <w:spacing w:before="0" w:beforeAutospacing="0" w:after="0" w:afterAutospacing="0"/>
                        <w:jc w:val="center"/>
                        <w:textAlignment w:val="baseline"/>
                        <w:rPr>
                          <w:rFonts w:ascii="Arial" w:hAnsi="Arial" w:cs="Arial"/>
                          <w:color w:val="000000"/>
                          <w:sz w:val="20"/>
                          <w:szCs w:val="20"/>
                        </w:rPr>
                      </w:pPr>
                      <w:r w:rsidRPr="00614243">
                        <w:rPr>
                          <w:rFonts w:ascii="Arial" w:hAnsi="Arial" w:cs="Arial"/>
                          <w:color w:val="000000"/>
                          <w:sz w:val="20"/>
                          <w:szCs w:val="20"/>
                        </w:rPr>
                        <w:t>Occluding pairs</w:t>
                      </w:r>
                    </w:p>
                  </w:txbxContent>
                </v:textbox>
              </v:shape>
            </w:pict>
          </mc:Fallback>
        </mc:AlternateContent>
      </w:r>
    </w:p>
    <w:p w14:paraId="3CDA64C0" w14:textId="28D8FAAD" w:rsidR="00D82C9F" w:rsidRPr="00787196" w:rsidRDefault="00307EFB" w:rsidP="00755F46">
      <w:r w:rsidRPr="00787196">
        <w:rPr>
          <w:noProof/>
        </w:rPr>
        <mc:AlternateContent>
          <mc:Choice Requires="wps">
            <w:drawing>
              <wp:anchor distT="0" distB="0" distL="114300" distR="114300" simplePos="0" relativeHeight="251691520" behindDoc="0" locked="0" layoutInCell="1" allowOverlap="1" wp14:anchorId="2575EB58" wp14:editId="31A79845">
                <wp:simplePos x="0" y="0"/>
                <wp:positionH relativeFrom="column">
                  <wp:posOffset>2038968</wp:posOffset>
                </wp:positionH>
                <wp:positionV relativeFrom="paragraph">
                  <wp:posOffset>463094</wp:posOffset>
                </wp:positionV>
                <wp:extent cx="4376434" cy="991477"/>
                <wp:effectExtent l="0" t="57150" r="5080" b="37465"/>
                <wp:wrapNone/>
                <wp:docPr id="241" name="Straight Arrow Connector 241"/>
                <wp:cNvGraphicFramePr/>
                <a:graphic xmlns:a="http://schemas.openxmlformats.org/drawingml/2006/main">
                  <a:graphicData uri="http://schemas.microsoft.com/office/word/2010/wordprocessingShape">
                    <wps:wsp>
                      <wps:cNvCnPr/>
                      <wps:spPr>
                        <a:xfrm flipV="1">
                          <a:off x="0" y="0"/>
                          <a:ext cx="4376434" cy="99147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03E8D" id="Straight Arrow Connector 241" o:spid="_x0000_s1026" type="#_x0000_t32" style="position:absolute;margin-left:160.55pt;margin-top:36.45pt;width:344.6pt;height:78.0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" strokecolor="black [3200]" strokeweight="1pt">
                <v:stroke endarrow="block" joinstyle="miter"/>
              </v:shape>
            </w:pict>
          </mc:Fallback>
        </mc:AlternateContent>
      </w:r>
      <w:r w:rsidR="009D7561" w:rsidRPr="00787196">
        <w:rPr>
          <w:noProof/>
        </w:rPr>
        <mc:AlternateContent>
          <mc:Choice Requires="wps">
            <w:drawing>
              <wp:anchor distT="0" distB="0" distL="114300" distR="114300" simplePos="0" relativeHeight="251622912" behindDoc="0" locked="0" layoutInCell="1" allowOverlap="1" wp14:anchorId="76E716C5" wp14:editId="05895B59">
                <wp:simplePos x="0" y="0"/>
                <wp:positionH relativeFrom="column">
                  <wp:posOffset>382708</wp:posOffset>
                </wp:positionH>
                <wp:positionV relativeFrom="paragraph">
                  <wp:posOffset>343754</wp:posOffset>
                </wp:positionV>
                <wp:extent cx="2270234" cy="2437349"/>
                <wp:effectExtent l="0" t="0" r="15875" b="20320"/>
                <wp:wrapNone/>
                <wp:docPr id="159"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234" cy="2437349"/>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31E347D" w14:textId="2A32EB95" w:rsidR="006E7D7A" w:rsidRDefault="006E7D7A" w:rsidP="00433A88">
                            <w:pPr>
                              <w:pStyle w:val="NormalWeb"/>
                              <w:spacing w:before="0" w:beforeAutospacing="0" w:after="0" w:afterAutospacing="0"/>
                              <w:jc w:val="center"/>
                              <w:textAlignment w:val="baseline"/>
                            </w:pPr>
                            <w:r w:rsidRPr="00CE6392">
                              <w:rPr>
                                <w:rFonts w:ascii="Arial" w:eastAsia="Arial" w:hAnsi="Arial" w:cs="Arial"/>
                                <w:b/>
                                <w:bCs/>
                                <w:color w:val="000000"/>
                                <w:kern w:val="24"/>
                                <w:lang w:val="en-GB"/>
                              </w:rPr>
                              <w:t>COPING STRATEGIES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716C5" id="Text Box 1897" o:spid="_x0000_s1192" type="#_x0000_t202" style="position:absolute;left:0;text-align:left;margin-left:30.15pt;margin-top:27.05pt;width:178.75pt;height:19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" filled="f" strokeweight="1pt">
                <v:stroke dashstyle="dash"/>
                <v:textbox>
                  <w:txbxContent>
                    <w:p w14:paraId="731E347D" w14:textId="2A32EB95" w:rsidR="006E7D7A" w:rsidRDefault="006E7D7A" w:rsidP="00433A88">
                      <w:pPr>
                        <w:pStyle w:val="NormalWeb"/>
                        <w:spacing w:before="0" w:beforeAutospacing="0" w:after="0" w:afterAutospacing="0"/>
                        <w:jc w:val="center"/>
                        <w:textAlignment w:val="baseline"/>
                      </w:pPr>
                      <w:r w:rsidRPr="00CE6392">
                        <w:rPr>
                          <w:rFonts w:ascii="Arial" w:eastAsia="Arial" w:hAnsi="Arial" w:cs="Arial"/>
                          <w:b/>
                          <w:bCs/>
                          <w:color w:val="000000"/>
                          <w:kern w:val="24"/>
                          <w:lang w:val="en-GB"/>
                        </w:rPr>
                        <w:t>COPING STRATEGIES</w:t>
                      </w:r>
                    </w:p>
                  </w:txbxContent>
                </v:textbox>
              </v:shape>
            </w:pict>
          </mc:Fallback>
        </mc:AlternateContent>
      </w:r>
      <w:r w:rsidR="009D7561" w:rsidRPr="00787196">
        <w:rPr>
          <w:noProof/>
        </w:rPr>
        <mc:AlternateContent>
          <mc:Choice Requires="wps">
            <w:drawing>
              <wp:anchor distT="0" distB="0" distL="114300" distR="114300" simplePos="0" relativeHeight="251670016" behindDoc="0" locked="0" layoutInCell="1" allowOverlap="1" wp14:anchorId="6C2CC5E2" wp14:editId="0182155D">
                <wp:simplePos x="0" y="0"/>
                <wp:positionH relativeFrom="column">
                  <wp:posOffset>6417244</wp:posOffset>
                </wp:positionH>
                <wp:positionV relativeFrom="paragraph">
                  <wp:posOffset>200989</wp:posOffset>
                </wp:positionV>
                <wp:extent cx="1166495" cy="504497"/>
                <wp:effectExtent l="0" t="0" r="14605" b="10160"/>
                <wp:wrapNone/>
                <wp:docPr id="114"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504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3E023" w14:textId="4E004829"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Positive</w:t>
                            </w:r>
                            <w:r>
                              <w:rPr>
                                <w:rFonts w:ascii="Arial" w:hAnsi="Arial" w:cs="Arial"/>
                                <w:color w:val="000000"/>
                                <w:sz w:val="20"/>
                                <w:szCs w:val="20"/>
                                <w:lang w:val="en-GB"/>
                              </w:rPr>
                              <w:t xml:space="preserve"> -</w:t>
                            </w:r>
                            <w:r w:rsidRPr="00152FFB">
                              <w:rPr>
                                <w:rFonts w:ascii="Arial" w:hAnsi="Arial" w:cs="Arial"/>
                                <w:color w:val="000000"/>
                                <w:sz w:val="20"/>
                                <w:szCs w:val="20"/>
                                <w:lang w:val="en-GB"/>
                              </w:rPr>
                              <w:t>adequate coping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CC5E2" id="_x0000_s1193" type="#_x0000_t202" style="position:absolute;left:0;text-align:left;margin-left:505.3pt;margin-top:15.85pt;width:91.85pt;height:39.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" filled="f">
                <v:textbox>
                  <w:txbxContent>
                    <w:p w14:paraId="0703E023" w14:textId="4E004829"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Positive</w:t>
                      </w:r>
                      <w:r>
                        <w:rPr>
                          <w:rFonts w:ascii="Arial" w:hAnsi="Arial" w:cs="Arial"/>
                          <w:color w:val="000000"/>
                          <w:sz w:val="20"/>
                          <w:szCs w:val="20"/>
                          <w:lang w:val="en-GB"/>
                        </w:rPr>
                        <w:t xml:space="preserve"> -</w:t>
                      </w:r>
                      <w:r w:rsidRPr="00152FFB">
                        <w:rPr>
                          <w:rFonts w:ascii="Arial" w:hAnsi="Arial" w:cs="Arial"/>
                          <w:color w:val="000000"/>
                          <w:sz w:val="20"/>
                          <w:szCs w:val="20"/>
                          <w:lang w:val="en-GB"/>
                        </w:rPr>
                        <w:t>adequate coping</w:t>
                      </w:r>
                    </w:p>
                  </w:txbxContent>
                </v:textbox>
              </v:shape>
            </w:pict>
          </mc:Fallback>
        </mc:AlternateContent>
      </w:r>
    </w:p>
    <w:p w14:paraId="55A97781" w14:textId="0F20971C" w:rsidR="00D82C9F" w:rsidRPr="00787196" w:rsidRDefault="00AF5347" w:rsidP="00755F46">
      <w:r w:rsidRPr="00787196">
        <w:rPr>
          <w:noProof/>
        </w:rPr>
        <mc:AlternateContent>
          <mc:Choice Requires="wps">
            <w:drawing>
              <wp:anchor distT="0" distB="0" distL="114300" distR="114300" simplePos="0" relativeHeight="251699712" behindDoc="0" locked="0" layoutInCell="1" allowOverlap="1" wp14:anchorId="7051B3AF" wp14:editId="767A54D1">
                <wp:simplePos x="0" y="0"/>
                <wp:positionH relativeFrom="column">
                  <wp:posOffset>3152458</wp:posOffset>
                </wp:positionH>
                <wp:positionV relativeFrom="paragraph">
                  <wp:posOffset>8255</wp:posOffset>
                </wp:positionV>
                <wp:extent cx="863600" cy="271145"/>
                <wp:effectExtent l="0" t="0" r="0" b="0"/>
                <wp:wrapNone/>
                <wp:docPr id="262"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FD41660" w14:textId="5575BCA8"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 xml:space="preserve"> 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221</w:t>
                            </w:r>
                          </w:p>
                          <w:p w14:paraId="666B4D12" w14:textId="77777777" w:rsidR="006E7D7A" w:rsidRDefault="006E7D7A" w:rsidP="00AF5347"/>
                          <w:p w14:paraId="3D789078"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54B18C5" w14:textId="77777777" w:rsidR="006E7D7A" w:rsidRDefault="006E7D7A" w:rsidP="00AF5347"/>
                          <w:p w14:paraId="3D021ADA"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CCFC82" w14:textId="77777777" w:rsidR="006E7D7A" w:rsidRDefault="006E7D7A" w:rsidP="00AF5347"/>
                          <w:p w14:paraId="16FFBC81"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BEF59F5" w14:textId="77777777" w:rsidR="006E7D7A" w:rsidRDefault="006E7D7A" w:rsidP="00AF5347"/>
                          <w:p w14:paraId="585AF594"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8C060F" w14:textId="77777777" w:rsidR="006E7D7A" w:rsidRDefault="006E7D7A" w:rsidP="00AF5347"/>
                          <w:p w14:paraId="7AD13860"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76CAD4A" w14:textId="77777777" w:rsidR="006E7D7A" w:rsidRDefault="006E7D7A" w:rsidP="00AF5347"/>
                          <w:p w14:paraId="2F40D7C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5A3F790" w14:textId="77777777" w:rsidR="006E7D7A" w:rsidRDefault="006E7D7A" w:rsidP="00AF5347"/>
                          <w:p w14:paraId="5E5D4792"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1B3AF" id="_x0000_s1194" type="#_x0000_t202" style="position:absolute;left:0;text-align:left;margin-left:248.25pt;margin-top:.65pt;width:68pt;height:2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" filled="f" stroked="f">
                <v:textbox>
                  <w:txbxContent>
                    <w:p w14:paraId="5FD41660" w14:textId="5575BCA8" w:rsidR="006E7D7A" w:rsidRPr="00307EFB" w:rsidRDefault="006E7D7A" w:rsidP="00AF5347">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 xml:space="preserve"> 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221</w:t>
                      </w:r>
                    </w:p>
                    <w:p w14:paraId="666B4D12" w14:textId="77777777" w:rsidR="006E7D7A" w:rsidRDefault="006E7D7A" w:rsidP="00AF5347"/>
                    <w:p w14:paraId="3D789078"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54B18C5" w14:textId="77777777" w:rsidR="006E7D7A" w:rsidRDefault="006E7D7A" w:rsidP="00AF5347"/>
                    <w:p w14:paraId="3D021ADA"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CCFC82" w14:textId="77777777" w:rsidR="006E7D7A" w:rsidRDefault="006E7D7A" w:rsidP="00AF5347"/>
                    <w:p w14:paraId="16FFBC81"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BEF59F5" w14:textId="77777777" w:rsidR="006E7D7A" w:rsidRDefault="006E7D7A" w:rsidP="00AF5347"/>
                    <w:p w14:paraId="585AF594"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48C060F" w14:textId="77777777" w:rsidR="006E7D7A" w:rsidRDefault="006E7D7A" w:rsidP="00AF5347"/>
                    <w:p w14:paraId="7AD13860"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76CAD4A" w14:textId="77777777" w:rsidR="006E7D7A" w:rsidRDefault="006E7D7A" w:rsidP="00AF5347"/>
                    <w:p w14:paraId="2F40D7CF"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5A3F790" w14:textId="77777777" w:rsidR="006E7D7A" w:rsidRDefault="006E7D7A" w:rsidP="00AF5347"/>
                    <w:p w14:paraId="5E5D4792" w14:textId="77777777" w:rsidR="006E7D7A" w:rsidRPr="001F0BA8" w:rsidRDefault="006E7D7A" w:rsidP="00AF5347">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307EFB" w:rsidRPr="00787196">
        <w:rPr>
          <w:noProof/>
        </w:rPr>
        <mc:AlternateContent>
          <mc:Choice Requires="wps">
            <w:drawing>
              <wp:anchor distT="0" distB="0" distL="114300" distR="114300" simplePos="0" relativeHeight="251697664" behindDoc="0" locked="0" layoutInCell="1" allowOverlap="1" wp14:anchorId="2A786EB6" wp14:editId="4E14D36E">
                <wp:simplePos x="0" y="0"/>
                <wp:positionH relativeFrom="column">
                  <wp:posOffset>4710113</wp:posOffset>
                </wp:positionH>
                <wp:positionV relativeFrom="paragraph">
                  <wp:posOffset>261302</wp:posOffset>
                </wp:positionV>
                <wp:extent cx="863600" cy="271145"/>
                <wp:effectExtent l="0" t="0" r="0" b="0"/>
                <wp:wrapNone/>
                <wp:docPr id="260"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48CCFB3" w14:textId="03686F83"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w:t>
                            </w:r>
                            <w:r>
                              <w:rPr>
                                <w:rFonts w:ascii="Arial" w:eastAsia="Arial" w:hAnsi="Arial" w:cs="Arial"/>
                                <w:color w:val="000000"/>
                                <w:kern w:val="24"/>
                                <w:sz w:val="22"/>
                                <w:szCs w:val="22"/>
                              </w:rPr>
                              <w:t>157</w:t>
                            </w:r>
                          </w:p>
                          <w:p w14:paraId="7908BD65" w14:textId="77777777" w:rsidR="006E7D7A" w:rsidRDefault="006E7D7A" w:rsidP="00307EFB"/>
                          <w:p w14:paraId="5F56D4CF"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12EF2A0" w14:textId="77777777" w:rsidR="006E7D7A" w:rsidRDefault="006E7D7A" w:rsidP="00307EFB"/>
                          <w:p w14:paraId="211EAD6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0EF3AFC" w14:textId="77777777" w:rsidR="006E7D7A" w:rsidRDefault="006E7D7A" w:rsidP="00307EFB"/>
                          <w:p w14:paraId="64B6A4F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DE3AC9D" w14:textId="77777777" w:rsidR="006E7D7A" w:rsidRDefault="006E7D7A" w:rsidP="00307EFB"/>
                          <w:p w14:paraId="3261D9C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EED7459" w14:textId="77777777" w:rsidR="006E7D7A" w:rsidRDefault="006E7D7A" w:rsidP="00307EFB"/>
                          <w:p w14:paraId="2695633C"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0CB3A9" w14:textId="77777777" w:rsidR="006E7D7A" w:rsidRDefault="006E7D7A" w:rsidP="00307EFB"/>
                          <w:p w14:paraId="1E554372"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8093937" w14:textId="77777777" w:rsidR="006E7D7A" w:rsidRDefault="006E7D7A" w:rsidP="00307EFB"/>
                          <w:p w14:paraId="24E4D3CA"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86EB6" id="_x0000_s1195" type="#_x0000_t202" style="position:absolute;left:0;text-align:left;margin-left:370.9pt;margin-top:20.55pt;width:68pt;height:2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" filled="f" stroked="f">
                <v:textbox>
                  <w:txbxContent>
                    <w:p w14:paraId="148CCFB3" w14:textId="03686F83"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w:t>
                      </w:r>
                      <w:r>
                        <w:rPr>
                          <w:rFonts w:ascii="Arial" w:eastAsia="Arial" w:hAnsi="Arial" w:cs="Arial"/>
                          <w:color w:val="000000"/>
                          <w:kern w:val="24"/>
                          <w:sz w:val="22"/>
                          <w:szCs w:val="22"/>
                        </w:rPr>
                        <w:t>157</w:t>
                      </w:r>
                    </w:p>
                    <w:p w14:paraId="7908BD65" w14:textId="77777777" w:rsidR="006E7D7A" w:rsidRDefault="006E7D7A" w:rsidP="00307EFB"/>
                    <w:p w14:paraId="5F56D4CF"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12EF2A0" w14:textId="77777777" w:rsidR="006E7D7A" w:rsidRDefault="006E7D7A" w:rsidP="00307EFB"/>
                    <w:p w14:paraId="211EAD6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30EF3AFC" w14:textId="77777777" w:rsidR="006E7D7A" w:rsidRDefault="006E7D7A" w:rsidP="00307EFB"/>
                    <w:p w14:paraId="64B6A4F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DE3AC9D" w14:textId="77777777" w:rsidR="006E7D7A" w:rsidRDefault="006E7D7A" w:rsidP="00307EFB"/>
                    <w:p w14:paraId="3261D9C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EED7459" w14:textId="77777777" w:rsidR="006E7D7A" w:rsidRDefault="006E7D7A" w:rsidP="00307EFB"/>
                    <w:p w14:paraId="2695633C"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C0CB3A9" w14:textId="77777777" w:rsidR="006E7D7A" w:rsidRDefault="006E7D7A" w:rsidP="00307EFB"/>
                    <w:p w14:paraId="1E554372"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8093937" w14:textId="77777777" w:rsidR="006E7D7A" w:rsidRDefault="006E7D7A" w:rsidP="00307EFB"/>
                    <w:p w14:paraId="24E4D3CA"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9D7561" w:rsidRPr="00787196">
        <w:rPr>
          <w:noProof/>
        </w:rPr>
        <mc:AlternateContent>
          <mc:Choice Requires="wps">
            <w:drawing>
              <wp:anchor distT="0" distB="0" distL="114300" distR="114300" simplePos="0" relativeHeight="251678208" behindDoc="0" locked="0" layoutInCell="1" allowOverlap="1" wp14:anchorId="5087857C" wp14:editId="100011EF">
                <wp:simplePos x="0" y="0"/>
                <wp:positionH relativeFrom="column">
                  <wp:posOffset>874794</wp:posOffset>
                </wp:positionH>
                <wp:positionV relativeFrom="paragraph">
                  <wp:posOffset>175793</wp:posOffset>
                </wp:positionV>
                <wp:extent cx="1166649" cy="457200"/>
                <wp:effectExtent l="0" t="0" r="14605" b="19050"/>
                <wp:wrapNone/>
                <wp:docPr id="17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649"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BA8E6" w14:textId="52AB2098"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Inadequate- negative coping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7857C" id="_x0000_s1196" type="#_x0000_t202" style="position:absolute;left:0;text-align:left;margin-left:68.9pt;margin-top:13.85pt;width:91.8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" filled="f">
                <v:textbox>
                  <w:txbxContent>
                    <w:p w14:paraId="553BA8E6" w14:textId="52AB2098"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Inadequate- negative coping</w:t>
                      </w:r>
                    </w:p>
                  </w:txbxContent>
                </v:textbox>
              </v:shape>
            </w:pict>
          </mc:Fallback>
        </mc:AlternateContent>
      </w:r>
      <w:r w:rsidR="00220E7A" w:rsidRPr="00787196">
        <w:rPr>
          <w:noProof/>
        </w:rPr>
        <mc:AlternateContent>
          <mc:Choice Requires="wps">
            <w:drawing>
              <wp:anchor distT="0" distB="0" distL="114300" distR="114300" simplePos="0" relativeHeight="251671040" behindDoc="0" locked="0" layoutInCell="1" allowOverlap="1" wp14:anchorId="5B9C5E28" wp14:editId="6DBCB1AC">
                <wp:simplePos x="0" y="0"/>
                <wp:positionH relativeFrom="column">
                  <wp:posOffset>6417354</wp:posOffset>
                </wp:positionH>
                <wp:positionV relativeFrom="paragraph">
                  <wp:posOffset>321376</wp:posOffset>
                </wp:positionV>
                <wp:extent cx="1166495" cy="441435"/>
                <wp:effectExtent l="0" t="0" r="14605" b="15875"/>
                <wp:wrapNone/>
                <wp:docPr id="115"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4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AA4FA" w14:textId="1F6885ED"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C5E28" id="_x0000_s1197" type="#_x0000_t202" style="position:absolute;left:0;text-align:left;margin-left:505.3pt;margin-top:25.3pt;width:91.85pt;height:3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" filled="f">
                <v:textbox>
                  <w:txbxContent>
                    <w:p w14:paraId="230AA4FA" w14:textId="1F6885ED"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v:textbox>
              </v:shape>
            </w:pict>
          </mc:Fallback>
        </mc:AlternateContent>
      </w:r>
    </w:p>
    <w:p w14:paraId="5D073B74" w14:textId="7A42272F" w:rsidR="00D82C9F" w:rsidRPr="00787196" w:rsidRDefault="00307EFB" w:rsidP="00755F46">
      <w:r w:rsidRPr="00787196">
        <w:rPr>
          <w:noProof/>
        </w:rPr>
        <mc:AlternateContent>
          <mc:Choice Requires="wps">
            <w:drawing>
              <wp:anchor distT="0" distB="0" distL="114300" distR="114300" simplePos="0" relativeHeight="251698688" behindDoc="0" locked="0" layoutInCell="1" allowOverlap="1" wp14:anchorId="640D4160" wp14:editId="7AF907FF">
                <wp:simplePos x="0" y="0"/>
                <wp:positionH relativeFrom="column">
                  <wp:posOffset>3152457</wp:posOffset>
                </wp:positionH>
                <wp:positionV relativeFrom="paragraph">
                  <wp:posOffset>356553</wp:posOffset>
                </wp:positionV>
                <wp:extent cx="863600" cy="271145"/>
                <wp:effectExtent l="0" t="0" r="0" b="0"/>
                <wp:wrapNone/>
                <wp:docPr id="261"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CFB35BE" w14:textId="5B759697"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219</w:t>
                            </w:r>
                          </w:p>
                          <w:p w14:paraId="3C4977D7" w14:textId="77777777" w:rsidR="006E7D7A" w:rsidRDefault="006E7D7A" w:rsidP="00307EFB"/>
                          <w:p w14:paraId="6987475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5C81B4A" w14:textId="77777777" w:rsidR="006E7D7A" w:rsidRDefault="006E7D7A" w:rsidP="00307EFB"/>
                          <w:p w14:paraId="68CB9B14"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6094D1E" w14:textId="77777777" w:rsidR="006E7D7A" w:rsidRDefault="006E7D7A" w:rsidP="00307EFB"/>
                          <w:p w14:paraId="0DE0659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4A64F0F" w14:textId="77777777" w:rsidR="006E7D7A" w:rsidRDefault="006E7D7A" w:rsidP="00307EFB"/>
                          <w:p w14:paraId="2B33E04C"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030822E" w14:textId="77777777" w:rsidR="006E7D7A" w:rsidRDefault="006E7D7A" w:rsidP="00307EFB"/>
                          <w:p w14:paraId="5FFEC586"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EC82F7" w14:textId="77777777" w:rsidR="006E7D7A" w:rsidRDefault="006E7D7A" w:rsidP="00307EFB"/>
                          <w:p w14:paraId="4B692B6D"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CB3CB71" w14:textId="77777777" w:rsidR="006E7D7A" w:rsidRDefault="006E7D7A" w:rsidP="00307EFB"/>
                          <w:p w14:paraId="3890758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D4160" id="_x0000_s1198" type="#_x0000_t202" style="position:absolute;left:0;text-align:left;margin-left:248.2pt;margin-top:28.1pt;width:68pt;height:2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" filled="f" stroked="f">
                <v:textbox>
                  <w:txbxContent>
                    <w:p w14:paraId="2CFB35BE" w14:textId="5B759697"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Pr>
                          <w:rFonts w:ascii="Arial" w:eastAsia="Arial" w:hAnsi="Arial" w:cs="Arial"/>
                          <w:color w:val="000000"/>
                          <w:kern w:val="24"/>
                          <w:sz w:val="22"/>
                          <w:szCs w:val="22"/>
                        </w:rPr>
                        <w:t>-0</w:t>
                      </w:r>
                      <w:r w:rsidRPr="00307EFB">
                        <w:rPr>
                          <w:rFonts w:ascii="Arial" w:eastAsia="Arial" w:hAnsi="Arial" w:cs="Arial"/>
                          <w:color w:val="000000"/>
                          <w:kern w:val="24"/>
                          <w:sz w:val="22"/>
                          <w:szCs w:val="22"/>
                        </w:rPr>
                        <w:t>.</w:t>
                      </w:r>
                      <w:r>
                        <w:rPr>
                          <w:rFonts w:ascii="Arial" w:eastAsia="Arial" w:hAnsi="Arial" w:cs="Arial"/>
                          <w:color w:val="000000"/>
                          <w:kern w:val="24"/>
                          <w:sz w:val="22"/>
                          <w:szCs w:val="22"/>
                        </w:rPr>
                        <w:t>219</w:t>
                      </w:r>
                    </w:p>
                    <w:p w14:paraId="3C4977D7" w14:textId="77777777" w:rsidR="006E7D7A" w:rsidRDefault="006E7D7A" w:rsidP="00307EFB"/>
                    <w:p w14:paraId="6987475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5C81B4A" w14:textId="77777777" w:rsidR="006E7D7A" w:rsidRDefault="006E7D7A" w:rsidP="00307EFB"/>
                    <w:p w14:paraId="68CB9B14"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6094D1E" w14:textId="77777777" w:rsidR="006E7D7A" w:rsidRDefault="006E7D7A" w:rsidP="00307EFB"/>
                    <w:p w14:paraId="0DE0659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4A64F0F" w14:textId="77777777" w:rsidR="006E7D7A" w:rsidRDefault="006E7D7A" w:rsidP="00307EFB"/>
                    <w:p w14:paraId="2B33E04C"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030822E" w14:textId="77777777" w:rsidR="006E7D7A" w:rsidRDefault="006E7D7A" w:rsidP="00307EFB"/>
                    <w:p w14:paraId="5FFEC586"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BEC82F7" w14:textId="77777777" w:rsidR="006E7D7A" w:rsidRDefault="006E7D7A" w:rsidP="00307EFB"/>
                    <w:p w14:paraId="4B692B6D"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CB3CB71" w14:textId="77777777" w:rsidR="006E7D7A" w:rsidRDefault="006E7D7A" w:rsidP="00307EFB"/>
                    <w:p w14:paraId="3890758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Pr="00787196">
        <w:rPr>
          <w:noProof/>
        </w:rPr>
        <mc:AlternateContent>
          <mc:Choice Requires="wps">
            <w:drawing>
              <wp:anchor distT="0" distB="0" distL="114300" distR="114300" simplePos="0" relativeHeight="251692544" behindDoc="0" locked="0" layoutInCell="1" allowOverlap="1" wp14:anchorId="791C6BE8" wp14:editId="3EB4ACDC">
                <wp:simplePos x="0" y="0"/>
                <wp:positionH relativeFrom="column">
                  <wp:posOffset>2049538</wp:posOffset>
                </wp:positionH>
                <wp:positionV relativeFrom="paragraph">
                  <wp:posOffset>80612</wp:posOffset>
                </wp:positionV>
                <wp:extent cx="4377914" cy="1062395"/>
                <wp:effectExtent l="0" t="57150" r="3810" b="23495"/>
                <wp:wrapNone/>
                <wp:docPr id="243" name="Straight Arrow Connector 243"/>
                <wp:cNvGraphicFramePr/>
                <a:graphic xmlns:a="http://schemas.openxmlformats.org/drawingml/2006/main">
                  <a:graphicData uri="http://schemas.microsoft.com/office/word/2010/wordprocessingShape">
                    <wps:wsp>
                      <wps:cNvCnPr/>
                      <wps:spPr>
                        <a:xfrm flipV="1">
                          <a:off x="0" y="0"/>
                          <a:ext cx="4377914" cy="10623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76F44F" id="Straight Arrow Connector 243" o:spid="_x0000_s1026" type="#_x0000_t32" style="position:absolute;margin-left:161.4pt;margin-top:6.35pt;width:344.7pt;height:83.65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" strokecolor="black [3200]" strokeweight="1pt">
                <v:stroke endarrow="block" joinstyle="miter"/>
              </v:shape>
            </w:pict>
          </mc:Fallback>
        </mc:AlternateContent>
      </w:r>
      <w:r w:rsidR="00EA67DB" w:rsidRPr="00787196">
        <w:rPr>
          <w:noProof/>
        </w:rPr>
        <mc:AlternateContent>
          <mc:Choice Requires="wps">
            <w:drawing>
              <wp:anchor distT="0" distB="0" distL="114300" distR="114300" simplePos="0" relativeHeight="251672064" behindDoc="0" locked="0" layoutInCell="1" allowOverlap="1" wp14:anchorId="3A7ED950" wp14:editId="34584B11">
                <wp:simplePos x="0" y="0"/>
                <wp:positionH relativeFrom="column">
                  <wp:posOffset>6424989</wp:posOffset>
                </wp:positionH>
                <wp:positionV relativeFrom="paragraph">
                  <wp:posOffset>432717</wp:posOffset>
                </wp:positionV>
                <wp:extent cx="1149985" cy="318976"/>
                <wp:effectExtent l="0" t="0" r="12065" b="24130"/>
                <wp:wrapNone/>
                <wp:docPr id="121"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3189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D7BF9" w14:textId="71BF47B3"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Religion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ED950" id="_x0000_s1199" type="#_x0000_t202" style="position:absolute;left:0;text-align:left;margin-left:505.9pt;margin-top:34.05pt;width:90.55pt;height:2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" filled="f">
                <v:textbox>
                  <w:txbxContent>
                    <w:p w14:paraId="331D7BF9" w14:textId="71BF47B3"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Religion</w:t>
                      </w:r>
                    </w:p>
                  </w:txbxContent>
                </v:textbox>
              </v:shape>
            </w:pict>
          </mc:Fallback>
        </mc:AlternateContent>
      </w:r>
      <w:r w:rsidR="009D7561" w:rsidRPr="00787196">
        <w:rPr>
          <w:noProof/>
        </w:rPr>
        <mc:AlternateContent>
          <mc:Choice Requires="wps">
            <w:drawing>
              <wp:anchor distT="0" distB="0" distL="114300" distR="114300" simplePos="0" relativeHeight="251679232" behindDoc="0" locked="0" layoutInCell="1" allowOverlap="1" wp14:anchorId="17F9F952" wp14:editId="3A44882B">
                <wp:simplePos x="0" y="0"/>
                <wp:positionH relativeFrom="column">
                  <wp:posOffset>869950</wp:posOffset>
                </wp:positionH>
                <wp:positionV relativeFrom="paragraph">
                  <wp:posOffset>297534</wp:posOffset>
                </wp:positionV>
                <wp:extent cx="1166495" cy="457200"/>
                <wp:effectExtent l="0" t="0" r="14605" b="19050"/>
                <wp:wrapNone/>
                <wp:docPr id="173"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3BB10" w14:textId="1AE6DEA3"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Positive</w:t>
                            </w:r>
                            <w:r>
                              <w:rPr>
                                <w:rFonts w:ascii="Arial" w:hAnsi="Arial" w:cs="Arial"/>
                                <w:color w:val="000000"/>
                                <w:sz w:val="20"/>
                                <w:szCs w:val="20"/>
                                <w:lang w:val="en-GB"/>
                              </w:rPr>
                              <w:t xml:space="preserve"> -</w:t>
                            </w:r>
                            <w:r w:rsidRPr="00152FFB">
                              <w:rPr>
                                <w:rFonts w:ascii="Arial" w:hAnsi="Arial" w:cs="Arial"/>
                                <w:color w:val="000000"/>
                                <w:sz w:val="20"/>
                                <w:szCs w:val="20"/>
                                <w:lang w:val="en-GB"/>
                              </w:rPr>
                              <w:t>adequate coping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9F952" id="_x0000_s1200" type="#_x0000_t202" style="position:absolute;left:0;text-align:left;margin-left:68.5pt;margin-top:23.45pt;width:91.8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" filled="f">
                <v:textbox>
                  <w:txbxContent>
                    <w:p w14:paraId="7813BB10" w14:textId="1AE6DEA3"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Positive</w:t>
                      </w:r>
                      <w:r>
                        <w:rPr>
                          <w:rFonts w:ascii="Arial" w:hAnsi="Arial" w:cs="Arial"/>
                          <w:color w:val="000000"/>
                          <w:sz w:val="20"/>
                          <w:szCs w:val="20"/>
                          <w:lang w:val="en-GB"/>
                        </w:rPr>
                        <w:t xml:space="preserve"> -</w:t>
                      </w:r>
                      <w:r w:rsidRPr="00152FFB">
                        <w:rPr>
                          <w:rFonts w:ascii="Arial" w:hAnsi="Arial" w:cs="Arial"/>
                          <w:color w:val="000000"/>
                          <w:sz w:val="20"/>
                          <w:szCs w:val="20"/>
                          <w:lang w:val="en-GB"/>
                        </w:rPr>
                        <w:t>adequate coping</w:t>
                      </w:r>
                    </w:p>
                  </w:txbxContent>
                </v:textbox>
              </v:shape>
            </w:pict>
          </mc:Fallback>
        </mc:AlternateContent>
      </w:r>
    </w:p>
    <w:p w14:paraId="27BAE3EB" w14:textId="22679169" w:rsidR="00D82C9F" w:rsidRPr="00787196" w:rsidRDefault="00307EFB" w:rsidP="00755F46">
      <w:r w:rsidRPr="00787196">
        <w:rPr>
          <w:noProof/>
        </w:rPr>
        <mc:AlternateContent>
          <mc:Choice Requires="wps">
            <w:drawing>
              <wp:anchor distT="0" distB="0" distL="114300" distR="114300" simplePos="0" relativeHeight="251696640" behindDoc="0" locked="0" layoutInCell="1" allowOverlap="1" wp14:anchorId="1617A44A" wp14:editId="7228ADEA">
                <wp:simplePos x="0" y="0"/>
                <wp:positionH relativeFrom="column">
                  <wp:posOffset>4052570</wp:posOffset>
                </wp:positionH>
                <wp:positionV relativeFrom="paragraph">
                  <wp:posOffset>69215</wp:posOffset>
                </wp:positionV>
                <wp:extent cx="863600" cy="271145"/>
                <wp:effectExtent l="0" t="0" r="0" b="0"/>
                <wp:wrapNone/>
                <wp:docPr id="259"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0261393" w14:textId="16C9C367"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w:t>
                            </w:r>
                            <w:r>
                              <w:rPr>
                                <w:rFonts w:ascii="Arial" w:eastAsia="Arial" w:hAnsi="Arial" w:cs="Arial"/>
                                <w:color w:val="000000"/>
                                <w:kern w:val="24"/>
                                <w:sz w:val="22"/>
                                <w:szCs w:val="22"/>
                              </w:rPr>
                              <w:t>332</w:t>
                            </w:r>
                          </w:p>
                          <w:p w14:paraId="0FC9B284" w14:textId="77777777" w:rsidR="006E7D7A" w:rsidRDefault="006E7D7A" w:rsidP="00307EFB"/>
                          <w:p w14:paraId="47D229B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4969742" w14:textId="77777777" w:rsidR="006E7D7A" w:rsidRDefault="006E7D7A" w:rsidP="00307EFB"/>
                          <w:p w14:paraId="0035BA0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82DC24F" w14:textId="77777777" w:rsidR="006E7D7A" w:rsidRDefault="006E7D7A" w:rsidP="00307EFB"/>
                          <w:p w14:paraId="7E84138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BEE57E5" w14:textId="77777777" w:rsidR="006E7D7A" w:rsidRDefault="006E7D7A" w:rsidP="00307EFB"/>
                          <w:p w14:paraId="71AEC00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809FCEC" w14:textId="77777777" w:rsidR="006E7D7A" w:rsidRDefault="006E7D7A" w:rsidP="00307EFB"/>
                          <w:p w14:paraId="1238DA0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A120947" w14:textId="77777777" w:rsidR="006E7D7A" w:rsidRDefault="006E7D7A" w:rsidP="00307EFB"/>
                          <w:p w14:paraId="10FAB97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DAAE24C" w14:textId="77777777" w:rsidR="006E7D7A" w:rsidRDefault="006E7D7A" w:rsidP="00307EFB"/>
                          <w:p w14:paraId="1FB8816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7A44A" id="_x0000_s1201" type="#_x0000_t202" style="position:absolute;left:0;text-align:left;margin-left:319.1pt;margin-top:5.45pt;width:68pt;height:2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" filled="f" stroked="f">
                <v:textbox>
                  <w:txbxContent>
                    <w:p w14:paraId="40261393" w14:textId="16C9C367"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w:t>
                      </w:r>
                      <w:r>
                        <w:rPr>
                          <w:rFonts w:ascii="Arial" w:eastAsia="Arial" w:hAnsi="Arial" w:cs="Arial"/>
                          <w:color w:val="000000"/>
                          <w:kern w:val="24"/>
                          <w:sz w:val="22"/>
                          <w:szCs w:val="22"/>
                        </w:rPr>
                        <w:t>332</w:t>
                      </w:r>
                    </w:p>
                    <w:p w14:paraId="0FC9B284" w14:textId="77777777" w:rsidR="006E7D7A" w:rsidRDefault="006E7D7A" w:rsidP="00307EFB"/>
                    <w:p w14:paraId="47D229B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64969742" w14:textId="77777777" w:rsidR="006E7D7A" w:rsidRDefault="006E7D7A" w:rsidP="00307EFB"/>
                    <w:p w14:paraId="0035BA0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82DC24F" w14:textId="77777777" w:rsidR="006E7D7A" w:rsidRDefault="006E7D7A" w:rsidP="00307EFB"/>
                    <w:p w14:paraId="7E84138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BEE57E5" w14:textId="77777777" w:rsidR="006E7D7A" w:rsidRDefault="006E7D7A" w:rsidP="00307EFB"/>
                    <w:p w14:paraId="71AEC00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5809FCEC" w14:textId="77777777" w:rsidR="006E7D7A" w:rsidRDefault="006E7D7A" w:rsidP="00307EFB"/>
                    <w:p w14:paraId="1238DA0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2A120947" w14:textId="77777777" w:rsidR="006E7D7A" w:rsidRDefault="006E7D7A" w:rsidP="00307EFB"/>
                    <w:p w14:paraId="10FAB97E"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DAAE24C" w14:textId="77777777" w:rsidR="006E7D7A" w:rsidRDefault="006E7D7A" w:rsidP="00307EFB"/>
                    <w:p w14:paraId="1FB88169"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Pr="00787196">
        <w:rPr>
          <w:noProof/>
        </w:rPr>
        <mc:AlternateContent>
          <mc:Choice Requires="wps">
            <w:drawing>
              <wp:anchor distT="0" distB="0" distL="114300" distR="114300" simplePos="0" relativeHeight="251694592" behindDoc="0" locked="0" layoutInCell="1" allowOverlap="1" wp14:anchorId="706D2B91" wp14:editId="1DA4D11D">
                <wp:simplePos x="0" y="0"/>
                <wp:positionH relativeFrom="column">
                  <wp:posOffset>2046923</wp:posOffset>
                </wp:positionH>
                <wp:positionV relativeFrom="paragraph">
                  <wp:posOffset>117475</wp:posOffset>
                </wp:positionV>
                <wp:extent cx="4378960" cy="1028700"/>
                <wp:effectExtent l="0" t="57150" r="2540" b="19050"/>
                <wp:wrapNone/>
                <wp:docPr id="249" name="Straight Arrow Connector 249"/>
                <wp:cNvGraphicFramePr/>
                <a:graphic xmlns:a="http://schemas.openxmlformats.org/drawingml/2006/main">
                  <a:graphicData uri="http://schemas.microsoft.com/office/word/2010/wordprocessingShape">
                    <wps:wsp>
                      <wps:cNvCnPr/>
                      <wps:spPr>
                        <a:xfrm flipV="1">
                          <a:off x="0" y="0"/>
                          <a:ext cx="4378960" cy="10287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C750C5" id="Straight Arrow Connector 249" o:spid="_x0000_s1026" type="#_x0000_t32" style="position:absolute;margin-left:161.2pt;margin-top:9.25pt;width:344.8pt;height:81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" strokecolor="black [3200]" strokeweight="1pt">
                <v:stroke endarrow="block" joinstyle="miter"/>
              </v:shape>
            </w:pict>
          </mc:Fallback>
        </mc:AlternateContent>
      </w:r>
    </w:p>
    <w:p w14:paraId="4CD47F8D" w14:textId="7F8C4457" w:rsidR="00D82C9F" w:rsidRPr="00787196" w:rsidRDefault="00BA7D46" w:rsidP="00755F46">
      <w:r w:rsidRPr="00787196">
        <w:rPr>
          <w:b/>
          <w:bCs/>
          <w:i/>
          <w:iCs/>
          <w:noProof/>
          <w:szCs w:val="24"/>
        </w:rPr>
        <mc:AlternateContent>
          <mc:Choice Requires="wps">
            <w:drawing>
              <wp:anchor distT="0" distB="0" distL="114300" distR="114300" simplePos="0" relativeHeight="251723264" behindDoc="0" locked="0" layoutInCell="1" allowOverlap="1" wp14:anchorId="423ACF79" wp14:editId="56F6F69D">
                <wp:simplePos x="0" y="0"/>
                <wp:positionH relativeFrom="column">
                  <wp:posOffset>4962525</wp:posOffset>
                </wp:positionH>
                <wp:positionV relativeFrom="paragraph">
                  <wp:posOffset>412750</wp:posOffset>
                </wp:positionV>
                <wp:extent cx="3632200" cy="370840"/>
                <wp:effectExtent l="0" t="0" r="0" b="0"/>
                <wp:wrapNone/>
                <wp:docPr id="42"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37084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0A5A9F1D"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196D142" w14:textId="77777777" w:rsidR="006E7D7A" w:rsidRPr="00F4030F" w:rsidRDefault="006E7D7A" w:rsidP="00BA7D46">
                            <w:pPr>
                              <w:pStyle w:val="NormalWeb"/>
                              <w:bidi/>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lysis </w:t>
                            </w:r>
                            <w:r w:rsidRPr="00222EFB">
                              <w:rPr>
                                <w:rFonts w:ascii="Arial" w:hAnsi="Arial" w:cs="Arial"/>
                                <w:i/>
                                <w:iCs/>
                                <w:color w:val="000000"/>
                                <w:sz w:val="18"/>
                                <w:szCs w:val="18"/>
                                <w:lang w:val="en-GB"/>
                                <w14:textOutline w14:w="0" w14:cap="rnd" w14:cmpd="sng" w14:algn="ctr">
                                  <w14:solidFill>
                                    <w14:srgbClr w14:val="000000"/>
                                  </w14:solidFill>
                                  <w14:prstDash w14:val="solid"/>
                                  <w14:bevel/>
                                </w14:textOutline>
                              </w:rPr>
                              <w:t>p</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&lt; 0.05</w:t>
                            </w:r>
                          </w:p>
                          <w:p w14:paraId="21E6BF6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C48F21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57B130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D95A465" w14:textId="77777777" w:rsidR="006E7D7A" w:rsidRDefault="006E7D7A" w:rsidP="00BA7D46"/>
                          <w:p w14:paraId="50D0A104"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EBDE6A0"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6456F9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0D73AF1"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BFCFAC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2D8C38" w14:textId="77777777" w:rsidR="006E7D7A" w:rsidRDefault="006E7D7A" w:rsidP="00BA7D46"/>
                          <w:p w14:paraId="456917B6"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BBF7303"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AAC286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9961FD4"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4FD4E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4A7169B" w14:textId="77777777" w:rsidR="006E7D7A" w:rsidRDefault="006E7D7A" w:rsidP="00BA7D46"/>
                          <w:p w14:paraId="091B01D1"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C2169AB"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58DFAE8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837FA38"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686E32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FC51A78" w14:textId="77777777" w:rsidR="006E7D7A" w:rsidRDefault="006E7D7A" w:rsidP="00BA7D46"/>
                          <w:p w14:paraId="77955C7C"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809FAA8"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ysis p &lt; 0.05</w:t>
                            </w:r>
                          </w:p>
                          <w:p w14:paraId="71E1D16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2A419D"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3241A0D"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B081B7E" w14:textId="77777777" w:rsidR="006E7D7A" w:rsidRDefault="006E7D7A" w:rsidP="00BA7D46"/>
                          <w:p w14:paraId="3113A883"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A346741"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76A154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BBE6D5A"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75F082"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E988AC3" w14:textId="77777777" w:rsidR="006E7D7A" w:rsidRDefault="006E7D7A" w:rsidP="00BA7D46"/>
                          <w:p w14:paraId="5D102504"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F6903E9"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AC7EC59"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2C2B89F"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3317EA1"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CD3E2A5" w14:textId="77777777" w:rsidR="006E7D7A" w:rsidRDefault="006E7D7A" w:rsidP="00BA7D46"/>
                          <w:p w14:paraId="77AAAD07"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9BCE49E"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E9B840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23BE7A"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94F3D4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ACF79" id="_x0000_s1202" type="#_x0000_t202" style="position:absolute;left:0;text-align:left;margin-left:390.75pt;margin-top:32.5pt;width:286pt;height:29.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" filled="f" stroked="f" strokeweight="1pt">
                <v:textbox>
                  <w:txbxContent>
                    <w:p w14:paraId="0A5A9F1D"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196D142" w14:textId="77777777" w:rsidR="006E7D7A" w:rsidRPr="00F4030F" w:rsidRDefault="006E7D7A" w:rsidP="00BA7D46">
                      <w:pPr>
                        <w:pStyle w:val="NormalWeb"/>
                        <w:bidi/>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lysis </w:t>
                      </w:r>
                      <w:r w:rsidRPr="00222EFB">
                        <w:rPr>
                          <w:rFonts w:ascii="Arial" w:hAnsi="Arial" w:cs="Arial"/>
                          <w:i/>
                          <w:iCs/>
                          <w:color w:val="000000"/>
                          <w:sz w:val="18"/>
                          <w:szCs w:val="18"/>
                          <w:lang w:val="en-GB"/>
                          <w14:textOutline w14:w="0" w14:cap="rnd" w14:cmpd="sng" w14:algn="ctr">
                            <w14:solidFill>
                              <w14:srgbClr w14:val="000000"/>
                            </w14:solidFill>
                            <w14:prstDash w14:val="solid"/>
                            <w14:bevel/>
                          </w14:textOutline>
                        </w:rPr>
                        <w:t>p</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&lt; 0.05</w:t>
                      </w:r>
                    </w:p>
                    <w:p w14:paraId="21E6BF6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C48F21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057B130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D95A465" w14:textId="77777777" w:rsidR="006E7D7A" w:rsidRDefault="006E7D7A" w:rsidP="00BA7D46"/>
                    <w:p w14:paraId="50D0A104"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EBDE6A0"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6456F9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0D73AF1"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BFCFAC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2D8C38" w14:textId="77777777" w:rsidR="006E7D7A" w:rsidRDefault="006E7D7A" w:rsidP="00BA7D46"/>
                    <w:p w14:paraId="456917B6"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BBF7303"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AAC286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9961FD4"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4FD4E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4A7169B" w14:textId="77777777" w:rsidR="006E7D7A" w:rsidRDefault="006E7D7A" w:rsidP="00BA7D46"/>
                    <w:p w14:paraId="091B01D1"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C2169AB"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58DFAE8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837FA38"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686E327"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FC51A78" w14:textId="77777777" w:rsidR="006E7D7A" w:rsidRDefault="006E7D7A" w:rsidP="00BA7D46"/>
                    <w:p w14:paraId="77955C7C"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809FAA8"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w:t>
                      </w:r>
                      <w:r>
                        <w:rPr>
                          <w:rFonts w:ascii="Arial" w:hAnsi="Arial" w:cs="Arial"/>
                          <w:color w:val="000000"/>
                          <w:sz w:val="18"/>
                          <w:szCs w:val="18"/>
                          <w:lang w:val="en-GB"/>
                          <w14:textOutline w14:w="0" w14:cap="rnd" w14:cmpd="sng" w14:algn="ctr">
                            <w14:solidFill>
                              <w14:srgbClr w14:val="000000"/>
                            </w14:solidFill>
                            <w14:prstDash w14:val="solid"/>
                            <w14:bevel/>
                          </w14:textOutline>
                        </w:rPr>
                        <w:t>e ana</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ysis p &lt; 0.05</w:t>
                      </w:r>
                    </w:p>
                    <w:p w14:paraId="71E1D16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2A419D"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3241A0D"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B081B7E" w14:textId="77777777" w:rsidR="006E7D7A" w:rsidRDefault="006E7D7A" w:rsidP="00BA7D46"/>
                    <w:p w14:paraId="3113A883"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5A346741"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276A1543"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2BBE6D5A"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375F082"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E988AC3" w14:textId="77777777" w:rsidR="006E7D7A" w:rsidRDefault="006E7D7A" w:rsidP="00BA7D46"/>
                    <w:p w14:paraId="5D102504"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F6903E9"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AC7EC59"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32C2B89F"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3317EA1"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4CD3E2A5" w14:textId="77777777" w:rsidR="006E7D7A" w:rsidRDefault="006E7D7A" w:rsidP="00BA7D46"/>
                    <w:p w14:paraId="77AAAD07" w14:textId="77777777" w:rsidR="006E7D7A"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69BCE49E" w14:textId="77777777" w:rsidR="006E7D7A" w:rsidRPr="00F4030F" w:rsidRDefault="006E7D7A" w:rsidP="00BA7D46">
                      <w:pPr>
                        <w:pStyle w:val="NormalWeb"/>
                        <w:spacing w:before="0" w:beforeAutospacing="0" w:after="0" w:afterAutospacing="0"/>
                        <w:textAlignment w:val="baseline"/>
                        <w:rPr>
                          <w:rFonts w:ascii="Arial" w:hAnsi="Arial" w:cs="Arial"/>
                          <w:color w:val="000000"/>
                          <w:sz w:val="18"/>
                          <w:szCs w:val="18"/>
                          <w:lang w:val="en-GB"/>
                          <w14:textOutline w14:w="0" w14:cap="rnd" w14:cmpd="sng" w14:algn="ctr">
                            <w14:solidFill>
                              <w14:srgbClr w14:val="000000"/>
                            </w14:solidFill>
                            <w14:prstDash w14:val="solid"/>
                            <w14:bevel/>
                          </w14:textOutline>
                        </w:rPr>
                      </w:pP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Significant association</w:t>
                      </w:r>
                      <w:r>
                        <w:rPr>
                          <w:rFonts w:ascii="Arial" w:hAnsi="Arial" w:cs="Arial"/>
                          <w:color w:val="000000"/>
                          <w:sz w:val="18"/>
                          <w:szCs w:val="18"/>
                          <w:lang w:val="en-GB"/>
                          <w14:textOutline w14:w="0" w14:cap="rnd" w14:cmpd="sng" w14:algn="ctr">
                            <w14:solidFill>
                              <w14:srgbClr w14:val="000000"/>
                            </w14:solidFill>
                            <w14:prstDash w14:val="solid"/>
                            <w14:bevel/>
                          </w14:textOutline>
                        </w:rPr>
                        <w:t>s</w:t>
                      </w:r>
                      <w:r w:rsidRPr="00F4030F">
                        <w:rPr>
                          <w:rFonts w:ascii="Arial" w:hAnsi="Arial" w:cs="Arial"/>
                          <w:color w:val="000000"/>
                          <w:sz w:val="18"/>
                          <w:szCs w:val="18"/>
                          <w:lang w:val="en-GB"/>
                          <w14:textOutline w14:w="0" w14:cap="rnd" w14:cmpd="sng" w14:algn="ctr">
                            <w14:solidFill>
                              <w14:srgbClr w14:val="000000"/>
                            </w14:solidFill>
                            <w14:prstDash w14:val="solid"/>
                            <w14:bevel/>
                          </w14:textOutline>
                        </w:rPr>
                        <w:t xml:space="preserve"> found in the analysis p &lt; 0.05</w:t>
                      </w:r>
                    </w:p>
                    <w:p w14:paraId="0E9B8400"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7F23BE7A"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p w14:paraId="194F3D4B" w14:textId="77777777" w:rsidR="006E7D7A" w:rsidRPr="00D4773B" w:rsidRDefault="006E7D7A" w:rsidP="00BA7D46">
                      <w:pPr>
                        <w:pStyle w:val="NormalWeb"/>
                        <w:spacing w:before="0" w:beforeAutospacing="0" w:after="0" w:afterAutospacing="0"/>
                        <w:textAlignment w:val="baseline"/>
                        <w:rPr>
                          <w:rFonts w:ascii="Arial" w:hAnsi="Arial" w:cs="Arial"/>
                          <w:color w:val="000000"/>
                          <w:sz w:val="16"/>
                          <w:szCs w:val="16"/>
                          <w:lang w:val="en-GB"/>
                          <w14:textOutline w14:w="0" w14:cap="rnd" w14:cmpd="sng" w14:algn="ctr">
                            <w14:solidFill>
                              <w14:srgbClr w14:val="000000"/>
                            </w14:solidFill>
                            <w14:prstDash w14:val="solid"/>
                            <w14:bevel/>
                          </w14:textOutline>
                        </w:rPr>
                      </w:pPr>
                    </w:p>
                  </w:txbxContent>
                </v:textbox>
              </v:shape>
            </w:pict>
          </mc:Fallback>
        </mc:AlternateContent>
      </w:r>
      <w:r w:rsidR="00307EFB" w:rsidRPr="00787196">
        <w:rPr>
          <w:noProof/>
        </w:rPr>
        <mc:AlternateContent>
          <mc:Choice Requires="wps">
            <w:drawing>
              <wp:anchor distT="0" distB="0" distL="114300" distR="114300" simplePos="0" relativeHeight="251695616" behindDoc="0" locked="0" layoutInCell="1" allowOverlap="1" wp14:anchorId="7860ED36" wp14:editId="5B5FBDE6">
                <wp:simplePos x="0" y="0"/>
                <wp:positionH relativeFrom="column">
                  <wp:posOffset>4052887</wp:posOffset>
                </wp:positionH>
                <wp:positionV relativeFrom="paragraph">
                  <wp:posOffset>132715</wp:posOffset>
                </wp:positionV>
                <wp:extent cx="863600" cy="271145"/>
                <wp:effectExtent l="0" t="0" r="0" b="0"/>
                <wp:wrapNone/>
                <wp:docPr id="250"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711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084EC9" w14:textId="3143B7A5"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0.693</w:t>
                            </w:r>
                          </w:p>
                          <w:p w14:paraId="59C32C17" w14:textId="77777777" w:rsidR="006E7D7A" w:rsidRDefault="006E7D7A" w:rsidP="00307EFB"/>
                          <w:p w14:paraId="2F7F5B9B"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3EA03FA" w14:textId="77777777" w:rsidR="006E7D7A" w:rsidRDefault="006E7D7A" w:rsidP="00307EFB"/>
                          <w:p w14:paraId="03A7704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98B2132" w14:textId="77777777" w:rsidR="006E7D7A" w:rsidRDefault="006E7D7A" w:rsidP="00307EFB"/>
                          <w:p w14:paraId="798546FD"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9015139" w14:textId="77777777" w:rsidR="006E7D7A" w:rsidRDefault="006E7D7A" w:rsidP="00307EFB"/>
                          <w:p w14:paraId="1295AE2F"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47F693" w14:textId="77777777" w:rsidR="006E7D7A" w:rsidRDefault="006E7D7A" w:rsidP="00307EFB"/>
                          <w:p w14:paraId="4ACB3367"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07FD3A0" w14:textId="77777777" w:rsidR="006E7D7A" w:rsidRDefault="006E7D7A" w:rsidP="00307EFB"/>
                          <w:p w14:paraId="72E69FD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8E67DA" w14:textId="77777777" w:rsidR="006E7D7A" w:rsidRDefault="006E7D7A" w:rsidP="00307EFB"/>
                          <w:p w14:paraId="3632D5F6"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0ED36" id="_x0000_s1203" type="#_x0000_t202" style="position:absolute;left:0;text-align:left;margin-left:319.1pt;margin-top:10.45pt;width:68pt;height:2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" filled="f" stroked="f">
                <v:textbox>
                  <w:txbxContent>
                    <w:p w14:paraId="00084EC9" w14:textId="3143B7A5" w:rsidR="006E7D7A" w:rsidRPr="00307EFB" w:rsidRDefault="006E7D7A" w:rsidP="00307EFB">
                      <w:pPr>
                        <w:pStyle w:val="NormalWeb"/>
                        <w:spacing w:before="0" w:beforeAutospacing="0" w:after="0" w:afterAutospacing="0"/>
                        <w:jc w:val="center"/>
                        <w:textAlignment w:val="baseline"/>
                        <w:rPr>
                          <w:rFonts w:ascii="Arial" w:hAnsi="Arial" w:cs="Arial"/>
                          <w:color w:val="000000"/>
                          <w:sz w:val="2"/>
                          <w:szCs w:val="2"/>
                        </w:rPr>
                      </w:pPr>
                      <w:r w:rsidRPr="001F0BA8">
                        <w:rPr>
                          <w:rFonts w:ascii="Arial" w:eastAsia="Arial" w:hAnsi="Arial" w:cs="Arial"/>
                          <w:b/>
                          <w:bCs/>
                          <w:color w:val="000000"/>
                          <w:kern w:val="24"/>
                          <w:sz w:val="22"/>
                          <w:szCs w:val="22"/>
                        </w:rPr>
                        <w:t xml:space="preserve"> </w:t>
                      </w:r>
                      <w:r w:rsidRPr="00307EFB">
                        <w:rPr>
                          <w:rFonts w:ascii="Arial" w:eastAsia="Arial" w:hAnsi="Arial" w:cs="Arial"/>
                          <w:color w:val="000000"/>
                          <w:kern w:val="24"/>
                          <w:sz w:val="22"/>
                          <w:szCs w:val="22"/>
                        </w:rPr>
                        <w:t>0.693</w:t>
                      </w:r>
                    </w:p>
                    <w:p w14:paraId="59C32C17" w14:textId="77777777" w:rsidR="006E7D7A" w:rsidRDefault="006E7D7A" w:rsidP="00307EFB"/>
                    <w:p w14:paraId="2F7F5B9B"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3EA03FA" w14:textId="77777777" w:rsidR="006E7D7A" w:rsidRDefault="006E7D7A" w:rsidP="00307EFB"/>
                    <w:p w14:paraId="03A77048"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498B2132" w14:textId="77777777" w:rsidR="006E7D7A" w:rsidRDefault="006E7D7A" w:rsidP="00307EFB"/>
                    <w:p w14:paraId="798546FD"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09015139" w14:textId="77777777" w:rsidR="006E7D7A" w:rsidRDefault="006E7D7A" w:rsidP="00307EFB"/>
                    <w:p w14:paraId="1295AE2F"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347F693" w14:textId="77777777" w:rsidR="006E7D7A" w:rsidRDefault="006E7D7A" w:rsidP="00307EFB"/>
                    <w:p w14:paraId="4ACB3367"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707FD3A0" w14:textId="77777777" w:rsidR="006E7D7A" w:rsidRDefault="006E7D7A" w:rsidP="00307EFB"/>
                    <w:p w14:paraId="72E69FD3"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p w14:paraId="148E67DA" w14:textId="77777777" w:rsidR="006E7D7A" w:rsidRDefault="006E7D7A" w:rsidP="00307EFB"/>
                    <w:p w14:paraId="3632D5F6" w14:textId="77777777" w:rsidR="006E7D7A" w:rsidRPr="001F0BA8" w:rsidRDefault="006E7D7A" w:rsidP="00307EFB">
                      <w:pPr>
                        <w:pStyle w:val="NormalWeb"/>
                        <w:spacing w:before="0" w:beforeAutospacing="0" w:after="0" w:afterAutospacing="0"/>
                        <w:jc w:val="center"/>
                        <w:textAlignment w:val="baseline"/>
                        <w:rPr>
                          <w:rFonts w:ascii="Arial" w:hAnsi="Arial" w:cs="Arial"/>
                          <w:b/>
                          <w:bCs/>
                          <w:color w:val="000000"/>
                          <w:sz w:val="2"/>
                          <w:szCs w:val="2"/>
                        </w:rPr>
                      </w:pPr>
                      <w:r w:rsidRPr="001F0BA8">
                        <w:rPr>
                          <w:rFonts w:ascii="Arial" w:eastAsia="Arial" w:hAnsi="Arial" w:cs="Arial"/>
                          <w:b/>
                          <w:bCs/>
                          <w:color w:val="000000"/>
                          <w:kern w:val="24"/>
                          <w:sz w:val="22"/>
                          <w:szCs w:val="22"/>
                        </w:rPr>
                        <w:t>- 0.277</w:t>
                      </w:r>
                    </w:p>
                  </w:txbxContent>
                </v:textbox>
              </v:shape>
            </w:pict>
          </mc:Fallback>
        </mc:AlternateContent>
      </w:r>
      <w:r w:rsidR="00293706" w:rsidRPr="00787196">
        <w:rPr>
          <w:noProof/>
        </w:rPr>
        <mc:AlternateContent>
          <mc:Choice Requires="wps">
            <w:drawing>
              <wp:anchor distT="0" distB="0" distL="114300" distR="114300" simplePos="0" relativeHeight="251680256" behindDoc="0" locked="0" layoutInCell="1" allowOverlap="1" wp14:anchorId="72554197" wp14:editId="03050ABB">
                <wp:simplePos x="0" y="0"/>
                <wp:positionH relativeFrom="column">
                  <wp:posOffset>870431</wp:posOffset>
                </wp:positionH>
                <wp:positionV relativeFrom="paragraph">
                  <wp:posOffset>23495</wp:posOffset>
                </wp:positionV>
                <wp:extent cx="1166495" cy="362607"/>
                <wp:effectExtent l="0" t="0" r="14605" b="18415"/>
                <wp:wrapNone/>
                <wp:docPr id="174"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3626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1292B" w14:textId="4CD03E6C"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54197" id="_x0000_s1204" type="#_x0000_t202" style="position:absolute;left:0;text-align:left;margin-left:68.55pt;margin-top:1.85pt;width:91.85pt;height:2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" filled="f">
                <v:textbox>
                  <w:txbxContent>
                    <w:p w14:paraId="5D61292B" w14:textId="4CD03E6C" w:rsidR="006E7D7A" w:rsidRPr="00152FFB" w:rsidRDefault="006E7D7A" w:rsidP="00116234">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v:textbox>
              </v:shape>
            </w:pict>
          </mc:Fallback>
        </mc:AlternateContent>
      </w:r>
    </w:p>
    <w:p w14:paraId="09F9AC0D" w14:textId="135E3376" w:rsidR="00D82C9F" w:rsidRPr="00787196" w:rsidRDefault="00BA7D46" w:rsidP="00755F46">
      <w:r w:rsidRPr="00787196">
        <w:rPr>
          <w:noProof/>
        </w:rPr>
        <mc:AlternateContent>
          <mc:Choice Requires="wps">
            <w:drawing>
              <wp:anchor distT="0" distB="0" distL="114300" distR="114300" simplePos="0" relativeHeight="251724288" behindDoc="0" locked="0" layoutInCell="1" allowOverlap="1" wp14:anchorId="1FE8F57C" wp14:editId="73796A2B">
                <wp:simplePos x="0" y="0"/>
                <wp:positionH relativeFrom="column">
                  <wp:posOffset>5109210</wp:posOffset>
                </wp:positionH>
                <wp:positionV relativeFrom="paragraph">
                  <wp:posOffset>185420</wp:posOffset>
                </wp:positionV>
                <wp:extent cx="600075" cy="0"/>
                <wp:effectExtent l="0" t="76200" r="9525" b="95250"/>
                <wp:wrapNone/>
                <wp:docPr id="44" name="Straight Arrow Connector 44"/>
                <wp:cNvGraphicFramePr/>
                <a:graphic xmlns:a="http://schemas.openxmlformats.org/drawingml/2006/main">
                  <a:graphicData uri="http://schemas.microsoft.com/office/word/2010/wordprocessingShape">
                    <wps:wsp>
                      <wps:cNvCnPr/>
                      <wps:spPr>
                        <a:xfrm>
                          <a:off x="0" y="0"/>
                          <a:ext cx="6000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48851F" id="Straight Arrow Connector 44" o:spid="_x0000_s1026" type="#_x0000_t32" style="position:absolute;margin-left:402.3pt;margin-top:14.6pt;width:47.25pt;height:0;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" strokecolor="black [3200]" strokeweight="1pt">
                <v:stroke endarrow="block" joinstyle="miter"/>
              </v:shape>
            </w:pict>
          </mc:Fallback>
        </mc:AlternateContent>
      </w:r>
      <w:r w:rsidR="009D7561" w:rsidRPr="00787196">
        <w:rPr>
          <w:noProof/>
        </w:rPr>
        <mc:AlternateContent>
          <mc:Choice Requires="wps">
            <w:drawing>
              <wp:anchor distT="0" distB="0" distL="114300" distR="114300" simplePos="0" relativeHeight="251681280" behindDoc="0" locked="0" layoutInCell="1" allowOverlap="1" wp14:anchorId="5A2EC61A" wp14:editId="13EAE358">
                <wp:simplePos x="0" y="0"/>
                <wp:positionH relativeFrom="column">
                  <wp:posOffset>870431</wp:posOffset>
                </wp:positionH>
                <wp:positionV relativeFrom="paragraph">
                  <wp:posOffset>45720</wp:posOffset>
                </wp:positionV>
                <wp:extent cx="1166495" cy="315311"/>
                <wp:effectExtent l="0" t="0" r="14605" b="27940"/>
                <wp:wrapNone/>
                <wp:docPr id="211"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315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52F32" w14:textId="6276B082" w:rsidR="006E7D7A" w:rsidRPr="00152FFB" w:rsidRDefault="006E7D7A" w:rsidP="00293706">
                            <w:pPr>
                              <w:pStyle w:val="NormalWeb"/>
                              <w:spacing w:before="0" w:beforeAutospacing="0" w:after="0" w:afterAutospacing="0"/>
                              <w:jc w:val="center"/>
                              <w:textAlignment w:val="baseline"/>
                              <w:rPr>
                                <w:rFonts w:ascii="Arial" w:hAnsi="Arial" w:cs="Arial"/>
                                <w:color w:val="000000"/>
                                <w:sz w:val="20"/>
                                <w:szCs w:val="20"/>
                                <w:lang w:val="en-GB"/>
                              </w:rPr>
                            </w:pPr>
                            <w:r>
                              <w:rPr>
                                <w:rFonts w:ascii="Arial" w:hAnsi="Arial" w:cs="Arial"/>
                                <w:color w:val="000000"/>
                                <w:sz w:val="20"/>
                                <w:szCs w:val="20"/>
                                <w:lang w:val="en-GB"/>
                              </w:rPr>
                              <w:t>Religion</w:t>
                            </w:r>
                          </w:p>
                          <w:p w14:paraId="0BA069CF" w14:textId="77777777" w:rsidR="006E7D7A" w:rsidRDefault="006E7D7A"/>
                          <w:p w14:paraId="03D85A76" w14:textId="77777777" w:rsidR="006E7D7A" w:rsidRPr="00152FFB" w:rsidRDefault="006E7D7A" w:rsidP="00293706">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EC61A" id="_x0000_s1205" type="#_x0000_t202" style="position:absolute;left:0;text-align:left;margin-left:68.55pt;margin-top:3.6pt;width:91.85pt;height:2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" filled="f">
                <v:textbox>
                  <w:txbxContent>
                    <w:p w14:paraId="55752F32" w14:textId="6276B082" w:rsidR="006E7D7A" w:rsidRPr="00152FFB" w:rsidRDefault="006E7D7A" w:rsidP="00293706">
                      <w:pPr>
                        <w:pStyle w:val="NormalWeb"/>
                        <w:spacing w:before="0" w:beforeAutospacing="0" w:after="0" w:afterAutospacing="0"/>
                        <w:jc w:val="center"/>
                        <w:textAlignment w:val="baseline"/>
                        <w:rPr>
                          <w:rFonts w:ascii="Arial" w:hAnsi="Arial" w:cs="Arial"/>
                          <w:color w:val="000000"/>
                          <w:sz w:val="20"/>
                          <w:szCs w:val="20"/>
                          <w:lang w:val="en-GB"/>
                        </w:rPr>
                      </w:pPr>
                      <w:r>
                        <w:rPr>
                          <w:rFonts w:ascii="Arial" w:hAnsi="Arial" w:cs="Arial"/>
                          <w:color w:val="000000"/>
                          <w:sz w:val="20"/>
                          <w:szCs w:val="20"/>
                          <w:lang w:val="en-GB"/>
                        </w:rPr>
                        <w:t>Religion</w:t>
                      </w:r>
                    </w:p>
                    <w:p w14:paraId="0BA069CF" w14:textId="77777777" w:rsidR="006E7D7A" w:rsidRDefault="006E7D7A"/>
                    <w:p w14:paraId="03D85A76" w14:textId="77777777" w:rsidR="006E7D7A" w:rsidRPr="00152FFB" w:rsidRDefault="006E7D7A" w:rsidP="00293706">
                      <w:pPr>
                        <w:pStyle w:val="NormalWeb"/>
                        <w:spacing w:before="0" w:beforeAutospacing="0" w:after="0" w:afterAutospacing="0"/>
                        <w:jc w:val="center"/>
                        <w:textAlignment w:val="baseline"/>
                        <w:rPr>
                          <w:rFonts w:ascii="Arial" w:hAnsi="Arial" w:cs="Arial"/>
                          <w:color w:val="000000"/>
                          <w:sz w:val="20"/>
                          <w:szCs w:val="20"/>
                          <w:lang w:val="en-GB"/>
                        </w:rPr>
                      </w:pPr>
                      <w:r w:rsidRPr="00152FFB">
                        <w:rPr>
                          <w:rFonts w:ascii="Arial" w:hAnsi="Arial" w:cs="Arial"/>
                          <w:color w:val="000000"/>
                          <w:sz w:val="20"/>
                          <w:szCs w:val="20"/>
                          <w:lang w:val="en-GB"/>
                        </w:rPr>
                        <w:t>Self-blame</w:t>
                      </w:r>
                    </w:p>
                  </w:txbxContent>
                </v:textbox>
              </v:shape>
            </w:pict>
          </mc:Fallback>
        </mc:AlternateContent>
      </w:r>
    </w:p>
    <w:p w14:paraId="6EEE6D92" w14:textId="2A3962EA" w:rsidR="00D82C9F" w:rsidRPr="00787196" w:rsidRDefault="00D82C9F" w:rsidP="00755F46">
      <w:pPr>
        <w:sectPr w:rsidR="00D82C9F" w:rsidRPr="00787196" w:rsidSect="009D7561">
          <w:pgSz w:w="16838" w:h="11906" w:orient="landscape"/>
          <w:pgMar w:top="2268" w:right="1134" w:bottom="1134" w:left="1134" w:header="567" w:footer="0" w:gutter="0"/>
          <w:cols w:space="708"/>
          <w:docGrid w:linePitch="360"/>
        </w:sectPr>
      </w:pPr>
    </w:p>
    <w:p w14:paraId="13731919" w14:textId="2F2DB0FA" w:rsidR="004F6AF4" w:rsidRPr="00787196" w:rsidRDefault="00284C60" w:rsidP="001C1B23">
      <w:pPr>
        <w:pStyle w:val="Heading1"/>
        <w:spacing w:before="0"/>
        <w:rPr>
          <w:lang w:bidi="hi-IN"/>
        </w:rPr>
      </w:pPr>
      <w:bookmarkStart w:id="326" w:name="_Toc456211196"/>
      <w:bookmarkStart w:id="327" w:name="_Toc488655678"/>
      <w:r w:rsidRPr="00787196">
        <w:rPr>
          <w:lang w:bidi="hi-IN"/>
        </w:rPr>
        <w:lastRenderedPageBreak/>
        <w:t xml:space="preserve">CHAPTER SIX </w:t>
      </w:r>
      <w:r w:rsidR="004F6AF4" w:rsidRPr="00787196">
        <w:rPr>
          <w:lang w:bidi="hi-IN"/>
        </w:rPr>
        <w:t>DISCUSSION</w:t>
      </w:r>
      <w:bookmarkEnd w:id="326"/>
      <w:bookmarkEnd w:id="327"/>
    </w:p>
    <w:p w14:paraId="00DAD97F" w14:textId="4A45B02E" w:rsidR="004F6AF4" w:rsidRPr="00787196" w:rsidRDefault="004F6AF4" w:rsidP="004F119E">
      <w:pPr>
        <w:pStyle w:val="Heading2"/>
        <w:rPr>
          <w:lang w:bidi="hi-IN"/>
        </w:rPr>
      </w:pPr>
      <w:bookmarkStart w:id="328" w:name="_Ref441562676"/>
      <w:bookmarkStart w:id="329" w:name="_Toc456211197"/>
      <w:bookmarkStart w:id="330" w:name="_Toc488655679"/>
      <w:r w:rsidRPr="00787196">
        <w:rPr>
          <w:lang w:bidi="hi-IN"/>
        </w:rPr>
        <w:t>Introduction</w:t>
      </w:r>
      <w:bookmarkEnd w:id="328"/>
      <w:bookmarkEnd w:id="329"/>
      <w:bookmarkEnd w:id="330"/>
    </w:p>
    <w:p w14:paraId="1FF27BCA" w14:textId="65B325D0" w:rsidR="007F183B" w:rsidRPr="00787196" w:rsidRDefault="009469F5" w:rsidP="000535D1">
      <w:pPr>
        <w:rPr>
          <w:lang w:bidi="hi-IN"/>
        </w:rPr>
      </w:pPr>
      <w:r w:rsidRPr="00787196">
        <w:rPr>
          <w:lang w:bidi="hi-IN"/>
        </w:rPr>
        <w:t xml:space="preserve">This </w:t>
      </w:r>
      <w:r w:rsidR="003E201D" w:rsidRPr="00787196">
        <w:rPr>
          <w:lang w:bidi="hi-IN"/>
        </w:rPr>
        <w:t xml:space="preserve">research employed a </w:t>
      </w:r>
      <w:r w:rsidR="00F172AE" w:rsidRPr="00787196">
        <w:rPr>
          <w:lang w:bidi="hi-IN"/>
        </w:rPr>
        <w:t xml:space="preserve">prospective longitudinal </w:t>
      </w:r>
      <w:r w:rsidR="005D0D40" w:rsidRPr="00787196">
        <w:rPr>
          <w:lang w:bidi="hi-IN"/>
        </w:rPr>
        <w:t xml:space="preserve">clinical and </w:t>
      </w:r>
      <w:r w:rsidR="00F172AE" w:rsidRPr="00787196">
        <w:rPr>
          <w:lang w:bidi="hi-IN"/>
        </w:rPr>
        <w:t xml:space="preserve">questionnaire </w:t>
      </w:r>
      <w:r w:rsidR="003E201D" w:rsidRPr="00787196">
        <w:rPr>
          <w:lang w:bidi="hi-IN"/>
        </w:rPr>
        <w:t>based observation</w:t>
      </w:r>
      <w:r w:rsidR="00464751" w:rsidRPr="00787196">
        <w:rPr>
          <w:lang w:bidi="hi-IN"/>
        </w:rPr>
        <w:t>al study</w:t>
      </w:r>
      <w:r w:rsidR="003E201D" w:rsidRPr="00787196">
        <w:rPr>
          <w:lang w:bidi="hi-IN"/>
        </w:rPr>
        <w:t xml:space="preserve"> </w:t>
      </w:r>
      <w:r w:rsidRPr="00787196">
        <w:rPr>
          <w:lang w:bidi="hi-IN"/>
        </w:rPr>
        <w:t>o</w:t>
      </w:r>
      <w:r w:rsidR="00F172AE" w:rsidRPr="00787196">
        <w:rPr>
          <w:lang w:bidi="hi-IN"/>
        </w:rPr>
        <w:t xml:space="preserve">n </w:t>
      </w:r>
      <w:r w:rsidR="00760864" w:rsidRPr="00787196">
        <w:rPr>
          <w:lang w:bidi="hi-IN"/>
        </w:rPr>
        <w:t xml:space="preserve">a south Indian </w:t>
      </w:r>
      <w:r w:rsidR="00280A51" w:rsidRPr="00787196">
        <w:rPr>
          <w:lang w:bidi="hi-IN"/>
        </w:rPr>
        <w:t>cohort</w:t>
      </w:r>
      <w:r w:rsidR="00F172AE" w:rsidRPr="00787196">
        <w:rPr>
          <w:lang w:bidi="hi-IN"/>
        </w:rPr>
        <w:t xml:space="preserve"> </w:t>
      </w:r>
      <w:r w:rsidR="00760864" w:rsidRPr="00787196">
        <w:rPr>
          <w:lang w:bidi="hi-IN"/>
        </w:rPr>
        <w:t>receiving</w:t>
      </w:r>
      <w:r w:rsidR="00F172AE" w:rsidRPr="00787196">
        <w:rPr>
          <w:lang w:bidi="hi-IN"/>
        </w:rPr>
        <w:t xml:space="preserve"> </w:t>
      </w:r>
      <w:r w:rsidR="003E201D" w:rsidRPr="00787196">
        <w:rPr>
          <w:lang w:bidi="hi-IN"/>
        </w:rPr>
        <w:t xml:space="preserve">new </w:t>
      </w:r>
      <w:r w:rsidR="00F172AE" w:rsidRPr="00787196">
        <w:rPr>
          <w:lang w:bidi="hi-IN"/>
        </w:rPr>
        <w:t xml:space="preserve">removable dentures. </w:t>
      </w:r>
      <w:r w:rsidR="007F183B" w:rsidRPr="00787196">
        <w:rPr>
          <w:lang w:bidi="hi-IN"/>
        </w:rPr>
        <w:t xml:space="preserve">The main aim of this study was to </w:t>
      </w:r>
      <w:r w:rsidR="007F183B" w:rsidRPr="00787196">
        <w:rPr>
          <w:rFonts w:cs="Arial"/>
          <w:szCs w:val="24"/>
        </w:rPr>
        <w:t>observe whether coping strategies of individuals determine denture success to improve their OHQoL.</w:t>
      </w:r>
      <w:r w:rsidR="007F183B" w:rsidRPr="00787196">
        <w:rPr>
          <w:lang w:bidi="hi-IN"/>
        </w:rPr>
        <w:t xml:space="preserve"> This</w:t>
      </w:r>
      <w:r w:rsidR="000535D1" w:rsidRPr="00787196">
        <w:rPr>
          <w:lang w:bidi="hi-IN"/>
        </w:rPr>
        <w:t xml:space="preserve"> study was the first to explore this </w:t>
      </w:r>
      <w:r w:rsidR="007F183B" w:rsidRPr="00787196">
        <w:rPr>
          <w:lang w:bidi="hi-IN"/>
        </w:rPr>
        <w:t xml:space="preserve">association and </w:t>
      </w:r>
      <w:r w:rsidR="00437E24" w:rsidRPr="00787196">
        <w:rPr>
          <w:lang w:bidi="hi-IN"/>
        </w:rPr>
        <w:t>along</w:t>
      </w:r>
      <w:r w:rsidR="00464751" w:rsidRPr="00787196">
        <w:rPr>
          <w:lang w:bidi="hi-IN"/>
        </w:rPr>
        <w:t xml:space="preserve"> </w:t>
      </w:r>
      <w:r w:rsidR="00437E24" w:rsidRPr="00787196">
        <w:rPr>
          <w:lang w:bidi="hi-IN"/>
        </w:rPr>
        <w:t>w</w:t>
      </w:r>
      <w:r w:rsidR="00464751" w:rsidRPr="00787196">
        <w:rPr>
          <w:lang w:bidi="hi-IN"/>
        </w:rPr>
        <w:t>ith</w:t>
      </w:r>
      <w:r w:rsidR="00437E24" w:rsidRPr="00787196">
        <w:rPr>
          <w:lang w:bidi="hi-IN"/>
        </w:rPr>
        <w:t xml:space="preserve"> the </w:t>
      </w:r>
      <w:r w:rsidR="007F183B" w:rsidRPr="00787196">
        <w:rPr>
          <w:lang w:bidi="hi-IN"/>
        </w:rPr>
        <w:t>c</w:t>
      </w:r>
      <w:r w:rsidR="005D0D40" w:rsidRPr="00787196">
        <w:rPr>
          <w:lang w:bidi="hi-IN"/>
        </w:rPr>
        <w:t>linical</w:t>
      </w:r>
      <w:r w:rsidR="00DD4047" w:rsidRPr="00787196">
        <w:rPr>
          <w:lang w:bidi="hi-IN"/>
        </w:rPr>
        <w:t xml:space="preserve">, </w:t>
      </w:r>
      <w:r w:rsidR="00FB7BC2" w:rsidRPr="00787196">
        <w:rPr>
          <w:lang w:bidi="hi-IN"/>
        </w:rPr>
        <w:t>environmental a</w:t>
      </w:r>
      <w:r w:rsidR="00DD4047" w:rsidRPr="00787196">
        <w:rPr>
          <w:lang w:bidi="hi-IN"/>
        </w:rPr>
        <w:t xml:space="preserve">nd </w:t>
      </w:r>
      <w:r w:rsidR="00FB7BC2" w:rsidRPr="00787196">
        <w:rPr>
          <w:lang w:bidi="hi-IN"/>
        </w:rPr>
        <w:t xml:space="preserve">individual </w:t>
      </w:r>
      <w:r w:rsidR="007F183B" w:rsidRPr="00787196">
        <w:rPr>
          <w:lang w:bidi="hi-IN"/>
        </w:rPr>
        <w:t>variables identified through a systematic literature review</w:t>
      </w:r>
      <w:r w:rsidR="000373DE" w:rsidRPr="00787196">
        <w:rPr>
          <w:lang w:bidi="hi-IN"/>
        </w:rPr>
        <w:t xml:space="preserve"> </w:t>
      </w:r>
      <w:r w:rsidR="00F172AE" w:rsidRPr="00787196">
        <w:rPr>
          <w:lang w:bidi="hi-IN"/>
        </w:rPr>
        <w:t xml:space="preserve">were </w:t>
      </w:r>
      <w:r w:rsidR="007F183B" w:rsidRPr="00787196">
        <w:rPr>
          <w:lang w:bidi="hi-IN"/>
        </w:rPr>
        <w:t xml:space="preserve">tested by populating them </w:t>
      </w:r>
      <w:r w:rsidR="005D0D40" w:rsidRPr="00787196">
        <w:rPr>
          <w:lang w:bidi="hi-IN"/>
        </w:rPr>
        <w:t xml:space="preserve">within </w:t>
      </w:r>
      <w:r w:rsidR="004F6AF4" w:rsidRPr="00787196">
        <w:rPr>
          <w:lang w:bidi="hi-IN"/>
        </w:rPr>
        <w:t>the Wilson and Cleary</w:t>
      </w:r>
      <w:r w:rsidR="00387A20" w:rsidRPr="00787196">
        <w:rPr>
          <w:lang w:bidi="hi-IN"/>
        </w:rPr>
        <w:t xml:space="preserve"> (1995)</w:t>
      </w:r>
      <w:r w:rsidR="004F6AF4" w:rsidRPr="00787196">
        <w:rPr>
          <w:lang w:bidi="hi-IN"/>
        </w:rPr>
        <w:t xml:space="preserve"> model</w:t>
      </w:r>
      <w:r w:rsidR="00437E24" w:rsidRPr="00787196">
        <w:rPr>
          <w:lang w:bidi="hi-IN"/>
        </w:rPr>
        <w:t xml:space="preserve">. A secondary </w:t>
      </w:r>
      <w:r w:rsidR="007F183B" w:rsidRPr="00787196">
        <w:rPr>
          <w:lang w:bidi="hi-IN"/>
        </w:rPr>
        <w:t>l</w:t>
      </w:r>
      <w:r w:rsidR="001C303E" w:rsidRPr="00787196">
        <w:rPr>
          <w:lang w:bidi="hi-IN"/>
        </w:rPr>
        <w:t>agged s</w:t>
      </w:r>
      <w:r w:rsidR="00387A20" w:rsidRPr="00787196">
        <w:rPr>
          <w:lang w:bidi="hi-IN"/>
        </w:rPr>
        <w:t xml:space="preserve">tepwise </w:t>
      </w:r>
      <w:r w:rsidR="004F6AF4" w:rsidRPr="00787196">
        <w:rPr>
          <w:lang w:bidi="hi-IN"/>
        </w:rPr>
        <w:t>multiple regression analysis</w:t>
      </w:r>
      <w:r w:rsidR="00437E24" w:rsidRPr="00787196">
        <w:rPr>
          <w:lang w:bidi="hi-IN"/>
        </w:rPr>
        <w:t xml:space="preserve"> was conducted to test the</w:t>
      </w:r>
      <w:r w:rsidR="000535D1" w:rsidRPr="00787196">
        <w:rPr>
          <w:lang w:bidi="hi-IN"/>
        </w:rPr>
        <w:t>se</w:t>
      </w:r>
      <w:r w:rsidR="00437E24" w:rsidRPr="00787196">
        <w:rPr>
          <w:lang w:bidi="hi-IN"/>
        </w:rPr>
        <w:t xml:space="preserve"> associations after preliminary a bivariate analysis</w:t>
      </w:r>
      <w:r w:rsidR="007F183B" w:rsidRPr="00787196">
        <w:rPr>
          <w:lang w:bidi="hi-IN"/>
        </w:rPr>
        <w:t xml:space="preserve">. </w:t>
      </w:r>
    </w:p>
    <w:p w14:paraId="54479F31" w14:textId="14EF65B6" w:rsidR="000E106B" w:rsidRPr="00787196" w:rsidRDefault="007F183B" w:rsidP="0094041B">
      <w:pPr>
        <w:rPr>
          <w:lang w:bidi="hi-IN"/>
        </w:rPr>
      </w:pPr>
      <w:r w:rsidRPr="00787196">
        <w:rPr>
          <w:lang w:bidi="hi-IN"/>
        </w:rPr>
        <w:t>The results</w:t>
      </w:r>
      <w:r w:rsidR="000373DE" w:rsidRPr="00787196">
        <w:rPr>
          <w:lang w:bidi="hi-IN"/>
        </w:rPr>
        <w:t xml:space="preserve"> showed that clinical factors</w:t>
      </w:r>
      <w:r w:rsidR="0094041B" w:rsidRPr="00787196">
        <w:rPr>
          <w:lang w:bidi="hi-IN"/>
        </w:rPr>
        <w:t xml:space="preserve"> namely, </w:t>
      </w:r>
      <w:r w:rsidRPr="00787196">
        <w:rPr>
          <w:lang w:bidi="hi-IN"/>
        </w:rPr>
        <w:t>th</w:t>
      </w:r>
      <w:r w:rsidR="000373DE" w:rsidRPr="00787196">
        <w:rPr>
          <w:lang w:bidi="hi-IN"/>
        </w:rPr>
        <w:t xml:space="preserve">e number of teeth present and the number of occluding pairs of teeth were directly associated with successful outcomes </w:t>
      </w:r>
      <w:r w:rsidRPr="00787196">
        <w:rPr>
          <w:lang w:bidi="hi-IN"/>
        </w:rPr>
        <w:t xml:space="preserve">(denture success) </w:t>
      </w:r>
      <w:r w:rsidR="000373DE" w:rsidRPr="00787196">
        <w:rPr>
          <w:lang w:bidi="hi-IN"/>
        </w:rPr>
        <w:t>at follow-up</w:t>
      </w:r>
      <w:r w:rsidR="004F6AF4" w:rsidRPr="00787196">
        <w:rPr>
          <w:lang w:bidi="hi-IN"/>
        </w:rPr>
        <w:t xml:space="preserve">. </w:t>
      </w:r>
      <w:r w:rsidRPr="00787196">
        <w:rPr>
          <w:lang w:bidi="hi-IN"/>
        </w:rPr>
        <w:t>The main</w:t>
      </w:r>
      <w:r w:rsidR="000F70BB" w:rsidRPr="00787196">
        <w:rPr>
          <w:lang w:bidi="hi-IN"/>
        </w:rPr>
        <w:t xml:space="preserve"> longitudinal </w:t>
      </w:r>
      <w:r w:rsidR="00940B23" w:rsidRPr="00787196">
        <w:rPr>
          <w:lang w:bidi="hi-IN"/>
        </w:rPr>
        <w:t>o</w:t>
      </w:r>
      <w:r w:rsidRPr="00787196">
        <w:rPr>
          <w:lang w:bidi="hi-IN"/>
        </w:rPr>
        <w:t>bservation between c</w:t>
      </w:r>
      <w:r w:rsidR="005D0D40" w:rsidRPr="00787196">
        <w:rPr>
          <w:lang w:bidi="hi-IN"/>
        </w:rPr>
        <w:t>oping strategies</w:t>
      </w:r>
      <w:r w:rsidRPr="00787196">
        <w:rPr>
          <w:lang w:bidi="hi-IN"/>
        </w:rPr>
        <w:t xml:space="preserve"> and OHQoL showed no</w:t>
      </w:r>
      <w:r w:rsidR="005D0D40" w:rsidRPr="00787196">
        <w:rPr>
          <w:lang w:bidi="hi-IN"/>
        </w:rPr>
        <w:t xml:space="preserve"> </w:t>
      </w:r>
      <w:r w:rsidR="00940B23" w:rsidRPr="00787196">
        <w:rPr>
          <w:lang w:bidi="hi-IN"/>
        </w:rPr>
        <w:t xml:space="preserve">significant </w:t>
      </w:r>
      <w:r w:rsidRPr="00787196">
        <w:rPr>
          <w:lang w:bidi="hi-IN"/>
        </w:rPr>
        <w:t>association</w:t>
      </w:r>
      <w:r w:rsidR="00C11961" w:rsidRPr="00787196">
        <w:rPr>
          <w:lang w:bidi="hi-IN"/>
        </w:rPr>
        <w:t>.</w:t>
      </w:r>
      <w:r w:rsidR="00883707" w:rsidRPr="00787196">
        <w:rPr>
          <w:lang w:bidi="hi-IN"/>
        </w:rPr>
        <w:t xml:space="preserve"> </w:t>
      </w:r>
      <w:r w:rsidR="0052271D" w:rsidRPr="00787196">
        <w:rPr>
          <w:lang w:bidi="hi-IN"/>
        </w:rPr>
        <w:t xml:space="preserve"> </w:t>
      </w:r>
      <w:r w:rsidR="000B47DC" w:rsidRPr="00787196">
        <w:rPr>
          <w:lang w:bidi="hi-IN"/>
        </w:rPr>
        <w:t xml:space="preserve"> </w:t>
      </w:r>
      <w:r w:rsidR="009137C1" w:rsidRPr="00787196">
        <w:rPr>
          <w:lang w:bidi="hi-IN"/>
        </w:rPr>
        <w:t xml:space="preserve">  </w:t>
      </w:r>
      <w:r w:rsidR="00D80EB1" w:rsidRPr="00787196">
        <w:rPr>
          <w:lang w:bidi="hi-IN"/>
        </w:rPr>
        <w:t xml:space="preserve"> </w:t>
      </w:r>
      <w:r w:rsidR="000E106B" w:rsidRPr="00787196">
        <w:rPr>
          <w:lang w:bidi="hi-IN"/>
        </w:rPr>
        <w:t xml:space="preserve"> </w:t>
      </w:r>
    </w:p>
    <w:p w14:paraId="3216CB4D" w14:textId="777A95EA" w:rsidR="00563F86" w:rsidRPr="00787196" w:rsidRDefault="00BB5633" w:rsidP="00A9713C">
      <w:pPr>
        <w:rPr>
          <w:lang w:bidi="hi-IN"/>
        </w:rPr>
      </w:pPr>
      <w:r w:rsidRPr="00787196">
        <w:rPr>
          <w:lang w:bidi="hi-IN"/>
        </w:rPr>
        <w:t>Th</w:t>
      </w:r>
      <w:r w:rsidR="00C11961" w:rsidRPr="00787196">
        <w:rPr>
          <w:lang w:bidi="hi-IN"/>
        </w:rPr>
        <w:t xml:space="preserve">is </w:t>
      </w:r>
      <w:r w:rsidR="002230F0" w:rsidRPr="00787196">
        <w:rPr>
          <w:lang w:bidi="hi-IN"/>
        </w:rPr>
        <w:t>chapter</w:t>
      </w:r>
      <w:r w:rsidRPr="00787196">
        <w:rPr>
          <w:lang w:bidi="hi-IN"/>
        </w:rPr>
        <w:t xml:space="preserve"> </w:t>
      </w:r>
      <w:r w:rsidR="00D14D50" w:rsidRPr="00787196">
        <w:rPr>
          <w:lang w:bidi="hi-IN"/>
        </w:rPr>
        <w:t xml:space="preserve">discusses the results of this study in the light of information </w:t>
      </w:r>
      <w:r w:rsidR="004441A4" w:rsidRPr="00787196">
        <w:rPr>
          <w:lang w:bidi="hi-IN"/>
        </w:rPr>
        <w:t>understood</w:t>
      </w:r>
      <w:r w:rsidR="00D14D50" w:rsidRPr="00787196">
        <w:rPr>
          <w:lang w:bidi="hi-IN"/>
        </w:rPr>
        <w:t xml:space="preserve"> from the literature review, the </w:t>
      </w:r>
      <w:r w:rsidR="004441A4" w:rsidRPr="00787196">
        <w:rPr>
          <w:lang w:bidi="hi-IN"/>
        </w:rPr>
        <w:t xml:space="preserve">present </w:t>
      </w:r>
      <w:r w:rsidR="00D14D50" w:rsidRPr="00787196">
        <w:rPr>
          <w:lang w:bidi="hi-IN"/>
        </w:rPr>
        <w:t xml:space="preserve">knowledge and </w:t>
      </w:r>
      <w:r w:rsidR="004441A4" w:rsidRPr="00787196">
        <w:rPr>
          <w:lang w:bidi="hi-IN"/>
        </w:rPr>
        <w:t>t</w:t>
      </w:r>
      <w:r w:rsidR="00D14D50" w:rsidRPr="00787196">
        <w:rPr>
          <w:lang w:bidi="hi-IN"/>
        </w:rPr>
        <w:t xml:space="preserve">he methodological limitations. This chapter is hence </w:t>
      </w:r>
      <w:r w:rsidRPr="00787196">
        <w:rPr>
          <w:lang w:bidi="hi-IN"/>
        </w:rPr>
        <w:t>divided into</w:t>
      </w:r>
      <w:r w:rsidR="009F0700" w:rsidRPr="00787196">
        <w:rPr>
          <w:lang w:bidi="hi-IN"/>
        </w:rPr>
        <w:t xml:space="preserve"> four parts; </w:t>
      </w:r>
      <w:r w:rsidR="00097A76" w:rsidRPr="00787196">
        <w:rPr>
          <w:lang w:bidi="hi-IN"/>
        </w:rPr>
        <w:t>Section</w:t>
      </w:r>
      <w:r w:rsidR="003D2B33" w:rsidRPr="00787196">
        <w:rPr>
          <w:lang w:bidi="hi-IN"/>
        </w:rPr>
        <w:t xml:space="preserve"> </w:t>
      </w:r>
      <w:r w:rsidR="00814827" w:rsidRPr="00787196">
        <w:rPr>
          <w:lang w:bidi="hi-IN"/>
        </w:rPr>
        <w:t>6.2 discusses</w:t>
      </w:r>
      <w:r w:rsidR="003425AA" w:rsidRPr="00787196">
        <w:rPr>
          <w:lang w:bidi="hi-IN"/>
        </w:rPr>
        <w:t xml:space="preserve"> </w:t>
      </w:r>
      <w:r w:rsidR="00A9713C" w:rsidRPr="00787196">
        <w:rPr>
          <w:lang w:bidi="hi-IN"/>
        </w:rPr>
        <w:t xml:space="preserve">on why and how </w:t>
      </w:r>
      <w:r w:rsidR="00814827" w:rsidRPr="00787196">
        <w:rPr>
          <w:lang w:bidi="hi-IN"/>
        </w:rPr>
        <w:t xml:space="preserve">the </w:t>
      </w:r>
      <w:r w:rsidR="0069420A" w:rsidRPr="00787196">
        <w:rPr>
          <w:lang w:bidi="hi-IN"/>
        </w:rPr>
        <w:t>primary hypothesis of this research</w:t>
      </w:r>
      <w:r w:rsidR="00FF65C1" w:rsidRPr="00787196">
        <w:rPr>
          <w:lang w:bidi="hi-IN"/>
        </w:rPr>
        <w:t xml:space="preserve"> was </w:t>
      </w:r>
      <w:r w:rsidR="00A9713C" w:rsidRPr="00787196">
        <w:rPr>
          <w:lang w:bidi="hi-IN"/>
        </w:rPr>
        <w:t>not supported by the results</w:t>
      </w:r>
      <w:r w:rsidR="00FF65C1" w:rsidRPr="00787196">
        <w:rPr>
          <w:lang w:bidi="hi-IN"/>
        </w:rPr>
        <w:t xml:space="preserve">. </w:t>
      </w:r>
      <w:r w:rsidR="007D76F9" w:rsidRPr="00787196">
        <w:rPr>
          <w:lang w:bidi="hi-IN"/>
        </w:rPr>
        <w:t>S</w:t>
      </w:r>
      <w:r w:rsidR="00FF65C1" w:rsidRPr="00787196">
        <w:rPr>
          <w:lang w:bidi="hi-IN"/>
        </w:rPr>
        <w:t>ection</w:t>
      </w:r>
      <w:r w:rsidR="007D76F9" w:rsidRPr="00787196">
        <w:rPr>
          <w:lang w:bidi="hi-IN"/>
        </w:rPr>
        <w:t xml:space="preserve"> 6.3 discusses</w:t>
      </w:r>
      <w:r w:rsidR="00FF65C1" w:rsidRPr="00787196">
        <w:rPr>
          <w:lang w:bidi="hi-IN"/>
        </w:rPr>
        <w:t xml:space="preserve"> </w:t>
      </w:r>
      <w:r w:rsidR="00814827" w:rsidRPr="00787196">
        <w:rPr>
          <w:lang w:bidi="hi-IN"/>
        </w:rPr>
        <w:t xml:space="preserve">other associations that were </w:t>
      </w:r>
      <w:r w:rsidR="004441A4" w:rsidRPr="00787196">
        <w:rPr>
          <w:lang w:bidi="hi-IN"/>
        </w:rPr>
        <w:t xml:space="preserve">anticipated but </w:t>
      </w:r>
      <w:r w:rsidR="00814827" w:rsidRPr="00787196">
        <w:rPr>
          <w:lang w:bidi="hi-IN"/>
        </w:rPr>
        <w:t>not found in th</w:t>
      </w:r>
      <w:r w:rsidR="007D76F9" w:rsidRPr="00787196">
        <w:rPr>
          <w:lang w:bidi="hi-IN"/>
        </w:rPr>
        <w:t>e</w:t>
      </w:r>
      <w:r w:rsidR="00814827" w:rsidRPr="00787196">
        <w:rPr>
          <w:lang w:bidi="hi-IN"/>
        </w:rPr>
        <w:t xml:space="preserve"> study</w:t>
      </w:r>
      <w:r w:rsidR="00972392" w:rsidRPr="00787196">
        <w:rPr>
          <w:lang w:bidi="hi-IN"/>
        </w:rPr>
        <w:t>.</w:t>
      </w:r>
      <w:r w:rsidR="000535D1" w:rsidRPr="00787196">
        <w:rPr>
          <w:lang w:bidi="hi-IN"/>
        </w:rPr>
        <w:t xml:space="preserve"> </w:t>
      </w:r>
      <w:r w:rsidR="008854C4" w:rsidRPr="00787196">
        <w:rPr>
          <w:lang w:bidi="hi-IN"/>
        </w:rPr>
        <w:t>Section 6.</w:t>
      </w:r>
      <w:r w:rsidR="007D76F9" w:rsidRPr="00787196">
        <w:rPr>
          <w:lang w:bidi="hi-IN"/>
        </w:rPr>
        <w:t>4</w:t>
      </w:r>
      <w:r w:rsidR="008854C4" w:rsidRPr="00787196">
        <w:rPr>
          <w:lang w:bidi="hi-IN"/>
        </w:rPr>
        <w:t xml:space="preserve"> discusses the </w:t>
      </w:r>
      <w:r w:rsidR="00814827" w:rsidRPr="00787196">
        <w:rPr>
          <w:lang w:bidi="hi-IN"/>
        </w:rPr>
        <w:t>obs</w:t>
      </w:r>
      <w:r w:rsidR="00E6699B" w:rsidRPr="00787196">
        <w:rPr>
          <w:lang w:bidi="hi-IN"/>
        </w:rPr>
        <w:t>erved significant associations in</w:t>
      </w:r>
      <w:r w:rsidR="00814827" w:rsidRPr="00787196">
        <w:rPr>
          <w:lang w:bidi="hi-IN"/>
        </w:rPr>
        <w:t xml:space="preserve"> the study.</w:t>
      </w:r>
      <w:r w:rsidR="008854C4" w:rsidRPr="00787196">
        <w:rPr>
          <w:lang w:bidi="hi-IN"/>
        </w:rPr>
        <w:t xml:space="preserve"> </w:t>
      </w:r>
      <w:r w:rsidR="0037541C" w:rsidRPr="00787196">
        <w:rPr>
          <w:lang w:bidi="hi-IN"/>
        </w:rPr>
        <w:t>Section 6.</w:t>
      </w:r>
      <w:r w:rsidR="007D76F9" w:rsidRPr="00787196">
        <w:rPr>
          <w:lang w:bidi="hi-IN"/>
        </w:rPr>
        <w:t>5</w:t>
      </w:r>
      <w:r w:rsidR="003D2B33" w:rsidRPr="00787196">
        <w:rPr>
          <w:lang w:bidi="hi-IN"/>
        </w:rPr>
        <w:t xml:space="preserve"> discusses </w:t>
      </w:r>
      <w:r w:rsidR="0037541C" w:rsidRPr="00787196">
        <w:rPr>
          <w:lang w:bidi="hi-IN"/>
        </w:rPr>
        <w:t>the methodological issues and</w:t>
      </w:r>
      <w:r w:rsidR="00F25877" w:rsidRPr="00787196">
        <w:rPr>
          <w:lang w:bidi="hi-IN"/>
        </w:rPr>
        <w:t xml:space="preserve"> the</w:t>
      </w:r>
      <w:r w:rsidR="0037541C" w:rsidRPr="00787196">
        <w:rPr>
          <w:lang w:bidi="hi-IN"/>
        </w:rPr>
        <w:t xml:space="preserve"> possible limitations</w:t>
      </w:r>
      <w:r w:rsidR="00814827" w:rsidRPr="00787196">
        <w:rPr>
          <w:lang w:bidi="hi-IN"/>
        </w:rPr>
        <w:t xml:space="preserve"> that </w:t>
      </w:r>
      <w:r w:rsidR="00F25877" w:rsidRPr="00787196">
        <w:rPr>
          <w:lang w:bidi="hi-IN"/>
        </w:rPr>
        <w:t>arose out of it in</w:t>
      </w:r>
      <w:r w:rsidR="00814827" w:rsidRPr="00787196">
        <w:rPr>
          <w:lang w:bidi="hi-IN"/>
        </w:rPr>
        <w:t xml:space="preserve"> </w:t>
      </w:r>
      <w:r w:rsidR="0037541C" w:rsidRPr="00787196">
        <w:rPr>
          <w:lang w:bidi="hi-IN"/>
        </w:rPr>
        <w:t xml:space="preserve">this research. Section 6.5 briefly </w:t>
      </w:r>
      <w:r w:rsidR="00F25877" w:rsidRPr="00787196">
        <w:rPr>
          <w:lang w:bidi="hi-IN"/>
        </w:rPr>
        <w:t xml:space="preserve">discussed </w:t>
      </w:r>
      <w:r w:rsidR="00DC2648" w:rsidRPr="00787196">
        <w:rPr>
          <w:lang w:bidi="hi-IN"/>
        </w:rPr>
        <w:t>the notable strengths of this study</w:t>
      </w:r>
      <w:r w:rsidR="0037541C" w:rsidRPr="00787196">
        <w:rPr>
          <w:lang w:bidi="hi-IN"/>
        </w:rPr>
        <w:t>. A subsequent chapter summarises the conclusions and recommendations arising from these finding</w:t>
      </w:r>
      <w:r w:rsidR="008F36AD" w:rsidRPr="00787196">
        <w:rPr>
          <w:lang w:bidi="hi-IN"/>
        </w:rPr>
        <w:t>s</w:t>
      </w:r>
      <w:r w:rsidR="0037541C" w:rsidRPr="00787196">
        <w:rPr>
          <w:lang w:bidi="hi-IN"/>
        </w:rPr>
        <w:t xml:space="preserve"> and future research.</w:t>
      </w:r>
      <w:r w:rsidR="008B1A91" w:rsidRPr="00787196">
        <w:rPr>
          <w:lang w:bidi="hi-IN"/>
        </w:rPr>
        <w:br w:type="page"/>
      </w:r>
    </w:p>
    <w:p w14:paraId="0FF0C5CB" w14:textId="193F7E6D" w:rsidR="00FF65C1" w:rsidRPr="00787196" w:rsidRDefault="00CF4180" w:rsidP="00CB4677">
      <w:pPr>
        <w:pStyle w:val="Heading2"/>
        <w:rPr>
          <w:lang w:val="it-IT" w:bidi="hi-IN"/>
        </w:rPr>
      </w:pPr>
      <w:bookmarkStart w:id="331" w:name="_Toc488655680"/>
      <w:bookmarkStart w:id="332" w:name="_Toc456211198"/>
      <w:r w:rsidRPr="00787196">
        <w:rPr>
          <w:lang w:val="it-IT" w:bidi="hi-IN"/>
        </w:rPr>
        <w:lastRenderedPageBreak/>
        <w:t>D</w:t>
      </w:r>
      <w:r w:rsidR="00CB4677" w:rsidRPr="00787196">
        <w:rPr>
          <w:lang w:val="it-IT" w:bidi="hi-IN"/>
        </w:rPr>
        <w:t>o</w:t>
      </w:r>
      <w:r w:rsidRPr="00787196">
        <w:rPr>
          <w:lang w:val="it-IT" w:bidi="hi-IN"/>
        </w:rPr>
        <w:t xml:space="preserve"> coping strategies determine denture success?</w:t>
      </w:r>
      <w:bookmarkEnd w:id="331"/>
    </w:p>
    <w:bookmarkEnd w:id="332"/>
    <w:p w14:paraId="19C33262" w14:textId="7D50B10D" w:rsidR="007F4311" w:rsidRPr="00787196" w:rsidRDefault="00DF4C0F" w:rsidP="00E92066">
      <w:pPr>
        <w:rPr>
          <w:lang w:bidi="hi-IN"/>
        </w:rPr>
      </w:pPr>
      <w:r w:rsidRPr="00787196">
        <w:rPr>
          <w:lang w:bidi="hi-IN"/>
        </w:rPr>
        <w:t xml:space="preserve">The primary hypothesis of this study </w:t>
      </w:r>
      <w:r w:rsidR="00A341D0" w:rsidRPr="00787196">
        <w:rPr>
          <w:lang w:bidi="hi-IN"/>
        </w:rPr>
        <w:t xml:space="preserve">(Objective 3) </w:t>
      </w:r>
      <w:r w:rsidRPr="00787196">
        <w:rPr>
          <w:lang w:bidi="hi-IN"/>
        </w:rPr>
        <w:t>was</w:t>
      </w:r>
      <w:r w:rsidR="009864C2" w:rsidRPr="00787196">
        <w:rPr>
          <w:lang w:bidi="hi-IN"/>
        </w:rPr>
        <w:t xml:space="preserve"> to confirm whe</w:t>
      </w:r>
      <w:r w:rsidR="00E92066" w:rsidRPr="00787196">
        <w:rPr>
          <w:lang w:bidi="hi-IN"/>
        </w:rPr>
        <w:t>ther</w:t>
      </w:r>
      <w:r w:rsidR="007F4311" w:rsidRPr="00787196">
        <w:rPr>
          <w:lang w:bidi="hi-IN"/>
        </w:rPr>
        <w:t xml:space="preserve"> </w:t>
      </w:r>
      <w:r w:rsidRPr="00787196">
        <w:rPr>
          <w:lang w:bidi="hi-IN"/>
        </w:rPr>
        <w:t>c</w:t>
      </w:r>
      <w:r w:rsidR="00C27015" w:rsidRPr="00787196">
        <w:rPr>
          <w:lang w:bidi="hi-IN"/>
        </w:rPr>
        <w:t xml:space="preserve">oping strategies of </w:t>
      </w:r>
      <w:r w:rsidRPr="00787196">
        <w:rPr>
          <w:lang w:bidi="hi-IN"/>
        </w:rPr>
        <w:t>in</w:t>
      </w:r>
      <w:r w:rsidR="005F1E1D" w:rsidRPr="00787196">
        <w:rPr>
          <w:lang w:bidi="hi-IN"/>
        </w:rPr>
        <w:t>di</w:t>
      </w:r>
      <w:r w:rsidRPr="00787196">
        <w:rPr>
          <w:lang w:bidi="hi-IN"/>
        </w:rPr>
        <w:t xml:space="preserve">viduals </w:t>
      </w:r>
      <w:r w:rsidR="000B431D" w:rsidRPr="00787196">
        <w:rPr>
          <w:lang w:bidi="hi-IN"/>
        </w:rPr>
        <w:t xml:space="preserve">receiving </w:t>
      </w:r>
      <w:r w:rsidRPr="00787196">
        <w:rPr>
          <w:lang w:bidi="hi-IN"/>
        </w:rPr>
        <w:t>new de</w:t>
      </w:r>
      <w:r w:rsidR="00C27015" w:rsidRPr="00787196">
        <w:rPr>
          <w:lang w:bidi="hi-IN"/>
        </w:rPr>
        <w:t>nture</w:t>
      </w:r>
      <w:r w:rsidRPr="00787196">
        <w:rPr>
          <w:lang w:bidi="hi-IN"/>
        </w:rPr>
        <w:t>s</w:t>
      </w:r>
      <w:r w:rsidR="00C27015" w:rsidRPr="00787196">
        <w:rPr>
          <w:lang w:bidi="hi-IN"/>
        </w:rPr>
        <w:t xml:space="preserve"> predicted </w:t>
      </w:r>
      <w:r w:rsidR="000B431D" w:rsidRPr="00787196">
        <w:rPr>
          <w:lang w:bidi="hi-IN"/>
        </w:rPr>
        <w:t xml:space="preserve">its </w:t>
      </w:r>
      <w:r w:rsidR="008D658B" w:rsidRPr="00787196">
        <w:rPr>
          <w:lang w:bidi="hi-IN"/>
        </w:rPr>
        <w:t>success</w:t>
      </w:r>
      <w:r w:rsidR="009652A3" w:rsidRPr="00787196">
        <w:rPr>
          <w:lang w:bidi="hi-IN"/>
        </w:rPr>
        <w:t>ful outcome</w:t>
      </w:r>
      <w:r w:rsidR="000B431D" w:rsidRPr="00787196">
        <w:rPr>
          <w:lang w:bidi="hi-IN"/>
        </w:rPr>
        <w:t xml:space="preserve">. </w:t>
      </w:r>
    </w:p>
    <w:p w14:paraId="25C28433" w14:textId="5E007342" w:rsidR="00AF0157" w:rsidRPr="00787196" w:rsidRDefault="007F4311" w:rsidP="00A9713C">
      <w:pPr>
        <w:rPr>
          <w:lang w:bidi="hi-IN"/>
        </w:rPr>
      </w:pPr>
      <w:r w:rsidRPr="00787196">
        <w:rPr>
          <w:lang w:bidi="hi-IN"/>
        </w:rPr>
        <w:t xml:space="preserve">The results </w:t>
      </w:r>
      <w:r w:rsidR="007D599C" w:rsidRPr="00787196">
        <w:rPr>
          <w:lang w:bidi="hi-IN"/>
        </w:rPr>
        <w:t xml:space="preserve">however </w:t>
      </w:r>
      <w:r w:rsidRPr="00787196">
        <w:rPr>
          <w:lang w:bidi="hi-IN"/>
        </w:rPr>
        <w:t>s</w:t>
      </w:r>
      <w:r w:rsidR="004974B6" w:rsidRPr="00787196">
        <w:rPr>
          <w:lang w:bidi="hi-IN"/>
        </w:rPr>
        <w:t xml:space="preserve">uggested </w:t>
      </w:r>
      <w:r w:rsidRPr="00787196">
        <w:rPr>
          <w:lang w:bidi="hi-IN"/>
        </w:rPr>
        <w:t>that</w:t>
      </w:r>
      <w:r w:rsidR="007D599C" w:rsidRPr="00787196">
        <w:rPr>
          <w:lang w:bidi="hi-IN"/>
        </w:rPr>
        <w:t xml:space="preserve"> there was no significant association.</w:t>
      </w:r>
      <w:r w:rsidR="004974B6" w:rsidRPr="00787196">
        <w:rPr>
          <w:lang w:bidi="hi-IN"/>
        </w:rPr>
        <w:t xml:space="preserve"> </w:t>
      </w:r>
      <w:r w:rsidR="00AF0157" w:rsidRPr="00787196">
        <w:rPr>
          <w:lang w:bidi="hi-IN"/>
        </w:rPr>
        <w:t xml:space="preserve">The dearth of </w:t>
      </w:r>
      <w:r w:rsidR="004974B6" w:rsidRPr="00787196">
        <w:rPr>
          <w:lang w:bidi="hi-IN"/>
        </w:rPr>
        <w:t xml:space="preserve">this </w:t>
      </w:r>
      <w:r w:rsidR="00AF0157" w:rsidRPr="00787196">
        <w:rPr>
          <w:lang w:bidi="hi-IN"/>
        </w:rPr>
        <w:t xml:space="preserve">association </w:t>
      </w:r>
      <w:r w:rsidR="004974B6" w:rsidRPr="00787196">
        <w:rPr>
          <w:lang w:bidi="hi-IN"/>
        </w:rPr>
        <w:t>will be discussed in this section under five</w:t>
      </w:r>
      <w:r w:rsidR="008D658B" w:rsidRPr="00787196">
        <w:rPr>
          <w:lang w:bidi="hi-IN"/>
        </w:rPr>
        <w:t xml:space="preserve"> </w:t>
      </w:r>
      <w:r w:rsidR="004974B6" w:rsidRPr="00787196">
        <w:rPr>
          <w:lang w:bidi="hi-IN"/>
        </w:rPr>
        <w:t>sub sections (</w:t>
      </w:r>
      <w:r w:rsidR="008D658B" w:rsidRPr="00787196">
        <w:rPr>
          <w:lang w:bidi="hi-IN"/>
        </w:rPr>
        <w:t>1)</w:t>
      </w:r>
      <w:r w:rsidR="00434D52" w:rsidRPr="00787196">
        <w:rPr>
          <w:lang w:bidi="hi-IN"/>
        </w:rPr>
        <w:t xml:space="preserve"> </w:t>
      </w:r>
      <w:r w:rsidR="004E42AD" w:rsidRPr="00787196">
        <w:rPr>
          <w:lang w:bidi="hi-IN"/>
        </w:rPr>
        <w:t>Do</w:t>
      </w:r>
      <w:r w:rsidR="002D6B28" w:rsidRPr="00787196">
        <w:rPr>
          <w:lang w:bidi="hi-IN"/>
        </w:rPr>
        <w:t xml:space="preserve"> c</w:t>
      </w:r>
      <w:r w:rsidR="00434D52" w:rsidRPr="00787196">
        <w:rPr>
          <w:lang w:bidi="hi-IN"/>
        </w:rPr>
        <w:t xml:space="preserve">oping </w:t>
      </w:r>
      <w:r w:rsidR="004974B6" w:rsidRPr="00787196">
        <w:rPr>
          <w:lang w:bidi="hi-IN"/>
        </w:rPr>
        <w:t xml:space="preserve">strategies really </w:t>
      </w:r>
      <w:r w:rsidR="00E92066" w:rsidRPr="00787196">
        <w:rPr>
          <w:lang w:bidi="hi-IN"/>
        </w:rPr>
        <w:t>matter?</w:t>
      </w:r>
      <w:r w:rsidR="00A9713C" w:rsidRPr="00787196">
        <w:rPr>
          <w:lang w:bidi="hi-IN"/>
        </w:rPr>
        <w:t xml:space="preserve"> -</w:t>
      </w:r>
      <w:r w:rsidR="008D658B" w:rsidRPr="00787196">
        <w:rPr>
          <w:lang w:bidi="hi-IN"/>
        </w:rPr>
        <w:t xml:space="preserve"> </w:t>
      </w:r>
      <w:r w:rsidR="00E92066" w:rsidRPr="00787196">
        <w:rPr>
          <w:lang w:bidi="hi-IN"/>
        </w:rPr>
        <w:t xml:space="preserve">where the rationale of this hypothesis </w:t>
      </w:r>
      <w:r w:rsidR="007D599C" w:rsidRPr="00787196">
        <w:rPr>
          <w:lang w:bidi="hi-IN"/>
        </w:rPr>
        <w:t xml:space="preserve">is </w:t>
      </w:r>
      <w:r w:rsidR="00E92066" w:rsidRPr="00787196">
        <w:rPr>
          <w:lang w:bidi="hi-IN"/>
        </w:rPr>
        <w:t>revisited</w:t>
      </w:r>
      <w:r w:rsidR="007D599C" w:rsidRPr="00787196">
        <w:rPr>
          <w:lang w:bidi="hi-IN"/>
        </w:rPr>
        <w:t xml:space="preserve"> given the</w:t>
      </w:r>
      <w:r w:rsidR="00E92066" w:rsidRPr="00787196">
        <w:rPr>
          <w:lang w:bidi="hi-IN"/>
        </w:rPr>
        <w:t xml:space="preserve"> finding</w:t>
      </w:r>
      <w:r w:rsidR="007D599C" w:rsidRPr="00787196">
        <w:rPr>
          <w:lang w:bidi="hi-IN"/>
        </w:rPr>
        <w:t xml:space="preserve">s </w:t>
      </w:r>
      <w:r w:rsidR="00E92066" w:rsidRPr="00787196">
        <w:rPr>
          <w:lang w:bidi="hi-IN"/>
        </w:rPr>
        <w:t xml:space="preserve">of this research </w:t>
      </w:r>
      <w:r w:rsidR="007D599C" w:rsidRPr="00787196">
        <w:rPr>
          <w:lang w:bidi="hi-IN"/>
        </w:rPr>
        <w:t xml:space="preserve">and the contribution it makes </w:t>
      </w:r>
      <w:r w:rsidR="00E92066" w:rsidRPr="00787196">
        <w:rPr>
          <w:lang w:bidi="hi-IN"/>
        </w:rPr>
        <w:t xml:space="preserve">to </w:t>
      </w:r>
      <w:r w:rsidR="007D599C" w:rsidRPr="00787196">
        <w:rPr>
          <w:lang w:bidi="hi-IN"/>
        </w:rPr>
        <w:t xml:space="preserve">the existing </w:t>
      </w:r>
      <w:r w:rsidR="00E92066" w:rsidRPr="00787196">
        <w:rPr>
          <w:lang w:bidi="hi-IN"/>
        </w:rPr>
        <w:t>knowledge</w:t>
      </w:r>
      <w:r w:rsidR="007D599C" w:rsidRPr="00787196">
        <w:rPr>
          <w:lang w:bidi="hi-IN"/>
        </w:rPr>
        <w:t xml:space="preserve"> is </w:t>
      </w:r>
      <w:r w:rsidR="00687D01" w:rsidRPr="00787196">
        <w:rPr>
          <w:lang w:bidi="hi-IN"/>
        </w:rPr>
        <w:t>discussed (</w:t>
      </w:r>
      <w:r w:rsidR="008D658B" w:rsidRPr="00787196">
        <w:rPr>
          <w:lang w:bidi="hi-IN"/>
        </w:rPr>
        <w:t xml:space="preserve">2) </w:t>
      </w:r>
      <w:r w:rsidR="007D599C" w:rsidRPr="00787196">
        <w:rPr>
          <w:lang w:bidi="hi-IN"/>
        </w:rPr>
        <w:t xml:space="preserve">The study sample </w:t>
      </w:r>
      <w:r w:rsidR="00A9713C" w:rsidRPr="00787196">
        <w:rPr>
          <w:lang w:bidi="hi-IN"/>
        </w:rPr>
        <w:t>-</w:t>
      </w:r>
      <w:r w:rsidR="007D599C" w:rsidRPr="00787196">
        <w:rPr>
          <w:lang w:bidi="hi-IN"/>
        </w:rPr>
        <w:t xml:space="preserve"> the p</w:t>
      </w:r>
      <w:r w:rsidR="004974B6" w:rsidRPr="00787196">
        <w:rPr>
          <w:lang w:bidi="hi-IN"/>
        </w:rPr>
        <w:t>o</w:t>
      </w:r>
      <w:r w:rsidR="007D599C" w:rsidRPr="00787196">
        <w:rPr>
          <w:lang w:bidi="hi-IN"/>
        </w:rPr>
        <w:t>ssibility</w:t>
      </w:r>
      <w:r w:rsidR="004974B6" w:rsidRPr="00787196">
        <w:rPr>
          <w:lang w:bidi="hi-IN"/>
        </w:rPr>
        <w:t xml:space="preserve"> </w:t>
      </w:r>
      <w:r w:rsidR="00A9713C" w:rsidRPr="00787196">
        <w:rPr>
          <w:lang w:bidi="hi-IN"/>
        </w:rPr>
        <w:t xml:space="preserve">of </w:t>
      </w:r>
      <w:r w:rsidR="008E733D" w:rsidRPr="00787196">
        <w:rPr>
          <w:lang w:bidi="hi-IN"/>
        </w:rPr>
        <w:t>an underpowered sample</w:t>
      </w:r>
      <w:r w:rsidR="007D599C" w:rsidRPr="00787196">
        <w:rPr>
          <w:lang w:bidi="hi-IN"/>
        </w:rPr>
        <w:t xml:space="preserve"> and</w:t>
      </w:r>
      <w:r w:rsidR="00E92066" w:rsidRPr="00787196">
        <w:rPr>
          <w:lang w:bidi="hi-IN"/>
        </w:rPr>
        <w:t xml:space="preserve"> the </w:t>
      </w:r>
      <w:r w:rsidR="00A9713C" w:rsidRPr="00787196">
        <w:rPr>
          <w:lang w:bidi="hi-IN"/>
        </w:rPr>
        <w:t>nature of sample are discussed</w:t>
      </w:r>
      <w:r w:rsidR="00E92066" w:rsidRPr="00787196">
        <w:rPr>
          <w:rFonts w:cs="Arial"/>
          <w:color w:val="222222"/>
          <w:shd w:val="clear" w:color="auto" w:fill="FFFFFF"/>
        </w:rPr>
        <w:t xml:space="preserve"> </w:t>
      </w:r>
      <w:r w:rsidR="008D658B" w:rsidRPr="00787196">
        <w:rPr>
          <w:rFonts w:cs="Arial"/>
          <w:color w:val="222222"/>
          <w:shd w:val="clear" w:color="auto" w:fill="FFFFFF"/>
        </w:rPr>
        <w:t xml:space="preserve">(3) </w:t>
      </w:r>
      <w:r w:rsidR="009910E4" w:rsidRPr="00787196">
        <w:rPr>
          <w:rFonts w:cs="Arial"/>
          <w:color w:val="222222"/>
          <w:shd w:val="clear" w:color="auto" w:fill="FFFFFF"/>
        </w:rPr>
        <w:t>Concept of</w:t>
      </w:r>
      <w:r w:rsidR="00A9713C" w:rsidRPr="00787196">
        <w:rPr>
          <w:rFonts w:cs="Arial"/>
          <w:color w:val="222222"/>
          <w:shd w:val="clear" w:color="auto" w:fill="FFFFFF"/>
        </w:rPr>
        <w:t xml:space="preserve"> coping – the c</w:t>
      </w:r>
      <w:r w:rsidR="008E733D" w:rsidRPr="00787196">
        <w:rPr>
          <w:rFonts w:cs="Arial"/>
          <w:color w:val="222222"/>
          <w:shd w:val="clear" w:color="auto" w:fill="FFFFFF"/>
        </w:rPr>
        <w:t>on</w:t>
      </w:r>
      <w:r w:rsidR="00735DCA" w:rsidRPr="00787196">
        <w:rPr>
          <w:rFonts w:cs="Arial"/>
          <w:color w:val="222222"/>
          <w:shd w:val="clear" w:color="auto" w:fill="FFFFFF"/>
        </w:rPr>
        <w:t>cept</w:t>
      </w:r>
      <w:r w:rsidR="00A9713C" w:rsidRPr="00787196">
        <w:rPr>
          <w:rFonts w:cs="Arial"/>
          <w:color w:val="222222"/>
          <w:shd w:val="clear" w:color="auto" w:fill="FFFFFF"/>
        </w:rPr>
        <w:t xml:space="preserve">ual understanding </w:t>
      </w:r>
      <w:r w:rsidR="00735DCA" w:rsidRPr="00787196">
        <w:rPr>
          <w:rFonts w:cs="Arial"/>
          <w:color w:val="222222"/>
          <w:shd w:val="clear" w:color="auto" w:fill="FFFFFF"/>
        </w:rPr>
        <w:t xml:space="preserve">of coping in </w:t>
      </w:r>
      <w:r w:rsidR="00DF1A21" w:rsidRPr="00787196">
        <w:rPr>
          <w:rFonts w:cs="Arial"/>
          <w:color w:val="222222"/>
          <w:shd w:val="clear" w:color="auto" w:fill="FFFFFF"/>
        </w:rPr>
        <w:t>India</w:t>
      </w:r>
      <w:r w:rsidR="00E34610" w:rsidRPr="00787196">
        <w:rPr>
          <w:rFonts w:cs="Arial"/>
          <w:color w:val="222222"/>
          <w:shd w:val="clear" w:color="auto" w:fill="FFFFFF"/>
        </w:rPr>
        <w:t xml:space="preserve"> </w:t>
      </w:r>
      <w:r w:rsidR="000F2A5B" w:rsidRPr="00787196">
        <w:rPr>
          <w:lang w:bidi="hi-IN"/>
        </w:rPr>
        <w:t xml:space="preserve">and </w:t>
      </w:r>
      <w:r w:rsidR="007650B7" w:rsidRPr="00787196">
        <w:rPr>
          <w:lang w:bidi="hi-IN"/>
        </w:rPr>
        <w:t>the use of Brief COPE questionnaire</w:t>
      </w:r>
    </w:p>
    <w:p w14:paraId="3E08BF02" w14:textId="39C4E8E2" w:rsidR="00B468F1" w:rsidRPr="00787196" w:rsidRDefault="00C43F1F" w:rsidP="00432072">
      <w:pPr>
        <w:pStyle w:val="Heading3"/>
      </w:pPr>
      <w:bookmarkStart w:id="333" w:name="_Toc488655681"/>
      <w:bookmarkStart w:id="334" w:name="_Toc456211199"/>
      <w:r w:rsidRPr="00787196">
        <w:t xml:space="preserve">Do </w:t>
      </w:r>
      <w:r w:rsidR="002D6B28" w:rsidRPr="00787196">
        <w:t>c</w:t>
      </w:r>
      <w:r w:rsidR="00B468F1" w:rsidRPr="00787196">
        <w:t>oping strategies</w:t>
      </w:r>
      <w:r w:rsidRPr="00787196">
        <w:t xml:space="preserve"> </w:t>
      </w:r>
      <w:r w:rsidR="00CF4180" w:rsidRPr="00787196">
        <w:t>really matter</w:t>
      </w:r>
      <w:r w:rsidR="008A0D33" w:rsidRPr="00787196">
        <w:t>?</w:t>
      </w:r>
      <w:bookmarkEnd w:id="333"/>
    </w:p>
    <w:p w14:paraId="458FF471" w14:textId="750B30EA" w:rsidR="00DF1A21" w:rsidRPr="00787196" w:rsidRDefault="00DF1A21" w:rsidP="002F6FD0">
      <w:pPr>
        <w:rPr>
          <w:lang w:bidi="hi-IN"/>
        </w:rPr>
      </w:pPr>
      <w:r w:rsidRPr="00787196">
        <w:rPr>
          <w:lang w:bidi="hi-IN"/>
        </w:rPr>
        <w:t>Th</w:t>
      </w:r>
      <w:r w:rsidR="007D599C" w:rsidRPr="00787196">
        <w:rPr>
          <w:lang w:bidi="hi-IN"/>
        </w:rPr>
        <w:t>e</w:t>
      </w:r>
      <w:r w:rsidRPr="00787196">
        <w:rPr>
          <w:lang w:bidi="hi-IN"/>
        </w:rPr>
        <w:t xml:space="preserve"> </w:t>
      </w:r>
      <w:r w:rsidR="006700B7" w:rsidRPr="00787196">
        <w:rPr>
          <w:lang w:bidi="hi-IN"/>
        </w:rPr>
        <w:t xml:space="preserve">main </w:t>
      </w:r>
      <w:r w:rsidRPr="00787196">
        <w:rPr>
          <w:lang w:bidi="hi-IN"/>
        </w:rPr>
        <w:t>hypothesis</w:t>
      </w:r>
      <w:r w:rsidR="00385F29" w:rsidRPr="00787196">
        <w:rPr>
          <w:lang w:bidi="hi-IN"/>
        </w:rPr>
        <w:t xml:space="preserve"> </w:t>
      </w:r>
      <w:r w:rsidR="007D599C" w:rsidRPr="00787196">
        <w:rPr>
          <w:lang w:bidi="hi-IN"/>
        </w:rPr>
        <w:t xml:space="preserve">of this study </w:t>
      </w:r>
      <w:r w:rsidR="002F6FD0" w:rsidRPr="00787196">
        <w:rPr>
          <w:lang w:bidi="hi-IN"/>
        </w:rPr>
        <w:t>was arrived</w:t>
      </w:r>
      <w:r w:rsidR="00385F29" w:rsidRPr="00787196">
        <w:rPr>
          <w:lang w:bidi="hi-IN"/>
        </w:rPr>
        <w:t xml:space="preserve"> </w:t>
      </w:r>
      <w:r w:rsidR="002F6FD0" w:rsidRPr="00787196">
        <w:rPr>
          <w:lang w:bidi="hi-IN"/>
        </w:rPr>
        <w:t>at on the basis of information gathered from previous</w:t>
      </w:r>
      <w:r w:rsidR="007D599C" w:rsidRPr="00787196">
        <w:rPr>
          <w:lang w:bidi="hi-IN"/>
        </w:rPr>
        <w:t xml:space="preserve"> literature</w:t>
      </w:r>
      <w:r w:rsidR="002F6FD0" w:rsidRPr="00787196">
        <w:rPr>
          <w:lang w:bidi="hi-IN"/>
        </w:rPr>
        <w:t xml:space="preserve">. </w:t>
      </w:r>
      <w:r w:rsidR="007D599C" w:rsidRPr="00787196">
        <w:rPr>
          <w:lang w:bidi="hi-IN"/>
        </w:rPr>
        <w:t xml:space="preserve"> </w:t>
      </w:r>
      <w:r w:rsidR="002F6FD0" w:rsidRPr="00787196">
        <w:rPr>
          <w:lang w:bidi="hi-IN"/>
        </w:rPr>
        <w:t>R</w:t>
      </w:r>
      <w:r w:rsidRPr="00787196">
        <w:rPr>
          <w:lang w:bidi="hi-IN"/>
        </w:rPr>
        <w:t xml:space="preserve">eceiving new dentures </w:t>
      </w:r>
      <w:r w:rsidR="007D599C" w:rsidRPr="00787196">
        <w:rPr>
          <w:lang w:bidi="hi-IN"/>
        </w:rPr>
        <w:t>was</w:t>
      </w:r>
      <w:r w:rsidR="002F6FD0" w:rsidRPr="00787196">
        <w:rPr>
          <w:lang w:bidi="hi-IN"/>
        </w:rPr>
        <w:t xml:space="preserve"> considered</w:t>
      </w:r>
      <w:r w:rsidRPr="00787196">
        <w:rPr>
          <w:lang w:bidi="hi-IN"/>
        </w:rPr>
        <w:t xml:space="preserve"> </w:t>
      </w:r>
      <w:r w:rsidR="007D599C" w:rsidRPr="00787196">
        <w:rPr>
          <w:lang w:bidi="hi-IN"/>
        </w:rPr>
        <w:t xml:space="preserve">a </w:t>
      </w:r>
      <w:r w:rsidRPr="00787196">
        <w:rPr>
          <w:lang w:bidi="hi-IN"/>
        </w:rPr>
        <w:t>stressful life</w:t>
      </w:r>
      <w:r w:rsidR="002F6FD0" w:rsidRPr="00787196">
        <w:rPr>
          <w:lang w:bidi="hi-IN"/>
        </w:rPr>
        <w:t xml:space="preserve"> event </w:t>
      </w:r>
      <w:r w:rsidRPr="00787196">
        <w:rPr>
          <w:lang w:bidi="hi-IN"/>
        </w:rPr>
        <w:t>requir</w:t>
      </w:r>
      <w:r w:rsidR="002F6FD0" w:rsidRPr="00787196">
        <w:rPr>
          <w:lang w:bidi="hi-IN"/>
        </w:rPr>
        <w:t>ing</w:t>
      </w:r>
      <w:r w:rsidRPr="00787196">
        <w:rPr>
          <w:lang w:bidi="hi-IN"/>
        </w:rPr>
        <w:t xml:space="preserve"> considerable coping skills </w:t>
      </w:r>
      <w:r w:rsidR="002F6FD0" w:rsidRPr="00787196">
        <w:rPr>
          <w:lang w:bidi="hi-IN"/>
        </w:rPr>
        <w:t xml:space="preserve">from </w:t>
      </w:r>
      <w:r w:rsidRPr="00787196">
        <w:rPr>
          <w:lang w:bidi="hi-IN"/>
        </w:rPr>
        <w:t>the individual</w:t>
      </w:r>
      <w:r w:rsidR="002F6FD0" w:rsidRPr="00787196">
        <w:rPr>
          <w:lang w:bidi="hi-IN"/>
        </w:rPr>
        <w:t xml:space="preserve"> both emotionally and functionally</w:t>
      </w:r>
      <w:r w:rsidRPr="00787196">
        <w:rPr>
          <w:lang w:bidi="hi-IN"/>
        </w:rPr>
        <w:t xml:space="preserve"> </w:t>
      </w:r>
      <w:r w:rsidRPr="00787196">
        <w:rPr>
          <w:lang w:bidi="hi-IN"/>
        </w:rPr>
        <w:fldChar w:fldCharType="begin">
          <w:fldData xml:space="preserve">PEVuZE5vdGU+PENpdGU+PEF1dGhvcj5Ib2dlbml1czwvQXV0aG9yPjxZZWFyPjE5OTI8L1llYXI+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</w:fldData>
        </w:fldChar>
      </w:r>
      <w:r w:rsidR="000F2A5B" w:rsidRPr="00787196">
        <w:rPr>
          <w:lang w:bidi="hi-IN"/>
        </w:rPr>
        <w:instrText xml:space="preserve"> ADDIN EN.CITE </w:instrText>
      </w:r>
      <w:r w:rsidR="000F2A5B" w:rsidRPr="00787196">
        <w:rPr>
          <w:lang w:bidi="hi-IN"/>
        </w:rPr>
        <w:fldChar w:fldCharType="begin">
          <w:fldData xml:space="preserve">PEVuZE5vdGU+PENpdGU+PEF1dGhvcj5Ib2dlbml1czwvQXV0aG9yPjxZZWFyPjE5OTI8L1llYXI+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</w:fldData>
        </w:fldChar>
      </w:r>
      <w:r w:rsidR="000F2A5B" w:rsidRPr="00787196">
        <w:rPr>
          <w:lang w:bidi="hi-IN"/>
        </w:rPr>
        <w:instrText xml:space="preserve"> ADDIN EN.CITE.DATA </w:instrText>
      </w:r>
      <w:r w:rsidR="000F2A5B" w:rsidRPr="00787196">
        <w:rPr>
          <w:lang w:bidi="hi-IN"/>
        </w:rPr>
      </w:r>
      <w:r w:rsidR="000F2A5B" w:rsidRPr="00787196">
        <w:rPr>
          <w:lang w:bidi="hi-IN"/>
        </w:rPr>
        <w:fldChar w:fldCharType="end"/>
      </w:r>
      <w:r w:rsidRPr="00787196">
        <w:rPr>
          <w:lang w:bidi="hi-IN"/>
        </w:rPr>
      </w:r>
      <w:r w:rsidRPr="00787196">
        <w:rPr>
          <w:lang w:bidi="hi-IN"/>
        </w:rPr>
        <w:fldChar w:fldCharType="separate"/>
      </w:r>
      <w:r w:rsidR="000F2A5B" w:rsidRPr="00787196">
        <w:rPr>
          <w:noProof/>
          <w:lang w:bidi="hi-IN"/>
        </w:rPr>
        <w:t>(Hogenius et al., 1992, Fiske et al., 1998, Davis  et al., 2000b, Fiske et al., 2001, Klock and Haugejorden, 2002, Bellini et al., 2009)</w:t>
      </w:r>
      <w:r w:rsidRPr="00787196">
        <w:rPr>
          <w:lang w:bidi="hi-IN"/>
        </w:rPr>
        <w:fldChar w:fldCharType="end"/>
      </w:r>
      <w:r w:rsidR="00385F29" w:rsidRPr="00787196">
        <w:rPr>
          <w:lang w:bidi="hi-IN"/>
        </w:rPr>
        <w:t xml:space="preserve">. </w:t>
      </w:r>
      <w:r w:rsidR="000325AF" w:rsidRPr="00787196">
        <w:rPr>
          <w:lang w:bidi="hi-IN"/>
        </w:rPr>
        <w:t>In addition, a previous study</w:t>
      </w:r>
      <w:r w:rsidRPr="00787196">
        <w:rPr>
          <w:lang w:bidi="hi-IN"/>
        </w:rPr>
        <w:t xml:space="preserve"> </w:t>
      </w:r>
      <w:r w:rsidR="002F6FD0" w:rsidRPr="00787196">
        <w:rPr>
          <w:lang w:bidi="hi-IN"/>
        </w:rPr>
        <w:t xml:space="preserve">on denture wearers reported </w:t>
      </w:r>
      <w:r w:rsidR="000325AF" w:rsidRPr="00787196">
        <w:rPr>
          <w:lang w:bidi="hi-IN"/>
        </w:rPr>
        <w:t>on</w:t>
      </w:r>
      <w:r w:rsidR="002F6FD0" w:rsidRPr="00787196">
        <w:rPr>
          <w:lang w:bidi="hi-IN"/>
        </w:rPr>
        <w:t xml:space="preserve"> </w:t>
      </w:r>
      <w:r w:rsidRPr="00787196">
        <w:rPr>
          <w:lang w:bidi="hi-IN"/>
        </w:rPr>
        <w:t xml:space="preserve">association between coping strategies and OHQoL </w:t>
      </w:r>
      <w:r w:rsidRPr="00787196">
        <w:rPr>
          <w:lang w:bidi="hi-IN"/>
        </w:rPr>
        <w:fldChar w:fldCharType="begin"/>
      </w:r>
      <w:r w:rsidRPr="00787196">
        <w:rPr>
          <w:lang w:bidi="hi-IN"/>
        </w:rPr>
        <w:instrText xml:space="preserve"> ADDIN EN.CITE &lt;EndNote&gt;&lt;Cite&gt;&lt;Author&gt;Heydecke&lt;/Author&gt;&lt;Year&gt;2004&lt;/Year&gt;&lt;IDText&gt;Complete dentures and oral health-related quality of life – do coping styles matter?&lt;/IDText&gt;&lt;DisplayText&gt;(Heydecke et al., 2004)&lt;/DisplayText&gt;&lt;record&gt;&lt;keywords&gt;&lt;keyword&gt;coping&lt;/keyword&gt;&lt;keyword&gt;dentures&lt;/keyword&gt;&lt;keyword&gt;quality of life&lt;/keyword&gt;&lt;keyword&gt;stress&lt;/keyword&gt;&lt;keyword&gt;treatment outcomes&lt;/keyword&gt;&lt;/keywords&gt;&lt;urls&gt;&lt;related-urls&gt;&lt;url&gt;http://dx.doi.org/10.1111/j.1600-0528.2004.00169.x&lt;/url&gt;&lt;/related-urls&gt;&lt;/urls&gt;&lt;isbn&gt;1600-0528&lt;/isbn&gt;&lt;titles&gt;&lt;title&gt;Complete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Pr="00787196">
        <w:rPr>
          <w:lang w:bidi="hi-IN"/>
        </w:rPr>
        <w:fldChar w:fldCharType="separate"/>
      </w:r>
      <w:r w:rsidRPr="00787196">
        <w:rPr>
          <w:noProof/>
          <w:lang w:bidi="hi-IN"/>
        </w:rPr>
        <w:t>(Heydecke et al., 2004)</w:t>
      </w:r>
      <w:r w:rsidRPr="00787196">
        <w:rPr>
          <w:lang w:bidi="hi-IN"/>
        </w:rPr>
        <w:fldChar w:fldCharType="end"/>
      </w:r>
      <w:r w:rsidR="007D599C" w:rsidRPr="00787196">
        <w:rPr>
          <w:lang w:bidi="hi-IN"/>
        </w:rPr>
        <w:t>.</w:t>
      </w:r>
      <w:r w:rsidRPr="00787196">
        <w:rPr>
          <w:lang w:bidi="hi-IN"/>
        </w:rPr>
        <w:t xml:space="preserve"> </w:t>
      </w:r>
    </w:p>
    <w:p w14:paraId="43F85664" w14:textId="3DC29246" w:rsidR="00DF1A21" w:rsidRPr="00787196" w:rsidRDefault="002037A3" w:rsidP="007D599C">
      <w:pPr>
        <w:rPr>
          <w:lang w:bidi="hi-IN"/>
        </w:rPr>
      </w:pPr>
      <w:r w:rsidRPr="00787196">
        <w:t>Individual attempt</w:t>
      </w:r>
      <w:r w:rsidR="00A341D0" w:rsidRPr="00787196">
        <w:t>s at</w:t>
      </w:r>
      <w:r w:rsidRPr="00787196">
        <w:t xml:space="preserve"> coping and managing daily </w:t>
      </w:r>
      <w:r w:rsidR="00A341D0" w:rsidRPr="00787196">
        <w:t xml:space="preserve">life, problems </w:t>
      </w:r>
      <w:r w:rsidRPr="00787196">
        <w:t>and even stressful, traumatic life</w:t>
      </w:r>
      <w:r w:rsidR="00A341D0" w:rsidRPr="00787196">
        <w:t>-</w:t>
      </w:r>
      <w:r w:rsidRPr="00787196">
        <w:t>events ha</w:t>
      </w:r>
      <w:r w:rsidR="00A341D0" w:rsidRPr="00787196">
        <w:t>ve</w:t>
      </w:r>
      <w:r w:rsidRPr="00787196">
        <w:t xml:space="preserve"> be</w:t>
      </w:r>
      <w:r w:rsidR="00CC2925" w:rsidRPr="00787196">
        <w:t xml:space="preserve">en in the focus of research, especially in </w:t>
      </w:r>
      <w:r w:rsidR="002F6FD0" w:rsidRPr="00787196">
        <w:t xml:space="preserve">the </w:t>
      </w:r>
      <w:r w:rsidR="00CC2925" w:rsidRPr="00787196">
        <w:t>w</w:t>
      </w:r>
      <w:r w:rsidRPr="00787196">
        <w:t xml:space="preserve">estern psychology </w:t>
      </w:r>
      <w:r w:rsidR="00C43F1F" w:rsidRPr="00787196">
        <w:t xml:space="preserve">for decades </w:t>
      </w:r>
      <w:r w:rsidR="00C43F1F" w:rsidRPr="00787196">
        <w:fldChar w:fldCharType="begin"/>
      </w:r>
      <w:r w:rsidR="00C43F1F" w:rsidRPr="00787196">
        <w:instrText xml:space="preserve"> ADDIN EN.CITE &lt;EndNote&gt;&lt;Cite&gt;&lt;Author&gt;Heppner&lt;/Author&gt;&lt;Year&gt;2008&lt;/Year&gt;&lt;IDText&gt;Expanding the conceptualization and measurement of applied problem solving and coping: From stages to dimensions to the almost forgotten cultural context&lt;/IDText&gt;&lt;DisplayText&gt;(Heppner, 2008)&lt;/DisplayText&gt;&lt;record&gt;&lt;dates&gt;&lt;pub-dates&gt;&lt;date&gt;Nov&lt;/date&gt;&lt;/pub-dates&gt;&lt;year&gt;2008&lt;/year&gt;&lt;/dates&gt;&lt;keywords&gt;&lt;keyword&gt;*Adaptation, Psychological&lt;/keyword&gt;&lt;keyword&gt;Counseling/*methods&lt;/keyword&gt;&lt;keyword&gt;*Cross-Cultural Comparison&lt;/keyword&gt;&lt;keyword&gt;Humans&lt;/keyword&gt;&lt;keyword&gt;*Problem Solving&lt;/keyword&gt;&lt;keyword&gt;Social Values&lt;/keyword&gt;&lt;/keywords&gt;&lt;isbn&gt;0003-066X (Print)&amp;#xD;0003-066x&lt;/isbn&gt;&lt;titles&gt;&lt;title&gt;Expanding the conceptualization and measurement of applied problem solving and coping: From stages to dimensions to the almost forgotten cultural context&lt;/title&gt;&lt;secondary-title&gt;Am Psychol&lt;/secondary-title&gt;&lt;alt-title&gt;The American psychologist&lt;/alt-title&gt;&lt;/titles&gt;&lt;pages&gt;805-16&lt;/pages&gt;&lt;number&gt;8&lt;/number&gt;&lt;contributors&gt;&lt;authors&gt;&lt;author&gt;Heppner, P. P.&lt;/author&gt;&lt;/authors&gt;&lt;/contributors&gt;&lt;edition&gt;2008/11/19&lt;/edition&gt;&lt;language&gt;eng&lt;/language&gt;&lt;added-date format="utc"&gt;1482386149&lt;/added-date&gt;&lt;ref-type name="Journal Article"&gt;17&lt;/ref-type&gt;&lt;auth-address&gt;Department of Education, School and Counselling Psychology, University of Missouri, Columbia, MO 65211, USA. heppnerp@missouri.edu&lt;/auth-address&gt;&lt;remote-database-provider&gt;NLM&lt;/remote-database-provider&gt;&lt;rec-number&gt;2678&lt;/rec-number&gt;&lt;last-updated-date format="utc"&gt;1482386149&lt;/last-updated-date&gt;&lt;accession-num&gt;19014252&lt;/accession-num&gt;&lt;electronic-resource-num&gt;10.1037/0003-066x.63.8.805&lt;/electronic-resource-num&gt;&lt;volume&gt;63&lt;/volume&gt;&lt;/record&gt;&lt;/Cite&gt;&lt;/EndNote&gt;</w:instrText>
      </w:r>
      <w:r w:rsidR="00C43F1F" w:rsidRPr="00787196">
        <w:fldChar w:fldCharType="separate"/>
      </w:r>
      <w:r w:rsidR="00C43F1F" w:rsidRPr="00787196">
        <w:t>(Heppner, 2008)</w:t>
      </w:r>
      <w:r w:rsidR="00C43F1F" w:rsidRPr="00787196">
        <w:fldChar w:fldCharType="end"/>
      </w:r>
      <w:r w:rsidR="00C43F1F" w:rsidRPr="00787196">
        <w:t>. In health</w:t>
      </w:r>
      <w:r w:rsidR="00CC2925" w:rsidRPr="00787196">
        <w:t xml:space="preserve"> psychology</w:t>
      </w:r>
      <w:r w:rsidR="00C43F1F" w:rsidRPr="00787196">
        <w:t>, coping s</w:t>
      </w:r>
      <w:r w:rsidR="004E42AD" w:rsidRPr="00787196">
        <w:rPr>
          <w:lang w:bidi="hi-IN"/>
        </w:rPr>
        <w:t>trategies</w:t>
      </w:r>
      <w:r w:rsidR="00C43F1F" w:rsidRPr="00787196">
        <w:rPr>
          <w:lang w:bidi="hi-IN"/>
        </w:rPr>
        <w:t xml:space="preserve"> </w:t>
      </w:r>
      <w:r w:rsidR="00EF0D09" w:rsidRPr="00787196">
        <w:rPr>
          <w:lang w:bidi="hi-IN"/>
        </w:rPr>
        <w:t>of individuals</w:t>
      </w:r>
      <w:r w:rsidR="00C43F1F" w:rsidRPr="00787196">
        <w:rPr>
          <w:lang w:bidi="hi-IN"/>
        </w:rPr>
        <w:t xml:space="preserve"> have</w:t>
      </w:r>
      <w:r w:rsidR="004E42AD" w:rsidRPr="00787196">
        <w:rPr>
          <w:lang w:bidi="hi-IN"/>
        </w:rPr>
        <w:t xml:space="preserve"> been in the interests of </w:t>
      </w:r>
      <w:r w:rsidR="00CD587E" w:rsidRPr="00787196">
        <w:rPr>
          <w:lang w:bidi="hi-IN"/>
        </w:rPr>
        <w:t xml:space="preserve">researchers </w:t>
      </w:r>
      <w:r w:rsidR="00900BC9" w:rsidRPr="00787196">
        <w:rPr>
          <w:lang w:bidi="hi-IN"/>
        </w:rPr>
        <w:t>exploring</w:t>
      </w:r>
      <w:r w:rsidR="00CD587E" w:rsidRPr="00787196">
        <w:rPr>
          <w:lang w:bidi="hi-IN"/>
        </w:rPr>
        <w:t xml:space="preserve"> the psychosocial aspects of chronic diseases and conditions</w:t>
      </w:r>
      <w:r w:rsidR="00EF0D09" w:rsidRPr="00787196">
        <w:rPr>
          <w:lang w:bidi="hi-IN"/>
        </w:rPr>
        <w:t xml:space="preserve"> such as arthritis, irritable bowel syndromes, post traumatic brain injury, breast cancer</w:t>
      </w:r>
      <w:r w:rsidR="00975D6F" w:rsidRPr="00787196">
        <w:rPr>
          <w:lang w:bidi="hi-IN"/>
        </w:rPr>
        <w:t>, chronic obstructive pulm</w:t>
      </w:r>
      <w:r w:rsidR="00E16494" w:rsidRPr="00787196">
        <w:rPr>
          <w:lang w:bidi="hi-IN"/>
        </w:rPr>
        <w:t xml:space="preserve">onary disorder, cardiac disease, psoriasis </w:t>
      </w:r>
      <w:r w:rsidR="00350257" w:rsidRPr="00787196">
        <w:rPr>
          <w:lang w:bidi="hi-IN"/>
        </w:rPr>
        <w:t>etc.</w:t>
      </w:r>
      <w:r w:rsidR="00900BC9" w:rsidRPr="00787196">
        <w:rPr>
          <w:lang w:bidi="hi-IN"/>
        </w:rPr>
        <w:t xml:space="preserve"> </w:t>
      </w:r>
      <w:r w:rsidR="00900BC9" w:rsidRPr="00787196">
        <w:rPr>
          <w:lang w:bidi="hi-IN"/>
        </w:rPr>
        <w:fldChar w:fldCharType="begin">
          <w:fldData xml:space="preserve">PEVuZE5vdGU+PENpdGU+PEF1dGhvcj5Ib2xhaGFuPC9BdXRob3I+PFllYXI+MTk5NTwvWWVhcj48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</w:fldData>
        </w:fldChar>
      </w:r>
      <w:r w:rsidR="00066707" w:rsidRPr="00787196">
        <w:rPr>
          <w:lang w:bidi="hi-IN"/>
        </w:rPr>
        <w:instrText xml:space="preserve"> ADDIN EN.CITE </w:instrText>
      </w:r>
      <w:r w:rsidR="00066707" w:rsidRPr="00787196">
        <w:rPr>
          <w:lang w:bidi="hi-IN"/>
        </w:rPr>
        <w:fldChar w:fldCharType="begin">
          <w:fldData xml:space="preserve">PEVuZE5vdGU+PENpdGU+PEF1dGhvcj5Ib2xhaGFuPC9BdXRob3I+PFllYXI+MTk5NTwvWWVhcj48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</w:fldData>
        </w:fldChar>
      </w:r>
      <w:r w:rsidR="00066707" w:rsidRPr="00787196">
        <w:rPr>
          <w:lang w:bidi="hi-IN"/>
        </w:rPr>
        <w:instrText xml:space="preserve"> ADDIN EN.CITE.DATA </w:instrText>
      </w:r>
      <w:r w:rsidR="00066707" w:rsidRPr="00787196">
        <w:rPr>
          <w:lang w:bidi="hi-IN"/>
        </w:rPr>
      </w:r>
      <w:r w:rsidR="00066707" w:rsidRPr="00787196">
        <w:rPr>
          <w:lang w:bidi="hi-IN"/>
        </w:rPr>
        <w:fldChar w:fldCharType="end"/>
      </w:r>
      <w:r w:rsidR="00900BC9" w:rsidRPr="00787196">
        <w:rPr>
          <w:lang w:bidi="hi-IN"/>
        </w:rPr>
      </w:r>
      <w:r w:rsidR="00900BC9" w:rsidRPr="00787196">
        <w:rPr>
          <w:lang w:bidi="hi-IN"/>
        </w:rPr>
        <w:fldChar w:fldCharType="separate"/>
      </w:r>
      <w:r w:rsidR="00066707" w:rsidRPr="00787196">
        <w:rPr>
          <w:lang w:bidi="hi-IN"/>
        </w:rPr>
        <w:t>(Holahan et al., 1995, Downe-Wamboldt and Melanson, 1998, Schnoll et al., 1998, Drossman, 1999, Wahl et al., 1999, Finset and Andersson, 2000)</w:t>
      </w:r>
      <w:r w:rsidR="00900BC9" w:rsidRPr="00787196">
        <w:rPr>
          <w:lang w:bidi="hi-IN"/>
        </w:rPr>
        <w:fldChar w:fldCharType="end"/>
      </w:r>
      <w:r w:rsidR="00EF0D09" w:rsidRPr="00787196">
        <w:rPr>
          <w:lang w:bidi="hi-IN"/>
        </w:rPr>
        <w:t xml:space="preserve">. </w:t>
      </w:r>
      <w:r w:rsidR="00DF1A21" w:rsidRPr="00787196">
        <w:rPr>
          <w:lang w:bidi="hi-IN"/>
        </w:rPr>
        <w:br w:type="page"/>
      </w:r>
    </w:p>
    <w:p w14:paraId="2F4C232E" w14:textId="4BACA760" w:rsidR="004E42AD" w:rsidRPr="00787196" w:rsidRDefault="002F6FD0" w:rsidP="00671953">
      <w:pPr>
        <w:rPr>
          <w:lang w:bidi="hi-IN"/>
        </w:rPr>
      </w:pPr>
      <w:r w:rsidRPr="00787196">
        <w:rPr>
          <w:lang w:bidi="hi-IN"/>
        </w:rPr>
        <w:lastRenderedPageBreak/>
        <w:t>Coping strategies and</w:t>
      </w:r>
      <w:r w:rsidR="00043755" w:rsidRPr="00787196">
        <w:rPr>
          <w:lang w:bidi="hi-IN"/>
        </w:rPr>
        <w:t xml:space="preserve"> </w:t>
      </w:r>
      <w:r w:rsidRPr="00787196">
        <w:rPr>
          <w:lang w:bidi="hi-IN"/>
        </w:rPr>
        <w:t>associated behaviour</w:t>
      </w:r>
      <w:r w:rsidR="00671953" w:rsidRPr="00787196">
        <w:rPr>
          <w:lang w:bidi="hi-IN"/>
        </w:rPr>
        <w:t>s</w:t>
      </w:r>
      <w:r w:rsidRPr="00787196">
        <w:rPr>
          <w:lang w:bidi="hi-IN"/>
        </w:rPr>
        <w:t xml:space="preserve"> </w:t>
      </w:r>
      <w:r w:rsidR="0064508F" w:rsidRPr="00787196">
        <w:rPr>
          <w:lang w:bidi="hi-IN"/>
        </w:rPr>
        <w:t>ha</w:t>
      </w:r>
      <w:r w:rsidR="00671953" w:rsidRPr="00787196">
        <w:rPr>
          <w:lang w:bidi="hi-IN"/>
        </w:rPr>
        <w:t>ve</w:t>
      </w:r>
      <w:r w:rsidR="00922C56" w:rsidRPr="00787196">
        <w:rPr>
          <w:lang w:bidi="hi-IN"/>
        </w:rPr>
        <w:t xml:space="preserve"> shown to </w:t>
      </w:r>
      <w:r w:rsidR="00671953" w:rsidRPr="00787196">
        <w:rPr>
          <w:lang w:bidi="hi-IN"/>
        </w:rPr>
        <w:t>s</w:t>
      </w:r>
      <w:r w:rsidRPr="00787196">
        <w:rPr>
          <w:lang w:bidi="hi-IN"/>
        </w:rPr>
        <w:t xml:space="preserve">trongly </w:t>
      </w:r>
      <w:r w:rsidR="00922C56" w:rsidRPr="00787196">
        <w:rPr>
          <w:lang w:bidi="hi-IN"/>
        </w:rPr>
        <w:t>influenc</w:t>
      </w:r>
      <w:r w:rsidR="00671953" w:rsidRPr="00787196">
        <w:rPr>
          <w:lang w:bidi="hi-IN"/>
        </w:rPr>
        <w:t>e</w:t>
      </w:r>
      <w:r w:rsidR="0064508F" w:rsidRPr="00787196">
        <w:rPr>
          <w:lang w:bidi="hi-IN"/>
        </w:rPr>
        <w:t xml:space="preserve"> </w:t>
      </w:r>
      <w:r w:rsidR="00B80183" w:rsidRPr="00787196">
        <w:rPr>
          <w:lang w:bidi="hi-IN"/>
        </w:rPr>
        <w:t>health outcomes</w:t>
      </w:r>
      <w:r w:rsidR="0045400D" w:rsidRPr="00787196">
        <w:rPr>
          <w:lang w:bidi="hi-IN"/>
        </w:rPr>
        <w:t xml:space="preserve"> in chronic conditions</w:t>
      </w:r>
      <w:r w:rsidR="00B80183" w:rsidRPr="00787196">
        <w:rPr>
          <w:lang w:bidi="hi-IN"/>
        </w:rPr>
        <w:t>.</w:t>
      </w:r>
      <w:r w:rsidR="00D321BE" w:rsidRPr="00787196">
        <w:rPr>
          <w:lang w:bidi="hi-IN"/>
        </w:rPr>
        <w:t xml:space="preserve"> </w:t>
      </w:r>
      <w:r w:rsidR="0064508F" w:rsidRPr="00787196">
        <w:rPr>
          <w:lang w:bidi="hi-IN"/>
        </w:rPr>
        <w:t>I</w:t>
      </w:r>
      <w:r w:rsidR="00D321BE" w:rsidRPr="00787196">
        <w:rPr>
          <w:lang w:bidi="hi-IN"/>
        </w:rPr>
        <w:t xml:space="preserve">n </w:t>
      </w:r>
      <w:r w:rsidR="008B36AB" w:rsidRPr="00787196">
        <w:rPr>
          <w:lang w:bidi="hi-IN"/>
        </w:rPr>
        <w:t xml:space="preserve">a </w:t>
      </w:r>
      <w:r w:rsidR="00D321BE" w:rsidRPr="00787196">
        <w:rPr>
          <w:lang w:bidi="hi-IN"/>
        </w:rPr>
        <w:t>stud</w:t>
      </w:r>
      <w:r w:rsidR="008B36AB" w:rsidRPr="00787196">
        <w:rPr>
          <w:lang w:bidi="hi-IN"/>
        </w:rPr>
        <w:t xml:space="preserve">y by Drossman and colleagues </w:t>
      </w:r>
      <w:r w:rsidR="008B36AB" w:rsidRPr="00787196">
        <w:rPr>
          <w:lang w:bidi="hi-IN"/>
        </w:rPr>
        <w:fldChar w:fldCharType="begin"/>
      </w:r>
      <w:r w:rsidR="008B36AB" w:rsidRPr="00787196">
        <w:rPr>
          <w:lang w:bidi="hi-IN"/>
        </w:rPr>
        <w:instrText xml:space="preserve"> ADDIN EN.CITE &lt;EndNote&gt;&lt;Cite ExcludeAuth="1"&gt;&lt;Author&gt;Drossman&lt;/Author&gt;&lt;Year&gt;2000&lt;/Year&gt;&lt;IDText&gt;Effects of coping on health outcome among women with gastrointestinal disorders&lt;/IDText&gt;&lt;DisplayText&gt;(2000)&lt;/DisplayText&gt;&lt;record&gt;&lt;isbn&gt;0033-3174&lt;/isbn&gt;&lt;titles&gt;&lt;title&gt;Effects of coping on health outcome among women with gastrointestinal disorders&lt;/title&gt;&lt;secondary-title&gt;Psychosomatic Medicine&lt;/secondary-title&gt;&lt;/titles&gt;&lt;pages&gt;309-317&lt;/pages&gt;&lt;number&gt;3&lt;/number&gt;&lt;contributors&gt;&lt;authors&gt;&lt;author&gt;Drossman, Douglas A.&lt;/author&gt;&lt;author&gt;Leserman, Jane&lt;/author&gt;&lt;author&gt;Li, Zhiming&lt;/author&gt;&lt;author&gt;Keefe, Francis&lt;/author&gt;&lt;author&gt;Hu, Yuming J. B.&lt;/author&gt;&lt;author&gt;Toomey, Timothy C.&lt;/author&gt;&lt;/authors&gt;&lt;/contributors&gt;&lt;added-date format="utc"&gt;1482395572&lt;/added-date&gt;&lt;ref-type name="Journal Article"&gt;17&lt;/ref-type&gt;&lt;dates&gt;&lt;year&gt;2000&lt;/year&gt;&lt;/dates&gt;&lt;rec-number&gt;2685&lt;/rec-number&gt;&lt;publisher&gt;LWW&lt;/publisher&gt;&lt;last-updated-date format="utc"&gt;1482395572&lt;/last-updated-date&gt;&lt;volume&gt;62&lt;/volume&gt;&lt;/record&gt;&lt;/Cite&gt;&lt;/EndNote&gt;</w:instrText>
      </w:r>
      <w:r w:rsidR="008B36AB" w:rsidRPr="00787196">
        <w:rPr>
          <w:lang w:bidi="hi-IN"/>
        </w:rPr>
        <w:fldChar w:fldCharType="separate"/>
      </w:r>
      <w:r w:rsidR="008B36AB" w:rsidRPr="00787196">
        <w:rPr>
          <w:lang w:bidi="hi-IN"/>
        </w:rPr>
        <w:t>(2000)</w:t>
      </w:r>
      <w:r w:rsidR="008B36AB" w:rsidRPr="00787196">
        <w:rPr>
          <w:lang w:bidi="hi-IN"/>
        </w:rPr>
        <w:fldChar w:fldCharType="end"/>
      </w:r>
      <w:r w:rsidR="008B36AB" w:rsidRPr="00787196">
        <w:rPr>
          <w:lang w:bidi="hi-IN"/>
        </w:rPr>
        <w:t xml:space="preserve"> </w:t>
      </w:r>
      <w:r w:rsidR="00922C56" w:rsidRPr="00787196">
        <w:rPr>
          <w:lang w:bidi="hi-IN"/>
        </w:rPr>
        <w:t>among</w:t>
      </w:r>
      <w:r w:rsidR="00B80183" w:rsidRPr="00787196">
        <w:rPr>
          <w:lang w:bidi="hi-IN"/>
        </w:rPr>
        <w:t xml:space="preserve"> </w:t>
      </w:r>
      <w:r w:rsidR="0064508F" w:rsidRPr="00787196">
        <w:t>174 women patients</w:t>
      </w:r>
      <w:r w:rsidR="008B36AB" w:rsidRPr="00787196">
        <w:rPr>
          <w:lang w:bidi="hi-IN"/>
        </w:rPr>
        <w:t xml:space="preserve"> </w:t>
      </w:r>
      <w:r w:rsidR="0064508F" w:rsidRPr="00787196">
        <w:rPr>
          <w:lang w:bidi="hi-IN"/>
        </w:rPr>
        <w:t>w</w:t>
      </w:r>
      <w:r w:rsidR="008B36AB" w:rsidRPr="00787196">
        <w:rPr>
          <w:lang w:bidi="hi-IN"/>
        </w:rPr>
        <w:t>ith gastro-intestinal disorders</w:t>
      </w:r>
      <w:r w:rsidR="0064508F" w:rsidRPr="00787196">
        <w:rPr>
          <w:lang w:bidi="hi-IN"/>
        </w:rPr>
        <w:t>,</w:t>
      </w:r>
      <w:r w:rsidR="00B80183" w:rsidRPr="00787196">
        <w:rPr>
          <w:lang w:bidi="hi-IN"/>
        </w:rPr>
        <w:t xml:space="preserve"> there was a strong association</w:t>
      </w:r>
      <w:r w:rsidR="008B36AB" w:rsidRPr="00787196">
        <w:rPr>
          <w:lang w:bidi="hi-IN"/>
        </w:rPr>
        <w:t xml:space="preserve"> </w:t>
      </w:r>
      <w:r w:rsidR="00B80183" w:rsidRPr="00787196">
        <w:rPr>
          <w:lang w:bidi="hi-IN"/>
        </w:rPr>
        <w:t xml:space="preserve">between maladaptive coping strategies </w:t>
      </w:r>
      <w:r w:rsidR="00671953" w:rsidRPr="00787196">
        <w:rPr>
          <w:lang w:bidi="hi-IN"/>
        </w:rPr>
        <w:t xml:space="preserve">and </w:t>
      </w:r>
      <w:r w:rsidR="00B80183" w:rsidRPr="00787196">
        <w:rPr>
          <w:lang w:bidi="hi-IN"/>
        </w:rPr>
        <w:t>adverse health outcome</w:t>
      </w:r>
      <w:r w:rsidR="00671953" w:rsidRPr="00787196">
        <w:rPr>
          <w:lang w:bidi="hi-IN"/>
        </w:rPr>
        <w:t>s. The perc</w:t>
      </w:r>
      <w:r w:rsidR="00B80183" w:rsidRPr="00787196">
        <w:rPr>
          <w:lang w:bidi="hi-IN"/>
        </w:rPr>
        <w:t xml:space="preserve">eived ability to </w:t>
      </w:r>
      <w:r w:rsidR="00671953" w:rsidRPr="00787196">
        <w:rPr>
          <w:lang w:bidi="hi-IN"/>
        </w:rPr>
        <w:t xml:space="preserve">the individual to </w:t>
      </w:r>
      <w:r w:rsidR="00B80183" w:rsidRPr="00787196">
        <w:rPr>
          <w:lang w:bidi="hi-IN"/>
        </w:rPr>
        <w:t xml:space="preserve">manage </w:t>
      </w:r>
      <w:r w:rsidR="00671953" w:rsidRPr="00787196">
        <w:rPr>
          <w:lang w:bidi="hi-IN"/>
        </w:rPr>
        <w:t xml:space="preserve">their </w:t>
      </w:r>
      <w:r w:rsidR="00B80183" w:rsidRPr="00787196">
        <w:rPr>
          <w:lang w:bidi="hi-IN"/>
        </w:rPr>
        <w:t>symptoms</w:t>
      </w:r>
      <w:r w:rsidR="00671953" w:rsidRPr="00787196">
        <w:rPr>
          <w:lang w:bidi="hi-IN"/>
        </w:rPr>
        <w:t xml:space="preserve"> was also associated</w:t>
      </w:r>
      <w:r w:rsidR="00B80183" w:rsidRPr="00787196">
        <w:rPr>
          <w:lang w:bidi="hi-IN"/>
        </w:rPr>
        <w:t>.</w:t>
      </w:r>
      <w:r w:rsidR="00DF1A21" w:rsidRPr="00787196">
        <w:rPr>
          <w:lang w:bidi="hi-IN"/>
        </w:rPr>
        <w:t xml:space="preserve"> </w:t>
      </w:r>
    </w:p>
    <w:p w14:paraId="1E2CA5C1" w14:textId="1A3F49BB" w:rsidR="00430F12" w:rsidRPr="00787196" w:rsidRDefault="00671953" w:rsidP="00BE7E80">
      <w:pPr>
        <w:rPr>
          <w:lang w:bidi="hi-IN"/>
        </w:rPr>
      </w:pPr>
      <w:r w:rsidRPr="00787196">
        <w:rPr>
          <w:lang w:bidi="hi-IN"/>
        </w:rPr>
        <w:t>T</w:t>
      </w:r>
      <w:r w:rsidR="004220A1" w:rsidRPr="00787196">
        <w:rPr>
          <w:lang w:bidi="hi-IN"/>
        </w:rPr>
        <w:t xml:space="preserve">he literature review </w:t>
      </w:r>
      <w:r w:rsidRPr="00787196">
        <w:rPr>
          <w:lang w:bidi="hi-IN"/>
        </w:rPr>
        <w:t xml:space="preserve">of this thesis </w:t>
      </w:r>
      <w:r w:rsidR="004220A1" w:rsidRPr="00787196">
        <w:rPr>
          <w:lang w:bidi="hi-IN"/>
        </w:rPr>
        <w:t>(Section 2.4.5)</w:t>
      </w:r>
      <w:r w:rsidRPr="00787196">
        <w:rPr>
          <w:lang w:bidi="hi-IN"/>
        </w:rPr>
        <w:t xml:space="preserve"> discussed how there </w:t>
      </w:r>
      <w:r w:rsidR="00BE7E80" w:rsidRPr="00787196">
        <w:rPr>
          <w:lang w:bidi="hi-IN"/>
        </w:rPr>
        <w:t xml:space="preserve">exists </w:t>
      </w:r>
      <w:r w:rsidRPr="00787196">
        <w:rPr>
          <w:lang w:bidi="hi-IN"/>
        </w:rPr>
        <w:t xml:space="preserve">a research gap on </w:t>
      </w:r>
      <w:r w:rsidR="00BE7E80" w:rsidRPr="00787196">
        <w:rPr>
          <w:lang w:bidi="hi-IN"/>
        </w:rPr>
        <w:t xml:space="preserve">the </w:t>
      </w:r>
      <w:r w:rsidRPr="00787196">
        <w:rPr>
          <w:lang w:bidi="hi-IN"/>
        </w:rPr>
        <w:t>explor</w:t>
      </w:r>
      <w:r w:rsidR="00BE7E80" w:rsidRPr="00787196">
        <w:rPr>
          <w:lang w:bidi="hi-IN"/>
        </w:rPr>
        <w:t xml:space="preserve">ation </w:t>
      </w:r>
      <w:r w:rsidRPr="00787196">
        <w:rPr>
          <w:lang w:bidi="hi-IN"/>
        </w:rPr>
        <w:t>and observ</w:t>
      </w:r>
      <w:r w:rsidR="00BE7E80" w:rsidRPr="00787196">
        <w:rPr>
          <w:lang w:bidi="hi-IN"/>
        </w:rPr>
        <w:t>ation of c</w:t>
      </w:r>
      <w:r w:rsidR="004220A1" w:rsidRPr="00787196">
        <w:rPr>
          <w:lang w:bidi="hi-IN"/>
        </w:rPr>
        <w:t xml:space="preserve">oping strategies </w:t>
      </w:r>
      <w:r w:rsidRPr="00787196">
        <w:rPr>
          <w:lang w:bidi="hi-IN"/>
        </w:rPr>
        <w:t>within</w:t>
      </w:r>
      <w:r w:rsidR="004220A1" w:rsidRPr="00787196">
        <w:rPr>
          <w:lang w:bidi="hi-IN"/>
        </w:rPr>
        <w:t xml:space="preserve"> </w:t>
      </w:r>
      <w:r w:rsidR="00BE7E80" w:rsidRPr="00787196">
        <w:rPr>
          <w:lang w:bidi="hi-IN"/>
        </w:rPr>
        <w:t xml:space="preserve">the aspects of </w:t>
      </w:r>
      <w:r w:rsidR="0045400D" w:rsidRPr="00787196">
        <w:rPr>
          <w:lang w:bidi="hi-IN"/>
        </w:rPr>
        <w:t xml:space="preserve">oral </w:t>
      </w:r>
      <w:r w:rsidR="00BE7E80" w:rsidRPr="00787196">
        <w:rPr>
          <w:lang w:bidi="hi-IN"/>
        </w:rPr>
        <w:t>health and</w:t>
      </w:r>
      <w:r w:rsidRPr="00787196">
        <w:rPr>
          <w:lang w:bidi="hi-IN"/>
        </w:rPr>
        <w:t xml:space="preserve"> </w:t>
      </w:r>
      <w:r w:rsidR="00BE7E80" w:rsidRPr="00787196">
        <w:rPr>
          <w:lang w:bidi="hi-IN"/>
        </w:rPr>
        <w:t>the</w:t>
      </w:r>
      <w:r w:rsidRPr="00787196">
        <w:rPr>
          <w:lang w:bidi="hi-IN"/>
        </w:rPr>
        <w:t xml:space="preserve"> domain</w:t>
      </w:r>
      <w:r w:rsidR="00BE7E80" w:rsidRPr="00787196">
        <w:rPr>
          <w:lang w:bidi="hi-IN"/>
        </w:rPr>
        <w:t>s</w:t>
      </w:r>
      <w:r w:rsidRPr="00787196">
        <w:rPr>
          <w:lang w:bidi="hi-IN"/>
        </w:rPr>
        <w:t xml:space="preserve"> of </w:t>
      </w:r>
      <w:r w:rsidR="004220A1" w:rsidRPr="00787196">
        <w:rPr>
          <w:lang w:bidi="hi-IN"/>
        </w:rPr>
        <w:t>OHQoL</w:t>
      </w:r>
      <w:r w:rsidR="00743201" w:rsidRPr="00787196">
        <w:rPr>
          <w:lang w:bidi="hi-IN"/>
        </w:rPr>
        <w:t xml:space="preserve"> (</w:t>
      </w:r>
      <w:r w:rsidR="00743201" w:rsidRPr="00787196">
        <w:t>Baker et al., 2008, Reissmann et al., 2012, Rodd and colleagues, 2012)</w:t>
      </w:r>
      <w:r w:rsidR="00DF1A21" w:rsidRPr="00787196">
        <w:t xml:space="preserve"> despite </w:t>
      </w:r>
      <w:r w:rsidRPr="00787196">
        <w:t>e</w:t>
      </w:r>
      <w:r w:rsidR="00DF1A21" w:rsidRPr="00787196">
        <w:t xml:space="preserve">vidences </w:t>
      </w:r>
      <w:r w:rsidR="00BE7E80" w:rsidRPr="00787196">
        <w:t>suggesting</w:t>
      </w:r>
      <w:r w:rsidR="00DF1A21" w:rsidRPr="00787196">
        <w:t xml:space="preserve"> </w:t>
      </w:r>
      <w:r w:rsidRPr="00787196">
        <w:t>otherwise</w:t>
      </w:r>
      <w:r w:rsidR="00743201" w:rsidRPr="00787196">
        <w:rPr>
          <w:lang w:bidi="hi-IN"/>
        </w:rPr>
        <w:t xml:space="preserve"> (Heydecke et al</w:t>
      </w:r>
      <w:r w:rsidR="0014581C" w:rsidRPr="00787196">
        <w:rPr>
          <w:lang w:bidi="hi-IN"/>
        </w:rPr>
        <w:t>.,</w:t>
      </w:r>
      <w:r w:rsidR="00743201" w:rsidRPr="00787196">
        <w:rPr>
          <w:lang w:bidi="hi-IN"/>
        </w:rPr>
        <w:t xml:space="preserve"> </w:t>
      </w:r>
      <w:r w:rsidR="0014581C" w:rsidRPr="00787196">
        <w:rPr>
          <w:lang w:bidi="hi-IN"/>
        </w:rPr>
        <w:t xml:space="preserve">2004, Porritt et al., 2014). </w:t>
      </w:r>
    </w:p>
    <w:p w14:paraId="7A693440" w14:textId="3FC222FF" w:rsidR="00492FE3" w:rsidRPr="00787196" w:rsidRDefault="00492FE3" w:rsidP="00BE7E80">
      <w:pPr>
        <w:spacing w:before="0" w:after="0"/>
      </w:pPr>
      <w:r w:rsidRPr="00787196">
        <w:t xml:space="preserve">Rodd and colleagues </w:t>
      </w:r>
      <w:r w:rsidRPr="00787196">
        <w:fldChar w:fldCharType="begin"/>
      </w:r>
      <w:r w:rsidRPr="00787196">
        <w:instrText xml:space="preserve"> ADDIN EN.CITE &lt;EndNote&gt;&lt;Cite ExcludeAuth="1"&gt;&lt;Author&gt;Rodd&lt;/Author&gt;&lt;Year&gt;2012&lt;/Year&gt;&lt;RecNum&gt;0&lt;/RecNum&gt;&lt;IDText&gt;Psychosocial predictors of children’s oral health-related quality of life during transition to secondary school&lt;/IDText&gt;&lt;DisplayText&gt;(2012)&lt;/DisplayText&gt;&lt;record&gt;&lt;isbn&gt;0962-9343&lt;/isbn&gt;&lt;titles&gt;&lt;title&gt;Psychosocial predictors of children’s oral health-related quality of life during transition to secondary school&lt;/title&gt;&lt;secondary-title&gt;Quality of Life Research&lt;/secondary-title&gt;&lt;/titles&gt;&lt;pages&gt;707-716&lt;/pages&gt;&lt;number&gt;4&lt;/number&gt;&lt;contributors&gt;&lt;authors&gt;&lt;author&gt;Rodd, H. D.&lt;/author&gt;&lt;author&gt;Marshman, Z.&lt;/author&gt;&lt;author&gt;Porritt, J.&lt;/author&gt;&lt;author&gt;Bradbury, Jane&lt;/author&gt;&lt;author&gt;Baker, S. R.&lt;/author&gt;&lt;/authors&gt;&lt;/contributors&gt;&lt;added-date format="utc"&gt;1391137838&lt;/added-date&gt;&lt;ref-type name="Journal Article"&gt;17&lt;/ref-type&gt;&lt;dates&gt;&lt;year&gt;2012&lt;/year&gt;&lt;/dates&gt;&lt;rec-number&gt;1977&lt;/rec-number&gt;&lt;publisher&gt;Springer&lt;/publisher&gt;&lt;last-updated-date format="utc"&gt;1391137838&lt;/last-updated-date&gt;&lt;volume&gt;21&lt;/volume&gt;&lt;/record&gt;&lt;/Cite&gt;&lt;/EndNote&gt;</w:instrText>
      </w:r>
      <w:r w:rsidRPr="00787196">
        <w:fldChar w:fldCharType="separate"/>
      </w:r>
      <w:r w:rsidRPr="00787196">
        <w:t>(2012)</w:t>
      </w:r>
      <w:r w:rsidRPr="00787196">
        <w:fldChar w:fldCharType="end"/>
      </w:r>
      <w:r w:rsidRPr="00787196">
        <w:t xml:space="preserve"> explored the psychosocial predictors of OHQoL in children during the transition to secondary school.  </w:t>
      </w:r>
      <w:r w:rsidR="00DF1A21" w:rsidRPr="00787196">
        <w:t>Ninety-two</w:t>
      </w:r>
      <w:r w:rsidRPr="00787196">
        <w:t xml:space="preserve"> children aged between 10-11 years completed I</w:t>
      </w:r>
      <w:r w:rsidR="0035780E" w:rsidRPr="00787196">
        <w:t xml:space="preserve">mpact </w:t>
      </w:r>
      <w:r w:rsidRPr="00787196">
        <w:t>S</w:t>
      </w:r>
      <w:r w:rsidR="0035780E" w:rsidRPr="00787196">
        <w:t xml:space="preserve">hort </w:t>
      </w:r>
      <w:r w:rsidRPr="00787196">
        <w:t>F</w:t>
      </w:r>
      <w:r w:rsidR="0035780E" w:rsidRPr="00787196">
        <w:t xml:space="preserve">orm (ISF) </w:t>
      </w:r>
      <w:r w:rsidR="00E512FF" w:rsidRPr="00787196">
        <w:t>-</w:t>
      </w:r>
      <w:r w:rsidR="0035780E" w:rsidRPr="00787196">
        <w:t>1</w:t>
      </w:r>
      <w:r w:rsidRPr="00787196">
        <w:t>6 a short form of Child-perception questionnaire</w:t>
      </w:r>
      <w:r w:rsidR="0035780E" w:rsidRPr="00787196">
        <w:t xml:space="preserve"> (CPQ)</w:t>
      </w:r>
      <w:r w:rsidRPr="00787196">
        <w:t xml:space="preserve"> before entering secondary school and three months </w:t>
      </w:r>
      <w:r w:rsidR="00BE7E80" w:rsidRPr="00787196">
        <w:t xml:space="preserve">after the </w:t>
      </w:r>
      <w:r w:rsidRPr="00787196">
        <w:t xml:space="preserve">transition. </w:t>
      </w:r>
      <w:r w:rsidR="0035780E" w:rsidRPr="00787196">
        <w:t>C</w:t>
      </w:r>
      <w:r w:rsidRPr="00787196">
        <w:t xml:space="preserve">hildren with low self-esteem </w:t>
      </w:r>
      <w:r w:rsidR="00BE7E80" w:rsidRPr="00787196">
        <w:t xml:space="preserve">issues </w:t>
      </w:r>
      <w:r w:rsidRPr="00787196">
        <w:t xml:space="preserve">and </w:t>
      </w:r>
      <w:r w:rsidR="00BE7E80" w:rsidRPr="00787196">
        <w:t xml:space="preserve">who </w:t>
      </w:r>
      <w:r w:rsidRPr="00787196">
        <w:t>practis</w:t>
      </w:r>
      <w:r w:rsidR="00BE7E80" w:rsidRPr="00787196">
        <w:t>ed</w:t>
      </w:r>
      <w:r w:rsidRPr="00787196">
        <w:t xml:space="preserve"> avoidan</w:t>
      </w:r>
      <w:r w:rsidR="00BE7E80" w:rsidRPr="00787196">
        <w:t xml:space="preserve">t </w:t>
      </w:r>
      <w:r w:rsidRPr="00787196">
        <w:t xml:space="preserve">coping strategies experienced </w:t>
      </w:r>
      <w:r w:rsidR="00BE7E80" w:rsidRPr="00787196">
        <w:t xml:space="preserve">a </w:t>
      </w:r>
      <w:r w:rsidRPr="00787196">
        <w:t>low</w:t>
      </w:r>
      <w:r w:rsidR="0035780E" w:rsidRPr="00787196">
        <w:t>er</w:t>
      </w:r>
      <w:r w:rsidRPr="00787196">
        <w:t xml:space="preserve"> OHQoL</w:t>
      </w:r>
      <w:r w:rsidR="0035780E" w:rsidRPr="00787196">
        <w:t xml:space="preserve"> after transition</w:t>
      </w:r>
      <w:r w:rsidR="00BE7E80" w:rsidRPr="00787196">
        <w:t>ing</w:t>
      </w:r>
      <w:r w:rsidR="0035780E" w:rsidRPr="00787196">
        <w:t xml:space="preserve"> to secondary school</w:t>
      </w:r>
      <w:r w:rsidRPr="00787196">
        <w:t xml:space="preserve">. </w:t>
      </w:r>
      <w:r w:rsidR="00BE7E80" w:rsidRPr="00787196">
        <w:t>The</w:t>
      </w:r>
      <w:r w:rsidR="0035780E" w:rsidRPr="00787196">
        <w:t xml:space="preserve"> authors</w:t>
      </w:r>
      <w:r w:rsidRPr="00787196">
        <w:t xml:space="preserve"> suggested further exploration </w:t>
      </w:r>
      <w:r w:rsidR="0035780E" w:rsidRPr="00787196">
        <w:t>of</w:t>
      </w:r>
      <w:r w:rsidRPr="00787196">
        <w:t xml:space="preserve"> the causal pathways</w:t>
      </w:r>
      <w:r w:rsidR="00BE7E80" w:rsidRPr="00787196">
        <w:t xml:space="preserve"> the association</w:t>
      </w:r>
      <w:r w:rsidRPr="00787196">
        <w:t xml:space="preserve"> between coping strategies and OHQoL.</w:t>
      </w:r>
      <w:r w:rsidR="0035780E" w:rsidRPr="00787196">
        <w:t xml:space="preserve"> However, </w:t>
      </w:r>
      <w:r w:rsidR="00BE7E80" w:rsidRPr="00787196">
        <w:t>the study was neither exploring any dent</w:t>
      </w:r>
      <w:r w:rsidR="0015710C" w:rsidRPr="00787196">
        <w:t xml:space="preserve">al intervention </w:t>
      </w:r>
      <w:r w:rsidR="00BE7E80" w:rsidRPr="00787196">
        <w:t xml:space="preserve">nor was evaluating any oral health condition. The </w:t>
      </w:r>
      <w:r w:rsidR="0015710C" w:rsidRPr="00787196">
        <w:t xml:space="preserve">participants’ coping strategies </w:t>
      </w:r>
      <w:r w:rsidR="00BE7E80" w:rsidRPr="00787196">
        <w:t>was related</w:t>
      </w:r>
      <w:r w:rsidR="0015710C" w:rsidRPr="00787196">
        <w:t xml:space="preserve"> </w:t>
      </w:r>
      <w:r w:rsidR="00BE7E80" w:rsidRPr="00787196">
        <w:t>only with</w:t>
      </w:r>
      <w:r w:rsidR="0015710C" w:rsidRPr="00787196">
        <w:t xml:space="preserve"> change of school</w:t>
      </w:r>
      <w:r w:rsidR="00BE7E80" w:rsidRPr="00787196">
        <w:t xml:space="preserve"> and the related transition</w:t>
      </w:r>
      <w:r w:rsidR="0015710C" w:rsidRPr="00787196">
        <w:t xml:space="preserve">. </w:t>
      </w:r>
      <w:r w:rsidRPr="00787196">
        <w:t xml:space="preserve"> </w:t>
      </w:r>
    </w:p>
    <w:p w14:paraId="31066F3D" w14:textId="77777777" w:rsidR="00492FE3" w:rsidRPr="00787196" w:rsidRDefault="00492FE3" w:rsidP="00492FE3">
      <w:pPr>
        <w:spacing w:before="0" w:after="0"/>
      </w:pPr>
    </w:p>
    <w:p w14:paraId="67C13709" w14:textId="1EC797CE" w:rsidR="00492FE3" w:rsidRPr="00787196" w:rsidRDefault="00BE7E80" w:rsidP="00837D29">
      <w:pPr>
        <w:spacing w:before="0" w:after="0"/>
        <w:rPr>
          <w:lang w:bidi="hi-IN"/>
        </w:rPr>
      </w:pPr>
      <w:r w:rsidRPr="00787196">
        <w:t xml:space="preserve">Porritt and colleagues </w:t>
      </w:r>
      <w:r w:rsidRPr="00787196">
        <w:fldChar w:fldCharType="begin"/>
      </w:r>
      <w:r w:rsidRPr="00787196">
        <w:instrText xml:space="preserve"> ADDIN EN.CITE &lt;EndNote&gt;&lt;Cite ExcludeAuth="1"&gt;&lt;Author&gt;Porritt&lt;/Author&gt;&lt;Year&gt;2014&lt;/Year&gt;&lt;RecNum&gt;0&lt;/RecNum&gt;&lt;IDText&gt;The role of illness beliefs and coping in the adjustment to dentine hypersensitivity&lt;/IDText&gt;&lt;DisplayText&gt;(2014)&lt;/DisplayText&gt;&lt;record&gt;&lt;isbn&gt;1600-051X&lt;/isbn&gt;&lt;titles&gt;&lt;title&gt;The role of illness beliefs and coping in the adjustment to dentine hypersensitivity&lt;/title&gt;&lt;secondary-title&gt;Journal of clinical periodontology&lt;/secondary-title&gt;&lt;/titles&gt;&lt;pages&gt;60-69&lt;/pages&gt;&lt;number&gt;1&lt;/number&gt;&lt;contributors&gt;&lt;authors&gt;&lt;author&gt;Porritt, Jenny M.&lt;/author&gt;&lt;author&gt;Sufi, Farzana&lt;/author&gt;&lt;author&gt;Barlow, Ashley&lt;/author&gt;&lt;author&gt;Baker, Sarah R.&lt;/author&gt;&lt;/authors&gt;&lt;/contributors&gt;&lt;added-date format="utc"&gt;1391139299&lt;/added-date&gt;&lt;ref-type name="Journal Article"&gt;17&lt;/ref-type&gt;&lt;dates&gt;&lt;year&gt;2014&lt;/year&gt;&lt;/dates&gt;&lt;rec-number&gt;1978&lt;/rec-number&gt;&lt;publisher&gt;Wiley Online Library&lt;/publisher&gt;&lt;last-updated-date format="utc"&gt;1391139299&lt;/last-updated-date&gt;&lt;volume&gt;41&lt;/volume&gt;&lt;/record&gt;&lt;/Cite&gt;&lt;/EndNote&gt;</w:instrText>
      </w:r>
      <w:r w:rsidRPr="00787196">
        <w:fldChar w:fldCharType="separate"/>
      </w:r>
      <w:r w:rsidRPr="00787196">
        <w:rPr>
          <w:noProof/>
        </w:rPr>
        <w:t>(2014)</w:t>
      </w:r>
      <w:r w:rsidRPr="00787196">
        <w:fldChar w:fldCharType="end"/>
      </w:r>
      <w:r w:rsidR="00CE76B1" w:rsidRPr="00787196">
        <w:t xml:space="preserve"> longitudinally observed if illness beliefs and coping strategies predicted OHQoL outcomes in individuals who self-reported symptoms of dentine hypersensitivity. One hundred and one</w:t>
      </w:r>
      <w:r w:rsidR="00492FE3" w:rsidRPr="00787196">
        <w:t xml:space="preserve"> individuals complete</w:t>
      </w:r>
      <w:r w:rsidR="00CE76B1" w:rsidRPr="00787196">
        <w:t>d</w:t>
      </w:r>
      <w:r w:rsidRPr="00787196">
        <w:t xml:space="preserve"> </w:t>
      </w:r>
      <w:r w:rsidR="00E512FF" w:rsidRPr="00787196">
        <w:t>a</w:t>
      </w:r>
      <w:r w:rsidR="00492FE3" w:rsidRPr="00787196">
        <w:t xml:space="preserve"> se</w:t>
      </w:r>
      <w:r w:rsidR="00966D4F" w:rsidRPr="00787196">
        <w:t>ries</w:t>
      </w:r>
      <w:r w:rsidR="00492FE3" w:rsidRPr="00787196">
        <w:t xml:space="preserve"> of questionnaires</w:t>
      </w:r>
      <w:r w:rsidR="00F27BE3" w:rsidRPr="00787196">
        <w:t xml:space="preserve"> </w:t>
      </w:r>
      <w:r w:rsidR="00393A95" w:rsidRPr="00787196">
        <w:t xml:space="preserve">and </w:t>
      </w:r>
      <w:r w:rsidR="00966D4F" w:rsidRPr="00787196">
        <w:t>repeated the process again in</w:t>
      </w:r>
      <w:r w:rsidR="00CE76B1" w:rsidRPr="00787196">
        <w:t xml:space="preserve"> </w:t>
      </w:r>
      <w:r w:rsidR="00966D4F" w:rsidRPr="00787196">
        <w:t xml:space="preserve">a </w:t>
      </w:r>
      <w:r w:rsidR="00CE76B1" w:rsidRPr="00787196">
        <w:t>month</w:t>
      </w:r>
      <w:r w:rsidR="00966D4F" w:rsidRPr="00787196">
        <w:t>’s follow-up</w:t>
      </w:r>
      <w:r w:rsidRPr="00787196">
        <w:t xml:space="preserve">. </w:t>
      </w:r>
      <w:r w:rsidR="00966D4F" w:rsidRPr="00787196">
        <w:t>A</w:t>
      </w:r>
      <w:r w:rsidR="00492FE3" w:rsidRPr="00787196">
        <w:t xml:space="preserve"> direct significant </w:t>
      </w:r>
      <w:r w:rsidR="00F27BE3" w:rsidRPr="00787196">
        <w:t xml:space="preserve">longitudinal </w:t>
      </w:r>
      <w:r w:rsidR="00492FE3" w:rsidRPr="00787196">
        <w:t>pathway w</w:t>
      </w:r>
      <w:r w:rsidR="00F27BE3" w:rsidRPr="00787196">
        <w:t>as</w:t>
      </w:r>
      <w:r w:rsidR="00966D4F" w:rsidRPr="00787196">
        <w:t xml:space="preserve"> observed</w:t>
      </w:r>
      <w:r w:rsidR="00492FE3" w:rsidRPr="00787196">
        <w:t xml:space="preserve"> between emotion-based coping strategies and worse OHQoL in individuals </w:t>
      </w:r>
      <w:r w:rsidR="00966D4F" w:rsidRPr="00787196">
        <w:t xml:space="preserve">who </w:t>
      </w:r>
      <w:r w:rsidR="00492FE3" w:rsidRPr="00787196">
        <w:t>experienc</w:t>
      </w:r>
      <w:r w:rsidR="00966D4F" w:rsidRPr="00787196">
        <w:t>ed</w:t>
      </w:r>
      <w:r w:rsidR="00492FE3" w:rsidRPr="00787196">
        <w:t xml:space="preserve"> frequent sensations of dentine-hypersensitivity. </w:t>
      </w:r>
      <w:r w:rsidR="00837D29" w:rsidRPr="00787196">
        <w:t xml:space="preserve">The study </w:t>
      </w:r>
      <w:r w:rsidR="00966D4F" w:rsidRPr="00787196">
        <w:t xml:space="preserve">did not evaluate a </w:t>
      </w:r>
      <w:r w:rsidR="00F27BE3" w:rsidRPr="00787196">
        <w:t>healthcare intervention</w:t>
      </w:r>
      <w:r w:rsidR="00966D4F" w:rsidRPr="00787196">
        <w:t xml:space="preserve"> nor was</w:t>
      </w:r>
      <w:r w:rsidR="00E512FF" w:rsidRPr="00787196">
        <w:t xml:space="preserve"> the condition </w:t>
      </w:r>
      <w:r w:rsidR="00966D4F" w:rsidRPr="00787196">
        <w:t xml:space="preserve">(dentine hypersensitivity) similar </w:t>
      </w:r>
      <w:r w:rsidR="00E512FF" w:rsidRPr="00787196">
        <w:t xml:space="preserve">to </w:t>
      </w:r>
      <w:r w:rsidR="00966D4F" w:rsidRPr="00787196">
        <w:t>w</w:t>
      </w:r>
      <w:r w:rsidR="00E512FF" w:rsidRPr="00787196">
        <w:t>hat of the present research</w:t>
      </w:r>
      <w:r w:rsidR="00966D4F" w:rsidRPr="00787196">
        <w:t xml:space="preserve"> is </w:t>
      </w:r>
      <w:r w:rsidR="00580683" w:rsidRPr="00787196">
        <w:t>interested in</w:t>
      </w:r>
      <w:r w:rsidR="00F77B1B" w:rsidRPr="00787196">
        <w:t xml:space="preserve"> (denture success)</w:t>
      </w:r>
      <w:r w:rsidR="00580683" w:rsidRPr="00787196">
        <w:t>.</w:t>
      </w:r>
    </w:p>
    <w:p w14:paraId="76894860" w14:textId="7FF01665" w:rsidR="00364E1E" w:rsidRPr="00787196" w:rsidRDefault="005F1E1D" w:rsidP="00837D29">
      <w:pPr>
        <w:rPr>
          <w:lang w:bidi="hi-IN"/>
        </w:rPr>
      </w:pPr>
      <w:r w:rsidRPr="00787196">
        <w:rPr>
          <w:lang w:bidi="hi-IN"/>
        </w:rPr>
        <w:lastRenderedPageBreak/>
        <w:t>One of t</w:t>
      </w:r>
      <w:r w:rsidR="00575711" w:rsidRPr="00787196">
        <w:rPr>
          <w:lang w:bidi="hi-IN"/>
        </w:rPr>
        <w:t>he main premise</w:t>
      </w:r>
      <w:r w:rsidR="00FB26D2" w:rsidRPr="00787196">
        <w:rPr>
          <w:lang w:bidi="hi-IN"/>
        </w:rPr>
        <w:t>s</w:t>
      </w:r>
      <w:r w:rsidR="00575711" w:rsidRPr="00787196">
        <w:rPr>
          <w:lang w:bidi="hi-IN"/>
        </w:rPr>
        <w:t xml:space="preserve"> under which coping strategies </w:t>
      </w:r>
      <w:r w:rsidR="002E2FB7" w:rsidRPr="00787196">
        <w:rPr>
          <w:lang w:bidi="hi-IN"/>
        </w:rPr>
        <w:t xml:space="preserve">was considered </w:t>
      </w:r>
      <w:r w:rsidR="009D6FD4" w:rsidRPr="00787196">
        <w:rPr>
          <w:lang w:bidi="hi-IN"/>
        </w:rPr>
        <w:t>as an imp</w:t>
      </w:r>
      <w:r w:rsidRPr="00787196">
        <w:rPr>
          <w:lang w:bidi="hi-IN"/>
        </w:rPr>
        <w:t>ortant factor in th</w:t>
      </w:r>
      <w:r w:rsidR="00F27BE3" w:rsidRPr="00787196">
        <w:rPr>
          <w:lang w:bidi="hi-IN"/>
        </w:rPr>
        <w:t>e present</w:t>
      </w:r>
      <w:r w:rsidRPr="00787196">
        <w:rPr>
          <w:lang w:bidi="hi-IN"/>
        </w:rPr>
        <w:t xml:space="preserve"> study was</w:t>
      </w:r>
      <w:r w:rsidR="00EA1628" w:rsidRPr="00787196">
        <w:rPr>
          <w:lang w:bidi="hi-IN"/>
        </w:rPr>
        <w:t xml:space="preserve"> the</w:t>
      </w:r>
      <w:r w:rsidR="002E2FB7" w:rsidRPr="00787196">
        <w:rPr>
          <w:lang w:bidi="hi-IN"/>
        </w:rPr>
        <w:t xml:space="preserve"> increasing importance </w:t>
      </w:r>
      <w:r w:rsidRPr="00787196">
        <w:rPr>
          <w:lang w:bidi="hi-IN"/>
        </w:rPr>
        <w:t xml:space="preserve">of psychosocial </w:t>
      </w:r>
      <w:r w:rsidR="00803E72" w:rsidRPr="00787196">
        <w:rPr>
          <w:lang w:bidi="hi-IN"/>
        </w:rPr>
        <w:t xml:space="preserve">determinants </w:t>
      </w:r>
      <w:r w:rsidR="00A911EA" w:rsidRPr="00787196">
        <w:rPr>
          <w:lang w:bidi="hi-IN"/>
        </w:rPr>
        <w:t xml:space="preserve">in </w:t>
      </w:r>
      <w:r w:rsidR="00803E72" w:rsidRPr="00787196">
        <w:rPr>
          <w:lang w:bidi="hi-IN"/>
        </w:rPr>
        <w:t xml:space="preserve">oral </w:t>
      </w:r>
      <w:r w:rsidR="009D6FD4" w:rsidRPr="00787196">
        <w:rPr>
          <w:lang w:bidi="hi-IN"/>
        </w:rPr>
        <w:t xml:space="preserve">health </w:t>
      </w:r>
      <w:r w:rsidR="00803E72" w:rsidRPr="00787196">
        <w:rPr>
          <w:lang w:bidi="hi-IN"/>
        </w:rPr>
        <w:fldChar w:fldCharType="begin"/>
      </w:r>
      <w:r w:rsidR="00803E72" w:rsidRPr="00787196">
        <w:rPr>
          <w:lang w:bidi="hi-IN"/>
        </w:rPr>
        <w:instrText xml:space="preserve"> ADDIN EN.CITE &lt;EndNote&gt;&lt;Cite&gt;&lt;Author&gt;Brondani&lt;/Author&gt;&lt;Year&gt;2007&lt;/Year&gt;&lt;RecNum&gt;2342&lt;/RecNum&gt;&lt;DisplayText&gt;(Brondani and MacEntee, 2007)&lt;/DisplayText&gt;&lt;record&gt;&lt;rec-number&gt;2342&lt;/rec-number&gt;&lt;foreign-keys&gt;&lt;key app="EN" db-id="50wxdpzd9vd5r7e9t5b595djrfpttrxw9avp" timestamp="1473850884"&gt;2342&lt;/key&gt;&lt;/foreign-keys&gt;&lt;ref-type name="Journal Article"&gt;17&lt;/ref-type&gt;&lt;contributors&gt;&lt;authors&gt;&lt;author&gt;Brondani, M. A.&lt;/author&gt;&lt;author&gt;MacEntee, M. I.&lt;/author&gt;&lt;/authors&gt;&lt;/contributors&gt;&lt;titles&gt;&lt;title&gt;The concept of validity in sociodental indicators and oral health-related quality-of-life measures&lt;/title&gt;&lt;secondary-title&gt;Community Dentistry and Oral Epidemiology&lt;/secondary-title&gt;&lt;/titles&gt;&lt;periodical&gt;&lt;full-title&gt;Community Dentistry and Oral Epidemiology&lt;/full-title&gt;&lt;/periodical&gt;&lt;pages&gt;472-478&lt;/pages&gt;&lt;volume&gt;35&lt;/volume&gt;&lt;number&gt;6&lt;/number&gt;&lt;keywords&gt;&lt;keyword&gt;psychometrics&lt;/keyword&gt;&lt;keyword&gt;quality of life&lt;/keyword&gt;&lt;keyword&gt;sociodental indicators&lt;/keyword&gt;&lt;keyword&gt;subjective oral health&lt;/keyword&gt;&lt;keyword&gt;validity&lt;/keyword&gt;&lt;/keywords&gt;&lt;dates&gt;&lt;year&gt;2007&lt;/year&gt;&lt;/dates&gt;&lt;publisher&gt;Blackwell Publishing Ltd&lt;/publisher&gt;&lt;isbn&gt;1600-0528&lt;/isbn&gt;&lt;urls&gt;&lt;related-urls&gt;&lt;url&gt;http://dx.doi.org/10.1111/j.1600-0528.2006.00361.x&lt;/url&gt;&lt;/related-urls&gt;&lt;/urls&gt;&lt;electronic-resource-num&gt;10.1111/j.1600-0528.2006.00361.x&lt;/electronic-resource-num&gt;&lt;/record&gt;&lt;/Cite&gt;&lt;/EndNote&gt;</w:instrText>
      </w:r>
      <w:r w:rsidR="00803E72" w:rsidRPr="00787196">
        <w:rPr>
          <w:lang w:bidi="hi-IN"/>
        </w:rPr>
        <w:fldChar w:fldCharType="separate"/>
      </w:r>
      <w:r w:rsidR="00803E72" w:rsidRPr="00787196">
        <w:rPr>
          <w:lang w:bidi="hi-IN"/>
        </w:rPr>
        <w:t>(Brondani and MacEntee, 2007)</w:t>
      </w:r>
      <w:r w:rsidR="00803E72" w:rsidRPr="00787196">
        <w:rPr>
          <w:lang w:bidi="hi-IN"/>
        </w:rPr>
        <w:fldChar w:fldCharType="end"/>
      </w:r>
      <w:r w:rsidR="00EA1628" w:rsidRPr="00787196">
        <w:rPr>
          <w:lang w:bidi="hi-IN"/>
        </w:rPr>
        <w:t xml:space="preserve">. In </w:t>
      </w:r>
      <w:r w:rsidR="00813B1A" w:rsidRPr="00787196">
        <w:rPr>
          <w:lang w:bidi="hi-IN"/>
        </w:rPr>
        <w:t>addition,</w:t>
      </w:r>
      <w:r w:rsidR="00EA1628" w:rsidRPr="00787196">
        <w:rPr>
          <w:lang w:bidi="hi-IN"/>
        </w:rPr>
        <w:t xml:space="preserve"> </w:t>
      </w:r>
      <w:r w:rsidR="00837D29" w:rsidRPr="00787196">
        <w:rPr>
          <w:lang w:bidi="hi-IN"/>
        </w:rPr>
        <w:t xml:space="preserve">as pointed out </w:t>
      </w:r>
      <w:r w:rsidR="00687D01" w:rsidRPr="00787196">
        <w:rPr>
          <w:lang w:bidi="hi-IN"/>
        </w:rPr>
        <w:t>earlier,</w:t>
      </w:r>
      <w:r w:rsidR="00837D29" w:rsidRPr="00787196">
        <w:rPr>
          <w:lang w:bidi="hi-IN"/>
        </w:rPr>
        <w:t xml:space="preserve"> </w:t>
      </w:r>
      <w:r w:rsidR="00EA1628" w:rsidRPr="00787196">
        <w:rPr>
          <w:lang w:bidi="hi-IN"/>
        </w:rPr>
        <w:t>the</w:t>
      </w:r>
      <w:r w:rsidR="00F05304" w:rsidRPr="00787196">
        <w:rPr>
          <w:lang w:bidi="hi-IN"/>
        </w:rPr>
        <w:t>re ha</w:t>
      </w:r>
      <w:r w:rsidR="003810F2" w:rsidRPr="00787196">
        <w:rPr>
          <w:lang w:bidi="hi-IN"/>
        </w:rPr>
        <w:t>s</w:t>
      </w:r>
      <w:r w:rsidR="00F05304" w:rsidRPr="00787196">
        <w:rPr>
          <w:lang w:bidi="hi-IN"/>
        </w:rPr>
        <w:t xml:space="preserve"> been </w:t>
      </w:r>
      <w:r w:rsidRPr="00787196">
        <w:rPr>
          <w:lang w:bidi="hi-IN"/>
        </w:rPr>
        <w:t xml:space="preserve">evidence </w:t>
      </w:r>
      <w:r w:rsidR="00364E1E" w:rsidRPr="00787196">
        <w:rPr>
          <w:lang w:bidi="hi-IN"/>
        </w:rPr>
        <w:t xml:space="preserve">from </w:t>
      </w:r>
      <w:r w:rsidR="00F05304" w:rsidRPr="00787196">
        <w:rPr>
          <w:lang w:bidi="hi-IN"/>
        </w:rPr>
        <w:t>studies</w:t>
      </w:r>
      <w:r w:rsidR="00364E1E" w:rsidRPr="00787196">
        <w:rPr>
          <w:lang w:bidi="hi-IN"/>
        </w:rPr>
        <w:t xml:space="preserve"> </w:t>
      </w:r>
      <w:r w:rsidR="00F05304" w:rsidRPr="00787196">
        <w:rPr>
          <w:lang w:bidi="hi-IN"/>
        </w:rPr>
        <w:t>suggest</w:t>
      </w:r>
      <w:r w:rsidR="00364E1E" w:rsidRPr="00787196">
        <w:rPr>
          <w:lang w:bidi="hi-IN"/>
        </w:rPr>
        <w:t xml:space="preserve">ing </w:t>
      </w:r>
      <w:r w:rsidR="00F05304" w:rsidRPr="00787196">
        <w:rPr>
          <w:lang w:bidi="hi-IN"/>
        </w:rPr>
        <w:t xml:space="preserve">that receiving dentures </w:t>
      </w:r>
      <w:r w:rsidR="00364E1E" w:rsidRPr="00787196">
        <w:rPr>
          <w:lang w:bidi="hi-IN"/>
        </w:rPr>
        <w:t xml:space="preserve">a very </w:t>
      </w:r>
      <w:r w:rsidR="00F05304" w:rsidRPr="00787196">
        <w:rPr>
          <w:lang w:bidi="hi-IN"/>
        </w:rPr>
        <w:t xml:space="preserve">stressful life event and will require considerable coping skills </w:t>
      </w:r>
      <w:r w:rsidR="00364E1E" w:rsidRPr="00787196">
        <w:rPr>
          <w:lang w:bidi="hi-IN"/>
        </w:rPr>
        <w:t xml:space="preserve">from individuals </w:t>
      </w:r>
      <w:r w:rsidR="00F05304"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E54823" w:rsidRPr="00787196">
        <w:rPr>
          <w:lang w:bidi="hi-IN"/>
        </w:rPr>
        <w:instrText xml:space="preserve"> ADDIN EN.CITE </w:instrText>
      </w:r>
      <w:r w:rsidR="00E54823"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E54823" w:rsidRPr="00787196">
        <w:rPr>
          <w:lang w:bidi="hi-IN"/>
        </w:rPr>
        <w:instrText xml:space="preserve"> ADDIN EN.CITE.DATA </w:instrText>
      </w:r>
      <w:r w:rsidR="00E54823" w:rsidRPr="00787196">
        <w:rPr>
          <w:lang w:bidi="hi-IN"/>
        </w:rPr>
      </w:r>
      <w:r w:rsidR="00E54823" w:rsidRPr="00787196">
        <w:rPr>
          <w:lang w:bidi="hi-IN"/>
        </w:rPr>
        <w:fldChar w:fldCharType="end"/>
      </w:r>
      <w:r w:rsidR="00F05304" w:rsidRPr="00787196">
        <w:rPr>
          <w:lang w:bidi="hi-IN"/>
        </w:rPr>
      </w:r>
      <w:r w:rsidR="00F05304" w:rsidRPr="00787196">
        <w:rPr>
          <w:lang w:bidi="hi-IN"/>
        </w:rPr>
        <w:fldChar w:fldCharType="separate"/>
      </w:r>
      <w:r w:rsidR="00E54823" w:rsidRPr="00787196">
        <w:rPr>
          <w:lang w:bidi="hi-IN"/>
        </w:rPr>
        <w:t>(Bergendal, 1989, Haugejorden et al., 1993)</w:t>
      </w:r>
      <w:r w:rsidR="00F05304" w:rsidRPr="00787196">
        <w:rPr>
          <w:lang w:bidi="hi-IN"/>
        </w:rPr>
        <w:fldChar w:fldCharType="end"/>
      </w:r>
    </w:p>
    <w:p w14:paraId="6A4740D7" w14:textId="21C30DDB" w:rsidR="00A43657" w:rsidRPr="00787196" w:rsidRDefault="00A43657" w:rsidP="00837D29">
      <w:pPr>
        <w:rPr>
          <w:lang w:bidi="hi-IN"/>
        </w:rPr>
      </w:pPr>
      <w:r w:rsidRPr="00787196">
        <w:rPr>
          <w:lang w:bidi="hi-IN"/>
        </w:rPr>
        <w:t xml:space="preserve">In a study by Klock and </w:t>
      </w:r>
      <w:r w:rsidR="00837D29" w:rsidRPr="00787196">
        <w:rPr>
          <w:lang w:bidi="hi-IN"/>
        </w:rPr>
        <w:t>Haugejorden</w:t>
      </w:r>
      <w:r w:rsidRPr="00787196">
        <w:rPr>
          <w:lang w:bidi="hi-IN"/>
        </w:rPr>
        <w:t xml:space="preserve"> (2002), </w:t>
      </w:r>
      <w:r w:rsidR="00201FDD" w:rsidRPr="00787196">
        <w:rPr>
          <w:lang w:bidi="hi-IN"/>
        </w:rPr>
        <w:t xml:space="preserve">1490 individuals aged 25 years from 3 Norwegian counties were given a mail questionnaire to rank stressful life </w:t>
      </w:r>
      <w:r w:rsidR="004F476E" w:rsidRPr="00787196">
        <w:rPr>
          <w:lang w:bidi="hi-IN"/>
        </w:rPr>
        <w:t>events. Ten</w:t>
      </w:r>
      <w:r w:rsidR="00201FDD" w:rsidRPr="00787196">
        <w:rPr>
          <w:lang w:bidi="hi-IN"/>
        </w:rPr>
        <w:t xml:space="preserve"> items from the Social Readjustment Rating Questionnaire (SRRQ) </w:t>
      </w:r>
      <w:r w:rsidR="004F476E" w:rsidRPr="00787196">
        <w:rPr>
          <w:lang w:bidi="hi-IN"/>
        </w:rPr>
        <w:t>and two</w:t>
      </w:r>
      <w:r w:rsidR="00201FDD" w:rsidRPr="00787196">
        <w:rPr>
          <w:lang w:bidi="hi-IN"/>
        </w:rPr>
        <w:t xml:space="preserve"> dental items (tooth loss and receiving dentures) were presented as graphic rating scales ranging between 'not difficult at all' and 'more difficult than anything'. The total scores were used to rank the life events and for</w:t>
      </w:r>
      <w:r w:rsidR="0092322E" w:rsidRPr="00787196">
        <w:rPr>
          <w:lang w:bidi="hi-IN"/>
        </w:rPr>
        <w:t xml:space="preserve"> comparison with findings from the</w:t>
      </w:r>
      <w:r w:rsidR="00201FDD" w:rsidRPr="00787196">
        <w:rPr>
          <w:lang w:bidi="hi-IN"/>
        </w:rPr>
        <w:t xml:space="preserve"> previous stud</w:t>
      </w:r>
      <w:r w:rsidR="0092322E" w:rsidRPr="00787196">
        <w:rPr>
          <w:lang w:bidi="hi-IN"/>
        </w:rPr>
        <w:t xml:space="preserve">ies </w:t>
      </w:r>
      <w:r w:rsidR="0092322E"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92322E" w:rsidRPr="00787196">
        <w:rPr>
          <w:lang w:bidi="hi-IN"/>
        </w:rPr>
        <w:instrText xml:space="preserve"> ADDIN EN.CITE </w:instrText>
      </w:r>
      <w:r w:rsidR="0092322E"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92322E" w:rsidRPr="00787196">
        <w:rPr>
          <w:lang w:bidi="hi-IN"/>
        </w:rPr>
        <w:instrText xml:space="preserve"> ADDIN EN.CITE.DATA </w:instrText>
      </w:r>
      <w:r w:rsidR="0092322E" w:rsidRPr="00787196">
        <w:rPr>
          <w:lang w:bidi="hi-IN"/>
        </w:rPr>
      </w:r>
      <w:r w:rsidR="0092322E" w:rsidRPr="00787196">
        <w:rPr>
          <w:lang w:bidi="hi-IN"/>
        </w:rPr>
        <w:fldChar w:fldCharType="end"/>
      </w:r>
      <w:r w:rsidR="0092322E" w:rsidRPr="00787196">
        <w:rPr>
          <w:lang w:bidi="hi-IN"/>
        </w:rPr>
      </w:r>
      <w:r w:rsidR="0092322E" w:rsidRPr="00787196">
        <w:rPr>
          <w:lang w:bidi="hi-IN"/>
        </w:rPr>
        <w:fldChar w:fldCharType="separate"/>
      </w:r>
      <w:r w:rsidR="0092322E" w:rsidRPr="00787196">
        <w:rPr>
          <w:lang w:bidi="hi-IN"/>
        </w:rPr>
        <w:t>(Bergendal, 1989, Haugejorden et al., 1993)</w:t>
      </w:r>
      <w:r w:rsidR="0092322E" w:rsidRPr="00787196">
        <w:rPr>
          <w:lang w:bidi="hi-IN"/>
        </w:rPr>
        <w:fldChar w:fldCharType="end"/>
      </w:r>
      <w:r w:rsidR="0092322E" w:rsidRPr="00787196">
        <w:rPr>
          <w:lang w:bidi="hi-IN"/>
        </w:rPr>
        <w:t xml:space="preserve">  Participants</w:t>
      </w:r>
      <w:r w:rsidR="00201FDD" w:rsidRPr="00787196">
        <w:rPr>
          <w:lang w:bidi="hi-IN"/>
        </w:rPr>
        <w:t xml:space="preserve"> found it difficult to cope with </w:t>
      </w:r>
      <w:r w:rsidR="0092322E" w:rsidRPr="00787196">
        <w:rPr>
          <w:lang w:bidi="hi-IN"/>
        </w:rPr>
        <w:t>receiving</w:t>
      </w:r>
      <w:r w:rsidR="00041ADF" w:rsidRPr="00787196">
        <w:rPr>
          <w:lang w:bidi="hi-IN"/>
        </w:rPr>
        <w:t xml:space="preserve"> new</w:t>
      </w:r>
      <w:r w:rsidR="0092322E" w:rsidRPr="00787196">
        <w:rPr>
          <w:lang w:bidi="hi-IN"/>
        </w:rPr>
        <w:t xml:space="preserve"> dentures </w:t>
      </w:r>
      <w:r w:rsidR="00837D29" w:rsidRPr="00787196">
        <w:rPr>
          <w:lang w:bidi="hi-IN"/>
        </w:rPr>
        <w:t xml:space="preserve">compared </w:t>
      </w:r>
      <w:r w:rsidR="00041ADF" w:rsidRPr="00787196">
        <w:rPr>
          <w:lang w:bidi="hi-IN"/>
        </w:rPr>
        <w:t>man other daily life events</w:t>
      </w:r>
      <w:r w:rsidR="00201FDD" w:rsidRPr="00787196">
        <w:rPr>
          <w:lang w:bidi="hi-IN"/>
        </w:rPr>
        <w:t xml:space="preserve">. </w:t>
      </w:r>
      <w:r w:rsidR="0092322E" w:rsidRPr="00787196">
        <w:rPr>
          <w:lang w:bidi="hi-IN"/>
        </w:rPr>
        <w:t xml:space="preserve">The study substantiated the existing evidence that receiving dentures was indeed a stressful life event that would require considerable coping </w:t>
      </w:r>
      <w:r w:rsidR="00132CC4" w:rsidRPr="00787196">
        <w:rPr>
          <w:lang w:bidi="hi-IN"/>
        </w:rPr>
        <w:t xml:space="preserve">skills </w:t>
      </w:r>
      <w:r w:rsidR="00041ADF"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041ADF" w:rsidRPr="00787196">
        <w:rPr>
          <w:lang w:bidi="hi-IN"/>
        </w:rPr>
        <w:instrText xml:space="preserve"> ADDIN EN.CITE </w:instrText>
      </w:r>
      <w:r w:rsidR="00041ADF" w:rsidRPr="00787196">
        <w:rPr>
          <w:lang w:bidi="hi-IN"/>
        </w:rPr>
        <w:fldChar w:fldCharType="begin">
          <w:fldData xml:space="preserve">PEVuZE5vdGU+PENpdGU+PEF1dGhvcj5CZXJnZW5kYWw8L0F1dGhvcj48WWVhcj4xOTg5PC9ZZWFy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</w:fldData>
        </w:fldChar>
      </w:r>
      <w:r w:rsidR="00041ADF" w:rsidRPr="00787196">
        <w:rPr>
          <w:lang w:bidi="hi-IN"/>
        </w:rPr>
        <w:instrText xml:space="preserve"> ADDIN EN.CITE.DATA </w:instrText>
      </w:r>
      <w:r w:rsidR="00041ADF" w:rsidRPr="00787196">
        <w:rPr>
          <w:lang w:bidi="hi-IN"/>
        </w:rPr>
      </w:r>
      <w:r w:rsidR="00041ADF" w:rsidRPr="00787196">
        <w:rPr>
          <w:lang w:bidi="hi-IN"/>
        </w:rPr>
        <w:fldChar w:fldCharType="end"/>
      </w:r>
      <w:r w:rsidR="00041ADF" w:rsidRPr="00787196">
        <w:rPr>
          <w:lang w:bidi="hi-IN"/>
        </w:rPr>
      </w:r>
      <w:r w:rsidR="00041ADF" w:rsidRPr="00787196">
        <w:rPr>
          <w:lang w:bidi="hi-IN"/>
        </w:rPr>
        <w:fldChar w:fldCharType="separate"/>
      </w:r>
      <w:r w:rsidR="00041ADF" w:rsidRPr="00787196">
        <w:rPr>
          <w:lang w:bidi="hi-IN"/>
        </w:rPr>
        <w:t>(Bergendal, 1989, Haugejorden et al., 1993)</w:t>
      </w:r>
      <w:r w:rsidR="00041ADF" w:rsidRPr="00787196">
        <w:rPr>
          <w:lang w:bidi="hi-IN"/>
        </w:rPr>
        <w:fldChar w:fldCharType="end"/>
      </w:r>
      <w:r w:rsidR="0092322E" w:rsidRPr="00787196">
        <w:rPr>
          <w:lang w:bidi="hi-IN"/>
        </w:rPr>
        <w:t xml:space="preserve">. </w:t>
      </w:r>
    </w:p>
    <w:p w14:paraId="38946B83" w14:textId="1E30A4D8" w:rsidR="00484C8E" w:rsidRPr="00787196" w:rsidRDefault="00041ADF" w:rsidP="00787AEC">
      <w:pPr>
        <w:spacing w:before="0" w:after="0"/>
      </w:pPr>
      <w:r w:rsidRPr="00787196">
        <w:rPr>
          <w:lang w:bidi="hi-IN"/>
        </w:rPr>
        <w:t xml:space="preserve">When the literature was further explored for studies involving coping strategies in in denture wearers, the only study that was to be found was that of </w:t>
      </w:r>
      <w:r w:rsidR="00866A3E" w:rsidRPr="00787196">
        <w:rPr>
          <w:lang w:bidi="hi-IN"/>
        </w:rPr>
        <w:t xml:space="preserve">Heydecke and colleagues </w:t>
      </w:r>
      <w:r w:rsidR="00866A3E" w:rsidRPr="00787196">
        <w:rPr>
          <w:lang w:bidi="hi-IN"/>
        </w:rPr>
        <w:fldChar w:fldCharType="begin"/>
      </w:r>
      <w:r w:rsidR="00866A3E" w:rsidRPr="00787196">
        <w:rPr>
          <w:lang w:bidi="hi-IN"/>
        </w:rPr>
        <w:instrText xml:space="preserve"> ADDIN EN.CITE &lt;EndNote&gt;&lt;Cite ExcludeAuth="1"&gt;&lt;Author&gt;Heydecke&lt;/Author&gt;&lt;Year&gt;2004&lt;/Year&gt;&lt;IDText&gt;Complete dentures and oral health-related quality of life – do coping styles matter?&lt;/IDText&gt;&lt;DisplayText&gt;(2004)&lt;/DisplayText&gt;&lt;record&gt;&lt;keywords&gt;&lt;keyword&gt;coping&lt;/keyword&gt;&lt;keyword&gt;dentures&lt;/keyword&gt;&lt;keyword&gt;quality of life&lt;/keyword&gt;&lt;keyword&gt;stress&lt;/keyword&gt;&lt;keyword&gt;treatment outcomes&lt;/keyword&gt;&lt;/keywords&gt;&lt;urls&gt;&lt;related-urls&gt;&lt;url&gt;http://dx.doi.org/10.1111/j.1600-0528.2004.00169.x&lt;/url&gt;&lt;/related-urls&gt;&lt;/urls&gt;&lt;isbn&gt;1600-0528&lt;/isbn&gt;&lt;titles&gt;&lt;title&gt;Complete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00866A3E" w:rsidRPr="00787196">
        <w:rPr>
          <w:lang w:bidi="hi-IN"/>
        </w:rPr>
        <w:fldChar w:fldCharType="separate"/>
      </w:r>
      <w:r w:rsidR="00866A3E" w:rsidRPr="00787196">
        <w:rPr>
          <w:lang w:bidi="hi-IN"/>
        </w:rPr>
        <w:t>(2004)</w:t>
      </w:r>
      <w:r w:rsidR="00866A3E" w:rsidRPr="00787196">
        <w:rPr>
          <w:lang w:bidi="hi-IN"/>
        </w:rPr>
        <w:fldChar w:fldCharType="end"/>
      </w:r>
      <w:r w:rsidRPr="00787196">
        <w:rPr>
          <w:lang w:bidi="hi-IN"/>
        </w:rPr>
        <w:t xml:space="preserve">. This </w:t>
      </w:r>
      <w:r w:rsidR="00755705" w:rsidRPr="00787196">
        <w:rPr>
          <w:lang w:bidi="hi-IN"/>
        </w:rPr>
        <w:t>stud</w:t>
      </w:r>
      <w:r w:rsidRPr="00787196">
        <w:rPr>
          <w:lang w:bidi="hi-IN"/>
        </w:rPr>
        <w:t>y was a cross-sectional observation on</w:t>
      </w:r>
      <w:r w:rsidR="00755705" w:rsidRPr="00787196">
        <w:rPr>
          <w:lang w:bidi="hi-IN"/>
        </w:rPr>
        <w:t xml:space="preserve"> 249 </w:t>
      </w:r>
      <w:r w:rsidR="00AF0CC1" w:rsidRPr="00787196">
        <w:t>fully edentulous patients</w:t>
      </w:r>
      <w:r w:rsidRPr="00787196">
        <w:t xml:space="preserve"> </w:t>
      </w:r>
      <w:r w:rsidR="00787AEC" w:rsidRPr="00787196">
        <w:t>who were already wearing dentures for an average for 3.2 years (received from University of Michigan dental school)</w:t>
      </w:r>
      <w:r w:rsidR="00755705" w:rsidRPr="00787196">
        <w:t xml:space="preserve">. </w:t>
      </w:r>
      <w:r w:rsidR="00AF0CC1" w:rsidRPr="00787196">
        <w:t xml:space="preserve">Significant negative associations were found between the emotional coping </w:t>
      </w:r>
      <w:r w:rsidRPr="00787196">
        <w:t>strategies</w:t>
      </w:r>
      <w:r w:rsidR="00AF0CC1" w:rsidRPr="00787196">
        <w:t xml:space="preserve"> such as behaviour disenga</w:t>
      </w:r>
      <w:r w:rsidRPr="00787196">
        <w:t xml:space="preserve">gement, substance abuse, denial, </w:t>
      </w:r>
      <w:r w:rsidR="00AF0CC1" w:rsidRPr="00787196">
        <w:t xml:space="preserve">religion </w:t>
      </w:r>
      <w:r w:rsidR="00E512FF" w:rsidRPr="00787196">
        <w:t xml:space="preserve">and </w:t>
      </w:r>
      <w:r w:rsidRPr="00787196">
        <w:t xml:space="preserve">their </w:t>
      </w:r>
      <w:r w:rsidR="00AF0CC1" w:rsidRPr="00787196">
        <w:t>OHQoL. Emotional support alone showed a positive effect</w:t>
      </w:r>
      <w:r w:rsidRPr="00787196">
        <w:t xml:space="preserve"> with OHQoL</w:t>
      </w:r>
      <w:r w:rsidR="00AF0CC1" w:rsidRPr="00787196">
        <w:t xml:space="preserve">. </w:t>
      </w:r>
      <w:r w:rsidR="00FB54BC" w:rsidRPr="00787196">
        <w:t>The authors</w:t>
      </w:r>
      <w:r w:rsidR="00AF0CC1" w:rsidRPr="00787196">
        <w:t xml:space="preserve"> concluded by suggesting that c</w:t>
      </w:r>
      <w:r w:rsidR="00E66DEB" w:rsidRPr="00787196">
        <w:t xml:space="preserve">ertain emotional </w:t>
      </w:r>
      <w:r w:rsidR="00A804F7" w:rsidRPr="00787196">
        <w:t>(</w:t>
      </w:r>
      <w:r w:rsidR="00A804F7" w:rsidRPr="00787196">
        <w:rPr>
          <w:lang w:bidi="hi-IN"/>
        </w:rPr>
        <w:t xml:space="preserve">emotional support) </w:t>
      </w:r>
      <w:r w:rsidR="00A804F7" w:rsidRPr="00787196">
        <w:t xml:space="preserve">focussed </w:t>
      </w:r>
      <w:r w:rsidR="00E66DEB" w:rsidRPr="00787196">
        <w:t>c</w:t>
      </w:r>
      <w:r w:rsidR="00AF0CC1" w:rsidRPr="00787196">
        <w:t xml:space="preserve">oping strategies </w:t>
      </w:r>
      <w:r w:rsidR="00A804F7" w:rsidRPr="00787196">
        <w:t xml:space="preserve">had </w:t>
      </w:r>
      <w:r w:rsidRPr="00787196">
        <w:t>significant association with</w:t>
      </w:r>
      <w:r w:rsidR="00AF0CC1" w:rsidRPr="00787196">
        <w:t xml:space="preserve"> OHQoL</w:t>
      </w:r>
      <w:r w:rsidR="00A804F7" w:rsidRPr="00787196">
        <w:t xml:space="preserve"> in individuals </w:t>
      </w:r>
      <w:r w:rsidRPr="00787196">
        <w:t>wearing</w:t>
      </w:r>
      <w:r w:rsidR="00A804F7" w:rsidRPr="00787196">
        <w:t xml:space="preserve"> dentures</w:t>
      </w:r>
      <w:r w:rsidR="00AF0CC1" w:rsidRPr="00787196">
        <w:t xml:space="preserve">. </w:t>
      </w:r>
      <w:r w:rsidR="0097576D" w:rsidRPr="00787196">
        <w:t>However, t</w:t>
      </w:r>
      <w:r w:rsidR="00AF0CC1" w:rsidRPr="00787196">
        <w:t>h</w:t>
      </w:r>
      <w:r w:rsidRPr="00787196">
        <w:t xml:space="preserve">is </w:t>
      </w:r>
      <w:r w:rsidR="00787AEC" w:rsidRPr="00787196">
        <w:t>study was</w:t>
      </w:r>
      <w:r w:rsidRPr="00787196">
        <w:t xml:space="preserve"> a cross-sectional observation</w:t>
      </w:r>
      <w:r w:rsidR="00787AEC" w:rsidRPr="00787196">
        <w:t xml:space="preserve"> based on postal mail survey method. </w:t>
      </w:r>
      <w:r w:rsidR="00417834" w:rsidRPr="00787196">
        <w:t>Th</w:t>
      </w:r>
      <w:r w:rsidR="004F476E" w:rsidRPr="00787196">
        <w:t>is s</w:t>
      </w:r>
      <w:r w:rsidR="00E512FF" w:rsidRPr="00787196">
        <w:t xml:space="preserve">tudy </w:t>
      </w:r>
      <w:r w:rsidR="004F476E" w:rsidRPr="00787196">
        <w:t>remain</w:t>
      </w:r>
      <w:r w:rsidR="00787AEC" w:rsidRPr="00787196">
        <w:t>ed</w:t>
      </w:r>
      <w:r w:rsidR="004F476E" w:rsidRPr="00787196">
        <w:t xml:space="preserve"> as the o</w:t>
      </w:r>
      <w:r w:rsidR="00E512FF" w:rsidRPr="00787196">
        <w:t xml:space="preserve">nly one </w:t>
      </w:r>
      <w:r w:rsidR="004F476E" w:rsidRPr="00787196">
        <w:t>to have</w:t>
      </w:r>
      <w:r w:rsidR="00E512FF" w:rsidRPr="00787196">
        <w:t xml:space="preserve"> </w:t>
      </w:r>
      <w:r w:rsidR="00787AEC" w:rsidRPr="00787196">
        <w:t xml:space="preserve">explored the association between </w:t>
      </w:r>
      <w:r w:rsidR="00E512FF" w:rsidRPr="00787196">
        <w:t xml:space="preserve">coping strategies </w:t>
      </w:r>
      <w:r w:rsidR="00787AEC" w:rsidRPr="00787196">
        <w:t xml:space="preserve">and OHQoL </w:t>
      </w:r>
      <w:r w:rsidR="00E512FF" w:rsidRPr="00787196">
        <w:t>in denture</w:t>
      </w:r>
      <w:r w:rsidR="004F476E" w:rsidRPr="00787196">
        <w:t xml:space="preserve"> wearers </w:t>
      </w:r>
      <w:r w:rsidR="00787AEC" w:rsidRPr="00787196">
        <w:t xml:space="preserve">at the time initiation of this current research study. This warranted us to propose the current hypothesis and test it longitudinally. </w:t>
      </w:r>
    </w:p>
    <w:p w14:paraId="2E2C7604" w14:textId="4EF7B613" w:rsidR="00391835" w:rsidRPr="00787196" w:rsidRDefault="00787AEC" w:rsidP="00E15EDC">
      <w:pPr>
        <w:spacing w:before="0" w:after="0"/>
        <w:rPr>
          <w:lang w:bidi="hi-IN"/>
        </w:rPr>
      </w:pPr>
      <w:r w:rsidRPr="00787196">
        <w:lastRenderedPageBreak/>
        <w:t>The result</w:t>
      </w:r>
      <w:r w:rsidR="00391835" w:rsidRPr="00787196">
        <w:t>s</w:t>
      </w:r>
      <w:r w:rsidRPr="00787196">
        <w:t xml:space="preserve"> </w:t>
      </w:r>
      <w:r w:rsidR="00391835" w:rsidRPr="00787196">
        <w:t xml:space="preserve">did not support the hypothesis by </w:t>
      </w:r>
      <w:r w:rsidR="000325AF" w:rsidRPr="00787196">
        <w:t>failing to find</w:t>
      </w:r>
      <w:r w:rsidR="00391835" w:rsidRPr="00787196">
        <w:t xml:space="preserve"> significant associations between coping strategies of individuals receiving new dentures and</w:t>
      </w:r>
      <w:r w:rsidR="000325AF" w:rsidRPr="00787196">
        <w:t xml:space="preserve"> their post-insertion </w:t>
      </w:r>
      <w:r w:rsidR="00391835" w:rsidRPr="00787196">
        <w:t xml:space="preserve">OHQoL </w:t>
      </w:r>
      <w:r w:rsidR="000325AF" w:rsidRPr="00787196">
        <w:t>and</w:t>
      </w:r>
      <w:r w:rsidR="00391835" w:rsidRPr="00787196">
        <w:t xml:space="preserve"> other outcomes. </w:t>
      </w:r>
      <w:r w:rsidR="000325AF" w:rsidRPr="00787196">
        <w:t>T</w:t>
      </w:r>
      <w:r w:rsidR="00391835" w:rsidRPr="00787196">
        <w:t xml:space="preserve">his </w:t>
      </w:r>
      <w:r w:rsidR="000325AF" w:rsidRPr="00787196">
        <w:t>finding</w:t>
      </w:r>
      <w:r w:rsidR="00391835" w:rsidRPr="00787196">
        <w:t xml:space="preserve"> can be interpreted in the following ways. Firstly, c</w:t>
      </w:r>
      <w:r w:rsidR="00391835" w:rsidRPr="00787196">
        <w:rPr>
          <w:lang w:bidi="hi-IN"/>
        </w:rPr>
        <w:t xml:space="preserve">oping strategies do not determine denture success. Secondly, receiving dentures may not be </w:t>
      </w:r>
      <w:r w:rsidR="00E15EDC" w:rsidRPr="00787196">
        <w:rPr>
          <w:lang w:bidi="hi-IN"/>
        </w:rPr>
        <w:t>that stressful</w:t>
      </w:r>
      <w:r w:rsidR="00391835" w:rsidRPr="00787196">
        <w:rPr>
          <w:lang w:bidi="hi-IN"/>
        </w:rPr>
        <w:t xml:space="preserve"> </w:t>
      </w:r>
      <w:r w:rsidR="0085663D" w:rsidRPr="00787196">
        <w:rPr>
          <w:lang w:bidi="hi-IN"/>
        </w:rPr>
        <w:t>and does not</w:t>
      </w:r>
      <w:r w:rsidR="00391835" w:rsidRPr="00787196">
        <w:rPr>
          <w:lang w:bidi="hi-IN"/>
        </w:rPr>
        <w:t xml:space="preserve"> </w:t>
      </w:r>
      <w:r w:rsidR="00E15EDC" w:rsidRPr="00787196">
        <w:rPr>
          <w:lang w:bidi="hi-IN"/>
        </w:rPr>
        <w:t xml:space="preserve">need </w:t>
      </w:r>
      <w:r w:rsidR="00391835" w:rsidRPr="00787196">
        <w:rPr>
          <w:lang w:bidi="hi-IN"/>
        </w:rPr>
        <w:t xml:space="preserve">considerable coping strategies </w:t>
      </w:r>
      <w:r w:rsidR="002661D4" w:rsidRPr="00787196">
        <w:rPr>
          <w:lang w:bidi="hi-IN"/>
        </w:rPr>
        <w:t xml:space="preserve">from </w:t>
      </w:r>
      <w:r w:rsidR="0085663D" w:rsidRPr="00787196">
        <w:rPr>
          <w:lang w:bidi="hi-IN"/>
        </w:rPr>
        <w:t>patients</w:t>
      </w:r>
      <w:r w:rsidR="002661D4" w:rsidRPr="00787196">
        <w:rPr>
          <w:lang w:bidi="hi-IN"/>
        </w:rPr>
        <w:t xml:space="preserve">. </w:t>
      </w:r>
      <w:r w:rsidR="00E15EDC" w:rsidRPr="00787196">
        <w:rPr>
          <w:lang w:bidi="hi-IN"/>
        </w:rPr>
        <w:t xml:space="preserve">Finally, there may be stronger predictors that determine success that </w:t>
      </w:r>
      <w:r w:rsidR="0085663D" w:rsidRPr="00787196">
        <w:rPr>
          <w:lang w:bidi="hi-IN"/>
        </w:rPr>
        <w:t>may mask</w:t>
      </w:r>
      <w:r w:rsidR="00E15EDC" w:rsidRPr="00787196">
        <w:rPr>
          <w:lang w:bidi="hi-IN"/>
        </w:rPr>
        <w:t xml:space="preserve"> </w:t>
      </w:r>
      <w:r w:rsidR="0085663D" w:rsidRPr="00787196">
        <w:rPr>
          <w:lang w:bidi="hi-IN"/>
        </w:rPr>
        <w:t xml:space="preserve">any effects of </w:t>
      </w:r>
      <w:r w:rsidR="00E15EDC" w:rsidRPr="00787196">
        <w:rPr>
          <w:lang w:bidi="hi-IN"/>
        </w:rPr>
        <w:t>coping strategies.</w:t>
      </w:r>
    </w:p>
    <w:p w14:paraId="4BEF0F99" w14:textId="2FCCFD4A" w:rsidR="00391835" w:rsidRPr="00787196" w:rsidRDefault="00391835" w:rsidP="00391835">
      <w:pPr>
        <w:spacing w:before="0" w:after="0"/>
      </w:pPr>
    </w:p>
    <w:p w14:paraId="63583826" w14:textId="46539C63" w:rsidR="00D93D0F" w:rsidRPr="00787196" w:rsidRDefault="00D600DF" w:rsidP="00551ACF">
      <w:pPr>
        <w:spacing w:before="0" w:after="0"/>
        <w:rPr>
          <w:lang w:bidi="hi-IN"/>
        </w:rPr>
      </w:pPr>
      <w:r w:rsidRPr="00787196">
        <w:t>However, these interpretations ar</w:t>
      </w:r>
      <w:r w:rsidR="00E15EDC" w:rsidRPr="00787196">
        <w:t xml:space="preserve">e not exhaustive and the results </w:t>
      </w:r>
      <w:r w:rsidRPr="00787196">
        <w:t>require a</w:t>
      </w:r>
      <w:r w:rsidR="00E15EDC" w:rsidRPr="00787196">
        <w:t xml:space="preserve"> thorough discussion and introspection before arriving </w:t>
      </w:r>
      <w:r w:rsidR="0085663D" w:rsidRPr="00787196">
        <w:t>at</w:t>
      </w:r>
      <w:r w:rsidR="00E15EDC" w:rsidRPr="00787196">
        <w:t xml:space="preserve"> balanced c</w:t>
      </w:r>
      <w:r w:rsidR="00EB662F" w:rsidRPr="00787196">
        <w:t>onclusions. Given</w:t>
      </w:r>
      <w:r w:rsidR="00E15EDC" w:rsidRPr="00787196">
        <w:t xml:space="preserve"> this study </w:t>
      </w:r>
      <w:r w:rsidR="00B90669" w:rsidRPr="00787196">
        <w:t xml:space="preserve">was conducted in a </w:t>
      </w:r>
      <w:r w:rsidR="00E541C3" w:rsidRPr="00787196">
        <w:rPr>
          <w:lang w:bidi="hi-IN"/>
        </w:rPr>
        <w:t xml:space="preserve">sample </w:t>
      </w:r>
      <w:r w:rsidR="00484C8E" w:rsidRPr="00787196">
        <w:rPr>
          <w:lang w:bidi="hi-IN"/>
        </w:rPr>
        <w:t>culturally</w:t>
      </w:r>
      <w:r w:rsidR="00EB662F" w:rsidRPr="00787196">
        <w:rPr>
          <w:lang w:bidi="hi-IN"/>
        </w:rPr>
        <w:t xml:space="preserve"> different from </w:t>
      </w:r>
      <w:r w:rsidR="00484C8E" w:rsidRPr="00787196">
        <w:rPr>
          <w:lang w:bidi="hi-IN"/>
        </w:rPr>
        <w:t>th</w:t>
      </w:r>
      <w:r w:rsidR="00EB662F" w:rsidRPr="00787196">
        <w:rPr>
          <w:lang w:bidi="hi-IN"/>
        </w:rPr>
        <w:t>at of Heydecke</w:t>
      </w:r>
      <w:r w:rsidR="00E541C3" w:rsidRPr="00787196">
        <w:rPr>
          <w:lang w:bidi="hi-IN"/>
        </w:rPr>
        <w:t xml:space="preserve"> and colleagues</w:t>
      </w:r>
      <w:r w:rsidR="009B0BBC" w:rsidRPr="00787196">
        <w:rPr>
          <w:lang w:bidi="hi-IN"/>
        </w:rPr>
        <w:t>’</w:t>
      </w:r>
      <w:r w:rsidR="00484C8E" w:rsidRPr="00787196">
        <w:rPr>
          <w:lang w:bidi="hi-IN"/>
        </w:rPr>
        <w:t xml:space="preserve"> </w:t>
      </w:r>
      <w:r w:rsidR="00EB662F" w:rsidRPr="00787196">
        <w:rPr>
          <w:lang w:bidi="hi-IN"/>
        </w:rPr>
        <w:t>(2004)</w:t>
      </w:r>
      <w:r w:rsidR="009F7358" w:rsidRPr="00787196">
        <w:rPr>
          <w:lang w:bidi="hi-IN"/>
        </w:rPr>
        <w:t xml:space="preserve">, </w:t>
      </w:r>
      <w:r w:rsidR="0085663D" w:rsidRPr="00787196">
        <w:rPr>
          <w:lang w:bidi="hi-IN"/>
        </w:rPr>
        <w:t>the f</w:t>
      </w:r>
      <w:r w:rsidR="00EB662F" w:rsidRPr="00787196">
        <w:rPr>
          <w:lang w:bidi="hi-IN"/>
        </w:rPr>
        <w:t xml:space="preserve">irst of its kind </w:t>
      </w:r>
      <w:r w:rsidR="0085663D" w:rsidRPr="00787196">
        <w:rPr>
          <w:lang w:bidi="hi-IN"/>
        </w:rPr>
        <w:t xml:space="preserve">involving </w:t>
      </w:r>
      <w:r w:rsidR="00EB662F" w:rsidRPr="00787196">
        <w:rPr>
          <w:lang w:bidi="hi-IN"/>
        </w:rPr>
        <w:t xml:space="preserve">longitudinal observation </w:t>
      </w:r>
      <w:r w:rsidR="0085663D" w:rsidRPr="00787196">
        <w:rPr>
          <w:lang w:bidi="hi-IN"/>
        </w:rPr>
        <w:t>of</w:t>
      </w:r>
      <w:r w:rsidR="00EB662F" w:rsidRPr="00787196">
        <w:rPr>
          <w:lang w:bidi="hi-IN"/>
        </w:rPr>
        <w:t xml:space="preserve"> the variables</w:t>
      </w:r>
      <w:r w:rsidR="0085663D" w:rsidRPr="00787196">
        <w:rPr>
          <w:lang w:bidi="hi-IN"/>
        </w:rPr>
        <w:t>, in a novel</w:t>
      </w:r>
      <w:r w:rsidR="00EB662F" w:rsidRPr="00787196">
        <w:rPr>
          <w:lang w:bidi="hi-IN"/>
        </w:rPr>
        <w:t xml:space="preserve"> sample</w:t>
      </w:r>
      <w:r w:rsidR="009F7358" w:rsidRPr="00787196">
        <w:rPr>
          <w:lang w:bidi="hi-IN"/>
        </w:rPr>
        <w:t>,</w:t>
      </w:r>
      <w:r w:rsidR="00EB662F" w:rsidRPr="00787196">
        <w:rPr>
          <w:lang w:bidi="hi-IN"/>
        </w:rPr>
        <w:t xml:space="preserve"> </w:t>
      </w:r>
      <w:r w:rsidR="009F7358" w:rsidRPr="00787196">
        <w:rPr>
          <w:lang w:bidi="hi-IN"/>
        </w:rPr>
        <w:t xml:space="preserve">recognising the </w:t>
      </w:r>
      <w:r w:rsidR="00EB662F" w:rsidRPr="00787196">
        <w:rPr>
          <w:lang w:bidi="hi-IN"/>
        </w:rPr>
        <w:t xml:space="preserve">conceptual difficulties, differences about coping need to be revisited. </w:t>
      </w:r>
      <w:r w:rsidR="00616C5A" w:rsidRPr="00787196">
        <w:rPr>
          <w:lang w:bidi="hi-IN"/>
        </w:rPr>
        <w:t>The follo</w:t>
      </w:r>
      <w:r w:rsidR="00EB662F" w:rsidRPr="00787196">
        <w:rPr>
          <w:lang w:bidi="hi-IN"/>
        </w:rPr>
        <w:t>wing section</w:t>
      </w:r>
      <w:r w:rsidR="009F7358" w:rsidRPr="00787196">
        <w:rPr>
          <w:lang w:bidi="hi-IN"/>
        </w:rPr>
        <w:t>s</w:t>
      </w:r>
      <w:r w:rsidR="00EB662F" w:rsidRPr="00787196">
        <w:rPr>
          <w:lang w:bidi="hi-IN"/>
        </w:rPr>
        <w:t xml:space="preserve"> discus</w:t>
      </w:r>
      <w:r w:rsidR="00BF4424" w:rsidRPr="00787196">
        <w:rPr>
          <w:lang w:bidi="hi-IN"/>
        </w:rPr>
        <w:t>s</w:t>
      </w:r>
      <w:r w:rsidR="00EB662F" w:rsidRPr="00787196">
        <w:rPr>
          <w:lang w:bidi="hi-IN"/>
        </w:rPr>
        <w:t xml:space="preserve"> the study sample, its demography</w:t>
      </w:r>
      <w:r w:rsidR="007A7345" w:rsidRPr="00787196">
        <w:rPr>
          <w:lang w:bidi="hi-IN"/>
        </w:rPr>
        <w:t xml:space="preserve"> and</w:t>
      </w:r>
      <w:r w:rsidR="009F7358" w:rsidRPr="00787196">
        <w:rPr>
          <w:lang w:bidi="hi-IN"/>
        </w:rPr>
        <w:t xml:space="preserve"> the sampling method used. T</w:t>
      </w:r>
      <w:r w:rsidR="00754040" w:rsidRPr="00787196">
        <w:rPr>
          <w:lang w:bidi="hi-IN"/>
        </w:rPr>
        <w:t>hese</w:t>
      </w:r>
      <w:r w:rsidR="00BF4424" w:rsidRPr="00787196">
        <w:rPr>
          <w:lang w:bidi="hi-IN"/>
        </w:rPr>
        <w:t xml:space="preserve"> factors</w:t>
      </w:r>
      <w:r w:rsidR="00754040" w:rsidRPr="00787196">
        <w:rPr>
          <w:lang w:bidi="hi-IN"/>
        </w:rPr>
        <w:t xml:space="preserve"> could have influenced the results.</w:t>
      </w:r>
    </w:p>
    <w:p w14:paraId="2D12DFFA" w14:textId="77777777" w:rsidR="00551ACF" w:rsidRPr="00787196" w:rsidRDefault="00551ACF" w:rsidP="00551ACF">
      <w:pPr>
        <w:spacing w:before="0" w:after="0"/>
        <w:rPr>
          <w:lang w:bidi="hi-IN"/>
        </w:rPr>
      </w:pPr>
    </w:p>
    <w:p w14:paraId="7E52C0CC" w14:textId="42A887B5" w:rsidR="005F1E1D" w:rsidRPr="00787196" w:rsidRDefault="005F1E1D" w:rsidP="00432072">
      <w:pPr>
        <w:pStyle w:val="Heading3"/>
      </w:pPr>
      <w:bookmarkStart w:id="335" w:name="_Toc488655682"/>
      <w:r w:rsidRPr="00787196">
        <w:t>Study sample</w:t>
      </w:r>
      <w:bookmarkEnd w:id="335"/>
    </w:p>
    <w:p w14:paraId="566B03FE" w14:textId="437F807D" w:rsidR="00875AAA" w:rsidRPr="00787196" w:rsidRDefault="00875AAA" w:rsidP="00875AAA">
      <w:pPr>
        <w:rPr>
          <w:lang w:bidi="hi-IN"/>
        </w:rPr>
      </w:pPr>
      <w:r w:rsidRPr="00787196">
        <w:rPr>
          <w:lang w:bidi="hi-IN"/>
        </w:rPr>
        <w:t xml:space="preserve">This study recruited adult patients receiving new conventional removable dentures from the Department of Prosthodontics in Sri Ramachandra University Dental College Hospital, Chennai, India. </w:t>
      </w:r>
    </w:p>
    <w:p w14:paraId="0ABD56A7" w14:textId="15EB700B" w:rsidR="005F1E1D" w:rsidRPr="00787196" w:rsidRDefault="005F1E1D" w:rsidP="00803E72">
      <w:pPr>
        <w:rPr>
          <w:i/>
          <w:lang w:bidi="hi-IN"/>
        </w:rPr>
      </w:pPr>
      <w:r w:rsidRPr="00787196">
        <w:rPr>
          <w:i/>
          <w:lang w:bidi="hi-IN"/>
        </w:rPr>
        <w:t xml:space="preserve">Possible under powering of the </w:t>
      </w:r>
      <w:r w:rsidR="00CC6C0D" w:rsidRPr="00787196">
        <w:rPr>
          <w:i/>
          <w:lang w:bidi="hi-IN"/>
        </w:rPr>
        <w:t>study?</w:t>
      </w:r>
    </w:p>
    <w:p w14:paraId="55CEB1E0" w14:textId="761D969D" w:rsidR="00BB6C06" w:rsidRPr="00787196" w:rsidRDefault="002F59EB" w:rsidP="00875AAA">
      <w:pPr>
        <w:rPr>
          <w:lang w:bidi="hi-IN"/>
        </w:rPr>
      </w:pPr>
      <w:r w:rsidRPr="00787196">
        <w:rPr>
          <w:rFonts w:cs="Arial"/>
          <w:color w:val="242424"/>
          <w:shd w:val="clear" w:color="auto" w:fill="FFFFFF"/>
        </w:rPr>
        <w:t>The p</w:t>
      </w:r>
      <w:r w:rsidR="00EB4AE8" w:rsidRPr="00787196">
        <w:rPr>
          <w:rFonts w:cs="Arial"/>
          <w:color w:val="242424"/>
          <w:shd w:val="clear" w:color="auto" w:fill="FFFFFF"/>
        </w:rPr>
        <w:t xml:space="preserve">ower of </w:t>
      </w:r>
      <w:r w:rsidRPr="00787196">
        <w:rPr>
          <w:rFonts w:cs="Arial"/>
          <w:color w:val="242424"/>
          <w:shd w:val="clear" w:color="auto" w:fill="FFFFFF"/>
        </w:rPr>
        <w:t xml:space="preserve">a </w:t>
      </w:r>
      <w:r w:rsidR="00EB4AE8" w:rsidRPr="00787196">
        <w:rPr>
          <w:rFonts w:cs="Arial"/>
          <w:color w:val="242424"/>
          <w:shd w:val="clear" w:color="auto" w:fill="FFFFFF"/>
        </w:rPr>
        <w:t xml:space="preserve">study is </w:t>
      </w:r>
      <w:r w:rsidR="00875AAA" w:rsidRPr="00787196">
        <w:rPr>
          <w:rFonts w:cs="Arial"/>
          <w:color w:val="242424"/>
          <w:shd w:val="clear" w:color="auto" w:fill="FFFFFF"/>
        </w:rPr>
        <w:t xml:space="preserve">primarily </w:t>
      </w:r>
      <w:r w:rsidR="00F44150" w:rsidRPr="00787196">
        <w:rPr>
          <w:rFonts w:cs="Arial"/>
          <w:color w:val="242424"/>
          <w:shd w:val="clear" w:color="auto" w:fill="FFFFFF"/>
        </w:rPr>
        <w:t xml:space="preserve">a </w:t>
      </w:r>
      <w:r w:rsidR="00EB4AE8" w:rsidRPr="00787196">
        <w:rPr>
          <w:rFonts w:cs="Arial"/>
          <w:color w:val="242424"/>
          <w:shd w:val="clear" w:color="auto" w:fill="FFFFFF"/>
        </w:rPr>
        <w:t xml:space="preserve">function of </w:t>
      </w:r>
      <w:r w:rsidR="00875AAA" w:rsidRPr="00787196">
        <w:rPr>
          <w:rFonts w:cs="Arial"/>
          <w:color w:val="242424"/>
          <w:shd w:val="clear" w:color="auto" w:fill="FFFFFF"/>
        </w:rPr>
        <w:t xml:space="preserve">its </w:t>
      </w:r>
      <w:r w:rsidR="00EB4AE8" w:rsidRPr="00787196">
        <w:rPr>
          <w:rFonts w:cs="Arial"/>
          <w:color w:val="242424"/>
          <w:shd w:val="clear" w:color="auto" w:fill="FFFFFF"/>
        </w:rPr>
        <w:t>sample size, effect size and significance, and secondarily</w:t>
      </w:r>
      <w:r w:rsidRPr="00787196">
        <w:rPr>
          <w:rFonts w:cs="Arial"/>
          <w:color w:val="242424"/>
          <w:shd w:val="clear" w:color="auto" w:fill="FFFFFF"/>
        </w:rPr>
        <w:t>,</w:t>
      </w:r>
      <w:r w:rsidR="00EB4AE8" w:rsidRPr="00787196">
        <w:rPr>
          <w:rFonts w:cs="Arial"/>
          <w:color w:val="242424"/>
          <w:shd w:val="clear" w:color="auto" w:fill="FFFFFF"/>
        </w:rPr>
        <w:t xml:space="preserve"> t</w:t>
      </w:r>
      <w:r w:rsidR="00875AAA" w:rsidRPr="00787196">
        <w:rPr>
          <w:rFonts w:cs="Arial"/>
          <w:color w:val="242424"/>
          <w:shd w:val="clear" w:color="auto" w:fill="FFFFFF"/>
        </w:rPr>
        <w:t xml:space="preserve">he statistical method used. To adequately power a study, the primary </w:t>
      </w:r>
      <w:r w:rsidR="00EB4AE8" w:rsidRPr="00787196">
        <w:rPr>
          <w:rFonts w:cs="Arial"/>
          <w:color w:val="242424"/>
          <w:shd w:val="clear" w:color="auto" w:fill="FFFFFF"/>
        </w:rPr>
        <w:t>factor</w:t>
      </w:r>
      <w:r w:rsidR="00875AAA" w:rsidRPr="00787196">
        <w:rPr>
          <w:rFonts w:cs="Arial"/>
          <w:color w:val="242424"/>
          <w:shd w:val="clear" w:color="auto" w:fill="FFFFFF"/>
        </w:rPr>
        <w:t xml:space="preserve"> that is</w:t>
      </w:r>
      <w:r w:rsidR="00EB4AE8" w:rsidRPr="00787196">
        <w:rPr>
          <w:rFonts w:cs="Arial"/>
          <w:color w:val="242424"/>
          <w:shd w:val="clear" w:color="auto" w:fill="FFFFFF"/>
        </w:rPr>
        <w:t xml:space="preserve"> readily modified is the sample size to achieve statistical significance. If the p</w:t>
      </w:r>
      <w:r w:rsidR="00875AAA" w:rsidRPr="00787196">
        <w:rPr>
          <w:rFonts w:cs="Arial"/>
          <w:color w:val="242424"/>
          <w:shd w:val="clear" w:color="auto" w:fill="FFFFFF"/>
        </w:rPr>
        <w:t xml:space="preserve">ower and the statistical method used </w:t>
      </w:r>
      <w:r w:rsidR="00EB4AE8" w:rsidRPr="00787196">
        <w:rPr>
          <w:rFonts w:cs="Arial"/>
          <w:color w:val="242424"/>
          <w:shd w:val="clear" w:color="auto" w:fill="FFFFFF"/>
        </w:rPr>
        <w:t>are appropriate</w:t>
      </w:r>
      <w:r w:rsidR="008F6E7B" w:rsidRPr="00787196">
        <w:rPr>
          <w:rFonts w:cs="Arial"/>
          <w:color w:val="242424"/>
          <w:shd w:val="clear" w:color="auto" w:fill="FFFFFF"/>
        </w:rPr>
        <w:t xml:space="preserve"> for hypothesis testing, </w:t>
      </w:r>
      <w:r w:rsidR="00875AAA" w:rsidRPr="00787196">
        <w:rPr>
          <w:rFonts w:cs="Arial"/>
          <w:color w:val="242424"/>
          <w:shd w:val="clear" w:color="auto" w:fill="FFFFFF"/>
        </w:rPr>
        <w:t xml:space="preserve">the </w:t>
      </w:r>
      <w:r w:rsidR="008F6E7B" w:rsidRPr="00787196">
        <w:rPr>
          <w:rFonts w:cs="Arial"/>
          <w:color w:val="242424"/>
          <w:shd w:val="clear" w:color="auto" w:fill="FFFFFF"/>
        </w:rPr>
        <w:t xml:space="preserve">interpretations </w:t>
      </w:r>
      <w:r w:rsidR="004B5DFC" w:rsidRPr="00787196">
        <w:rPr>
          <w:rFonts w:cs="Arial"/>
          <w:color w:val="242424"/>
          <w:shd w:val="clear" w:color="auto" w:fill="FFFFFF"/>
        </w:rPr>
        <w:t>of the study results are</w:t>
      </w:r>
      <w:r w:rsidR="00875AAA" w:rsidRPr="00787196">
        <w:rPr>
          <w:rFonts w:cs="Arial"/>
          <w:color w:val="242424"/>
          <w:shd w:val="clear" w:color="auto" w:fill="FFFFFF"/>
        </w:rPr>
        <w:t xml:space="preserve"> </w:t>
      </w:r>
      <w:r w:rsidR="00797AA5" w:rsidRPr="00787196">
        <w:rPr>
          <w:rFonts w:cs="Arial"/>
          <w:color w:val="242424"/>
          <w:shd w:val="clear" w:color="auto" w:fill="FFFFFF"/>
        </w:rPr>
        <w:t>better facilitated</w:t>
      </w:r>
      <w:r w:rsidR="00EB4AE8" w:rsidRPr="00787196">
        <w:rPr>
          <w:rFonts w:cs="Arial"/>
          <w:color w:val="242424"/>
          <w:shd w:val="clear" w:color="auto" w:fill="FFFFFF"/>
        </w:rPr>
        <w:t xml:space="preserve"> </w:t>
      </w:r>
      <w:r w:rsidR="00EB4AE8" w:rsidRPr="00787196">
        <w:rPr>
          <w:rFonts w:cs="Arial"/>
          <w:color w:val="242424"/>
          <w:shd w:val="clear" w:color="auto" w:fill="FFFFFF"/>
        </w:rPr>
        <w:fldChar w:fldCharType="begin"/>
      </w:r>
      <w:r w:rsidR="00EB4AE8" w:rsidRPr="00787196">
        <w:rPr>
          <w:rFonts w:cs="Arial"/>
          <w:color w:val="242424"/>
          <w:shd w:val="clear" w:color="auto" w:fill="FFFFFF"/>
        </w:rPr>
        <w:instrText xml:space="preserve"> ADDIN EN.CITE &lt;EndNote&gt;&lt;Cite&gt;&lt;Author&gt;McHugh&lt;/Author&gt;&lt;Year&gt;2008&lt;/Year&gt;&lt;IDText&gt;Power analysis in research&lt;/IDText&gt;&lt;DisplayText&gt;(McHugh, 2008)&lt;/DisplayText&gt;&lt;record&gt;&lt;isbn&gt;1330-0962&lt;/isbn&gt;&lt;titles&gt;&lt;title&gt;Power analysis in research&lt;/title&gt;&lt;secondary-title&gt;Biochemia Medica&lt;/secondary-title&gt;&lt;/titles&gt;&lt;pages&gt;263-274&lt;/pages&gt;&lt;number&gt;3&lt;/number&gt;&lt;contributors&gt;&lt;authors&gt;&lt;author&gt;McHugh, Mary L.&lt;/author&gt;&lt;/authors&gt;&lt;/contributors&gt;&lt;added-date format="utc"&gt;1479750148&lt;/added-date&gt;&lt;ref-type name="Journal Article"&gt;17&lt;/ref-type&gt;&lt;dates&gt;&lt;year&gt;2008&lt;/year&gt;&lt;/dates&gt;&lt;rec-number&gt;2654&lt;/rec-number&gt;&lt;publisher&gt;Medicinska naklada&lt;/publisher&gt;&lt;last-updated-date format="utc"&gt;1479750148&lt;/last-updated-date&gt;&lt;volume&gt;18&lt;/volume&gt;&lt;/record&gt;&lt;/Cite&gt;&lt;/EndNote&gt;</w:instrText>
      </w:r>
      <w:r w:rsidR="00EB4AE8" w:rsidRPr="00787196">
        <w:rPr>
          <w:rFonts w:cs="Arial"/>
          <w:color w:val="242424"/>
          <w:shd w:val="clear" w:color="auto" w:fill="FFFFFF"/>
        </w:rPr>
        <w:fldChar w:fldCharType="separate"/>
      </w:r>
      <w:r w:rsidR="00EB4AE8" w:rsidRPr="00787196">
        <w:rPr>
          <w:rFonts w:cs="Arial"/>
          <w:color w:val="242424"/>
          <w:shd w:val="clear" w:color="auto" w:fill="FFFFFF"/>
        </w:rPr>
        <w:t>(McHugh, 2008)</w:t>
      </w:r>
      <w:r w:rsidR="00EB4AE8" w:rsidRPr="00787196">
        <w:rPr>
          <w:rFonts w:cs="Arial"/>
          <w:color w:val="242424"/>
          <w:shd w:val="clear" w:color="auto" w:fill="FFFFFF"/>
        </w:rPr>
        <w:fldChar w:fldCharType="end"/>
      </w:r>
      <w:r w:rsidR="00EB4AE8" w:rsidRPr="00787196">
        <w:rPr>
          <w:rFonts w:cs="Arial"/>
          <w:color w:val="242424"/>
          <w:shd w:val="clear" w:color="auto" w:fill="FFFFFF"/>
        </w:rPr>
        <w:t>.</w:t>
      </w:r>
      <w:r w:rsidR="00875AAA" w:rsidRPr="00787196">
        <w:rPr>
          <w:rFonts w:cs="Arial"/>
          <w:color w:val="242424"/>
          <w:shd w:val="clear" w:color="auto" w:fill="FFFFFF"/>
        </w:rPr>
        <w:t xml:space="preserve"> However, the interpretation of results can become problematic when both the power is either very low or high </w:t>
      </w:r>
      <w:r w:rsidR="00755522" w:rsidRPr="00787196">
        <w:rPr>
          <w:rFonts w:cs="Arial"/>
          <w:color w:val="242424"/>
          <w:shd w:val="clear" w:color="auto" w:fill="FFFFFF"/>
        </w:rPr>
        <w:t>and</w:t>
      </w:r>
      <w:r w:rsidR="00875AAA" w:rsidRPr="00787196">
        <w:rPr>
          <w:rFonts w:cs="Arial"/>
          <w:color w:val="242424"/>
          <w:shd w:val="clear" w:color="auto" w:fill="FFFFFF"/>
        </w:rPr>
        <w:t xml:space="preserve"> when a wrong statistical method </w:t>
      </w:r>
      <w:r w:rsidR="004B5DFC" w:rsidRPr="00787196">
        <w:rPr>
          <w:rFonts w:cs="Arial"/>
          <w:color w:val="242424"/>
          <w:shd w:val="clear" w:color="auto" w:fill="FFFFFF"/>
        </w:rPr>
        <w:t>is used</w:t>
      </w:r>
      <w:r w:rsidR="00875AAA" w:rsidRPr="00787196">
        <w:rPr>
          <w:rFonts w:cs="Arial"/>
          <w:color w:val="242424"/>
          <w:shd w:val="clear" w:color="auto" w:fill="FFFFFF"/>
        </w:rPr>
        <w:t>.</w:t>
      </w:r>
      <w:r w:rsidR="00BB6C06" w:rsidRPr="00787196">
        <w:rPr>
          <w:lang w:bidi="hi-IN"/>
        </w:rPr>
        <w:br w:type="page"/>
      </w:r>
    </w:p>
    <w:p w14:paraId="7203E8B7" w14:textId="135EF8CA" w:rsidR="005F1E1D" w:rsidRPr="00787196" w:rsidRDefault="00875AAA" w:rsidP="004C709B">
      <w:pPr>
        <w:rPr>
          <w:lang w:bidi="hi-IN"/>
        </w:rPr>
      </w:pPr>
      <w:r w:rsidRPr="00787196">
        <w:rPr>
          <w:lang w:bidi="hi-IN"/>
        </w:rPr>
        <w:lastRenderedPageBreak/>
        <w:t xml:space="preserve">In this study, the power calculation </w:t>
      </w:r>
      <w:r w:rsidR="0035485A" w:rsidRPr="00787196">
        <w:rPr>
          <w:lang w:bidi="hi-IN"/>
        </w:rPr>
        <w:t>incorporated</w:t>
      </w:r>
      <w:r w:rsidRPr="00787196">
        <w:rPr>
          <w:lang w:bidi="hi-IN"/>
        </w:rPr>
        <w:t xml:space="preserve"> the</w:t>
      </w:r>
      <w:r w:rsidR="0066613E" w:rsidRPr="00787196">
        <w:rPr>
          <w:lang w:bidi="hi-IN"/>
        </w:rPr>
        <w:t xml:space="preserve"> effect size </w:t>
      </w:r>
      <w:r w:rsidR="00421FBE" w:rsidRPr="00787196">
        <w:rPr>
          <w:lang w:bidi="hi-IN"/>
        </w:rPr>
        <w:t xml:space="preserve">between coping strategies and </w:t>
      </w:r>
      <w:r w:rsidR="004C709B" w:rsidRPr="00787196">
        <w:rPr>
          <w:lang w:bidi="hi-IN"/>
        </w:rPr>
        <w:t xml:space="preserve">OHQoL using </w:t>
      </w:r>
      <w:r w:rsidR="0066613E" w:rsidRPr="00787196">
        <w:rPr>
          <w:lang w:bidi="hi-IN"/>
        </w:rPr>
        <w:t>the unstandardized  correlation co-efficient</w:t>
      </w:r>
      <w:r w:rsidR="004C709B" w:rsidRPr="00787196">
        <w:rPr>
          <w:lang w:bidi="hi-IN"/>
        </w:rPr>
        <w:t xml:space="preserve"> value</w:t>
      </w:r>
      <w:r w:rsidR="0066613E" w:rsidRPr="00787196">
        <w:rPr>
          <w:lang w:bidi="hi-IN"/>
        </w:rPr>
        <w:t xml:space="preserve"> between denial coping and OHQoL (least significant value) </w:t>
      </w:r>
      <w:r w:rsidR="0035485A" w:rsidRPr="00787196">
        <w:rPr>
          <w:lang w:bidi="hi-IN"/>
        </w:rPr>
        <w:t>in</w:t>
      </w:r>
      <w:r w:rsidR="0066613E" w:rsidRPr="00787196">
        <w:rPr>
          <w:lang w:bidi="hi-IN"/>
        </w:rPr>
        <w:t xml:space="preserve"> edentulous adults in Heydecke</w:t>
      </w:r>
      <w:r w:rsidR="0066613E" w:rsidRPr="00787196">
        <w:rPr>
          <w:i/>
          <w:lang w:bidi="hi-IN"/>
        </w:rPr>
        <w:t xml:space="preserve"> </w:t>
      </w:r>
      <w:r w:rsidR="0066613E" w:rsidRPr="00787196">
        <w:rPr>
          <w:lang w:bidi="hi-IN"/>
        </w:rPr>
        <w:t>and colleagues</w:t>
      </w:r>
      <w:r w:rsidR="0035485A" w:rsidRPr="00787196">
        <w:rPr>
          <w:lang w:bidi="hi-IN"/>
        </w:rPr>
        <w:t>’</w:t>
      </w:r>
      <w:r w:rsidR="0066613E" w:rsidRPr="00787196">
        <w:rPr>
          <w:i/>
          <w:lang w:bidi="hi-IN"/>
        </w:rPr>
        <w:t xml:space="preserve"> </w:t>
      </w:r>
      <w:r w:rsidR="0066613E" w:rsidRPr="00787196">
        <w:rPr>
          <w:iCs/>
          <w:lang w:bidi="hi-IN"/>
        </w:rPr>
        <w:fldChar w:fldCharType="begin"/>
      </w:r>
      <w:r w:rsidR="005A03AB" w:rsidRPr="00787196">
        <w:rPr>
          <w:iCs/>
          <w:lang w:bidi="hi-IN"/>
        </w:rPr>
        <w:instrText xml:space="preserve"> ADDIN EN.CITE &lt;EndNote&gt;&lt;Cite ExcludeAuth="1"&gt;&lt;Author&gt;Heydecke&lt;/Author&gt;&lt;Year&gt;2004&lt;/Year&gt;&lt;IDText&gt;Complete dentures and oral health-related quality of life – do coping styles matter?&lt;/IDText&gt;&lt;DisplayText&gt;(2004)&lt;/DisplayText&gt;&lt;record&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0066613E" w:rsidRPr="00787196">
        <w:rPr>
          <w:iCs/>
          <w:lang w:bidi="hi-IN"/>
        </w:rPr>
        <w:fldChar w:fldCharType="separate"/>
      </w:r>
      <w:r w:rsidR="0066613E" w:rsidRPr="00787196">
        <w:rPr>
          <w:iCs/>
          <w:lang w:bidi="hi-IN"/>
        </w:rPr>
        <w:t>(2004)</w:t>
      </w:r>
      <w:r w:rsidR="0066613E" w:rsidRPr="00787196">
        <w:rPr>
          <w:lang w:bidi="hi-IN"/>
        </w:rPr>
        <w:fldChar w:fldCharType="end"/>
      </w:r>
      <w:r w:rsidR="0066613E" w:rsidRPr="00787196">
        <w:rPr>
          <w:lang w:bidi="hi-IN"/>
        </w:rPr>
        <w:t xml:space="preserve"> study. With 20 independent variables</w:t>
      </w:r>
      <w:r w:rsidR="004C709B" w:rsidRPr="00787196">
        <w:rPr>
          <w:lang w:bidi="hi-IN"/>
        </w:rPr>
        <w:t xml:space="preserve"> used in this study</w:t>
      </w:r>
      <w:r w:rsidR="0066613E" w:rsidRPr="00787196">
        <w:rPr>
          <w:lang w:bidi="hi-IN"/>
        </w:rPr>
        <w:t>,</w:t>
      </w:r>
      <w:r w:rsidR="004C709B" w:rsidRPr="00787196">
        <w:rPr>
          <w:lang w:bidi="hi-IN"/>
        </w:rPr>
        <w:t xml:space="preserve"> in order</w:t>
      </w:r>
      <w:r w:rsidR="0066613E" w:rsidRPr="00787196">
        <w:rPr>
          <w:lang w:bidi="hi-IN"/>
        </w:rPr>
        <w:t xml:space="preserve"> to yield 80% power </w:t>
      </w:r>
      <w:r w:rsidR="004C709B" w:rsidRPr="00787196">
        <w:rPr>
          <w:lang w:bidi="hi-IN"/>
        </w:rPr>
        <w:t>to</w:t>
      </w:r>
      <w:r w:rsidR="0066613E" w:rsidRPr="00787196">
        <w:rPr>
          <w:lang w:bidi="hi-IN"/>
        </w:rPr>
        <w:t xml:space="preserve"> detect the minimum effect size</w:t>
      </w:r>
      <w:r w:rsidR="00903A6D" w:rsidRPr="00787196">
        <w:rPr>
          <w:lang w:bidi="hi-IN"/>
        </w:rPr>
        <w:t>,</w:t>
      </w:r>
      <w:r w:rsidR="0066613E" w:rsidRPr="00787196">
        <w:rPr>
          <w:lang w:bidi="hi-IN"/>
        </w:rPr>
        <w:t xml:space="preserve"> </w:t>
      </w:r>
      <w:r w:rsidR="00797AA5" w:rsidRPr="00787196">
        <w:rPr>
          <w:lang w:bidi="hi-IN"/>
        </w:rPr>
        <w:t xml:space="preserve">the calculation indicated </w:t>
      </w:r>
      <w:r w:rsidR="004C709B" w:rsidRPr="00787196">
        <w:rPr>
          <w:lang w:bidi="hi-IN"/>
        </w:rPr>
        <w:t xml:space="preserve">a </w:t>
      </w:r>
      <w:r w:rsidR="00797AA5" w:rsidRPr="00787196">
        <w:rPr>
          <w:lang w:bidi="hi-IN"/>
        </w:rPr>
        <w:t xml:space="preserve">recruitment of </w:t>
      </w:r>
      <w:r w:rsidR="004C709B" w:rsidRPr="00787196">
        <w:rPr>
          <w:lang w:bidi="hi-IN"/>
        </w:rPr>
        <w:t>152</w:t>
      </w:r>
      <w:r w:rsidR="00903A6D" w:rsidRPr="00787196">
        <w:rPr>
          <w:lang w:bidi="hi-IN"/>
        </w:rPr>
        <w:t xml:space="preserve"> participants.</w:t>
      </w:r>
      <w:r w:rsidR="004C709B" w:rsidRPr="00787196">
        <w:rPr>
          <w:lang w:bidi="hi-IN"/>
        </w:rPr>
        <w:t xml:space="preserve"> However, by accounting for loss through follow-up, using an arbitrary calculation of 10 participants per variable</w:t>
      </w:r>
      <w:r w:rsidR="0035485A" w:rsidRPr="00787196">
        <w:rPr>
          <w:lang w:bidi="hi-IN"/>
        </w:rPr>
        <w:t>,</w:t>
      </w:r>
      <w:r w:rsidR="004C709B" w:rsidRPr="00787196">
        <w:rPr>
          <w:lang w:bidi="hi-IN"/>
        </w:rPr>
        <w:t xml:space="preserve"> 200 participants </w:t>
      </w:r>
      <w:r w:rsidR="0035485A" w:rsidRPr="00787196">
        <w:rPr>
          <w:lang w:bidi="hi-IN"/>
        </w:rPr>
        <w:t>was</w:t>
      </w:r>
      <w:r w:rsidR="004C709B" w:rsidRPr="00787196">
        <w:rPr>
          <w:lang w:bidi="hi-IN"/>
        </w:rPr>
        <w:t xml:space="preserve"> suggested.</w:t>
      </w:r>
      <w:r w:rsidR="005F1E1D" w:rsidRPr="00787196">
        <w:rPr>
          <w:lang w:bidi="hi-IN"/>
        </w:rPr>
        <w:t xml:space="preserve"> The desired sample size was achieved </w:t>
      </w:r>
      <w:r w:rsidR="0035485A" w:rsidRPr="00787196">
        <w:rPr>
          <w:lang w:bidi="hi-IN"/>
        </w:rPr>
        <w:t>during</w:t>
      </w:r>
      <w:r w:rsidR="005F1E1D" w:rsidRPr="00787196">
        <w:rPr>
          <w:lang w:bidi="hi-IN"/>
        </w:rPr>
        <w:t xml:space="preserve"> recruitment. </w:t>
      </w:r>
    </w:p>
    <w:p w14:paraId="4C134F1C" w14:textId="4D213E4C" w:rsidR="00797AA5" w:rsidRPr="00787196" w:rsidRDefault="00FC1299" w:rsidP="00EA178D">
      <w:pPr>
        <w:rPr>
          <w:lang w:bidi="hi-IN"/>
        </w:rPr>
      </w:pPr>
      <w:r w:rsidRPr="00787196">
        <w:rPr>
          <w:lang w:bidi="hi-IN"/>
        </w:rPr>
        <w:t xml:space="preserve">The results of this </w:t>
      </w:r>
      <w:r w:rsidR="00DA75FA" w:rsidRPr="00787196">
        <w:rPr>
          <w:lang w:bidi="hi-IN"/>
        </w:rPr>
        <w:t xml:space="preserve">study </w:t>
      </w:r>
      <w:r w:rsidR="0050022B" w:rsidRPr="00787196">
        <w:rPr>
          <w:lang w:bidi="hi-IN"/>
        </w:rPr>
        <w:t>found</w:t>
      </w:r>
      <w:r w:rsidR="00DA75FA" w:rsidRPr="00787196">
        <w:rPr>
          <w:lang w:bidi="hi-IN"/>
        </w:rPr>
        <w:t xml:space="preserve"> no significant association between coping strategies and </w:t>
      </w:r>
      <w:r w:rsidR="0050022B" w:rsidRPr="00787196">
        <w:rPr>
          <w:lang w:bidi="hi-IN"/>
        </w:rPr>
        <w:t xml:space="preserve">the </w:t>
      </w:r>
      <w:r w:rsidR="00DA75FA" w:rsidRPr="00787196">
        <w:rPr>
          <w:lang w:bidi="hi-IN"/>
        </w:rPr>
        <w:t xml:space="preserve">outcome variables. One possibility is that the study could have been underpowered and the null hypothesis has been accepted falsely </w:t>
      </w:r>
      <w:r w:rsidRPr="00787196">
        <w:rPr>
          <w:lang w:bidi="hi-IN"/>
        </w:rPr>
        <w:t>(Type II</w:t>
      </w:r>
      <w:r w:rsidR="00DA75FA" w:rsidRPr="00787196">
        <w:rPr>
          <w:lang w:bidi="hi-IN"/>
        </w:rPr>
        <w:t xml:space="preserve"> error). </w:t>
      </w:r>
      <w:r w:rsidR="0063429B" w:rsidRPr="00787196">
        <w:rPr>
          <w:lang w:bidi="hi-IN"/>
        </w:rPr>
        <w:t xml:space="preserve">To </w:t>
      </w:r>
      <w:r w:rsidR="008C2245" w:rsidRPr="00787196">
        <w:rPr>
          <w:lang w:bidi="hi-IN"/>
        </w:rPr>
        <w:t xml:space="preserve">test this, the power calculation was </w:t>
      </w:r>
      <w:r w:rsidR="0050022B" w:rsidRPr="00787196">
        <w:rPr>
          <w:lang w:bidi="hi-IN"/>
        </w:rPr>
        <w:t>repeated</w:t>
      </w:r>
      <w:r w:rsidR="008C2245" w:rsidRPr="00787196">
        <w:rPr>
          <w:lang w:bidi="hi-IN"/>
        </w:rPr>
        <w:t xml:space="preserve"> using the results from this study. </w:t>
      </w:r>
      <w:r w:rsidR="00797AA5" w:rsidRPr="00787196">
        <w:rPr>
          <w:lang w:bidi="hi-IN"/>
        </w:rPr>
        <w:t xml:space="preserve">Based on </w:t>
      </w:r>
      <w:r w:rsidR="00580125" w:rsidRPr="00787196">
        <w:rPr>
          <w:lang w:bidi="hi-IN"/>
        </w:rPr>
        <w:t>a</w:t>
      </w:r>
      <w:r w:rsidR="00797AA5" w:rsidRPr="00787196">
        <w:rPr>
          <w:lang w:bidi="hi-IN"/>
        </w:rPr>
        <w:t xml:space="preserve"> </w:t>
      </w:r>
      <w:r w:rsidR="00E25C98" w:rsidRPr="00787196">
        <w:rPr>
          <w:lang w:bidi="hi-IN"/>
        </w:rPr>
        <w:t>least significant association between self-blame coping strategy and OHQoL at follow –up (Table 5-31</w:t>
      </w:r>
      <w:r w:rsidR="00385452" w:rsidRPr="00787196">
        <w:rPr>
          <w:lang w:bidi="hi-IN"/>
        </w:rPr>
        <w:t>) the</w:t>
      </w:r>
      <w:r w:rsidR="00E25C98" w:rsidRPr="00787196">
        <w:rPr>
          <w:lang w:bidi="hi-IN"/>
        </w:rPr>
        <w:t xml:space="preserve"> </w:t>
      </w:r>
      <w:r w:rsidR="00385452" w:rsidRPr="00787196">
        <w:rPr>
          <w:rFonts w:cs="Arial"/>
          <w:lang w:bidi="hi-IN"/>
        </w:rPr>
        <w:t>ρ</w:t>
      </w:r>
      <w:r w:rsidR="00385452" w:rsidRPr="00787196">
        <w:rPr>
          <w:lang w:bidi="hi-IN"/>
        </w:rPr>
        <w:t xml:space="preserve"> </w:t>
      </w:r>
      <w:r w:rsidR="00E25C98" w:rsidRPr="00787196">
        <w:rPr>
          <w:lang w:bidi="hi-IN"/>
        </w:rPr>
        <w:t xml:space="preserve">value of -0.034 was used to </w:t>
      </w:r>
      <w:r w:rsidR="0050022B" w:rsidRPr="00787196">
        <w:rPr>
          <w:lang w:bidi="hi-IN"/>
        </w:rPr>
        <w:t>yield</w:t>
      </w:r>
      <w:r w:rsidR="00E25C98" w:rsidRPr="00787196">
        <w:rPr>
          <w:lang w:bidi="hi-IN"/>
        </w:rPr>
        <w:t xml:space="preserve"> an effect size of </w:t>
      </w:r>
      <w:r w:rsidR="00BA2F92" w:rsidRPr="00787196">
        <w:rPr>
          <w:lang w:bidi="hi-IN"/>
        </w:rPr>
        <w:t xml:space="preserve">0.0066. </w:t>
      </w:r>
      <w:r w:rsidR="008C2245" w:rsidRPr="00787196">
        <w:rPr>
          <w:lang w:bidi="hi-IN"/>
        </w:rPr>
        <w:t xml:space="preserve">If we were to </w:t>
      </w:r>
      <w:r w:rsidR="0050022B" w:rsidRPr="00787196">
        <w:rPr>
          <w:lang w:bidi="hi-IN"/>
        </w:rPr>
        <w:t>repeat</w:t>
      </w:r>
      <w:r w:rsidR="008C2245" w:rsidRPr="00787196">
        <w:rPr>
          <w:lang w:bidi="hi-IN"/>
        </w:rPr>
        <w:t xml:space="preserve"> this study again w</w:t>
      </w:r>
      <w:r w:rsidR="00BA2F92" w:rsidRPr="00787196">
        <w:rPr>
          <w:lang w:bidi="hi-IN"/>
        </w:rPr>
        <w:t>ith similar set of variables</w:t>
      </w:r>
      <w:r w:rsidR="008C2245" w:rsidRPr="00787196">
        <w:rPr>
          <w:lang w:bidi="hi-IN"/>
        </w:rPr>
        <w:t xml:space="preserve"> in a similar population, in order </w:t>
      </w:r>
      <w:r w:rsidR="00BA2F92" w:rsidRPr="00787196">
        <w:rPr>
          <w:lang w:bidi="hi-IN"/>
        </w:rPr>
        <w:t xml:space="preserve">to yield 80% power of detecting the minimum effect size the calculation </w:t>
      </w:r>
      <w:r w:rsidR="008C2245" w:rsidRPr="00787196">
        <w:rPr>
          <w:lang w:bidi="hi-IN"/>
        </w:rPr>
        <w:t>suggest</w:t>
      </w:r>
      <w:r w:rsidR="0050022B" w:rsidRPr="00787196">
        <w:rPr>
          <w:lang w:bidi="hi-IN"/>
        </w:rPr>
        <w:t>s</w:t>
      </w:r>
      <w:r w:rsidR="008C2245" w:rsidRPr="00787196">
        <w:rPr>
          <w:lang w:bidi="hi-IN"/>
        </w:rPr>
        <w:t xml:space="preserve"> a minimum of </w:t>
      </w:r>
      <w:r w:rsidR="007E6675" w:rsidRPr="00787196">
        <w:rPr>
          <w:lang w:bidi="hi-IN"/>
        </w:rPr>
        <w:t>348 participants. Th</w:t>
      </w:r>
      <w:r w:rsidR="008C2245" w:rsidRPr="00787196">
        <w:rPr>
          <w:lang w:bidi="hi-IN"/>
        </w:rPr>
        <w:t>us</w:t>
      </w:r>
      <w:r w:rsidR="0050022B" w:rsidRPr="00787196">
        <w:rPr>
          <w:lang w:bidi="hi-IN"/>
        </w:rPr>
        <w:t>,</w:t>
      </w:r>
      <w:r w:rsidR="008C2245" w:rsidRPr="00787196">
        <w:rPr>
          <w:lang w:bidi="hi-IN"/>
        </w:rPr>
        <w:t xml:space="preserve"> it may be interpreted </w:t>
      </w:r>
      <w:r w:rsidR="007E6675" w:rsidRPr="00787196">
        <w:rPr>
          <w:lang w:bidi="hi-IN"/>
        </w:rPr>
        <w:t xml:space="preserve">that </w:t>
      </w:r>
      <w:r w:rsidR="008C2245" w:rsidRPr="00787196">
        <w:rPr>
          <w:lang w:bidi="hi-IN"/>
        </w:rPr>
        <w:t xml:space="preserve">the present </w:t>
      </w:r>
      <w:r w:rsidR="007E6675" w:rsidRPr="00787196">
        <w:rPr>
          <w:lang w:bidi="hi-IN"/>
        </w:rPr>
        <w:t xml:space="preserve">study may have been slightly </w:t>
      </w:r>
      <w:r w:rsidR="0050022B" w:rsidRPr="00787196">
        <w:rPr>
          <w:lang w:bidi="hi-IN"/>
        </w:rPr>
        <w:t>under</w:t>
      </w:r>
      <w:r w:rsidR="007E6675" w:rsidRPr="00787196">
        <w:rPr>
          <w:lang w:bidi="hi-IN"/>
        </w:rPr>
        <w:t>powered.</w:t>
      </w:r>
      <w:r w:rsidR="00580125" w:rsidRPr="00787196">
        <w:rPr>
          <w:lang w:bidi="hi-IN"/>
        </w:rPr>
        <w:t xml:space="preserve"> However, given th</w:t>
      </w:r>
      <w:r w:rsidR="008C2245" w:rsidRPr="00787196">
        <w:rPr>
          <w:lang w:bidi="hi-IN"/>
        </w:rPr>
        <w:t xml:space="preserve">at this calculation </w:t>
      </w:r>
      <w:r w:rsidR="0050022B" w:rsidRPr="00787196">
        <w:rPr>
          <w:lang w:bidi="hi-IN"/>
        </w:rPr>
        <w:t xml:space="preserve">was </w:t>
      </w:r>
      <w:r w:rsidR="00EA178D" w:rsidRPr="00787196">
        <w:rPr>
          <w:lang w:bidi="hi-IN"/>
        </w:rPr>
        <w:t>done in retrospect</w:t>
      </w:r>
      <w:r w:rsidR="008C2245" w:rsidRPr="00787196">
        <w:rPr>
          <w:lang w:bidi="hi-IN"/>
        </w:rPr>
        <w:t xml:space="preserve"> and that too for the least significant association</w:t>
      </w:r>
      <w:r w:rsidR="00580125" w:rsidRPr="00787196">
        <w:rPr>
          <w:lang w:bidi="hi-IN"/>
        </w:rPr>
        <w:t xml:space="preserve">, </w:t>
      </w:r>
      <w:r w:rsidR="00F66506" w:rsidRPr="00787196">
        <w:rPr>
          <w:lang w:bidi="hi-IN"/>
        </w:rPr>
        <w:t>the probability</w:t>
      </w:r>
      <w:r w:rsidR="008C2245" w:rsidRPr="00787196">
        <w:rPr>
          <w:lang w:bidi="hi-IN"/>
        </w:rPr>
        <w:t xml:space="preserve"> of Type II</w:t>
      </w:r>
      <w:r w:rsidR="00EA178D" w:rsidRPr="00787196">
        <w:rPr>
          <w:lang w:bidi="hi-IN"/>
        </w:rPr>
        <w:t xml:space="preserve"> error in this study is considered as </w:t>
      </w:r>
      <w:r w:rsidR="008C2245" w:rsidRPr="00787196">
        <w:rPr>
          <w:lang w:bidi="hi-IN"/>
        </w:rPr>
        <w:t xml:space="preserve">negligible. </w:t>
      </w:r>
    </w:p>
    <w:p w14:paraId="267128B2" w14:textId="1C2E5BF5" w:rsidR="00F66506" w:rsidRPr="00787196" w:rsidRDefault="006764DD" w:rsidP="006764DD">
      <w:pPr>
        <w:rPr>
          <w:lang w:bidi="hi-IN"/>
        </w:rPr>
      </w:pPr>
      <w:r w:rsidRPr="00787196">
        <w:rPr>
          <w:lang w:bidi="hi-IN"/>
        </w:rPr>
        <w:t>T</w:t>
      </w:r>
      <w:r w:rsidR="00F66506" w:rsidRPr="00787196">
        <w:rPr>
          <w:lang w:bidi="hi-IN"/>
        </w:rPr>
        <w:t xml:space="preserve">he next </w:t>
      </w:r>
      <w:r w:rsidR="00912838" w:rsidRPr="00787196">
        <w:rPr>
          <w:lang w:bidi="hi-IN"/>
        </w:rPr>
        <w:t xml:space="preserve">tangible area to </w:t>
      </w:r>
      <w:r w:rsidR="0050022B" w:rsidRPr="00787196">
        <w:rPr>
          <w:lang w:bidi="hi-IN"/>
        </w:rPr>
        <w:t>reconsider</w:t>
      </w:r>
      <w:r w:rsidR="00912838" w:rsidRPr="00787196">
        <w:rPr>
          <w:lang w:bidi="hi-IN"/>
        </w:rPr>
        <w:t xml:space="preserve"> in terms of th</w:t>
      </w:r>
      <w:r w:rsidRPr="00787196">
        <w:rPr>
          <w:lang w:bidi="hi-IN"/>
        </w:rPr>
        <w:t>is</w:t>
      </w:r>
      <w:r w:rsidR="00912838" w:rsidRPr="00787196">
        <w:rPr>
          <w:lang w:bidi="hi-IN"/>
        </w:rPr>
        <w:t xml:space="preserve"> study sample </w:t>
      </w:r>
      <w:r w:rsidR="0050022B" w:rsidRPr="00787196">
        <w:rPr>
          <w:lang w:bidi="hi-IN"/>
        </w:rPr>
        <w:t>is its</w:t>
      </w:r>
      <w:r w:rsidR="00912838" w:rsidRPr="00787196">
        <w:rPr>
          <w:lang w:bidi="hi-IN"/>
        </w:rPr>
        <w:t xml:space="preserve"> nature or quality. </w:t>
      </w:r>
      <w:r w:rsidRPr="00787196">
        <w:rPr>
          <w:lang w:bidi="hi-IN"/>
        </w:rPr>
        <w:t xml:space="preserve">The following section explores the characteristics of this study sample and discusses </w:t>
      </w:r>
      <w:r w:rsidR="00D0411D" w:rsidRPr="00787196">
        <w:rPr>
          <w:lang w:bidi="hi-IN"/>
        </w:rPr>
        <w:t>its possible</w:t>
      </w:r>
      <w:r w:rsidRPr="00787196">
        <w:rPr>
          <w:lang w:bidi="hi-IN"/>
        </w:rPr>
        <w:t xml:space="preserve"> effect </w:t>
      </w:r>
      <w:r w:rsidR="0050022B" w:rsidRPr="00787196">
        <w:rPr>
          <w:lang w:bidi="hi-IN"/>
        </w:rPr>
        <w:t>on the</w:t>
      </w:r>
      <w:r w:rsidRPr="00787196">
        <w:rPr>
          <w:lang w:bidi="hi-IN"/>
        </w:rPr>
        <w:t xml:space="preserve"> results.</w:t>
      </w:r>
    </w:p>
    <w:p w14:paraId="4154BA29" w14:textId="77777777" w:rsidR="002C6468" w:rsidRPr="00787196" w:rsidRDefault="002C6468">
      <w:pPr>
        <w:spacing w:before="0" w:after="0" w:line="240" w:lineRule="auto"/>
        <w:jc w:val="left"/>
        <w:rPr>
          <w:i/>
          <w:lang w:bidi="hi-IN"/>
        </w:rPr>
      </w:pPr>
      <w:r w:rsidRPr="00787196">
        <w:rPr>
          <w:i/>
          <w:lang w:bidi="hi-IN"/>
        </w:rPr>
        <w:br w:type="page"/>
      </w:r>
    </w:p>
    <w:p w14:paraId="3113D6C8" w14:textId="2838E138" w:rsidR="00903A6D" w:rsidRPr="00787196" w:rsidRDefault="00903A6D" w:rsidP="00903A6D">
      <w:pPr>
        <w:rPr>
          <w:i/>
          <w:lang w:bidi="hi-IN"/>
        </w:rPr>
      </w:pPr>
      <w:r w:rsidRPr="00787196">
        <w:rPr>
          <w:i/>
          <w:lang w:bidi="hi-IN"/>
        </w:rPr>
        <w:lastRenderedPageBreak/>
        <w:t xml:space="preserve">Nature of the </w:t>
      </w:r>
      <w:r w:rsidR="00912838" w:rsidRPr="00787196">
        <w:rPr>
          <w:i/>
          <w:lang w:bidi="hi-IN"/>
        </w:rPr>
        <w:t xml:space="preserve">study </w:t>
      </w:r>
      <w:r w:rsidRPr="00787196">
        <w:rPr>
          <w:i/>
          <w:lang w:bidi="hi-IN"/>
        </w:rPr>
        <w:t>sample</w:t>
      </w:r>
    </w:p>
    <w:p w14:paraId="1EC77CD1" w14:textId="27AD1756" w:rsidR="003B5419" w:rsidRPr="00787196" w:rsidRDefault="00F66506" w:rsidP="00E36A40">
      <w:pPr>
        <w:spacing w:before="0" w:after="0"/>
        <w:rPr>
          <w:lang w:bidi="hi-IN"/>
        </w:rPr>
      </w:pPr>
      <w:r w:rsidRPr="00787196">
        <w:rPr>
          <w:lang w:bidi="hi-IN"/>
        </w:rPr>
        <w:t>T</w:t>
      </w:r>
      <w:r w:rsidR="00903A6D" w:rsidRPr="00787196">
        <w:rPr>
          <w:lang w:bidi="hi-IN"/>
        </w:rPr>
        <w:t xml:space="preserve">he participants of this study were a convenience sample receiving dentures </w:t>
      </w:r>
      <w:r w:rsidR="00C66D15" w:rsidRPr="00787196">
        <w:rPr>
          <w:lang w:bidi="hi-IN"/>
        </w:rPr>
        <w:t>from a</w:t>
      </w:r>
      <w:r w:rsidR="0025570C" w:rsidRPr="00787196">
        <w:rPr>
          <w:lang w:bidi="hi-IN"/>
        </w:rPr>
        <w:t xml:space="preserve"> university teaching </w:t>
      </w:r>
      <w:r w:rsidR="00C66D15" w:rsidRPr="00787196">
        <w:rPr>
          <w:lang w:bidi="hi-IN"/>
        </w:rPr>
        <w:t>hospital at subsidised costs</w:t>
      </w:r>
      <w:r w:rsidR="00386636" w:rsidRPr="00787196">
        <w:rPr>
          <w:lang w:bidi="hi-IN"/>
        </w:rPr>
        <w:t>, T</w:t>
      </w:r>
      <w:r w:rsidR="00C66D15" w:rsidRPr="00787196">
        <w:rPr>
          <w:lang w:bidi="hi-IN"/>
        </w:rPr>
        <w:t xml:space="preserve">he services </w:t>
      </w:r>
      <w:r w:rsidR="004B2EB2" w:rsidRPr="00787196">
        <w:rPr>
          <w:lang w:bidi="hi-IN"/>
        </w:rPr>
        <w:t>w</w:t>
      </w:r>
      <w:r w:rsidR="00C66D15" w:rsidRPr="00787196">
        <w:rPr>
          <w:lang w:bidi="hi-IN"/>
        </w:rPr>
        <w:t>ere</w:t>
      </w:r>
      <w:r w:rsidR="004B2EB2" w:rsidRPr="00787196">
        <w:rPr>
          <w:lang w:bidi="hi-IN"/>
        </w:rPr>
        <w:t xml:space="preserve"> </w:t>
      </w:r>
      <w:r w:rsidR="00903A6D" w:rsidRPr="00787196">
        <w:rPr>
          <w:lang w:bidi="hi-IN"/>
        </w:rPr>
        <w:t>provided by dental students</w:t>
      </w:r>
      <w:r w:rsidR="00C66D15" w:rsidRPr="00787196">
        <w:rPr>
          <w:lang w:bidi="hi-IN"/>
        </w:rPr>
        <w:t xml:space="preserve"> under the supervision of academic clinical staff.</w:t>
      </w:r>
      <w:r w:rsidR="00903A6D" w:rsidRPr="00787196">
        <w:rPr>
          <w:lang w:bidi="hi-IN"/>
        </w:rPr>
        <w:t xml:space="preserve"> </w:t>
      </w:r>
      <w:r w:rsidR="00C66D15" w:rsidRPr="00787196">
        <w:rPr>
          <w:lang w:bidi="hi-IN"/>
        </w:rPr>
        <w:t>The de</w:t>
      </w:r>
      <w:r w:rsidR="00D0411D" w:rsidRPr="00787196">
        <w:rPr>
          <w:lang w:bidi="hi-IN"/>
        </w:rPr>
        <w:t>scriptive</w:t>
      </w:r>
      <w:r w:rsidR="00C66D15" w:rsidRPr="00787196">
        <w:rPr>
          <w:lang w:bidi="hi-IN"/>
        </w:rPr>
        <w:t xml:space="preserve"> data </w:t>
      </w:r>
      <w:r w:rsidR="00A06A80" w:rsidRPr="00787196">
        <w:rPr>
          <w:lang w:bidi="hi-IN"/>
        </w:rPr>
        <w:t>(Table 5-4)</w:t>
      </w:r>
      <w:r w:rsidR="00C66D15" w:rsidRPr="00787196">
        <w:rPr>
          <w:lang w:bidi="hi-IN"/>
        </w:rPr>
        <w:t xml:space="preserve"> showed that a</w:t>
      </w:r>
      <w:r w:rsidR="0025570C" w:rsidRPr="00787196">
        <w:rPr>
          <w:lang w:bidi="hi-IN"/>
        </w:rPr>
        <w:t xml:space="preserve">pproximately </w:t>
      </w:r>
      <w:r w:rsidR="00903A6D" w:rsidRPr="00787196">
        <w:rPr>
          <w:lang w:bidi="hi-IN"/>
        </w:rPr>
        <w:t xml:space="preserve">60% of the participants were not in active employment </w:t>
      </w:r>
      <w:r w:rsidR="00A06A80" w:rsidRPr="00787196">
        <w:rPr>
          <w:lang w:bidi="hi-IN"/>
        </w:rPr>
        <w:t>but were</w:t>
      </w:r>
      <w:r w:rsidR="00C66D15" w:rsidRPr="00787196">
        <w:rPr>
          <w:lang w:bidi="hi-IN"/>
        </w:rPr>
        <w:t xml:space="preserve"> </w:t>
      </w:r>
      <w:r w:rsidR="00903A6D" w:rsidRPr="00787196">
        <w:rPr>
          <w:lang w:bidi="hi-IN"/>
        </w:rPr>
        <w:t>either</w:t>
      </w:r>
      <w:r w:rsidR="00A06A80" w:rsidRPr="00787196">
        <w:rPr>
          <w:lang w:bidi="hi-IN"/>
        </w:rPr>
        <w:t xml:space="preserve"> </w:t>
      </w:r>
      <w:r w:rsidR="00E36A40" w:rsidRPr="00787196">
        <w:rPr>
          <w:lang w:bidi="hi-IN"/>
        </w:rPr>
        <w:t>un</w:t>
      </w:r>
      <w:r w:rsidR="00903A6D" w:rsidRPr="00787196">
        <w:rPr>
          <w:lang w:bidi="hi-IN"/>
        </w:rPr>
        <w:t>employed</w:t>
      </w:r>
      <w:r w:rsidR="00C66D15" w:rsidRPr="00787196">
        <w:rPr>
          <w:lang w:bidi="hi-IN"/>
        </w:rPr>
        <w:t xml:space="preserve"> or</w:t>
      </w:r>
      <w:r w:rsidR="00903A6D" w:rsidRPr="00787196">
        <w:rPr>
          <w:lang w:bidi="hi-IN"/>
        </w:rPr>
        <w:t xml:space="preserve"> retired. </w:t>
      </w:r>
      <w:r w:rsidR="00C66D15" w:rsidRPr="00787196">
        <w:rPr>
          <w:lang w:bidi="hi-IN"/>
        </w:rPr>
        <w:t xml:space="preserve">The employment figures </w:t>
      </w:r>
      <w:r w:rsidR="00903A6D" w:rsidRPr="00787196">
        <w:rPr>
          <w:lang w:bidi="hi-IN"/>
        </w:rPr>
        <w:t>for th</w:t>
      </w:r>
      <w:r w:rsidR="00C66D15" w:rsidRPr="00787196">
        <w:rPr>
          <w:lang w:bidi="hi-IN"/>
        </w:rPr>
        <w:t>e</w:t>
      </w:r>
      <w:r w:rsidR="00903A6D" w:rsidRPr="00787196">
        <w:rPr>
          <w:lang w:bidi="hi-IN"/>
        </w:rPr>
        <w:t xml:space="preserve"> geographical region</w:t>
      </w:r>
      <w:r w:rsidR="00C66D15" w:rsidRPr="00787196">
        <w:rPr>
          <w:lang w:bidi="hi-IN"/>
        </w:rPr>
        <w:t xml:space="preserve"> </w:t>
      </w:r>
      <w:r w:rsidR="000A325E" w:rsidRPr="00787196">
        <w:rPr>
          <w:lang w:bidi="hi-IN"/>
        </w:rPr>
        <w:t xml:space="preserve">(Chennai) </w:t>
      </w:r>
      <w:r w:rsidR="00E36A40" w:rsidRPr="00787196">
        <w:rPr>
          <w:lang w:bidi="hi-IN"/>
        </w:rPr>
        <w:t xml:space="preserve">showed that </w:t>
      </w:r>
      <w:r w:rsidR="00903A6D" w:rsidRPr="00787196">
        <w:rPr>
          <w:lang w:bidi="hi-IN"/>
        </w:rPr>
        <w:t>60.9% of people were non-workers</w:t>
      </w:r>
      <w:r w:rsidR="00D0411D" w:rsidRPr="00787196">
        <w:rPr>
          <w:lang w:bidi="hi-IN"/>
        </w:rPr>
        <w:t xml:space="preserve"> </w:t>
      </w:r>
      <w:r w:rsidR="00D0411D" w:rsidRPr="00787196">
        <w:rPr>
          <w:lang w:bidi="hi-IN"/>
        </w:rPr>
        <w:fldChar w:fldCharType="begin"/>
      </w:r>
      <w:r w:rsidR="00D0411D" w:rsidRPr="00787196">
        <w:rPr>
          <w:lang w:bidi="hi-IN"/>
        </w:rPr>
        <w:instrText xml:space="preserve"> ADDIN EN.CITE &lt;EndNote&gt;&lt;Cite&gt;&lt;Author&gt;IndiKosh&lt;/Author&gt;&lt;Year&gt;2011&lt;/Year&gt;&lt;RecNum&gt;0&lt;/RecNum&gt;&lt;IDText&gt;Demographics -Chennai district&lt;/IDText&gt;&lt;DisplayText&gt;(IndiKosh, 2011)&lt;/DisplayText&gt;&lt;record&gt;&lt;urls&gt;&lt;related-urls&gt;&lt;url&gt;http://indikosh.com/dist/677073/chennai&lt;/url&gt;&lt;/related-urls&gt;&lt;/urls&gt;&lt;titles&gt;&lt;title&gt;Demographics -Chennai district&lt;/title&gt;&lt;secondary-title&gt;All about India&lt;/secondary-title&gt;&lt;/titles&gt;&lt;number&gt;17-05-2016&lt;/number&gt;&lt;contributors&gt;&lt;authors&gt;&lt;author&gt;IndiKosh&lt;/author&gt;&lt;/authors&gt;&lt;/contributors&gt;&lt;added-date format="utc"&gt;1463748036&lt;/added-date&gt;&lt;ref-type name="Web Page"&gt;12&lt;/ref-type&gt;&lt;dates&gt;&lt;year&gt;2011&lt;/year&gt;&lt;/dates&gt;&lt;rec-number&gt;2029&lt;/rec-number&gt;&lt;publisher&gt;IndiKosh&lt;/publisher&gt;&lt;last-updated-date format="utc"&gt;1463748144&lt;/last-updated-date&gt;&lt;/record&gt;&lt;/Cite&gt;&lt;/EndNote&gt;</w:instrText>
      </w:r>
      <w:r w:rsidR="00D0411D" w:rsidRPr="00787196">
        <w:rPr>
          <w:lang w:bidi="hi-IN"/>
        </w:rPr>
        <w:fldChar w:fldCharType="separate"/>
      </w:r>
      <w:r w:rsidR="00D0411D" w:rsidRPr="00787196">
        <w:rPr>
          <w:lang w:bidi="hi-IN"/>
        </w:rPr>
        <w:t>(IndiKosh, 2011)</w:t>
      </w:r>
      <w:r w:rsidR="00D0411D" w:rsidRPr="00787196">
        <w:rPr>
          <w:lang w:bidi="hi-IN"/>
        </w:rPr>
        <w:fldChar w:fldCharType="end"/>
      </w:r>
      <w:r w:rsidR="00903A6D" w:rsidRPr="00787196">
        <w:rPr>
          <w:lang w:bidi="hi-IN"/>
        </w:rPr>
        <w:t>.</w:t>
      </w:r>
      <w:r w:rsidR="0025570C" w:rsidRPr="00787196">
        <w:rPr>
          <w:lang w:bidi="hi-IN"/>
        </w:rPr>
        <w:t xml:space="preserve"> </w:t>
      </w:r>
      <w:r w:rsidR="00A06A80" w:rsidRPr="00787196">
        <w:rPr>
          <w:lang w:bidi="hi-IN"/>
        </w:rPr>
        <w:t xml:space="preserve">This was in line with </w:t>
      </w:r>
      <w:r w:rsidR="003B5419" w:rsidRPr="00787196">
        <w:rPr>
          <w:lang w:bidi="hi-IN"/>
        </w:rPr>
        <w:t xml:space="preserve">this study sample. </w:t>
      </w:r>
    </w:p>
    <w:p w14:paraId="396F3D96" w14:textId="77777777" w:rsidR="003B5419" w:rsidRPr="00787196" w:rsidRDefault="003B5419" w:rsidP="003B5419">
      <w:pPr>
        <w:spacing w:before="0" w:after="0"/>
        <w:rPr>
          <w:lang w:bidi="hi-IN"/>
        </w:rPr>
      </w:pPr>
    </w:p>
    <w:p w14:paraId="71D5C56D" w14:textId="7859F9F6" w:rsidR="00CA1D94" w:rsidRPr="00787196" w:rsidRDefault="00D15837" w:rsidP="002E67FF">
      <w:pPr>
        <w:spacing w:before="0" w:after="0"/>
        <w:rPr>
          <w:lang w:bidi="hi-IN"/>
        </w:rPr>
      </w:pPr>
      <w:r w:rsidRPr="00787196">
        <w:rPr>
          <w:lang w:bidi="hi-IN"/>
        </w:rPr>
        <w:t>Many p</w:t>
      </w:r>
      <w:r w:rsidR="00903A6D" w:rsidRPr="00787196">
        <w:rPr>
          <w:lang w:bidi="hi-IN"/>
        </w:rPr>
        <w:t xml:space="preserve">articipants were </w:t>
      </w:r>
      <w:r w:rsidR="003B5419" w:rsidRPr="00787196">
        <w:rPr>
          <w:lang w:bidi="hi-IN"/>
        </w:rPr>
        <w:t>from</w:t>
      </w:r>
      <w:r w:rsidR="00903A6D" w:rsidRPr="00787196">
        <w:rPr>
          <w:lang w:bidi="hi-IN"/>
        </w:rPr>
        <w:t xml:space="preserve"> </w:t>
      </w:r>
      <w:r w:rsidR="003B5419" w:rsidRPr="00787196">
        <w:rPr>
          <w:lang w:bidi="hi-IN"/>
        </w:rPr>
        <w:t xml:space="preserve">a </w:t>
      </w:r>
      <w:r w:rsidR="00903A6D" w:rsidRPr="00787196">
        <w:rPr>
          <w:lang w:bidi="hi-IN"/>
        </w:rPr>
        <w:t xml:space="preserve">low </w:t>
      </w:r>
      <w:r w:rsidR="002C6468" w:rsidRPr="00787196">
        <w:rPr>
          <w:lang w:bidi="hi-IN"/>
        </w:rPr>
        <w:t>socioeconomic background</w:t>
      </w:r>
      <w:r w:rsidR="00A06A80" w:rsidRPr="00787196">
        <w:rPr>
          <w:lang w:bidi="hi-IN"/>
        </w:rPr>
        <w:t>. Of</w:t>
      </w:r>
      <w:r w:rsidR="00903A6D" w:rsidRPr="00787196">
        <w:rPr>
          <w:lang w:bidi="hi-IN"/>
        </w:rPr>
        <w:t xml:space="preserve"> only 39.3 %</w:t>
      </w:r>
      <w:r w:rsidR="002C6468" w:rsidRPr="00787196">
        <w:rPr>
          <w:lang w:bidi="hi-IN"/>
        </w:rPr>
        <w:t xml:space="preserve"> </w:t>
      </w:r>
      <w:r w:rsidR="003B5419" w:rsidRPr="00787196">
        <w:rPr>
          <w:lang w:bidi="hi-IN"/>
        </w:rPr>
        <w:t xml:space="preserve">in </w:t>
      </w:r>
      <w:r w:rsidR="00903A6D" w:rsidRPr="00787196">
        <w:rPr>
          <w:lang w:bidi="hi-IN"/>
        </w:rPr>
        <w:t>active employ</w:t>
      </w:r>
      <w:r w:rsidR="003B5419" w:rsidRPr="00787196">
        <w:rPr>
          <w:lang w:bidi="hi-IN"/>
        </w:rPr>
        <w:t>ment</w:t>
      </w:r>
      <w:r w:rsidR="00A06A80" w:rsidRPr="00787196">
        <w:rPr>
          <w:lang w:bidi="hi-IN"/>
        </w:rPr>
        <w:t>,</w:t>
      </w:r>
      <w:r w:rsidR="003B5419" w:rsidRPr="00787196">
        <w:rPr>
          <w:lang w:bidi="hi-IN"/>
        </w:rPr>
        <w:t xml:space="preserve"> only a meagre 3.5% were employed at </w:t>
      </w:r>
      <w:r w:rsidR="002D37D5" w:rsidRPr="00787196">
        <w:rPr>
          <w:lang w:bidi="hi-IN"/>
        </w:rPr>
        <w:t xml:space="preserve">a </w:t>
      </w:r>
      <w:r w:rsidR="003B5419" w:rsidRPr="00787196">
        <w:rPr>
          <w:lang w:bidi="hi-IN"/>
        </w:rPr>
        <w:t>professional</w:t>
      </w:r>
      <w:r w:rsidR="00A06A80" w:rsidRPr="00787196">
        <w:rPr>
          <w:lang w:bidi="hi-IN"/>
        </w:rPr>
        <w:t xml:space="preserve"> or</w:t>
      </w:r>
      <w:r w:rsidR="003B5419" w:rsidRPr="00787196">
        <w:rPr>
          <w:lang w:bidi="hi-IN"/>
        </w:rPr>
        <w:t xml:space="preserve"> semi-professional level. </w:t>
      </w:r>
      <w:r w:rsidR="002C6468" w:rsidRPr="00787196">
        <w:rPr>
          <w:lang w:bidi="hi-IN"/>
        </w:rPr>
        <w:t>O</w:t>
      </w:r>
      <w:r w:rsidR="00903A6D" w:rsidRPr="00787196">
        <w:rPr>
          <w:lang w:bidi="hi-IN"/>
        </w:rPr>
        <w:t>nly 35.3% had an</w:t>
      </w:r>
      <w:r w:rsidR="002C6468" w:rsidRPr="00787196">
        <w:rPr>
          <w:lang w:bidi="hi-IN"/>
        </w:rPr>
        <w:t>y</w:t>
      </w:r>
      <w:r w:rsidR="00903A6D" w:rsidRPr="00787196">
        <w:rPr>
          <w:lang w:bidi="hi-IN"/>
        </w:rPr>
        <w:t xml:space="preserve"> </w:t>
      </w:r>
      <w:r w:rsidR="003B5419" w:rsidRPr="00787196">
        <w:rPr>
          <w:lang w:bidi="hi-IN"/>
        </w:rPr>
        <w:t xml:space="preserve">formal </w:t>
      </w:r>
      <w:r w:rsidR="00903A6D" w:rsidRPr="00787196">
        <w:rPr>
          <w:lang w:bidi="hi-IN"/>
        </w:rPr>
        <w:t>education above high school level. Th</w:t>
      </w:r>
      <w:r w:rsidR="002D77C3" w:rsidRPr="00787196">
        <w:rPr>
          <w:lang w:bidi="hi-IN"/>
        </w:rPr>
        <w:t>e</w:t>
      </w:r>
      <w:r w:rsidR="00903A6D" w:rsidRPr="00787196">
        <w:rPr>
          <w:lang w:bidi="hi-IN"/>
        </w:rPr>
        <w:t xml:space="preserve"> </w:t>
      </w:r>
      <w:r w:rsidR="003B5419" w:rsidRPr="00787196">
        <w:rPr>
          <w:lang w:bidi="hi-IN"/>
        </w:rPr>
        <w:t>homogeneity of th</w:t>
      </w:r>
      <w:r w:rsidR="00336615" w:rsidRPr="00787196">
        <w:rPr>
          <w:lang w:bidi="hi-IN"/>
        </w:rPr>
        <w:t xml:space="preserve">is </w:t>
      </w:r>
      <w:r w:rsidR="00D13B9B" w:rsidRPr="00787196">
        <w:rPr>
          <w:lang w:bidi="hi-IN"/>
        </w:rPr>
        <w:t>study</w:t>
      </w:r>
      <w:r w:rsidR="003B5419" w:rsidRPr="00787196">
        <w:rPr>
          <w:lang w:bidi="hi-IN"/>
        </w:rPr>
        <w:t xml:space="preserve"> sample </w:t>
      </w:r>
      <w:r w:rsidR="00903A6D" w:rsidRPr="00787196">
        <w:rPr>
          <w:lang w:bidi="hi-IN"/>
        </w:rPr>
        <w:t xml:space="preserve">may have </w:t>
      </w:r>
      <w:r w:rsidR="003B5419" w:rsidRPr="00787196">
        <w:rPr>
          <w:lang w:bidi="hi-IN"/>
        </w:rPr>
        <w:t>played a</w:t>
      </w:r>
      <w:r w:rsidR="007C45B2" w:rsidRPr="00787196">
        <w:rPr>
          <w:lang w:bidi="hi-IN"/>
        </w:rPr>
        <w:t xml:space="preserve"> </w:t>
      </w:r>
      <w:r w:rsidR="003B5419" w:rsidRPr="00787196">
        <w:rPr>
          <w:lang w:bidi="hi-IN"/>
        </w:rPr>
        <w:t xml:space="preserve">role </w:t>
      </w:r>
      <w:r w:rsidR="003112FF" w:rsidRPr="00787196">
        <w:rPr>
          <w:lang w:bidi="hi-IN"/>
        </w:rPr>
        <w:t>in the</w:t>
      </w:r>
      <w:r w:rsidR="00D77977" w:rsidRPr="00787196">
        <w:rPr>
          <w:lang w:bidi="hi-IN"/>
        </w:rPr>
        <w:t xml:space="preserve"> </w:t>
      </w:r>
      <w:r w:rsidR="0051306C" w:rsidRPr="00787196">
        <w:rPr>
          <w:lang w:bidi="hi-IN"/>
        </w:rPr>
        <w:t>influencing the results</w:t>
      </w:r>
      <w:r w:rsidR="003B5419" w:rsidRPr="00787196">
        <w:rPr>
          <w:lang w:bidi="hi-IN"/>
        </w:rPr>
        <w:t xml:space="preserve">. </w:t>
      </w:r>
      <w:r w:rsidR="00834CA8" w:rsidRPr="00787196">
        <w:rPr>
          <w:lang w:bidi="hi-IN"/>
        </w:rPr>
        <w:t>S</w:t>
      </w:r>
      <w:r w:rsidR="0051306C" w:rsidRPr="00787196">
        <w:rPr>
          <w:lang w:bidi="hi-IN"/>
        </w:rPr>
        <w:t xml:space="preserve">tudies have shown strong associations between health knowledge, behaviour, attitudes and socio-economic status </w:t>
      </w:r>
      <w:r w:rsidR="0051306C" w:rsidRPr="00787196">
        <w:rPr>
          <w:lang w:bidi="hi-IN"/>
        </w:rPr>
        <w:fldChar w:fldCharType="begin">
          <w:fldData xml:space="preserve">PEVuZE5vdGU+PENpdGU+PEF1dGhvcj5XaWxsaWFtczwvQXV0aG9yPjxZZWFyPjIwMDI8L1llYXI+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</w:fldData>
        </w:fldChar>
      </w:r>
      <w:r w:rsidR="0051306C" w:rsidRPr="00787196">
        <w:rPr>
          <w:lang w:bidi="hi-IN"/>
        </w:rPr>
        <w:instrText xml:space="preserve"> ADDIN EN.CITE </w:instrText>
      </w:r>
      <w:r w:rsidR="0051306C" w:rsidRPr="00787196">
        <w:rPr>
          <w:lang w:bidi="hi-IN"/>
        </w:rPr>
        <w:fldChar w:fldCharType="begin">
          <w:fldData xml:space="preserve">PEVuZE5vdGU+PENpdGU+PEF1dGhvcj5XaWxsaWFtczwvQXV0aG9yPjxZZWFyPjIwMDI8L1llYXI+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</w:fldData>
        </w:fldChar>
      </w:r>
      <w:r w:rsidR="0051306C" w:rsidRPr="00787196">
        <w:rPr>
          <w:lang w:bidi="hi-IN"/>
        </w:rPr>
        <w:instrText xml:space="preserve"> ADDIN EN.CITE.DATA </w:instrText>
      </w:r>
      <w:r w:rsidR="0051306C" w:rsidRPr="00787196">
        <w:rPr>
          <w:lang w:bidi="hi-IN"/>
        </w:rPr>
      </w:r>
      <w:r w:rsidR="0051306C" w:rsidRPr="00787196">
        <w:rPr>
          <w:lang w:bidi="hi-IN"/>
        </w:rPr>
        <w:fldChar w:fldCharType="end"/>
      </w:r>
      <w:r w:rsidR="0051306C" w:rsidRPr="00787196">
        <w:rPr>
          <w:lang w:bidi="hi-IN"/>
        </w:rPr>
      </w:r>
      <w:r w:rsidR="0051306C" w:rsidRPr="00787196">
        <w:rPr>
          <w:lang w:bidi="hi-IN"/>
        </w:rPr>
        <w:fldChar w:fldCharType="separate"/>
      </w:r>
      <w:r w:rsidR="0051306C" w:rsidRPr="00787196">
        <w:rPr>
          <w:noProof/>
          <w:lang w:bidi="hi-IN"/>
        </w:rPr>
        <w:t>(Williams et al., 2002, Newton and Bower, 2005)</w:t>
      </w:r>
      <w:r w:rsidR="0051306C" w:rsidRPr="00787196">
        <w:rPr>
          <w:lang w:bidi="hi-IN"/>
        </w:rPr>
        <w:fldChar w:fldCharType="end"/>
      </w:r>
      <w:r w:rsidR="00834CA8" w:rsidRPr="00787196">
        <w:rPr>
          <w:lang w:bidi="hi-IN"/>
        </w:rPr>
        <w:t xml:space="preserve">. </w:t>
      </w:r>
      <w:r w:rsidR="00F5609C" w:rsidRPr="00787196">
        <w:rPr>
          <w:lang w:bidi="hi-IN"/>
        </w:rPr>
        <w:t>T</w:t>
      </w:r>
      <w:r w:rsidR="00EE4D02" w:rsidRPr="00787196">
        <w:rPr>
          <w:lang w:bidi="hi-IN"/>
        </w:rPr>
        <w:t xml:space="preserve">he </w:t>
      </w:r>
      <w:r w:rsidR="00834CA8" w:rsidRPr="00787196">
        <w:rPr>
          <w:lang w:bidi="hi-IN"/>
        </w:rPr>
        <w:t>characteristics of po</w:t>
      </w:r>
      <w:r w:rsidR="00EE4D02" w:rsidRPr="00787196">
        <w:rPr>
          <w:lang w:bidi="hi-IN"/>
        </w:rPr>
        <w:t>pulations</w:t>
      </w:r>
      <w:r w:rsidR="00F5609C" w:rsidRPr="00787196">
        <w:rPr>
          <w:lang w:bidi="hi-IN"/>
        </w:rPr>
        <w:t xml:space="preserve"> are</w:t>
      </w:r>
      <w:r w:rsidR="00EE4D02" w:rsidRPr="00787196">
        <w:rPr>
          <w:rFonts w:cs="Arial"/>
          <w:shd w:val="clear" w:color="auto" w:fill="F9F9F9"/>
        </w:rPr>
        <w:t xml:space="preserve"> proximal </w:t>
      </w:r>
      <w:r w:rsidR="00660CF3" w:rsidRPr="00787196">
        <w:rPr>
          <w:rFonts w:cs="Arial"/>
          <w:shd w:val="clear" w:color="auto" w:fill="F9F9F9"/>
        </w:rPr>
        <w:t>c</w:t>
      </w:r>
      <w:r w:rsidR="00EE4D02" w:rsidRPr="00787196">
        <w:rPr>
          <w:rFonts w:cs="Arial"/>
          <w:shd w:val="clear" w:color="auto" w:fill="F9F9F9"/>
        </w:rPr>
        <w:t>aus</w:t>
      </w:r>
      <w:r w:rsidR="00660CF3" w:rsidRPr="00787196">
        <w:rPr>
          <w:rFonts w:cs="Arial"/>
          <w:shd w:val="clear" w:color="auto" w:fill="F9F9F9"/>
        </w:rPr>
        <w:t>es of</w:t>
      </w:r>
      <w:r w:rsidR="00F5609C" w:rsidRPr="00787196">
        <w:rPr>
          <w:rFonts w:cs="Arial"/>
          <w:shd w:val="clear" w:color="auto" w:fill="F9F9F9"/>
        </w:rPr>
        <w:t xml:space="preserve"> </w:t>
      </w:r>
      <w:r w:rsidR="00EE4D02" w:rsidRPr="00787196">
        <w:rPr>
          <w:rFonts w:cs="Arial"/>
          <w:shd w:val="clear" w:color="auto" w:fill="F9F9F9"/>
        </w:rPr>
        <w:t xml:space="preserve">health </w:t>
      </w:r>
      <w:r w:rsidR="00F5609C" w:rsidRPr="00787196">
        <w:rPr>
          <w:rFonts w:cs="Arial"/>
          <w:shd w:val="clear" w:color="auto" w:fill="F9F9F9"/>
        </w:rPr>
        <w:t xml:space="preserve">disparities </w:t>
      </w:r>
      <w:r w:rsidR="00EE4D02" w:rsidRPr="00787196">
        <w:rPr>
          <w:rFonts w:cs="Arial"/>
          <w:shd w:val="clear" w:color="auto" w:fill="F9F9F9"/>
        </w:rPr>
        <w:t>inequalities and</w:t>
      </w:r>
      <w:r w:rsidR="001F6CCB" w:rsidRPr="00787196">
        <w:rPr>
          <w:rFonts w:cs="Arial"/>
          <w:shd w:val="clear" w:color="auto" w:fill="F9F9F9"/>
        </w:rPr>
        <w:t xml:space="preserve"> associated</w:t>
      </w:r>
      <w:r w:rsidR="00EE4D02" w:rsidRPr="00787196">
        <w:rPr>
          <w:rFonts w:cs="Arial"/>
          <w:shd w:val="clear" w:color="auto" w:fill="F9F9F9"/>
        </w:rPr>
        <w:t xml:space="preserve"> </w:t>
      </w:r>
      <w:r w:rsidR="00A257A7" w:rsidRPr="00787196">
        <w:rPr>
          <w:rFonts w:cs="Arial"/>
          <w:shd w:val="clear" w:color="auto" w:fill="F9F9F9"/>
        </w:rPr>
        <w:t>behaviours</w:t>
      </w:r>
      <w:r w:rsidR="00A06A80" w:rsidRPr="00787196">
        <w:rPr>
          <w:rFonts w:cs="Arial"/>
          <w:shd w:val="clear" w:color="auto" w:fill="F9F9F9"/>
        </w:rPr>
        <w:t xml:space="preserve"> </w:t>
      </w:r>
      <w:r w:rsidR="00EE4D02" w:rsidRPr="00787196">
        <w:rPr>
          <w:rFonts w:cs="Arial"/>
          <w:shd w:val="clear" w:color="auto" w:fill="F9F9F9"/>
        </w:rPr>
        <w:fldChar w:fldCharType="begin"/>
      </w:r>
      <w:r w:rsidR="00EE4D02" w:rsidRPr="00787196">
        <w:rPr>
          <w:rFonts w:cs="Arial"/>
          <w:shd w:val="clear" w:color="auto" w:fill="F9F9F9"/>
        </w:rPr>
        <w:instrText xml:space="preserve"> ADDIN EN.CITE &lt;EndNote&gt;&lt;Cite&gt;&lt;Author&gt;Riley&lt;/Author&gt;&lt;Year&gt;2006&lt;/Year&gt;&lt;IDText&gt;Dental attitudes: proximal basis for oral health disparities in adults&lt;/IDText&gt;&lt;DisplayText&gt;(Riley et al., 2006)&lt;/DisplayText&gt;&lt;record&gt;&lt;isbn&gt;1600-0528&lt;/isbn&gt;&lt;titles&gt;&lt;title&gt;Dental attitudes: proximal basis for oral health disparities in adults&lt;/title&gt;&lt;secondary-title&gt;Community dentistry and oral epidemiology&lt;/secondary-title&gt;&lt;/titles&gt;&lt;pages&gt;289-298&lt;/pages&gt;&lt;number&gt;4&lt;/number&gt;&lt;contributors&gt;&lt;authors&gt;&lt;author&gt;Riley, Joseph L.&lt;/author&gt;&lt;author&gt;Gilbert, Gregg H.&lt;/author&gt;&lt;author&gt;Heft, Marc W.&lt;/author&gt;&lt;/authors&gt;&lt;/contributors&gt;&lt;added-date format="utc"&gt;1498807814&lt;/added-date&gt;&lt;ref-type name="Journal Article"&gt;17&lt;/ref-type&gt;&lt;dates&gt;&lt;year&gt;2006&lt;/year&gt;&lt;/dates&gt;&lt;rec-number&gt;2787&lt;/rec-number&gt;&lt;publisher&gt;Wiley Online Library&lt;/publisher&gt;&lt;last-updated-date format="utc"&gt;1498807814&lt;/last-updated-date&gt;&lt;volume&gt;34&lt;/volume&gt;&lt;/record&gt;&lt;/Cite&gt;&lt;/EndNote&gt;</w:instrText>
      </w:r>
      <w:r w:rsidR="00EE4D02" w:rsidRPr="00787196">
        <w:rPr>
          <w:rFonts w:cs="Arial"/>
          <w:shd w:val="clear" w:color="auto" w:fill="F9F9F9"/>
        </w:rPr>
        <w:fldChar w:fldCharType="separate"/>
      </w:r>
      <w:r w:rsidR="00EE4D02" w:rsidRPr="00787196">
        <w:rPr>
          <w:rFonts w:cs="Arial"/>
          <w:noProof/>
          <w:shd w:val="clear" w:color="auto" w:fill="F9F9F9"/>
        </w:rPr>
        <w:t>(Riley et al., 2006)</w:t>
      </w:r>
      <w:r w:rsidR="00EE4D02" w:rsidRPr="00787196">
        <w:rPr>
          <w:rFonts w:cs="Arial"/>
          <w:shd w:val="clear" w:color="auto" w:fill="F9F9F9"/>
        </w:rPr>
        <w:fldChar w:fldCharType="end"/>
      </w:r>
      <w:r w:rsidR="00EE4D02" w:rsidRPr="00787196">
        <w:rPr>
          <w:lang w:bidi="hi-IN"/>
        </w:rPr>
        <w:t>.</w:t>
      </w:r>
      <w:r w:rsidR="00903A6D" w:rsidRPr="00787196">
        <w:rPr>
          <w:lang w:bidi="hi-IN"/>
        </w:rPr>
        <w:t xml:space="preserve"> </w:t>
      </w:r>
      <w:r w:rsidR="00F5609C" w:rsidRPr="00787196">
        <w:rPr>
          <w:lang w:bidi="hi-IN"/>
        </w:rPr>
        <w:t xml:space="preserve">In the present study, most </w:t>
      </w:r>
      <w:r w:rsidR="00903A6D" w:rsidRPr="00787196">
        <w:rPr>
          <w:lang w:bidi="hi-IN"/>
        </w:rPr>
        <w:t>participants</w:t>
      </w:r>
      <w:r w:rsidR="00660CF3" w:rsidRPr="00787196">
        <w:rPr>
          <w:lang w:bidi="hi-IN"/>
        </w:rPr>
        <w:t>,</w:t>
      </w:r>
      <w:r w:rsidR="00903A6D" w:rsidRPr="00787196">
        <w:rPr>
          <w:lang w:bidi="hi-IN"/>
        </w:rPr>
        <w:t xml:space="preserve"> </w:t>
      </w:r>
      <w:r w:rsidR="00F5609C" w:rsidRPr="00787196">
        <w:rPr>
          <w:lang w:bidi="hi-IN"/>
        </w:rPr>
        <w:t>owing to their lower SES</w:t>
      </w:r>
      <w:r w:rsidR="00336ED3" w:rsidRPr="00787196">
        <w:rPr>
          <w:lang w:bidi="hi-IN"/>
        </w:rPr>
        <w:t xml:space="preserve">, </w:t>
      </w:r>
      <w:r w:rsidR="00E70CD3" w:rsidRPr="00787196">
        <w:rPr>
          <w:lang w:bidi="hi-IN"/>
        </w:rPr>
        <w:t>the associated attitudes</w:t>
      </w:r>
      <w:r w:rsidR="00336ED3" w:rsidRPr="00787196">
        <w:rPr>
          <w:lang w:bidi="hi-IN"/>
        </w:rPr>
        <w:t xml:space="preserve"> and</w:t>
      </w:r>
      <w:r w:rsidR="00E70CD3" w:rsidRPr="00787196">
        <w:rPr>
          <w:lang w:bidi="hi-IN"/>
        </w:rPr>
        <w:t xml:space="preserve"> </w:t>
      </w:r>
      <w:r w:rsidR="00F5609C" w:rsidRPr="00787196">
        <w:rPr>
          <w:lang w:bidi="hi-IN"/>
        </w:rPr>
        <w:t xml:space="preserve">behaviours </w:t>
      </w:r>
      <w:r w:rsidR="00903A6D" w:rsidRPr="00787196">
        <w:rPr>
          <w:lang w:bidi="hi-IN"/>
        </w:rPr>
        <w:t>may have been</w:t>
      </w:r>
      <w:r w:rsidR="0025570C" w:rsidRPr="00787196">
        <w:rPr>
          <w:lang w:bidi="hi-IN"/>
        </w:rPr>
        <w:t xml:space="preserve"> </w:t>
      </w:r>
      <w:r w:rsidR="002C6468" w:rsidRPr="00787196">
        <w:rPr>
          <w:lang w:bidi="hi-IN"/>
        </w:rPr>
        <w:t xml:space="preserve">readily </w:t>
      </w:r>
      <w:r w:rsidR="00903A6D" w:rsidRPr="00787196">
        <w:rPr>
          <w:lang w:bidi="hi-IN"/>
        </w:rPr>
        <w:t>willing to accept dentures</w:t>
      </w:r>
      <w:r w:rsidR="00F5609C" w:rsidRPr="00787196">
        <w:rPr>
          <w:lang w:bidi="hi-IN"/>
        </w:rPr>
        <w:t xml:space="preserve"> for the following possible reasons. Firstly, for its subsidised </w:t>
      </w:r>
      <w:r w:rsidR="00E4443A" w:rsidRPr="00787196">
        <w:rPr>
          <w:lang w:bidi="hi-IN"/>
        </w:rPr>
        <w:t>cost</w:t>
      </w:r>
      <w:r w:rsidR="00EC7B0C" w:rsidRPr="00787196">
        <w:rPr>
          <w:lang w:bidi="hi-IN"/>
        </w:rPr>
        <w:t xml:space="preserve">. Secondly, the authority of </w:t>
      </w:r>
      <w:r w:rsidR="00290094" w:rsidRPr="00787196">
        <w:rPr>
          <w:lang w:bidi="hi-IN"/>
        </w:rPr>
        <w:t>the clinicians</w:t>
      </w:r>
      <w:r w:rsidR="00336ED3" w:rsidRPr="00787196">
        <w:rPr>
          <w:lang w:bidi="hi-IN"/>
        </w:rPr>
        <w:t xml:space="preserve"> in the</w:t>
      </w:r>
      <w:r w:rsidR="00CF708F" w:rsidRPr="00787196">
        <w:rPr>
          <w:lang w:bidi="hi-IN"/>
        </w:rPr>
        <w:t xml:space="preserve"> developing </w:t>
      </w:r>
      <w:r w:rsidR="00336ED3" w:rsidRPr="00787196">
        <w:rPr>
          <w:lang w:bidi="hi-IN"/>
        </w:rPr>
        <w:t>countries</w:t>
      </w:r>
      <w:r w:rsidR="004C2735" w:rsidRPr="00787196">
        <w:rPr>
          <w:lang w:bidi="hi-IN"/>
        </w:rPr>
        <w:t>,</w:t>
      </w:r>
      <w:r w:rsidR="00CF708F" w:rsidRPr="00787196">
        <w:rPr>
          <w:lang w:bidi="hi-IN"/>
        </w:rPr>
        <w:t xml:space="preserve"> </w:t>
      </w:r>
      <w:r w:rsidR="00336ED3" w:rsidRPr="00787196">
        <w:rPr>
          <w:lang w:bidi="hi-IN"/>
        </w:rPr>
        <w:t>where</w:t>
      </w:r>
      <w:r w:rsidR="00BD1D47" w:rsidRPr="00787196">
        <w:rPr>
          <w:lang w:bidi="hi-IN"/>
        </w:rPr>
        <w:t xml:space="preserve"> </w:t>
      </w:r>
      <w:r w:rsidR="004314BA" w:rsidRPr="00787196">
        <w:rPr>
          <w:lang w:bidi="hi-IN"/>
        </w:rPr>
        <w:t xml:space="preserve">health interventions are still largely use biomedical downstream (top down) approaches </w:t>
      </w:r>
      <w:r w:rsidR="004314BA" w:rsidRPr="00787196">
        <w:rPr>
          <w:lang w:bidi="hi-IN"/>
        </w:rPr>
        <w:fldChar w:fldCharType="begin"/>
      </w:r>
      <w:r w:rsidR="00C02A39" w:rsidRPr="00787196">
        <w:rPr>
          <w:lang w:bidi="hi-IN"/>
        </w:rPr>
        <w:instrText xml:space="preserve"> ADDIN EN.CITE &lt;EndNote&gt;&lt;Cite&gt;&lt;Author&gt;Watt&lt;/Author&gt;&lt;Year&gt;2007&lt;/Year&gt;&lt;IDText&gt;From victim blaming to upstream action: tackling the social determinants of oral health inequalities&lt;/IDText&gt;&lt;DisplayText&gt;(Watt, 2007)&lt;/DisplayText&gt;&lt;record&gt;&lt;dates&gt;&lt;pub-dates&gt;&lt;date&gt;Feb&lt;/date&gt;&lt;/pub-dates&gt;&lt;year&gt;2007&lt;/year&gt;&lt;/dates&gt;&lt;keywords&gt;&lt;keyword&gt;Attitude to Health&lt;/keyword&gt;&lt;keyword&gt;*Dental Health Services&lt;/keyword&gt;&lt;keyword&gt;Health Behavior&lt;/keyword&gt;&lt;keyword&gt;Health Care Reform&lt;/keyword&gt;&lt;keyword&gt;*Health Policy&lt;/keyword&gt;&lt;keyword&gt;Health Promotion&lt;/keyword&gt;&lt;keyword&gt;*Health Services Accessibility&lt;/keyword&gt;&lt;keyword&gt;Humans&lt;/keyword&gt;&lt;keyword&gt;Politics&lt;/keyword&gt;&lt;keyword&gt;Social Environment&lt;/keyword&gt;&lt;keyword&gt;Socioeconomic Factors&lt;/keyword&gt;&lt;/keywords&gt;&lt;isbn&gt;0301-5661 (Print)&amp;#xD;0301-5661&lt;/isbn&gt;&lt;titles&gt;&lt;title&gt;From victim blaming to upstream action: tackling the social determinants of oral health inequalities&lt;/title&gt;&lt;secondary-title&gt;Community Dent Oral Epidemiol&lt;/secondary-title&gt;&lt;alt-title&gt;Community dentistry and oral epidemiology&lt;/alt-title&gt;&lt;/titles&gt;&lt;pages&gt;1-11&lt;/pages&gt;&lt;number&gt;1&lt;/number&gt;&lt;contributors&gt;&lt;authors&gt;&lt;author&gt;Watt, R. G.&lt;/author&gt;&lt;/authors&gt;&lt;/contributors&gt;&lt;edition&gt;2007/01/25&lt;/edition&gt;&lt;language&gt;eng&lt;/language&gt;&lt;added-date format="utc"&gt;1394721534&lt;/added-date&gt;&lt;ref-type name="Journal Article"&gt;17&lt;/ref-type&gt;&lt;auth-address&gt;Department of Epidemiology and Public Health, University College London, London, UK. r.watt@ucl.ac.uk&lt;/auth-address&gt;&lt;remote-database-provider&gt;NLM&lt;/remote-database-provider&gt;&lt;rec-number&gt;1994&lt;/rec-number&gt;&lt;last-updated-date format="utc"&gt;1394721534&lt;/last-updated-date&gt;&lt;accession-num&gt;17244132&lt;/accession-num&gt;&lt;electronic-resource-num&gt;10.1111/j.1600-0528.2007.00348.x&lt;/electronic-resource-num&gt;&lt;volume&gt;35&lt;/volume&gt;&lt;/record&gt;&lt;/Cite&gt;&lt;/EndNote&gt;</w:instrText>
      </w:r>
      <w:r w:rsidR="004314BA" w:rsidRPr="00787196">
        <w:rPr>
          <w:lang w:bidi="hi-IN"/>
        </w:rPr>
        <w:fldChar w:fldCharType="separate"/>
      </w:r>
      <w:r w:rsidR="00C02A39" w:rsidRPr="00787196">
        <w:rPr>
          <w:noProof/>
          <w:lang w:bidi="hi-IN"/>
        </w:rPr>
        <w:t>(Watt, 2007)</w:t>
      </w:r>
      <w:r w:rsidR="004314BA" w:rsidRPr="00787196">
        <w:rPr>
          <w:lang w:bidi="hi-IN"/>
        </w:rPr>
        <w:fldChar w:fldCharType="end"/>
      </w:r>
      <w:r w:rsidR="004314BA" w:rsidRPr="00787196">
        <w:rPr>
          <w:lang w:bidi="hi-IN"/>
        </w:rPr>
        <w:t xml:space="preserve"> . P</w:t>
      </w:r>
      <w:r w:rsidR="00343BAC" w:rsidRPr="00787196">
        <w:rPr>
          <w:lang w:bidi="hi-IN"/>
        </w:rPr>
        <w:t>atients</w:t>
      </w:r>
      <w:r w:rsidR="00336ED3" w:rsidRPr="00787196">
        <w:rPr>
          <w:lang w:bidi="hi-IN"/>
        </w:rPr>
        <w:t xml:space="preserve"> </w:t>
      </w:r>
      <w:r w:rsidR="002E67FF" w:rsidRPr="00787196">
        <w:rPr>
          <w:lang w:bidi="hi-IN"/>
        </w:rPr>
        <w:t xml:space="preserve">who </w:t>
      </w:r>
      <w:r w:rsidR="004314BA" w:rsidRPr="00787196">
        <w:rPr>
          <w:lang w:bidi="hi-IN"/>
        </w:rPr>
        <w:t xml:space="preserve">are in a precarious </w:t>
      </w:r>
      <w:r w:rsidR="00336ED3" w:rsidRPr="00787196">
        <w:rPr>
          <w:lang w:bidi="hi-IN"/>
        </w:rPr>
        <w:t>p</w:t>
      </w:r>
      <w:r w:rsidR="004314BA" w:rsidRPr="00787196">
        <w:rPr>
          <w:lang w:bidi="hi-IN"/>
        </w:rPr>
        <w:t xml:space="preserve">osition </w:t>
      </w:r>
      <w:r w:rsidR="002E67FF" w:rsidRPr="00787196">
        <w:rPr>
          <w:lang w:bidi="hi-IN"/>
        </w:rPr>
        <w:t>with low SES and vulnerab</w:t>
      </w:r>
      <w:r w:rsidR="00660CF3" w:rsidRPr="00787196">
        <w:rPr>
          <w:lang w:bidi="hi-IN"/>
        </w:rPr>
        <w:t>ility</w:t>
      </w:r>
      <w:r w:rsidR="002E67FF" w:rsidRPr="00787196">
        <w:rPr>
          <w:lang w:bidi="hi-IN"/>
        </w:rPr>
        <w:t xml:space="preserve"> </w:t>
      </w:r>
      <w:r w:rsidR="004314BA" w:rsidRPr="00787196">
        <w:rPr>
          <w:lang w:bidi="hi-IN"/>
        </w:rPr>
        <w:t>bear</w:t>
      </w:r>
      <w:r w:rsidR="00336ED3" w:rsidRPr="00787196">
        <w:rPr>
          <w:lang w:bidi="hi-IN"/>
        </w:rPr>
        <w:t xml:space="preserve"> the onus</w:t>
      </w:r>
      <w:r w:rsidR="00343BAC" w:rsidRPr="00787196">
        <w:rPr>
          <w:lang w:bidi="hi-IN"/>
        </w:rPr>
        <w:t xml:space="preserve"> </w:t>
      </w:r>
      <w:r w:rsidR="004314BA" w:rsidRPr="00787196">
        <w:rPr>
          <w:lang w:bidi="hi-IN"/>
        </w:rPr>
        <w:t xml:space="preserve">for </w:t>
      </w:r>
      <w:r w:rsidR="002E67FF" w:rsidRPr="00787196">
        <w:rPr>
          <w:lang w:bidi="hi-IN"/>
        </w:rPr>
        <w:t>the treatment</w:t>
      </w:r>
      <w:r w:rsidR="00343BAC" w:rsidRPr="00787196">
        <w:rPr>
          <w:lang w:bidi="hi-IN"/>
        </w:rPr>
        <w:t xml:space="preserve"> outcome. So there may have been underlying </w:t>
      </w:r>
      <w:r w:rsidR="00755522" w:rsidRPr="00787196">
        <w:rPr>
          <w:lang w:bidi="hi-IN"/>
        </w:rPr>
        <w:t xml:space="preserve">factors </w:t>
      </w:r>
      <w:r w:rsidR="00660CF3" w:rsidRPr="00787196">
        <w:rPr>
          <w:lang w:bidi="hi-IN"/>
        </w:rPr>
        <w:t>that</w:t>
      </w:r>
      <w:r w:rsidR="00755522" w:rsidRPr="00787196">
        <w:rPr>
          <w:lang w:bidi="hi-IN"/>
        </w:rPr>
        <w:t xml:space="preserve"> played a role in the coping behaviour of the </w:t>
      </w:r>
      <w:r w:rsidR="00167500" w:rsidRPr="00787196">
        <w:rPr>
          <w:lang w:bidi="hi-IN"/>
        </w:rPr>
        <w:t>participants</w:t>
      </w:r>
      <w:r w:rsidR="00755522" w:rsidRPr="00787196">
        <w:rPr>
          <w:lang w:bidi="hi-IN"/>
        </w:rPr>
        <w:t>.</w:t>
      </w:r>
      <w:r w:rsidR="00343BAC" w:rsidRPr="00787196">
        <w:rPr>
          <w:lang w:bidi="hi-IN"/>
        </w:rPr>
        <w:t xml:space="preserve"> </w:t>
      </w:r>
    </w:p>
    <w:p w14:paraId="26EAB41C" w14:textId="77777777" w:rsidR="00CA1D94" w:rsidRPr="00787196" w:rsidRDefault="00CA1D94" w:rsidP="00CA1D94">
      <w:pPr>
        <w:spacing w:before="0" w:after="0"/>
        <w:rPr>
          <w:lang w:bidi="hi-IN"/>
        </w:rPr>
      </w:pPr>
    </w:p>
    <w:p w14:paraId="0196859A" w14:textId="77777777" w:rsidR="002E67FF" w:rsidRPr="00787196" w:rsidRDefault="002E67FF">
      <w:pPr>
        <w:spacing w:before="0" w:after="0" w:line="240" w:lineRule="auto"/>
        <w:jc w:val="left"/>
        <w:rPr>
          <w:lang w:bidi="hi-IN"/>
        </w:rPr>
      </w:pPr>
      <w:r w:rsidRPr="00787196">
        <w:rPr>
          <w:lang w:bidi="hi-IN"/>
        </w:rPr>
        <w:br w:type="page"/>
      </w:r>
    </w:p>
    <w:p w14:paraId="732ACF7C" w14:textId="77777777" w:rsidR="0033775C" w:rsidRPr="00787196" w:rsidRDefault="00B9356C" w:rsidP="0033775C">
      <w:pPr>
        <w:spacing w:before="0" w:after="0"/>
        <w:rPr>
          <w:lang w:bidi="hi-IN"/>
        </w:rPr>
      </w:pPr>
      <w:r w:rsidRPr="00787196">
        <w:rPr>
          <w:lang w:bidi="hi-IN"/>
        </w:rPr>
        <w:lastRenderedPageBreak/>
        <w:t>The sample used for this study, although line with local employment figures for the year 2011, is still quite a homogenous in terms of SES and does not necessarily represent the population proportionately. Hence,</w:t>
      </w:r>
      <w:r w:rsidR="002E67FF" w:rsidRPr="00787196">
        <w:rPr>
          <w:lang w:bidi="hi-IN"/>
        </w:rPr>
        <w:t xml:space="preserve"> </w:t>
      </w:r>
      <w:r w:rsidRPr="00787196">
        <w:rPr>
          <w:lang w:bidi="hi-IN"/>
        </w:rPr>
        <w:t>there</w:t>
      </w:r>
      <w:r w:rsidR="002E67FF" w:rsidRPr="00787196">
        <w:rPr>
          <w:lang w:bidi="hi-IN"/>
        </w:rPr>
        <w:t xml:space="preserve"> is a </w:t>
      </w:r>
      <w:r w:rsidR="00745162" w:rsidRPr="00787196">
        <w:rPr>
          <w:lang w:bidi="hi-IN"/>
        </w:rPr>
        <w:t>possib</w:t>
      </w:r>
      <w:r w:rsidR="002E67FF" w:rsidRPr="00787196">
        <w:rPr>
          <w:lang w:bidi="hi-IN"/>
        </w:rPr>
        <w:t>ility</w:t>
      </w:r>
      <w:r w:rsidR="00745162" w:rsidRPr="00787196">
        <w:rPr>
          <w:lang w:bidi="hi-IN"/>
        </w:rPr>
        <w:t xml:space="preserve"> </w:t>
      </w:r>
      <w:r w:rsidR="002F59EB" w:rsidRPr="00787196">
        <w:rPr>
          <w:lang w:bidi="hi-IN"/>
        </w:rPr>
        <w:t>that</w:t>
      </w:r>
      <w:r w:rsidR="00903A6D" w:rsidRPr="00787196">
        <w:rPr>
          <w:lang w:bidi="hi-IN"/>
        </w:rPr>
        <w:t xml:space="preserve"> the </w:t>
      </w:r>
      <w:r w:rsidR="002E67FF" w:rsidRPr="00787196">
        <w:rPr>
          <w:lang w:bidi="hi-IN"/>
        </w:rPr>
        <w:t>results of th</w:t>
      </w:r>
      <w:r w:rsidR="00903A6D" w:rsidRPr="00787196">
        <w:rPr>
          <w:lang w:bidi="hi-IN"/>
        </w:rPr>
        <w:t>is study cannot be generalis</w:t>
      </w:r>
      <w:r w:rsidR="00EA681D" w:rsidRPr="00787196">
        <w:rPr>
          <w:lang w:bidi="hi-IN"/>
        </w:rPr>
        <w:t>ed to</w:t>
      </w:r>
      <w:r w:rsidR="00903A6D" w:rsidRPr="00787196">
        <w:rPr>
          <w:lang w:bidi="hi-IN"/>
        </w:rPr>
        <w:t xml:space="preserve"> larger</w:t>
      </w:r>
      <w:r w:rsidRPr="00787196">
        <w:rPr>
          <w:lang w:bidi="hi-IN"/>
        </w:rPr>
        <w:t xml:space="preserve"> populations (even with Tamilnadu state, India)</w:t>
      </w:r>
      <w:r w:rsidR="00371195" w:rsidRPr="00787196">
        <w:rPr>
          <w:lang w:bidi="hi-IN"/>
        </w:rPr>
        <w:t>. In retrospect, if</w:t>
      </w:r>
      <w:r w:rsidR="002E67FF" w:rsidRPr="00787196">
        <w:rPr>
          <w:lang w:bidi="hi-IN"/>
        </w:rPr>
        <w:t xml:space="preserve"> this </w:t>
      </w:r>
      <w:r w:rsidR="00371195" w:rsidRPr="00787196">
        <w:rPr>
          <w:lang w:bidi="hi-IN"/>
        </w:rPr>
        <w:t xml:space="preserve">study recruited participants purposively with true </w:t>
      </w:r>
      <w:r w:rsidR="00F5689C" w:rsidRPr="00787196">
        <w:rPr>
          <w:lang w:bidi="hi-IN"/>
        </w:rPr>
        <w:t>representation</w:t>
      </w:r>
      <w:r w:rsidR="002E67FF" w:rsidRPr="00787196">
        <w:rPr>
          <w:lang w:bidi="hi-IN"/>
        </w:rPr>
        <w:t xml:space="preserve"> of the population in terms </w:t>
      </w:r>
      <w:r w:rsidR="00FA72F1" w:rsidRPr="00787196">
        <w:rPr>
          <w:lang w:bidi="hi-IN"/>
        </w:rPr>
        <w:t>of SES</w:t>
      </w:r>
      <w:r w:rsidR="00E4443A" w:rsidRPr="00787196">
        <w:rPr>
          <w:lang w:bidi="hi-IN"/>
        </w:rPr>
        <w:t>, the results may have been different</w:t>
      </w:r>
      <w:r w:rsidR="002F59EB" w:rsidRPr="00787196">
        <w:rPr>
          <w:lang w:bidi="hi-IN"/>
        </w:rPr>
        <w:t xml:space="preserve">. </w:t>
      </w:r>
      <w:r w:rsidR="00371195" w:rsidRPr="00787196">
        <w:rPr>
          <w:lang w:bidi="hi-IN"/>
        </w:rPr>
        <w:t xml:space="preserve">However, such a process would not have been feasible as it would not only be time consuming, but lead to other methodological issues. </w:t>
      </w:r>
      <w:r w:rsidR="007830B5" w:rsidRPr="00787196">
        <w:rPr>
          <w:lang w:bidi="hi-IN"/>
        </w:rPr>
        <w:t>Also, the internal validity of this</w:t>
      </w:r>
      <w:r w:rsidR="00371195" w:rsidRPr="00787196">
        <w:rPr>
          <w:lang w:bidi="hi-IN"/>
        </w:rPr>
        <w:t xml:space="preserve"> study </w:t>
      </w:r>
      <w:r w:rsidR="007830B5" w:rsidRPr="00787196">
        <w:rPr>
          <w:lang w:bidi="hi-IN"/>
        </w:rPr>
        <w:t xml:space="preserve">will not be affected directly by the nature of this sample. </w:t>
      </w:r>
      <w:r w:rsidR="002A3D5B" w:rsidRPr="00787196">
        <w:rPr>
          <w:lang w:bidi="hi-IN"/>
        </w:rPr>
        <w:t>T</w:t>
      </w:r>
      <w:r w:rsidR="00F676E4" w:rsidRPr="00787196">
        <w:rPr>
          <w:lang w:bidi="hi-IN"/>
        </w:rPr>
        <w:t xml:space="preserve">he present </w:t>
      </w:r>
      <w:r w:rsidR="00903A6D" w:rsidRPr="00787196">
        <w:rPr>
          <w:lang w:bidi="hi-IN"/>
        </w:rPr>
        <w:t>study</w:t>
      </w:r>
      <w:r w:rsidR="00371195" w:rsidRPr="00787196">
        <w:rPr>
          <w:lang w:bidi="hi-IN"/>
        </w:rPr>
        <w:t>,</w:t>
      </w:r>
      <w:r w:rsidR="00903A6D" w:rsidRPr="00787196">
        <w:rPr>
          <w:lang w:bidi="hi-IN"/>
        </w:rPr>
        <w:t xml:space="preserve"> </w:t>
      </w:r>
      <w:r w:rsidR="002A3D5B" w:rsidRPr="00787196">
        <w:rPr>
          <w:lang w:bidi="hi-IN"/>
        </w:rPr>
        <w:t xml:space="preserve">thus </w:t>
      </w:r>
      <w:r w:rsidR="00903A6D" w:rsidRPr="00787196">
        <w:rPr>
          <w:lang w:bidi="hi-IN"/>
        </w:rPr>
        <w:t>provide</w:t>
      </w:r>
      <w:r w:rsidR="00F676E4" w:rsidRPr="00787196">
        <w:rPr>
          <w:lang w:bidi="hi-IN"/>
        </w:rPr>
        <w:t>s</w:t>
      </w:r>
      <w:r w:rsidR="00903A6D" w:rsidRPr="00787196">
        <w:rPr>
          <w:lang w:bidi="hi-IN"/>
        </w:rPr>
        <w:t xml:space="preserve"> </w:t>
      </w:r>
      <w:r w:rsidR="00F676E4" w:rsidRPr="00787196">
        <w:rPr>
          <w:lang w:bidi="hi-IN"/>
        </w:rPr>
        <w:t xml:space="preserve">a </w:t>
      </w:r>
      <w:r w:rsidR="00371195" w:rsidRPr="00787196">
        <w:rPr>
          <w:lang w:bidi="hi-IN"/>
        </w:rPr>
        <w:t>very robust evidence</w:t>
      </w:r>
      <w:r w:rsidR="00903A6D" w:rsidRPr="00787196">
        <w:rPr>
          <w:lang w:bidi="hi-IN"/>
        </w:rPr>
        <w:t xml:space="preserve"> on the relationships between psychosocial factors and subjective oral health outcomes</w:t>
      </w:r>
      <w:r w:rsidR="00EA681D" w:rsidRPr="00787196">
        <w:rPr>
          <w:lang w:bidi="hi-IN"/>
        </w:rPr>
        <w:t xml:space="preserve"> in </w:t>
      </w:r>
      <w:r w:rsidR="00F676E4" w:rsidRPr="00787196">
        <w:rPr>
          <w:lang w:bidi="hi-IN"/>
        </w:rPr>
        <w:t xml:space="preserve">a </w:t>
      </w:r>
      <w:r w:rsidR="009B0ADC" w:rsidRPr="00787196">
        <w:rPr>
          <w:lang w:bidi="hi-IN"/>
        </w:rPr>
        <w:t xml:space="preserve">low </w:t>
      </w:r>
      <w:r w:rsidR="00EA681D" w:rsidRPr="00787196">
        <w:rPr>
          <w:lang w:bidi="hi-IN"/>
        </w:rPr>
        <w:t>S</w:t>
      </w:r>
      <w:r w:rsidR="009B0ADC" w:rsidRPr="00787196">
        <w:rPr>
          <w:lang w:bidi="hi-IN"/>
        </w:rPr>
        <w:t>ES</w:t>
      </w:r>
      <w:r w:rsidR="00EA681D" w:rsidRPr="00787196">
        <w:rPr>
          <w:lang w:bidi="hi-IN"/>
        </w:rPr>
        <w:t xml:space="preserve"> population</w:t>
      </w:r>
      <w:r w:rsidR="00371195" w:rsidRPr="00787196">
        <w:rPr>
          <w:lang w:bidi="hi-IN"/>
        </w:rPr>
        <w:t xml:space="preserve"> receiving new dentures</w:t>
      </w:r>
      <w:r w:rsidR="00EA681D" w:rsidRPr="00787196">
        <w:rPr>
          <w:lang w:bidi="hi-IN"/>
        </w:rPr>
        <w:t>.</w:t>
      </w:r>
    </w:p>
    <w:p w14:paraId="6A0DD835" w14:textId="75D78B44" w:rsidR="00470D2C" w:rsidRPr="00787196" w:rsidRDefault="00470D2C" w:rsidP="0033775C">
      <w:pPr>
        <w:spacing w:before="0" w:after="0"/>
        <w:rPr>
          <w:lang w:bidi="hi-IN"/>
        </w:rPr>
      </w:pPr>
    </w:p>
    <w:p w14:paraId="3D931337" w14:textId="7B071C7B" w:rsidR="00903A6D" w:rsidRPr="00787196" w:rsidRDefault="00903A6D" w:rsidP="00432072">
      <w:pPr>
        <w:pStyle w:val="Heading3"/>
      </w:pPr>
      <w:bookmarkStart w:id="336" w:name="_Toc488655683"/>
      <w:r w:rsidRPr="00787196">
        <w:t>Conceptual</w:t>
      </w:r>
      <w:r w:rsidR="00937BAA" w:rsidRPr="00787196">
        <w:t xml:space="preserve">, cross-cultural </w:t>
      </w:r>
      <w:r w:rsidRPr="00787196">
        <w:t xml:space="preserve">validity of coping in India and the </w:t>
      </w:r>
      <w:r w:rsidR="00937BAA" w:rsidRPr="00787196">
        <w:t>Brief COPE questionnaire</w:t>
      </w:r>
      <w:bookmarkEnd w:id="336"/>
      <w:r w:rsidRPr="00787196">
        <w:t xml:space="preserve"> </w:t>
      </w:r>
    </w:p>
    <w:p w14:paraId="341F558D" w14:textId="5351DC65" w:rsidR="00943D48" w:rsidRPr="00787196" w:rsidRDefault="00CC7AA5" w:rsidP="00A822F8">
      <w:pPr>
        <w:rPr>
          <w:lang w:bidi="hi-IN"/>
        </w:rPr>
      </w:pPr>
      <w:r w:rsidRPr="00787196">
        <w:t xml:space="preserve">The </w:t>
      </w:r>
      <w:r w:rsidR="00B5346E" w:rsidRPr="00787196">
        <w:t>effect</w:t>
      </w:r>
      <w:r w:rsidRPr="00787196">
        <w:t xml:space="preserve"> of cultural differen</w:t>
      </w:r>
      <w:r w:rsidR="00B5346E" w:rsidRPr="00787196">
        <w:t xml:space="preserve">ces in </w:t>
      </w:r>
      <w:r w:rsidR="00E356FF" w:rsidRPr="00787196">
        <w:t>a</w:t>
      </w:r>
      <w:r w:rsidR="00B5346E" w:rsidRPr="00787196">
        <w:t xml:space="preserve"> research </w:t>
      </w:r>
      <w:r w:rsidR="00E2660E" w:rsidRPr="00787196">
        <w:t>that uses</w:t>
      </w:r>
      <w:r w:rsidR="00E356FF" w:rsidRPr="00787196">
        <w:t xml:space="preserve"> cross-cultural</w:t>
      </w:r>
      <w:r w:rsidR="00E2660E" w:rsidRPr="00787196">
        <w:t xml:space="preserve"> concepts,</w:t>
      </w:r>
      <w:r w:rsidR="00E356FF" w:rsidRPr="00787196">
        <w:t xml:space="preserve"> applications and instruments </w:t>
      </w:r>
      <w:r w:rsidR="00B5346E" w:rsidRPr="00787196">
        <w:t>is</w:t>
      </w:r>
      <w:r w:rsidRPr="00787196">
        <w:t xml:space="preserve"> significant</w:t>
      </w:r>
      <w:r w:rsidR="00E2660E" w:rsidRPr="00787196">
        <w:t>. Understandably, i</w:t>
      </w:r>
      <w:r w:rsidR="00E356FF" w:rsidRPr="00787196">
        <w:t xml:space="preserve">ts essential to </w:t>
      </w:r>
      <w:r w:rsidR="00B5346E" w:rsidRPr="00787196">
        <w:t>account</w:t>
      </w:r>
      <w:r w:rsidR="00E356FF" w:rsidRPr="00787196">
        <w:t xml:space="preserve"> for</w:t>
      </w:r>
      <w:r w:rsidR="00B5346E" w:rsidRPr="00787196">
        <w:t xml:space="preserve"> them </w:t>
      </w:r>
      <w:r w:rsidR="00E356FF" w:rsidRPr="00787196">
        <w:t>wh</w:t>
      </w:r>
      <w:r w:rsidR="00E2660E" w:rsidRPr="00787196">
        <w:t>e</w:t>
      </w:r>
      <w:r w:rsidR="00B5346E" w:rsidRPr="00787196">
        <w:t xml:space="preserve">n </w:t>
      </w:r>
      <w:r w:rsidR="00E2660E" w:rsidRPr="00787196">
        <w:t>discussing its</w:t>
      </w:r>
      <w:r w:rsidR="00B5346E" w:rsidRPr="00787196">
        <w:t xml:space="preserve"> findings </w:t>
      </w:r>
      <w:r w:rsidRPr="00787196">
        <w:fldChar w:fldCharType="begin"/>
      </w:r>
      <w:r w:rsidRPr="00787196">
        <w:instrText xml:space="preserve"> ADDIN EN.CITE &lt;EndNote&gt;&lt;Cite&gt;&lt;Author&gt;Heine&lt;/Author&gt;&lt;Year&gt;2006&lt;/Year&gt;&lt;IDText&gt;Toward a Psychological Science for a Cultural Species&lt;/IDText&gt;&lt;DisplayText&gt;(Heine and Norenzayan, 2006)&lt;/DisplayText&gt;&lt;record&gt;&lt;urls&gt;&lt;related-urls&gt;&lt;url&gt;http://journals.sagepub.com/doi/abs/10.1111/j.1745-6916.2006.00015.x&lt;/url&gt;&lt;/related-urls&gt;&lt;/urls&gt;&lt;titles&gt;&lt;title&gt;Toward a Psychological Science for a Cultural Species&lt;/title&gt;&lt;secondary-title&gt;Perspectives on Psychological Science&lt;/secondary-title&gt;&lt;/titles&gt;&lt;pages&gt;251-269&lt;/pages&gt;&lt;number&gt;3&lt;/number&gt;&lt;contributors&gt;&lt;authors&gt;&lt;author&gt;Heine,  S J&lt;/author&gt;&lt;author&gt;Norenzayan, A&lt;/author&gt;&lt;/authors&gt;&lt;/contributors&gt;&lt;added-date format="utc"&gt;1483436829&lt;/added-date&gt;&lt;ref-type name="Journal Article"&gt;17&lt;/ref-type&gt;&lt;dates&gt;&lt;year&gt;2006&lt;/year&gt;&lt;/dates&gt;&lt;rec-number&gt;2686&lt;/rec-number&gt;&lt;last-updated-date format="utc"&gt;1483437919&lt;/last-updated-date&gt;&lt;electronic-resource-num&gt;doi:10.1111/j.1745-6916.2006.00015.x&lt;/electronic-resource-num&gt;&lt;volume&gt;1&lt;/volume&gt;&lt;/record&gt;&lt;/Cite&gt;&lt;/EndNote&gt;</w:instrText>
      </w:r>
      <w:r w:rsidRPr="00787196">
        <w:fldChar w:fldCharType="separate"/>
      </w:r>
      <w:r w:rsidRPr="00787196">
        <w:t>(Heine and Norenzayan, 2006)</w:t>
      </w:r>
      <w:r w:rsidRPr="00787196">
        <w:fldChar w:fldCharType="end"/>
      </w:r>
      <w:r w:rsidRPr="00787196">
        <w:t xml:space="preserve">. </w:t>
      </w:r>
      <w:r w:rsidR="00097EDE" w:rsidRPr="00787196">
        <w:t>T</w:t>
      </w:r>
      <w:r w:rsidR="00097EDE" w:rsidRPr="00787196">
        <w:rPr>
          <w:lang w:bidi="hi-IN"/>
        </w:rPr>
        <w:t xml:space="preserve">he actual challenge of </w:t>
      </w:r>
      <w:r w:rsidR="00F747D6" w:rsidRPr="00787196">
        <w:rPr>
          <w:lang w:bidi="hi-IN"/>
        </w:rPr>
        <w:t xml:space="preserve">using </w:t>
      </w:r>
      <w:r w:rsidRPr="00787196">
        <w:rPr>
          <w:lang w:bidi="hi-IN"/>
        </w:rPr>
        <w:t xml:space="preserve">coping strategies </w:t>
      </w:r>
      <w:r w:rsidR="00E2660E" w:rsidRPr="00787196">
        <w:rPr>
          <w:lang w:bidi="hi-IN"/>
        </w:rPr>
        <w:t xml:space="preserve">in this study </w:t>
      </w:r>
      <w:r w:rsidR="00F747D6" w:rsidRPr="00787196">
        <w:rPr>
          <w:lang w:bidi="hi-IN"/>
        </w:rPr>
        <w:t>cross-culturally w</w:t>
      </w:r>
      <w:r w:rsidR="00E2660E" w:rsidRPr="00787196">
        <w:rPr>
          <w:lang w:bidi="hi-IN"/>
        </w:rPr>
        <w:t>as with</w:t>
      </w:r>
      <w:r w:rsidR="00097EDE" w:rsidRPr="00787196">
        <w:rPr>
          <w:lang w:bidi="hi-IN"/>
        </w:rPr>
        <w:t xml:space="preserve"> the clarity of concept itself</w:t>
      </w:r>
      <w:r w:rsidR="00F747D6" w:rsidRPr="00787196">
        <w:rPr>
          <w:lang w:bidi="hi-IN"/>
        </w:rPr>
        <w:t xml:space="preserve">. </w:t>
      </w:r>
      <w:r w:rsidR="00943D48" w:rsidRPr="00787196">
        <w:rPr>
          <w:lang w:bidi="hi-IN"/>
        </w:rPr>
        <w:t>C</w:t>
      </w:r>
      <w:r w:rsidR="00903A6D" w:rsidRPr="00787196">
        <w:rPr>
          <w:lang w:bidi="hi-IN"/>
        </w:rPr>
        <w:t>oping strategies in</w:t>
      </w:r>
      <w:r w:rsidR="00EA681D" w:rsidRPr="00787196">
        <w:rPr>
          <w:lang w:bidi="hi-IN"/>
        </w:rPr>
        <w:t xml:space="preserve"> relation to</w:t>
      </w:r>
      <w:r w:rsidR="00903A6D" w:rsidRPr="00787196">
        <w:rPr>
          <w:lang w:bidi="hi-IN"/>
        </w:rPr>
        <w:t xml:space="preserve"> health interventions has been researched </w:t>
      </w:r>
      <w:r w:rsidR="00F537EB" w:rsidRPr="00787196">
        <w:rPr>
          <w:lang w:bidi="hi-IN"/>
        </w:rPr>
        <w:t xml:space="preserve">only very recently </w:t>
      </w:r>
      <w:r w:rsidR="00903A6D" w:rsidRPr="00787196">
        <w:rPr>
          <w:lang w:bidi="hi-IN"/>
        </w:rPr>
        <w:t>in the Indian population</w:t>
      </w:r>
      <w:r w:rsidR="00354E32" w:rsidRPr="00787196">
        <w:rPr>
          <w:lang w:bidi="hi-IN"/>
        </w:rPr>
        <w:t xml:space="preserve">. </w:t>
      </w:r>
      <w:r w:rsidR="00F747D6" w:rsidRPr="00787196">
        <w:rPr>
          <w:lang w:bidi="hi-IN"/>
        </w:rPr>
        <w:t>For example,</w:t>
      </w:r>
      <w:r w:rsidR="00354E32" w:rsidRPr="00787196">
        <w:rPr>
          <w:lang w:bidi="hi-IN"/>
        </w:rPr>
        <w:t xml:space="preserve"> </w:t>
      </w:r>
      <w:r w:rsidR="00460BD0" w:rsidRPr="00787196">
        <w:rPr>
          <w:lang w:bidi="hi-IN"/>
        </w:rPr>
        <w:t>coping in everyday lives of</w:t>
      </w:r>
      <w:r w:rsidR="00354E32" w:rsidRPr="00787196">
        <w:rPr>
          <w:lang w:bidi="hi-IN"/>
        </w:rPr>
        <w:t xml:space="preserve"> Tibetan refugees</w:t>
      </w:r>
      <w:r w:rsidR="00F747D6" w:rsidRPr="00787196">
        <w:rPr>
          <w:lang w:bidi="hi-IN"/>
        </w:rPr>
        <w:t xml:space="preserve"> </w:t>
      </w:r>
      <w:r w:rsidR="00354E32" w:rsidRPr="00787196">
        <w:rPr>
          <w:lang w:bidi="hi-IN"/>
        </w:rPr>
        <w:t>living in exile</w:t>
      </w:r>
      <w:r w:rsidR="00F747D6" w:rsidRPr="00787196">
        <w:rPr>
          <w:lang w:bidi="hi-IN"/>
        </w:rPr>
        <w:t xml:space="preserve">, </w:t>
      </w:r>
      <w:r w:rsidR="00354E32" w:rsidRPr="00787196">
        <w:rPr>
          <w:lang w:bidi="hi-IN"/>
        </w:rPr>
        <w:t>coping with stress among people working in management</w:t>
      </w:r>
      <w:r w:rsidR="005C7B16" w:rsidRPr="00787196">
        <w:rPr>
          <w:lang w:bidi="hi-IN"/>
        </w:rPr>
        <w:t xml:space="preserve"> </w:t>
      </w:r>
      <w:r w:rsidR="00755522" w:rsidRPr="00787196">
        <w:rPr>
          <w:lang w:bidi="hi-IN"/>
        </w:rPr>
        <w:t xml:space="preserve">sector </w:t>
      </w:r>
      <w:r w:rsidR="00903A6D" w:rsidRPr="00787196">
        <w:rPr>
          <w:lang w:bidi="hi-IN"/>
        </w:rPr>
        <w:fldChar w:fldCharType="begin">
          <w:fldData xml:space="preserve">PEVuZE5vdGU+PENpdGU+PEF1dGhvcj5TYWNoczwvQXV0aG9yPjxZZWFyPjIwMDg8L1llYXI+PFJl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</w:fldData>
        </w:fldChar>
      </w:r>
      <w:r w:rsidR="005A03AB" w:rsidRPr="00787196">
        <w:rPr>
          <w:lang w:bidi="hi-IN"/>
        </w:rPr>
        <w:instrText xml:space="preserve"> ADDIN EN.CITE </w:instrText>
      </w:r>
      <w:r w:rsidR="005A03AB" w:rsidRPr="00787196">
        <w:rPr>
          <w:lang w:bidi="hi-IN"/>
        </w:rPr>
        <w:fldChar w:fldCharType="begin">
          <w:fldData xml:space="preserve">PEVuZE5vdGU+PENpdGU+PEF1dGhvcj5TYWNoczwvQXV0aG9yPjxZZWFyPjIwMDg8L1llYXI+PFJl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</w:fldData>
        </w:fldChar>
      </w:r>
      <w:r w:rsidR="005A03AB" w:rsidRPr="00787196">
        <w:rPr>
          <w:lang w:bidi="hi-IN"/>
        </w:rPr>
        <w:instrText xml:space="preserve"> ADDIN EN.CITE.DATA </w:instrText>
      </w:r>
      <w:r w:rsidR="005A03AB" w:rsidRPr="00787196">
        <w:rPr>
          <w:lang w:bidi="hi-IN"/>
        </w:rPr>
      </w:r>
      <w:r w:rsidR="005A03AB" w:rsidRPr="00787196">
        <w:rPr>
          <w:lang w:bidi="hi-IN"/>
        </w:rPr>
        <w:fldChar w:fldCharType="end"/>
      </w:r>
      <w:r w:rsidR="00903A6D" w:rsidRPr="00787196">
        <w:rPr>
          <w:lang w:bidi="hi-IN"/>
        </w:rPr>
      </w:r>
      <w:r w:rsidR="00903A6D" w:rsidRPr="00787196">
        <w:rPr>
          <w:lang w:bidi="hi-IN"/>
        </w:rPr>
        <w:fldChar w:fldCharType="separate"/>
      </w:r>
      <w:r w:rsidR="00903A6D" w:rsidRPr="00787196">
        <w:rPr>
          <w:lang w:bidi="hi-IN"/>
        </w:rPr>
        <w:t>(Sachs et al., 2008, Aitken and Crawford, 2007)</w:t>
      </w:r>
      <w:r w:rsidR="00903A6D" w:rsidRPr="00787196">
        <w:rPr>
          <w:lang w:bidi="hi-IN"/>
        </w:rPr>
        <w:fldChar w:fldCharType="end"/>
      </w:r>
      <w:r w:rsidR="00903A6D" w:rsidRPr="00787196">
        <w:rPr>
          <w:lang w:bidi="hi-IN"/>
        </w:rPr>
        <w:t xml:space="preserve">. </w:t>
      </w:r>
      <w:r w:rsidR="005C7B16" w:rsidRPr="00787196">
        <w:rPr>
          <w:lang w:bidi="hi-IN"/>
        </w:rPr>
        <w:t xml:space="preserve"> </w:t>
      </w:r>
    </w:p>
    <w:p w14:paraId="61527274" w14:textId="266F0149" w:rsidR="00943D48" w:rsidRPr="00787196" w:rsidRDefault="005C7B16" w:rsidP="001C34CB">
      <w:pPr>
        <w:rPr>
          <w:lang w:bidi="hi-IN"/>
        </w:rPr>
      </w:pPr>
      <w:r w:rsidRPr="00787196">
        <w:rPr>
          <w:lang w:bidi="hi-IN"/>
        </w:rPr>
        <w:t>However, there ha</w:t>
      </w:r>
      <w:r w:rsidR="00943D48" w:rsidRPr="00787196">
        <w:rPr>
          <w:lang w:bidi="hi-IN"/>
        </w:rPr>
        <w:t>ve</w:t>
      </w:r>
      <w:r w:rsidRPr="00787196">
        <w:rPr>
          <w:lang w:bidi="hi-IN"/>
        </w:rPr>
        <w:t xml:space="preserve"> been no studies exploring the coping strategies of individuals who have an oral health condition or an intervention. The p</w:t>
      </w:r>
      <w:r w:rsidR="00460BD0" w:rsidRPr="00787196">
        <w:rPr>
          <w:lang w:bidi="hi-IN"/>
        </w:rPr>
        <w:t>resent study,</w:t>
      </w:r>
      <w:r w:rsidR="00F747D6" w:rsidRPr="00787196">
        <w:rPr>
          <w:lang w:bidi="hi-IN"/>
        </w:rPr>
        <w:t xml:space="preserve"> </w:t>
      </w:r>
      <w:r w:rsidRPr="00787196">
        <w:rPr>
          <w:lang w:bidi="hi-IN"/>
        </w:rPr>
        <w:t xml:space="preserve">was the first to </w:t>
      </w:r>
      <w:r w:rsidR="00F747D6" w:rsidRPr="00787196">
        <w:rPr>
          <w:lang w:bidi="hi-IN"/>
        </w:rPr>
        <w:t xml:space="preserve">focus on coping strategies of individuals </w:t>
      </w:r>
      <w:r w:rsidR="00460BD0" w:rsidRPr="00787196">
        <w:rPr>
          <w:lang w:bidi="hi-IN"/>
        </w:rPr>
        <w:t>r</w:t>
      </w:r>
      <w:r w:rsidR="00903A6D" w:rsidRPr="00787196">
        <w:rPr>
          <w:lang w:bidi="hi-IN"/>
        </w:rPr>
        <w:t xml:space="preserve">eceiving </w:t>
      </w:r>
      <w:r w:rsidRPr="00787196">
        <w:rPr>
          <w:lang w:bidi="hi-IN"/>
        </w:rPr>
        <w:t>an oral health intervention.</w:t>
      </w:r>
      <w:r w:rsidR="008A6464" w:rsidRPr="00787196">
        <w:rPr>
          <w:lang w:bidi="hi-IN"/>
        </w:rPr>
        <w:t xml:space="preserve"> </w:t>
      </w:r>
      <w:r w:rsidRPr="00787196">
        <w:rPr>
          <w:lang w:bidi="hi-IN"/>
        </w:rPr>
        <w:t xml:space="preserve">Given that </w:t>
      </w:r>
      <w:r w:rsidR="008A6464" w:rsidRPr="00787196">
        <w:rPr>
          <w:lang w:bidi="hi-IN"/>
        </w:rPr>
        <w:t>it</w:t>
      </w:r>
      <w:r w:rsidR="00A822F8" w:rsidRPr="00787196">
        <w:rPr>
          <w:lang w:bidi="hi-IN"/>
        </w:rPr>
        <w:t xml:space="preserve"> </w:t>
      </w:r>
      <w:r w:rsidR="004A4894" w:rsidRPr="00787196">
        <w:rPr>
          <w:lang w:bidi="hi-IN"/>
        </w:rPr>
        <w:t>was relatively</w:t>
      </w:r>
      <w:r w:rsidR="00A822F8" w:rsidRPr="00787196">
        <w:rPr>
          <w:lang w:bidi="hi-IN"/>
        </w:rPr>
        <w:t xml:space="preserve"> </w:t>
      </w:r>
      <w:r w:rsidRPr="00787196">
        <w:rPr>
          <w:lang w:bidi="hi-IN"/>
        </w:rPr>
        <w:t>a new concept</w:t>
      </w:r>
      <w:r w:rsidR="004A4894" w:rsidRPr="00787196">
        <w:rPr>
          <w:lang w:bidi="hi-IN"/>
        </w:rPr>
        <w:t xml:space="preserve"> to be explored in individuals receiving new </w:t>
      </w:r>
      <w:r w:rsidRPr="00787196">
        <w:rPr>
          <w:lang w:bidi="hi-IN"/>
        </w:rPr>
        <w:t>denture</w:t>
      </w:r>
      <w:r w:rsidR="004A4894" w:rsidRPr="00787196">
        <w:rPr>
          <w:lang w:bidi="hi-IN"/>
        </w:rPr>
        <w:t>s</w:t>
      </w:r>
      <w:r w:rsidRPr="00787196">
        <w:rPr>
          <w:lang w:bidi="hi-IN"/>
        </w:rPr>
        <w:t xml:space="preserve"> in India,</w:t>
      </w:r>
      <w:r w:rsidR="004A4894" w:rsidRPr="00787196">
        <w:rPr>
          <w:lang w:bidi="hi-IN"/>
        </w:rPr>
        <w:t xml:space="preserve"> </w:t>
      </w:r>
      <w:r w:rsidRPr="00787196">
        <w:rPr>
          <w:lang w:bidi="hi-IN"/>
        </w:rPr>
        <w:t>th</w:t>
      </w:r>
      <w:r w:rsidR="00943D48" w:rsidRPr="00787196">
        <w:rPr>
          <w:lang w:bidi="hi-IN"/>
        </w:rPr>
        <w:t>is</w:t>
      </w:r>
      <w:r w:rsidR="004A4894" w:rsidRPr="00787196">
        <w:rPr>
          <w:lang w:bidi="hi-IN"/>
        </w:rPr>
        <w:t xml:space="preserve"> </w:t>
      </w:r>
      <w:r w:rsidRPr="00787196">
        <w:rPr>
          <w:lang w:bidi="hi-IN"/>
        </w:rPr>
        <w:t xml:space="preserve">study </w:t>
      </w:r>
      <w:r w:rsidR="004A4894" w:rsidRPr="00787196">
        <w:rPr>
          <w:lang w:bidi="hi-IN"/>
        </w:rPr>
        <w:t>utilised instruments</w:t>
      </w:r>
      <w:r w:rsidR="00451E47" w:rsidRPr="00787196">
        <w:rPr>
          <w:lang w:bidi="hi-IN"/>
        </w:rPr>
        <w:t xml:space="preserve"> originally developed and designed in populations that were culturally different.</w:t>
      </w:r>
      <w:r w:rsidR="004A4894" w:rsidRPr="00787196">
        <w:rPr>
          <w:lang w:bidi="hi-IN"/>
        </w:rPr>
        <w:t xml:space="preserve"> </w:t>
      </w:r>
      <w:r w:rsidR="00451E47" w:rsidRPr="00787196">
        <w:rPr>
          <w:lang w:bidi="hi-IN"/>
        </w:rPr>
        <w:t xml:space="preserve">The main instrument used was Brief COPE (to measure coping strategies). </w:t>
      </w:r>
      <w:r w:rsidR="00943D48" w:rsidRPr="00787196">
        <w:rPr>
          <w:lang w:bidi="hi-IN"/>
        </w:rPr>
        <w:br w:type="page"/>
      </w:r>
    </w:p>
    <w:p w14:paraId="695B0BF9" w14:textId="77777777" w:rsidR="002E171F" w:rsidRPr="00787196" w:rsidRDefault="00943D48" w:rsidP="004B6B1C">
      <w:r w:rsidRPr="00787196">
        <w:lastRenderedPageBreak/>
        <w:t xml:space="preserve">Considering that Brief COPE </w:t>
      </w:r>
      <w:r w:rsidR="002E171F" w:rsidRPr="00787196">
        <w:t xml:space="preserve">scale </w:t>
      </w:r>
      <w:r w:rsidRPr="00787196">
        <w:t xml:space="preserve">has never been exclusively used in a denture wearing Indian population before, the items and questions were back translated and revised. The questionnaire was also piloted </w:t>
      </w:r>
      <w:r w:rsidR="002E171F" w:rsidRPr="00787196">
        <w:t xml:space="preserve">on a sample </w:t>
      </w:r>
      <w:r w:rsidRPr="00787196">
        <w:t xml:space="preserve">to enhance its content validity. </w:t>
      </w:r>
      <w:r w:rsidR="00903A6D" w:rsidRPr="00787196">
        <w:t>Content validity i</w:t>
      </w:r>
      <w:r w:rsidRPr="00787196">
        <w:t xml:space="preserve">s the degree to which </w:t>
      </w:r>
      <w:r w:rsidR="00903A6D" w:rsidRPr="00787196">
        <w:t xml:space="preserve">items of the </w:t>
      </w:r>
      <w:r w:rsidRPr="00787196">
        <w:t>questionnaire are</w:t>
      </w:r>
      <w:r w:rsidR="00903A6D" w:rsidRPr="00787196">
        <w:t xml:space="preserve"> relevant and representative to the target construct. It is one of the most important characteristics of a good research instrument as it subsumes all categories of validity </w:t>
      </w:r>
      <w:r w:rsidR="00903A6D" w:rsidRPr="00787196">
        <w:fldChar w:fldCharType="begin"/>
      </w:r>
      <w:r w:rsidR="005A03AB" w:rsidRPr="00787196">
        <w:instrText xml:space="preserve"> ADDIN EN.CITE &lt;EndNote&gt;&lt;Cite&gt;&lt;Author&gt;Haynes&lt;/Author&gt;&lt;Year&gt;1995&lt;/Year&gt;&lt;RecNum&gt;2345&lt;/RecNum&gt;&lt;DisplayText&gt;(Haynes et al., 1995)&lt;/DisplayText&gt;&lt;record&gt;&lt;rec-number&gt;2345&lt;/rec-number&gt;&lt;foreign-keys&gt;&lt;key app="EN" db-id="50wxdpzd9vd5r7e9t5b595djrfpttrxw9avp" timestamp="1473855113"&gt;2345&lt;/key&gt;&lt;/foreign-keys&gt;&lt;ref-type name="Journal Article"&gt;17&lt;/ref-type&gt;&lt;contributors&gt;&lt;authors&gt;&lt;author&gt;Haynes, Stephen N.&lt;/author&gt;&lt;author&gt;Richard, David&lt;/author&gt;&lt;author&gt;Kubany, Edward S.&lt;/author&gt;&lt;/authors&gt;&lt;/contributors&gt;&lt;titles&gt;&lt;title&gt;Content validity in psychological assessment: A functional approach to concepts and methods&lt;/title&gt;&lt;secondary-title&gt;Psychological assessment&lt;/secondary-title&gt;&lt;/titles&gt;&lt;periodical&gt;&lt;full-title&gt;Psychological assessment&lt;/full-title&gt;&lt;/periodical&gt;&lt;pages&gt;238&lt;/pages&gt;&lt;volume&gt;7&lt;/volume&gt;&lt;number&gt;3&lt;/number&gt;&lt;dates&gt;&lt;year&gt;1995&lt;/year&gt;&lt;/dates&gt;&lt;publisher&gt;American Psychological Association&lt;/publisher&gt;&lt;isbn&gt;1557983208&lt;/isbn&gt;&lt;/record&gt;&lt;/Cite&gt;&lt;/EndNote&gt;</w:instrText>
      </w:r>
      <w:r w:rsidR="00903A6D" w:rsidRPr="00787196">
        <w:fldChar w:fldCharType="separate"/>
      </w:r>
      <w:r w:rsidR="00903A6D" w:rsidRPr="00787196">
        <w:t>(Haynes et al., 1995)</w:t>
      </w:r>
      <w:r w:rsidR="00903A6D" w:rsidRPr="00787196">
        <w:fldChar w:fldCharType="end"/>
      </w:r>
      <w:r w:rsidR="00903A6D" w:rsidRPr="00787196">
        <w:t xml:space="preserve">. </w:t>
      </w:r>
      <w:r w:rsidR="004E67FB" w:rsidRPr="00787196">
        <w:rPr>
          <w:lang w:bidi="hi-IN"/>
        </w:rPr>
        <w:t>However, varied individual expectations and cultural differences</w:t>
      </w:r>
      <w:r w:rsidR="002E171F" w:rsidRPr="00787196">
        <w:rPr>
          <w:lang w:bidi="hi-IN"/>
        </w:rPr>
        <w:t xml:space="preserve"> can still influence the content validity of a scale (</w:t>
      </w:r>
      <w:r w:rsidR="004E67FB" w:rsidRPr="00787196">
        <w:rPr>
          <w:lang w:bidi="hi-IN"/>
        </w:rPr>
        <w:t>Touze et al., 2006).</w:t>
      </w:r>
      <w:r w:rsidR="004E67FB" w:rsidRPr="00787196">
        <w:t xml:space="preserve"> </w:t>
      </w:r>
    </w:p>
    <w:p w14:paraId="29723350" w14:textId="260A1E07" w:rsidR="008854C4" w:rsidRPr="00787196" w:rsidRDefault="007B606C" w:rsidP="00226A04">
      <w:pPr>
        <w:pStyle w:val="Heading4"/>
        <w:numPr>
          <w:ilvl w:val="0"/>
          <w:numId w:val="0"/>
        </w:numPr>
      </w:pPr>
      <w:r w:rsidRPr="00787196">
        <w:t>Brief COPE</w:t>
      </w:r>
      <w:bookmarkEnd w:id="334"/>
    </w:p>
    <w:p w14:paraId="231B1F75" w14:textId="77777777" w:rsidR="00463CFE" w:rsidRPr="00787196" w:rsidRDefault="00463CFE" w:rsidP="00E972DF">
      <w:pPr>
        <w:spacing w:after="0"/>
        <w:rPr>
          <w:i/>
          <w:lang w:bidi="hi-IN"/>
        </w:rPr>
      </w:pPr>
      <w:r w:rsidRPr="00787196">
        <w:rPr>
          <w:i/>
          <w:lang w:bidi="hi-IN"/>
        </w:rPr>
        <w:t xml:space="preserve">Factor structure </w:t>
      </w:r>
    </w:p>
    <w:p w14:paraId="021B8CEF" w14:textId="1AD6B431" w:rsidR="00FD502F" w:rsidRPr="00787196" w:rsidRDefault="00183981" w:rsidP="00671F39">
      <w:pPr>
        <w:rPr>
          <w:lang w:bidi="hi-IN"/>
        </w:rPr>
      </w:pPr>
      <w:r w:rsidRPr="00787196">
        <w:rPr>
          <w:lang w:bidi="hi-IN"/>
        </w:rPr>
        <w:t>Th</w:t>
      </w:r>
      <w:r w:rsidR="00962B21" w:rsidRPr="00787196">
        <w:rPr>
          <w:lang w:bidi="hi-IN"/>
        </w:rPr>
        <w:t>e</w:t>
      </w:r>
      <w:r w:rsidRPr="00787196">
        <w:rPr>
          <w:lang w:bidi="hi-IN"/>
        </w:rPr>
        <w:t xml:space="preserve"> Brief COPE</w:t>
      </w:r>
      <w:r w:rsidR="00962B21" w:rsidRPr="00787196">
        <w:rPr>
          <w:lang w:bidi="hi-IN"/>
        </w:rPr>
        <w:t xml:space="preserve"> scale used in this study was</w:t>
      </w:r>
      <w:r w:rsidRPr="00787196">
        <w:rPr>
          <w:lang w:bidi="hi-IN"/>
        </w:rPr>
        <w:t xml:space="preserve"> developed by Carver (1997) to measure coping strategies</w:t>
      </w:r>
      <w:r w:rsidR="00962B21" w:rsidRPr="00787196">
        <w:rPr>
          <w:lang w:bidi="hi-IN"/>
        </w:rPr>
        <w:t xml:space="preserve"> generically</w:t>
      </w:r>
      <w:r w:rsidRPr="00787196">
        <w:rPr>
          <w:lang w:bidi="hi-IN"/>
        </w:rPr>
        <w:t xml:space="preserve">. Despite </w:t>
      </w:r>
      <w:r w:rsidR="00962B21" w:rsidRPr="00787196">
        <w:rPr>
          <w:lang w:bidi="hi-IN"/>
        </w:rPr>
        <w:t xml:space="preserve">the scale </w:t>
      </w:r>
      <w:r w:rsidRPr="00787196">
        <w:rPr>
          <w:lang w:bidi="hi-IN"/>
        </w:rPr>
        <w:t xml:space="preserve">being a shorter version of COPE scale, it had 14 subscales (7 under problem-focussed and 7 under emotion-focussed strategies) with 2 items each. </w:t>
      </w:r>
      <w:r w:rsidR="00875947" w:rsidRPr="00787196">
        <w:rPr>
          <w:lang w:bidi="hi-IN"/>
        </w:rPr>
        <w:t>The p</w:t>
      </w:r>
      <w:r w:rsidRPr="00787196">
        <w:rPr>
          <w:lang w:bidi="hi-IN"/>
        </w:rPr>
        <w:t xml:space="preserve">sychometric properties of the Brief COPE have been shown to be acceptable in Western populations </w:t>
      </w:r>
      <w:r w:rsidRPr="00787196">
        <w:rPr>
          <w:lang w:bidi="hi-IN"/>
        </w:rPr>
        <w:fldChar w:fldCharType="begin">
          <w:fldData xml:space="preserve">PEVuZE5vdGU+PENpdGU+PEF1dGhvcj5QZXJjemVrPC9BdXRob3I+PFllYXI+MjAwMDwvWWVhcj48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</w:fldData>
        </w:fldChar>
      </w:r>
      <w:r w:rsidR="005A03AB" w:rsidRPr="00787196">
        <w:rPr>
          <w:lang w:bidi="hi-IN"/>
        </w:rPr>
        <w:instrText xml:space="preserve"> ADDIN EN.CITE </w:instrText>
      </w:r>
      <w:r w:rsidR="005A03AB" w:rsidRPr="00787196">
        <w:rPr>
          <w:lang w:bidi="hi-IN"/>
        </w:rPr>
        <w:fldChar w:fldCharType="begin">
          <w:fldData xml:space="preserve">PEVuZE5vdGU+PENpdGU+PEF1dGhvcj5QZXJjemVrPC9BdXRob3I+PFllYXI+MjAwMDwvWWVhcj48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</w:fldData>
        </w:fldChar>
      </w:r>
      <w:r w:rsidR="005A03AB" w:rsidRPr="00787196">
        <w:rPr>
          <w:lang w:bidi="hi-IN"/>
        </w:rPr>
        <w:instrText xml:space="preserve"> ADDIN EN.CITE.DATA </w:instrText>
      </w:r>
      <w:r w:rsidR="005A03AB" w:rsidRPr="00787196">
        <w:rPr>
          <w:lang w:bidi="hi-IN"/>
        </w:rPr>
      </w:r>
      <w:r w:rsidR="005A03AB" w:rsidRPr="00787196">
        <w:rPr>
          <w:lang w:bidi="hi-IN"/>
        </w:rPr>
        <w:fldChar w:fldCharType="end"/>
      </w:r>
      <w:r w:rsidRPr="00787196">
        <w:rPr>
          <w:lang w:bidi="hi-IN"/>
        </w:rPr>
      </w:r>
      <w:r w:rsidRPr="00787196">
        <w:rPr>
          <w:lang w:bidi="hi-IN"/>
        </w:rPr>
        <w:fldChar w:fldCharType="separate"/>
      </w:r>
      <w:r w:rsidRPr="00787196">
        <w:rPr>
          <w:lang w:bidi="hi-IN"/>
        </w:rPr>
        <w:t>(Perczek et al., 2000, Meyer, 2001, Fogel, 2004)</w:t>
      </w:r>
      <w:r w:rsidRPr="00787196">
        <w:rPr>
          <w:lang w:bidi="hi-IN"/>
        </w:rPr>
        <w:fldChar w:fldCharType="end"/>
      </w:r>
      <w:r w:rsidRPr="00787196">
        <w:rPr>
          <w:lang w:bidi="hi-IN"/>
        </w:rPr>
        <w:t xml:space="preserve">. </w:t>
      </w:r>
      <w:r w:rsidR="00597C31" w:rsidRPr="00787196">
        <w:rPr>
          <w:lang w:bidi="hi-IN"/>
        </w:rPr>
        <w:t>However, the use of the scale has been very limited in non-western populations.</w:t>
      </w:r>
    </w:p>
    <w:p w14:paraId="178EB161" w14:textId="495B4536" w:rsidR="00DB726F" w:rsidRPr="00787196" w:rsidRDefault="00DB726F" w:rsidP="00183981">
      <w:pPr>
        <w:rPr>
          <w:color w:val="000000"/>
          <w:shd w:val="clear" w:color="auto" w:fill="FFFFFF"/>
        </w:rPr>
      </w:pPr>
      <w:r w:rsidRPr="00787196">
        <w:t xml:space="preserve">To understand the cultural differences of factors within the scale, studies using the Brief COPE in India were </w:t>
      </w:r>
      <w:r w:rsidR="002F59EB" w:rsidRPr="00787196">
        <w:t>examined</w:t>
      </w:r>
      <w:r w:rsidRPr="00787196">
        <w:t>. A study conducted amongst medical students in south India extracted Brief COPE into seven factors;</w:t>
      </w:r>
      <w:r w:rsidRPr="00787196">
        <w:rPr>
          <w:color w:val="000000"/>
          <w:shd w:val="clear" w:color="auto" w:fill="FFFFFF"/>
        </w:rPr>
        <w:t xml:space="preserve"> Positive Coping, Support Coping, Negative Coping, Blame, Humour, Religion, and Substance Misuse </w:t>
      </w:r>
      <w:r w:rsidRPr="00787196">
        <w:rPr>
          <w:color w:val="000000"/>
          <w:shd w:val="clear" w:color="auto" w:fill="FFFFFF"/>
        </w:rPr>
        <w:fldChar w:fldCharType="begin"/>
      </w:r>
      <w:r w:rsidRPr="00787196">
        <w:rPr>
          <w:color w:val="000000"/>
          <w:shd w:val="clear" w:color="auto" w:fill="FFFFFF"/>
        </w:rPr>
        <w:instrText xml:space="preserve"> ADDIN EN.CITE &lt;EndNote&gt;&lt;Cite&gt;&lt;Author&gt;Cherkil&lt;/Author&gt;&lt;Year&gt;2013&lt;/Year&gt;&lt;RecNum&gt;0&lt;/RecNum&gt;&lt;IDText&gt;Coping styles and its association with sources of stress in undergraduate medical students&lt;/IDText&gt;&lt;DisplayText&gt;(Cherkil et al., 2013)&lt;/DisplayText&gt;&lt;record&gt;&lt;titles&gt;&lt;title&gt;Coping styles and its association with sources of stress in undergraduate medical students&lt;/title&gt;&lt;secondary-title&gt;Indian journal of psychological medicine&lt;/secondary-title&gt;&lt;/titles&gt;&lt;pages&gt;389&lt;/pages&gt;&lt;number&gt;4&lt;/number&gt;&lt;contributors&gt;&lt;authors&gt;&lt;author&gt;Cherkil, Sandhya&lt;/author&gt;&lt;author&gt;Gardens, Seby J.&lt;/author&gt;&lt;author&gt;Soman, Deepak Kuttikatt&lt;/author&gt;&lt;/authors&gt;&lt;/contributors&gt;&lt;added-date format="utc"&gt;1440726106&lt;/added-date&gt;&lt;ref-type name="Journal Article"&gt;17&lt;/ref-type&gt;&lt;dates&gt;&lt;year&gt;2013&lt;/year&gt;&lt;/dates&gt;&lt;rec-number&gt;2019&lt;/rec-number&gt;&lt;publisher&gt;Medknow Publications&lt;/publisher&gt;&lt;last-updated-date format="utc"&gt;1440726106&lt;/last-updated-date&gt;&lt;volume&gt;35&lt;/volume&gt;&lt;/record&gt;&lt;/Cite&gt;&lt;/EndNote&gt;</w:instrText>
      </w:r>
      <w:r w:rsidRPr="00787196">
        <w:rPr>
          <w:color w:val="000000"/>
          <w:shd w:val="clear" w:color="auto" w:fill="FFFFFF"/>
        </w:rPr>
        <w:fldChar w:fldCharType="separate"/>
      </w:r>
      <w:r w:rsidRPr="00787196">
        <w:rPr>
          <w:color w:val="000000"/>
          <w:shd w:val="clear" w:color="auto" w:fill="FFFFFF"/>
        </w:rPr>
        <w:t>(Cherkil et al., 2013)</w:t>
      </w:r>
      <w:r w:rsidRPr="00787196">
        <w:rPr>
          <w:color w:val="000000"/>
          <w:shd w:val="clear" w:color="auto" w:fill="FFFFFF"/>
        </w:rPr>
        <w:fldChar w:fldCharType="end"/>
      </w:r>
      <w:r w:rsidRPr="00787196">
        <w:rPr>
          <w:color w:val="000000"/>
          <w:shd w:val="clear" w:color="auto" w:fill="FFFFFF"/>
        </w:rPr>
        <w:t xml:space="preserve">. This study suggested negative coping was a cultural aspect of the student population in south India compared to other world populations. In another recent study among people living with HIV/AIDS (PLHA) in Chennai (same geographical location as this study) assessed the cultural adaptation of Brief COPE </w:t>
      </w:r>
      <w:r w:rsidRPr="00787196">
        <w:rPr>
          <w:color w:val="000000"/>
          <w:shd w:val="clear" w:color="auto" w:fill="FFFFFF"/>
        </w:rPr>
        <w:fldChar w:fldCharType="begin"/>
      </w:r>
      <w:r w:rsidRPr="00787196">
        <w:rPr>
          <w:color w:val="000000"/>
          <w:shd w:val="clear" w:color="auto" w:fill="FFFFFF"/>
        </w:rPr>
        <w:instrText xml:space="preserve"> ADDIN EN.CITE &lt;EndNote&gt;&lt;Cite&gt;&lt;Author&gt;Mohanraj&lt;/Author&gt;&lt;Year&gt;2015&lt;/Year&gt;&lt;RecNum&gt;0&lt;/RecNum&gt;&lt;IDText&gt;Cultural adaptation of the Brief COPE for persons living with HIV/AIDS in southern India&lt;/IDText&gt;&lt;DisplayText&gt;(Mohanraj et al., 2015)&lt;/DisplayText&gt;&lt;record&gt;&lt;dates&gt;&lt;pub-dates&gt;&lt;date&gt;Feb&lt;/date&gt;&lt;/pub-dates&gt;&lt;year&gt;2015&lt;/year&gt;&lt;/dates&gt;&lt;keywords&gt;&lt;keyword&gt;Adaptation, Psychological&lt;/keyword&gt;&lt;keyword&gt;Adult&lt;/keyword&gt;&lt;keyword&gt;Culture&lt;/keyword&gt;&lt;keyword&gt;Factor Analysis, Statistical&lt;/keyword&gt;&lt;keyword&gt;Female&lt;/keyword&gt;&lt;keyword&gt;HIV Infections/ethnology/ psychology&lt;/keyword&gt;&lt;keyword&gt;Humans&lt;/keyword&gt;&lt;keyword&gt;India&lt;/keyword&gt;&lt;keyword&gt;Language&lt;/keyword&gt;&lt;keyword&gt;Male&lt;/keyword&gt;&lt;keyword&gt;Psychometrics/statistics &amp;amp; numerical data&lt;/keyword&gt;&lt;keyword&gt;Questionnaires&lt;/keyword&gt;&lt;keyword&gt;Reproducibility of Results&lt;/keyword&gt;&lt;keyword&gt;Self Efficacy&lt;/keyword&gt;&lt;keyword&gt;Social Support&lt;/keyword&gt;&lt;/keywords&gt;&lt;isbn&gt;1573-3254 (Electronic)&amp;#xD;1090-7165 (Linking)&lt;/isbn&gt;&lt;titles&gt;&lt;title&gt;Cultural adaptation of the Brief COPE for persons living with HIV/AIDS in southern India&lt;/title&gt;&lt;secondary-title&gt;AIDS Behav&lt;/secondary-title&gt;&lt;/titles&gt;&lt;pages&gt;341-51&lt;/pages&gt;&lt;number&gt;2&lt;/number&gt;&lt;contributors&gt;&lt;authors&gt;&lt;author&gt;Mohanraj, R.&lt;/author&gt;&lt;author&gt;Jeyaseelan, V.&lt;/author&gt;&lt;author&gt;Kumar, S.&lt;/author&gt;&lt;author&gt;Mani, T.&lt;/author&gt;&lt;author&gt;Rao, D.&lt;/author&gt;&lt;author&gt;Murray, K. R.&lt;/author&gt;&lt;author&gt;Manhart, L. E.&lt;/author&gt;&lt;/authors&gt;&lt;/contributors&gt;&lt;language&gt;eng&lt;/language&gt;&lt;added-date format="utc"&gt;1440728765&lt;/added-date&gt;&lt;ref-type name="Journal Article"&gt;17&lt;/ref-type&gt;&lt;auth-address&gt;Samarth, Chennai, India.&lt;/auth-address&gt;&lt;remote-database-provider&gt;NLM&lt;/remote-database-provider&gt;&lt;rec-number&gt;2021&lt;/rec-number&gt;&lt;last-updated-date format="utc"&gt;1440728765&lt;/last-updated-date&gt;&lt;accession-num&gt;25096895&lt;/accession-num&gt;&lt;volume&gt;19&lt;/volume&gt;&lt;/record&gt;&lt;/Cite&gt;&lt;/EndNote&gt;</w:instrText>
      </w:r>
      <w:r w:rsidRPr="00787196">
        <w:rPr>
          <w:color w:val="000000"/>
          <w:shd w:val="clear" w:color="auto" w:fill="FFFFFF"/>
        </w:rPr>
        <w:fldChar w:fldCharType="separate"/>
      </w:r>
      <w:r w:rsidRPr="00787196">
        <w:rPr>
          <w:color w:val="000000"/>
          <w:shd w:val="clear" w:color="auto" w:fill="FFFFFF"/>
        </w:rPr>
        <w:t>(Mohanraj et al., 2015)</w:t>
      </w:r>
      <w:r w:rsidRPr="00787196">
        <w:rPr>
          <w:color w:val="000000"/>
          <w:shd w:val="clear" w:color="auto" w:fill="FFFFFF"/>
        </w:rPr>
        <w:fldChar w:fldCharType="end"/>
      </w:r>
      <w:r w:rsidRPr="00787196">
        <w:rPr>
          <w:color w:val="000000"/>
          <w:shd w:val="clear" w:color="auto" w:fill="FFFFFF"/>
        </w:rPr>
        <w:t xml:space="preserve">. Exploratory factor analysis yielded five factors; active planning, social support, avoidant emotions, substance use, religion. The study further stated that strategies such as Positive Re-framing, Behavioural-Disengagement and Self-Distraction were not strongly factored in south Indian PLHA on a cultural basis. </w:t>
      </w:r>
    </w:p>
    <w:p w14:paraId="642FC59D" w14:textId="77777777" w:rsidR="00597C31" w:rsidRPr="00787196" w:rsidRDefault="00597C31" w:rsidP="00597C31">
      <w:r w:rsidRPr="00787196">
        <w:lastRenderedPageBreak/>
        <w:t xml:space="preserve">The only study that has used Brief COPE scale in individuals receiving dentures was that of Heydecke and colleagues’ </w:t>
      </w:r>
      <w:r w:rsidRPr="00787196">
        <w:fldChar w:fldCharType="begin"/>
      </w:r>
      <w:r w:rsidRPr="00787196">
        <w:instrText xml:space="preserve"> ADDIN EN.CITE &lt;EndNote&gt;&lt;Cite ExcludeAuth="1"&gt;&lt;Author&gt;Heydecke&lt;/Author&gt;&lt;Year&gt;2004&lt;/Year&gt;&lt;RecNum&gt;0&lt;/RecNum&gt;&lt;IDText&gt;Complete dentures and oral health-related quality of life – do coping styles matter?&lt;/IDText&gt;&lt;DisplayText&gt;(2004)&lt;/DisplayText&gt;&lt;record&gt;&lt;keywords&gt;&lt;keyword&gt;coping&lt;/keyword&gt;&lt;keyword&gt;dentures&lt;/keyword&gt;&lt;keyword&gt;quality of life&lt;/keyword&gt;&lt;keyword&gt;stress&lt;/keyword&gt;&lt;keyword&gt;treatment outcomes&lt;/keyword&gt;&lt;/keywords&gt;&lt;urls&gt;&lt;related-urls&gt;&lt;url&gt;http://dx.doi.org/10.1111/j.1600-0528.2004.00169.x&lt;/url&gt;&lt;/related-urls&gt;&lt;/urls&gt;&lt;isbn&gt;1600-0528&lt;/isbn&gt;&lt;titles&gt;&lt;title&gt;Complete dentures and oral health-related quality of life – do coping styles matter?&lt;/title&gt;&lt;secondary-title&gt;Community Dentistry and Oral Epidemiology&lt;/secondary-title&gt;&lt;/titles&gt;&lt;pages&gt;297-306&lt;/pages&gt;&lt;number&gt;4&lt;/number&gt;&lt;contributors&gt;&lt;authors&gt;&lt;author&gt;Heydecke, Guido&lt;/author&gt;&lt;author&gt;Tedesco, Lisa A.&lt;/author&gt;&lt;author&gt;Kowalski, Charles&lt;/author&gt;&lt;author&gt;Inglehart, Marita R.&lt;/author&gt;&lt;/authors&gt;&lt;/contributors&gt;&lt;added-date format="utc"&gt;1361373670&lt;/added-date&gt;&lt;ref-type name="Journal Article"&gt;17&lt;/ref-type&gt;&lt;dates&gt;&lt;year&gt;2004&lt;/year&gt;&lt;/dates&gt;&lt;rec-number&gt;514&lt;/rec-number&gt;&lt;publisher&gt;Munksgaard International Publishers&lt;/publisher&gt;&lt;last-updated-date format="utc"&gt;1385713712&lt;/last-updated-date&gt;&lt;electronic-resource-num&gt;10.1111/j.1600-0528.2004.00169.x&lt;/electronic-resource-num&gt;&lt;volume&gt;32&lt;/volume&gt;&lt;/record&gt;&lt;/Cite&gt;&lt;/EndNote&gt;</w:instrText>
      </w:r>
      <w:r w:rsidRPr="00787196">
        <w:fldChar w:fldCharType="separate"/>
      </w:r>
      <w:r w:rsidRPr="00787196">
        <w:t>(2004)</w:t>
      </w:r>
      <w:r w:rsidRPr="00787196">
        <w:fldChar w:fldCharType="end"/>
      </w:r>
      <w:r w:rsidRPr="00787196">
        <w:t xml:space="preserve">. In this study, they synthesised the Brief COPE subscales into 6 factors namely, Positive/adequate coping, Substance Abuse, Humour, Social support, Religion and Inadequate coping using factor analysis method based on Kaiser-Guttmann criterion. However, the study was based in a population culturally different from the target sample of this research study. </w:t>
      </w:r>
    </w:p>
    <w:p w14:paraId="77D767E5" w14:textId="6A3C9B0B" w:rsidR="002C3DC8" w:rsidRPr="00787196" w:rsidRDefault="00183981" w:rsidP="00907314">
      <w:pPr>
        <w:rPr>
          <w:lang w:bidi="hi-IN"/>
        </w:rPr>
      </w:pPr>
      <w:r w:rsidRPr="00787196">
        <w:t>Some authors have used categorised subscales on the basis of coping constructs relevant to the clinical context</w:t>
      </w:r>
      <w:r w:rsidR="00875947" w:rsidRPr="00787196">
        <w:t>,</w:t>
      </w:r>
      <w:r w:rsidRPr="00787196">
        <w:t xml:space="preserve"> or have omitted or extended subscales and modified items to suit the population under question. By using factor analysis, factors can be deduced within the scale to suit the population that is to be observed. </w:t>
      </w:r>
      <w:r w:rsidR="00875947" w:rsidRPr="00787196">
        <w:rPr>
          <w:lang w:bidi="hi-IN"/>
        </w:rPr>
        <w:t xml:space="preserve">After a factor </w:t>
      </w:r>
      <w:r w:rsidRPr="00787196">
        <w:rPr>
          <w:lang w:bidi="hi-IN"/>
        </w:rPr>
        <w:t>analysis</w:t>
      </w:r>
      <w:r w:rsidR="00875947" w:rsidRPr="00787196">
        <w:rPr>
          <w:lang w:bidi="hi-IN"/>
        </w:rPr>
        <w:t xml:space="preserve"> </w:t>
      </w:r>
      <w:r w:rsidRPr="00787196">
        <w:rPr>
          <w:lang w:bidi="hi-IN"/>
        </w:rPr>
        <w:t>(section</w:t>
      </w:r>
      <w:r w:rsidR="00875947" w:rsidRPr="00787196">
        <w:rPr>
          <w:lang w:bidi="hi-IN"/>
        </w:rPr>
        <w:t xml:space="preserve"> </w:t>
      </w:r>
      <w:r w:rsidRPr="00787196">
        <w:rPr>
          <w:lang w:bidi="hi-IN"/>
        </w:rPr>
        <w:fldChar w:fldCharType="begin"/>
      </w:r>
      <w:r w:rsidRPr="00787196">
        <w:rPr>
          <w:lang w:bidi="hi-IN"/>
        </w:rPr>
        <w:instrText xml:space="preserve"> REF _Ref441130295 \r \h  \* MERGEFORMAT </w:instrText>
      </w:r>
      <w:r w:rsidRPr="00787196">
        <w:rPr>
          <w:lang w:bidi="hi-IN"/>
        </w:rPr>
      </w:r>
      <w:r w:rsidRPr="00787196">
        <w:rPr>
          <w:lang w:bidi="hi-IN"/>
        </w:rPr>
        <w:fldChar w:fldCharType="separate"/>
      </w:r>
      <w:r w:rsidR="00C069BC" w:rsidRPr="00787196">
        <w:rPr>
          <w:rFonts w:cs="Arial"/>
          <w:lang w:bidi="hi-IN"/>
        </w:rPr>
        <w:t>5.2.4.2</w:t>
      </w:r>
      <w:r w:rsidRPr="00787196">
        <w:rPr>
          <w:lang w:bidi="hi-IN"/>
        </w:rPr>
        <w:fldChar w:fldCharType="end"/>
      </w:r>
      <w:r w:rsidRPr="00787196">
        <w:rPr>
          <w:lang w:bidi="hi-IN"/>
        </w:rPr>
        <w:t>)</w:t>
      </w:r>
      <w:r w:rsidR="00875947" w:rsidRPr="00787196">
        <w:rPr>
          <w:lang w:bidi="hi-IN"/>
        </w:rPr>
        <w:t xml:space="preserve"> </w:t>
      </w:r>
      <w:r w:rsidRPr="00787196">
        <w:rPr>
          <w:lang w:bidi="hi-IN"/>
        </w:rPr>
        <w:t>four</w:t>
      </w:r>
      <w:r w:rsidR="00875947" w:rsidRPr="00787196">
        <w:rPr>
          <w:lang w:bidi="hi-IN"/>
        </w:rPr>
        <w:t xml:space="preserve"> </w:t>
      </w:r>
      <w:r w:rsidRPr="00787196">
        <w:rPr>
          <w:lang w:bidi="hi-IN"/>
        </w:rPr>
        <w:t>coping</w:t>
      </w:r>
      <w:r w:rsidR="00875947" w:rsidRPr="00787196">
        <w:rPr>
          <w:lang w:bidi="hi-IN"/>
        </w:rPr>
        <w:t xml:space="preserve"> </w:t>
      </w:r>
      <w:r w:rsidRPr="00787196">
        <w:rPr>
          <w:lang w:bidi="hi-IN"/>
        </w:rPr>
        <w:t>factors</w:t>
      </w:r>
      <w:r w:rsidR="00875947" w:rsidRPr="00787196">
        <w:rPr>
          <w:lang w:bidi="hi-IN"/>
        </w:rPr>
        <w:t xml:space="preserve"> </w:t>
      </w:r>
      <w:r w:rsidRPr="00787196">
        <w:rPr>
          <w:lang w:bidi="hi-IN"/>
        </w:rPr>
        <w:t xml:space="preserve">(positive/adequate; negative/inadequate/avoidant; self-blame and religion) were deduced in this study. Whilst factor analysis reveals domains within the questionnaire they may still not be relevant to coping with dentures as noted </w:t>
      </w:r>
      <w:r w:rsidR="00875947" w:rsidRPr="00787196">
        <w:rPr>
          <w:lang w:bidi="hi-IN"/>
        </w:rPr>
        <w:t xml:space="preserve">in section 6.2.3 </w:t>
      </w:r>
      <w:r w:rsidRPr="00787196">
        <w:rPr>
          <w:lang w:bidi="hi-IN"/>
        </w:rPr>
        <w:t>above.</w:t>
      </w:r>
      <w:r w:rsidR="00875947" w:rsidRPr="00787196">
        <w:rPr>
          <w:lang w:bidi="hi-IN"/>
        </w:rPr>
        <w:t xml:space="preserve"> As noted in section 6.2.1, Heydecke and colleagues (2004) used a slightly different version of Brief COPE because </w:t>
      </w:r>
      <w:r w:rsidR="00145779" w:rsidRPr="00787196">
        <w:rPr>
          <w:lang w:bidi="hi-IN"/>
        </w:rPr>
        <w:t>of this</w:t>
      </w:r>
      <w:r w:rsidR="00875947" w:rsidRPr="00787196">
        <w:rPr>
          <w:lang w:bidi="hi-IN"/>
        </w:rPr>
        <w:t>.</w:t>
      </w:r>
    </w:p>
    <w:p w14:paraId="2E9F4186" w14:textId="1ECB7FDA" w:rsidR="00183981" w:rsidRPr="00787196" w:rsidRDefault="00183981" w:rsidP="00183981">
      <w:pPr>
        <w:rPr>
          <w:i/>
        </w:rPr>
      </w:pPr>
      <w:r w:rsidRPr="00787196">
        <w:rPr>
          <w:i/>
        </w:rPr>
        <w:t>Test-retest reliability</w:t>
      </w:r>
    </w:p>
    <w:p w14:paraId="2EA16BFA" w14:textId="4920F464" w:rsidR="00183981" w:rsidRPr="00787196" w:rsidRDefault="00183981" w:rsidP="00183981">
      <w:r w:rsidRPr="00787196">
        <w:t>Section 5.2.6, noted the test-retest correlation of the Brief COPE factors (</w:t>
      </w:r>
      <w:r w:rsidRPr="00787196">
        <w:fldChar w:fldCharType="begin"/>
      </w:r>
      <w:r w:rsidRPr="00787196">
        <w:instrText xml:space="preserve"> REF _Ref441130885 \h  \* MERGEFORMAT </w:instrText>
      </w:r>
      <w:r w:rsidRPr="00787196">
        <w:fldChar w:fldCharType="separate"/>
      </w:r>
      <w:r w:rsidR="00C069BC" w:rsidRPr="00787196">
        <w:rPr>
          <w:szCs w:val="24"/>
        </w:rPr>
        <w:t xml:space="preserve">Table </w:t>
      </w:r>
      <w:r w:rsidR="00C069BC" w:rsidRPr="00787196">
        <w:rPr>
          <w:rFonts w:cs="Arial"/>
          <w:szCs w:val="24"/>
        </w:rPr>
        <w:t>5</w:t>
      </w:r>
      <w:r w:rsidR="00C069BC" w:rsidRPr="00787196">
        <w:rPr>
          <w:rFonts w:cs="Arial"/>
          <w:szCs w:val="24"/>
        </w:rPr>
        <w:noBreakHyphen/>
        <w:t>13</w:t>
      </w:r>
      <w:r w:rsidRPr="00787196">
        <w:fldChar w:fldCharType="end"/>
      </w:r>
      <w:r w:rsidRPr="00787196">
        <w:t>) showed poor/moderate scores except for the fourth factor</w:t>
      </w:r>
      <w:r w:rsidR="00875947" w:rsidRPr="00787196">
        <w:t xml:space="preserve"> of</w:t>
      </w:r>
      <w:r w:rsidRPr="00787196">
        <w:t xml:space="preserve"> religion. Various aspects need to be considered on what might affect the test-retest reliability. </w:t>
      </w:r>
      <w:r w:rsidRPr="00787196">
        <w:rPr>
          <w:lang w:bidi="hi-IN"/>
        </w:rPr>
        <w:t xml:space="preserve">Whilst the Brief COPE scores might have been affected by the receipt of dentures, it is difficult to explain why receiving dentures might have changed participants’ generic coping strategies. An alternate explanation </w:t>
      </w:r>
      <w:r w:rsidR="00770134" w:rsidRPr="00787196">
        <w:rPr>
          <w:lang w:bidi="hi-IN"/>
        </w:rPr>
        <w:t>c</w:t>
      </w:r>
      <w:r w:rsidRPr="00787196">
        <w:rPr>
          <w:lang w:bidi="hi-IN"/>
        </w:rPr>
        <w:t>ould be that the brief COPE measure was not reliable in this sample</w:t>
      </w:r>
      <w:r w:rsidR="00770134" w:rsidRPr="00787196">
        <w:rPr>
          <w:lang w:bidi="hi-IN"/>
        </w:rPr>
        <w:t>,</w:t>
      </w:r>
      <w:r w:rsidRPr="00787196">
        <w:rPr>
          <w:lang w:bidi="hi-IN"/>
        </w:rPr>
        <w:t xml:space="preserve"> which might have the effect of masking any relationships between coping strategies and patient reported outcomes. </w:t>
      </w:r>
      <w:r w:rsidRPr="00787196">
        <w:t xml:space="preserve">Another possible factor </w:t>
      </w:r>
      <w:r w:rsidR="00DA2077" w:rsidRPr="00787196">
        <w:t xml:space="preserve">is </w:t>
      </w:r>
      <w:r w:rsidR="00907314" w:rsidRPr="00787196">
        <w:t>the ‘carry</w:t>
      </w:r>
      <w:r w:rsidRPr="00787196">
        <w:t xml:space="preserve"> over effect’ where the outputs from the participants in the T2 stage of the study might have been influenced by the</w:t>
      </w:r>
      <w:r w:rsidR="006F6A98" w:rsidRPr="00787196">
        <w:t xml:space="preserve">ir responses at the T1 stage. </w:t>
      </w:r>
    </w:p>
    <w:p w14:paraId="08F0F960" w14:textId="77777777" w:rsidR="00052166" w:rsidRPr="00787196" w:rsidRDefault="00052166" w:rsidP="00052166">
      <w:r w:rsidRPr="00787196">
        <w:t>The internal consistency for all four factors of the Brief COPE scale was at acceptable levels at baseline and almost all factors at follow-up (except self-</w:t>
      </w:r>
      <w:r w:rsidRPr="00787196">
        <w:lastRenderedPageBreak/>
        <w:t xml:space="preserve">blame- 0.53). The ICC scores varied. The first two factors (negative-inadequate-avoidance and positive-adequate) had poor retest correlations (0.33 and 0.27). The third factor (self-blame) had a barely acceptable reliability score (0.44). The fourth factor (religion) had a strong test -retest reliability (0.81). </w:t>
      </w:r>
    </w:p>
    <w:p w14:paraId="1F9B89EE" w14:textId="1BF59C1E" w:rsidR="00052166" w:rsidRPr="00787196" w:rsidRDefault="00052166" w:rsidP="00907314">
      <w:r w:rsidRPr="00787196">
        <w:t>The variation in the test-retest reliability suggests inconsistencies in certain factors that necessarily may n</w:t>
      </w:r>
      <w:r w:rsidR="00907314" w:rsidRPr="00787196">
        <w:t>ot be an error with the scale itself</w:t>
      </w:r>
      <w:r w:rsidRPr="00787196">
        <w:t xml:space="preserve"> (as they have an acceptable internal consistency). Considering that test-retest </w:t>
      </w:r>
      <w:r w:rsidR="004F4839" w:rsidRPr="00787196">
        <w:t xml:space="preserve">reliability </w:t>
      </w:r>
      <w:r w:rsidRPr="00787196">
        <w:t xml:space="preserve">is of great importance used only when observing characteristics that do not change drastically over time </w:t>
      </w:r>
      <w:r w:rsidRPr="00787196">
        <w:fldChar w:fldCharType="begin"/>
      </w:r>
      <w:r w:rsidRPr="00787196">
        <w:instrText xml:space="preserve"> ADDIN EN.CITE &lt;EndNote&gt;&lt;Cite&gt;&lt;Author&gt;Kaplan&lt;/Author&gt;&lt;Year&gt;2012&lt;/Year&gt;&lt;RecNum&gt;0&lt;/RecNum&gt;&lt;IDText&gt;Psychological testing: Principles, applications, and issues&lt;/IDText&gt;&lt;DisplayText&gt;(Kaplan and Saccuzzo, 2012)&lt;/DisplayText&gt;&lt;record&gt;&lt;isbn&gt;1285402499&lt;/isbn&gt;&lt;titles&gt;&lt;title&gt;Psychological testing: Principles, applications, and issues&lt;/title&gt;&lt;/titles&gt;&lt;contributors&gt;&lt;authors&gt;&lt;author&gt;Kaplan, Robert&lt;/author&gt;&lt;author&gt;Saccuzzo, Dennis&lt;/author&gt;&lt;/authors&gt;&lt;/contributors&gt;&lt;added-date format="utc"&gt;1441169973&lt;/added-date&gt;&lt;ref-type name="Book"&gt;6&lt;/ref-type&gt;&lt;dates&gt;&lt;year&gt;2012&lt;/year&gt;&lt;/dates&gt;&lt;rec-number&gt;2023&lt;/rec-number&gt;&lt;publisher&gt;Cengage Learning&lt;/publisher&gt;&lt;last-updated-date format="utc"&gt;1441169973&lt;/last-updated-date&gt;&lt;/record&gt;&lt;/Cite&gt;&lt;/EndNote&gt;</w:instrText>
      </w:r>
      <w:r w:rsidRPr="00787196">
        <w:fldChar w:fldCharType="separate"/>
      </w:r>
      <w:r w:rsidRPr="00787196">
        <w:t>(Kaplan and Saccuzzo, 2012)</w:t>
      </w:r>
      <w:r w:rsidRPr="00787196">
        <w:fldChar w:fldCharType="end"/>
      </w:r>
      <w:r w:rsidRPr="00787196">
        <w:t xml:space="preserve"> and acknowledging the fact that coping strategies are constant efforts to handle a situation that can keep changing constantly over time </w:t>
      </w:r>
      <w:r w:rsidRPr="00787196">
        <w:fldChar w:fldCharType="begin"/>
      </w:r>
      <w:r w:rsidRPr="00787196">
        <w:instrText xml:space="preserve"> ADDIN EN.CITE &lt;EndNote&gt;&lt;Cite&gt;&lt;Author&gt;Lazarus&lt;/Author&gt;&lt;Year&gt;1984&lt;/Year&gt;&lt;RecNum&gt;0&lt;/RecNum&gt;&lt;IDText&gt;Stress, appraisal, and coping&lt;/IDText&gt;&lt;DisplayText&gt;(Lazarus and Folkman, 1984)&lt;/DisplayText&gt;&lt;record&gt;&lt;isbn&gt;0826141919&lt;/isbn&gt;&lt;titles&gt;&lt;title&gt;Stress, appraisal, and coping&lt;/title&gt;&lt;/titles&gt;&lt;contributors&gt;&lt;authors&gt;&lt;author&gt;Lazarus, Richard S.&lt;/author&gt;&lt;author&gt;Folkman, Susan&lt;/author&gt;&lt;/authors&gt;&lt;/contributors&gt;&lt;added-date format="utc"&gt;1361546626&lt;/added-date&gt;&lt;ref-type name="Book"&gt;6&lt;/ref-type&gt;&lt;dates&gt;&lt;year&gt;1984&lt;/year&gt;&lt;/dates&gt;&lt;rec-number&gt;538&lt;/rec-number&gt;&lt;publisher&gt;Springer Publishing Company&lt;/publisher&gt;&lt;last-updated-date format="utc"&gt;1361546626&lt;/last-updated-date&gt;&lt;/record&gt;&lt;/Cite&gt;&lt;/EndNote&gt;</w:instrText>
      </w:r>
      <w:r w:rsidRPr="00787196">
        <w:fldChar w:fldCharType="separate"/>
      </w:r>
      <w:r w:rsidRPr="00787196">
        <w:t>(Lazarus and Folkman, 1984)</w:t>
      </w:r>
      <w:r w:rsidRPr="00787196">
        <w:fldChar w:fldCharType="end"/>
      </w:r>
      <w:r w:rsidRPr="00787196">
        <w:t>, it may be understood why certain factors might have such low test-retest reliability with higher inconsistencies. The final factor (religion) had a high test-retest reliability which again supports the previous argument of changes over time. An individual’s reliance on religion to cope with their issues usually may not change drastically over time unless there is a considerable change in one’s faith.</w:t>
      </w:r>
    </w:p>
    <w:p w14:paraId="4D6FFD58" w14:textId="2A1C3A7D" w:rsidR="00671F39" w:rsidRPr="00787196" w:rsidRDefault="00671F39" w:rsidP="00671F39">
      <w:r w:rsidRPr="00787196">
        <w:t xml:space="preserve">On the hindsight, certain items of the Brief COPE scale (Humour, Denial and Self-distraction sub-scales) seemed not very relevant to the construct of coping with new </w:t>
      </w:r>
      <w:r w:rsidRPr="00787196">
        <w:rPr>
          <w:lang w:bidi="hi-IN"/>
        </w:rPr>
        <w:t>dentures in a homogenous Indian population. This again reiterates the argument that the conceptualisation of coping strategies in individuals receiving dentures needed to be more culture specific and sensitive. However, this will require series of research perspectives in their own right such as qualitative exploration in specific populations, followed by designing and validating instruments that quantifies coping accurately yet is culturally specific and sensitive. As all of this were out of scope of the present study, a factor analysis of Brief COPE scale was done to consolidate the relevant factors.</w:t>
      </w:r>
    </w:p>
    <w:p w14:paraId="39CB75B9" w14:textId="77777777" w:rsidR="00671F39" w:rsidRPr="00787196" w:rsidRDefault="00671F39" w:rsidP="00907314"/>
    <w:p w14:paraId="5B848C10" w14:textId="106E46A9" w:rsidR="002611C4" w:rsidRPr="00787196" w:rsidRDefault="003D653E" w:rsidP="00C14ECC">
      <w:pPr>
        <w:pStyle w:val="Heading3"/>
        <w:numPr>
          <w:ilvl w:val="0"/>
          <w:numId w:val="0"/>
        </w:numPr>
      </w:pPr>
      <w:bookmarkStart w:id="337" w:name="_Toc488655684"/>
      <w:r w:rsidRPr="00787196">
        <w:t>Summary</w:t>
      </w:r>
      <w:bookmarkEnd w:id="337"/>
    </w:p>
    <w:p w14:paraId="02244101" w14:textId="1C9A456A" w:rsidR="002C3DC8" w:rsidRPr="00787196" w:rsidRDefault="002C3DC8" w:rsidP="002E7AE9">
      <w:pPr>
        <w:spacing w:before="0" w:after="0"/>
      </w:pPr>
      <w:r w:rsidRPr="00787196">
        <w:t>The main hypothesis of this study was that coping strategies determined denture success to improve OHQoL. However, the result</w:t>
      </w:r>
      <w:r w:rsidR="004455CC" w:rsidRPr="00787196">
        <w:t>s</w:t>
      </w:r>
      <w:r w:rsidRPr="00787196">
        <w:t xml:space="preserve"> did not support this hypothesis. This section </w:t>
      </w:r>
      <w:r w:rsidR="004455CC" w:rsidRPr="00787196">
        <w:t xml:space="preserve">has </w:t>
      </w:r>
      <w:r w:rsidR="009B106D" w:rsidRPr="00787196">
        <w:t>d</w:t>
      </w:r>
      <w:r w:rsidRPr="00787196">
        <w:t>iscussed th</w:t>
      </w:r>
      <w:r w:rsidR="009B106D" w:rsidRPr="00787196">
        <w:t>is</w:t>
      </w:r>
      <w:r w:rsidRPr="00787196">
        <w:t xml:space="preserve"> result in </w:t>
      </w:r>
      <w:r w:rsidR="009B106D" w:rsidRPr="00787196">
        <w:t>de</w:t>
      </w:r>
      <w:r w:rsidR="002E7AE9" w:rsidRPr="00787196">
        <w:t>pth</w:t>
      </w:r>
      <w:r w:rsidR="009B106D" w:rsidRPr="00787196">
        <w:t xml:space="preserve"> by re</w:t>
      </w:r>
      <w:r w:rsidR="004455CC" w:rsidRPr="00787196">
        <w:t>flecting on</w:t>
      </w:r>
      <w:r w:rsidR="009B106D" w:rsidRPr="00787196">
        <w:t xml:space="preserve"> the hypothesis </w:t>
      </w:r>
      <w:r w:rsidR="009B106D" w:rsidRPr="00787196">
        <w:lastRenderedPageBreak/>
        <w:t>itself</w:t>
      </w:r>
      <w:r w:rsidR="004455CC" w:rsidRPr="00787196">
        <w:t xml:space="preserve"> and</w:t>
      </w:r>
      <w:r w:rsidR="009B106D" w:rsidRPr="00787196">
        <w:t xml:space="preserve"> its rationale in the light of</w:t>
      </w:r>
      <w:r w:rsidRPr="00787196">
        <w:t xml:space="preserve"> </w:t>
      </w:r>
      <w:r w:rsidR="009B106D" w:rsidRPr="00787196">
        <w:t>the existing</w:t>
      </w:r>
      <w:r w:rsidRPr="00787196">
        <w:t xml:space="preserve"> literature</w:t>
      </w:r>
      <w:r w:rsidR="004455CC" w:rsidRPr="00787196">
        <w:t>; that is,</w:t>
      </w:r>
      <w:r w:rsidRPr="00787196">
        <w:t xml:space="preserve"> whether coping strategies really do matter for </w:t>
      </w:r>
      <w:r w:rsidR="009B106D" w:rsidRPr="00787196">
        <w:t>wearing dentures</w:t>
      </w:r>
      <w:r w:rsidR="004455CC" w:rsidRPr="00787196">
        <w:t>. This section has also considered</w:t>
      </w:r>
      <w:r w:rsidR="009B106D" w:rsidRPr="00787196">
        <w:t xml:space="preserve"> whether the study was adequately powered</w:t>
      </w:r>
      <w:r w:rsidR="004455CC" w:rsidRPr="00787196">
        <w:t>, its homogenous nature</w:t>
      </w:r>
      <w:r w:rsidR="009B106D" w:rsidRPr="00787196">
        <w:t>, conceptual difficulties and</w:t>
      </w:r>
      <w:r w:rsidR="004455CC" w:rsidRPr="00787196">
        <w:t xml:space="preserve"> the</w:t>
      </w:r>
      <w:r w:rsidR="009B106D" w:rsidRPr="00787196">
        <w:t xml:space="preserve"> cross-cultural difficulties</w:t>
      </w:r>
      <w:r w:rsidR="004455CC" w:rsidRPr="00787196">
        <w:t xml:space="preserve"> of</w:t>
      </w:r>
      <w:r w:rsidR="009B106D" w:rsidRPr="00787196">
        <w:t xml:space="preserve"> using the Brief COPE scale</w:t>
      </w:r>
      <w:r w:rsidR="002E7AE9" w:rsidRPr="00787196">
        <w:t xml:space="preserve"> in India</w:t>
      </w:r>
      <w:r w:rsidR="009B106D" w:rsidRPr="00787196">
        <w:t>,</w:t>
      </w:r>
      <w:r w:rsidR="004455CC" w:rsidRPr="00787196">
        <w:t xml:space="preserve"> its</w:t>
      </w:r>
      <w:r w:rsidR="002E7AE9" w:rsidRPr="00787196">
        <w:t xml:space="preserve"> factor structure of Brief COPE</w:t>
      </w:r>
      <w:r w:rsidR="009B106D" w:rsidRPr="00787196">
        <w:t xml:space="preserve"> </w:t>
      </w:r>
      <w:r w:rsidR="002E7AE9" w:rsidRPr="00787196">
        <w:t>and its reliability</w:t>
      </w:r>
    </w:p>
    <w:p w14:paraId="3E8FB6A7" w14:textId="77777777" w:rsidR="002C3DC8" w:rsidRPr="00787196" w:rsidRDefault="002C3DC8" w:rsidP="002C3DC8">
      <w:pPr>
        <w:spacing w:before="0" w:after="0"/>
      </w:pPr>
    </w:p>
    <w:p w14:paraId="30A1DC93" w14:textId="2CB0BBBF" w:rsidR="00BB13F9" w:rsidRPr="00787196" w:rsidRDefault="002E7AE9" w:rsidP="002B1E77">
      <w:pPr>
        <w:spacing w:before="0" w:after="0"/>
      </w:pPr>
      <w:r w:rsidRPr="00787196">
        <w:t xml:space="preserve">Based on </w:t>
      </w:r>
      <w:r w:rsidR="004455CC" w:rsidRPr="00787196">
        <w:t>this</w:t>
      </w:r>
      <w:r w:rsidR="002B1E77" w:rsidRPr="00787196">
        <w:t xml:space="preserve"> </w:t>
      </w:r>
      <w:r w:rsidR="00F24370" w:rsidRPr="00787196">
        <w:t>discussion o</w:t>
      </w:r>
      <w:r w:rsidR="004455CC" w:rsidRPr="00787196">
        <w:t>f</w:t>
      </w:r>
      <w:r w:rsidR="00F24370" w:rsidRPr="00787196">
        <w:t xml:space="preserve"> the primary hypothesis </w:t>
      </w:r>
      <w:r w:rsidR="00BB13F9" w:rsidRPr="00787196">
        <w:t xml:space="preserve">it can be concluded </w:t>
      </w:r>
      <w:r w:rsidR="008B778D" w:rsidRPr="00787196">
        <w:t>th</w:t>
      </w:r>
      <w:r w:rsidR="00BB13F9" w:rsidRPr="00787196">
        <w:t>at,</w:t>
      </w:r>
    </w:p>
    <w:p w14:paraId="68E484B0" w14:textId="77777777" w:rsidR="004D3821" w:rsidRPr="00787196" w:rsidRDefault="004D3821" w:rsidP="002B1E77">
      <w:pPr>
        <w:spacing w:before="0" w:after="0"/>
      </w:pPr>
    </w:p>
    <w:p w14:paraId="65F19DD2" w14:textId="6085D429" w:rsidR="00BB13F9" w:rsidRPr="00787196" w:rsidRDefault="004455CC" w:rsidP="001853D2">
      <w:pPr>
        <w:pStyle w:val="ListParagraph"/>
        <w:numPr>
          <w:ilvl w:val="0"/>
          <w:numId w:val="28"/>
        </w:numPr>
        <w:spacing w:before="0" w:after="0"/>
        <w:ind w:left="426" w:hanging="284"/>
      </w:pPr>
      <w:r w:rsidRPr="00787196">
        <w:t>The l</w:t>
      </w:r>
      <w:r w:rsidR="00ED67A1" w:rsidRPr="00787196">
        <w:t xml:space="preserve">ack of </w:t>
      </w:r>
      <w:r w:rsidR="002B1E77" w:rsidRPr="00787196">
        <w:t>apparent</w:t>
      </w:r>
      <w:r w:rsidR="00ED67A1" w:rsidRPr="00787196">
        <w:t xml:space="preserve"> association</w:t>
      </w:r>
      <w:r w:rsidRPr="00787196">
        <w:t xml:space="preserve"> between coping strategies and OHQoL</w:t>
      </w:r>
      <w:r w:rsidR="002B1E77" w:rsidRPr="00787196">
        <w:t xml:space="preserve"> in the present study</w:t>
      </w:r>
      <w:r w:rsidR="00ED67A1" w:rsidRPr="00787196">
        <w:t xml:space="preserve"> may be due </w:t>
      </w:r>
      <w:r w:rsidR="002B1E77" w:rsidRPr="00787196">
        <w:t xml:space="preserve">to </w:t>
      </w:r>
      <w:r w:rsidRPr="00787196">
        <w:t xml:space="preserve">a </w:t>
      </w:r>
      <w:r w:rsidR="002B1E77" w:rsidRPr="00787196">
        <w:t>genuine non-</w:t>
      </w:r>
      <w:r w:rsidR="00ED67A1" w:rsidRPr="00787196">
        <w:t>association</w:t>
      </w:r>
      <w:r w:rsidR="002B1E77" w:rsidRPr="00787196">
        <w:t xml:space="preserve"> </w:t>
      </w:r>
      <w:r w:rsidR="004D3821" w:rsidRPr="00787196">
        <w:t xml:space="preserve">between </w:t>
      </w:r>
      <w:r w:rsidR="002B1E77" w:rsidRPr="00787196">
        <w:t xml:space="preserve">the </w:t>
      </w:r>
      <w:r w:rsidR="001853D2" w:rsidRPr="00787196">
        <w:t xml:space="preserve">variables or the </w:t>
      </w:r>
      <w:r w:rsidR="002B1E77" w:rsidRPr="00787196">
        <w:t>effect</w:t>
      </w:r>
      <w:r w:rsidRPr="00787196">
        <w:t>s</w:t>
      </w:r>
      <w:r w:rsidR="002B1E77" w:rsidRPr="00787196">
        <w:t xml:space="preserve"> of other associations (</w:t>
      </w:r>
      <w:r w:rsidR="00ED67A1" w:rsidRPr="00787196">
        <w:t>clinical factors</w:t>
      </w:r>
      <w:r w:rsidR="002B1E77" w:rsidRPr="00787196">
        <w:t>) masking the association</w:t>
      </w:r>
      <w:r w:rsidR="001853D2" w:rsidRPr="00787196">
        <w:t>.</w:t>
      </w:r>
    </w:p>
    <w:p w14:paraId="556B06B0" w14:textId="4D71350A" w:rsidR="0039763E" w:rsidRPr="00787196" w:rsidRDefault="004455CC" w:rsidP="00907314">
      <w:pPr>
        <w:pStyle w:val="ListParagraph"/>
        <w:numPr>
          <w:ilvl w:val="0"/>
          <w:numId w:val="28"/>
        </w:numPr>
        <w:spacing w:before="0" w:after="0"/>
        <w:ind w:left="426" w:hanging="284"/>
      </w:pPr>
      <w:r w:rsidRPr="00787196">
        <w:t>Lack of power may not have affected</w:t>
      </w:r>
      <w:r w:rsidR="001853D2" w:rsidRPr="00787196">
        <w:t xml:space="preserve"> </w:t>
      </w:r>
      <w:r w:rsidR="00907314" w:rsidRPr="00787196">
        <w:t>these</w:t>
      </w:r>
      <w:r w:rsidR="001853D2" w:rsidRPr="00787196">
        <w:t xml:space="preserve"> results</w:t>
      </w:r>
      <w:r w:rsidR="00BB13F9" w:rsidRPr="00787196">
        <w:t xml:space="preserve">. However, the </w:t>
      </w:r>
      <w:r w:rsidR="001853D2" w:rsidRPr="00787196">
        <w:t xml:space="preserve">inherent </w:t>
      </w:r>
      <w:r w:rsidR="00A822F8" w:rsidRPr="00787196">
        <w:t xml:space="preserve">homogenous </w:t>
      </w:r>
      <w:r w:rsidR="001853D2" w:rsidRPr="00787196">
        <w:t>nature of the sample may have played a</w:t>
      </w:r>
      <w:r w:rsidR="00BB13F9" w:rsidRPr="00787196">
        <w:t xml:space="preserve"> </w:t>
      </w:r>
      <w:r w:rsidRPr="00787196">
        <w:t>role</w:t>
      </w:r>
      <w:r w:rsidR="000B6A07" w:rsidRPr="00787196">
        <w:t>.</w:t>
      </w:r>
    </w:p>
    <w:p w14:paraId="133082C7" w14:textId="26BE9F78" w:rsidR="00F537EB" w:rsidRPr="00787196" w:rsidRDefault="004455CC" w:rsidP="000B6A07">
      <w:pPr>
        <w:pStyle w:val="ListParagraph"/>
        <w:numPr>
          <w:ilvl w:val="0"/>
          <w:numId w:val="28"/>
        </w:numPr>
        <w:spacing w:before="0" w:after="0"/>
        <w:ind w:left="426" w:hanging="284"/>
      </w:pPr>
      <w:r w:rsidRPr="00787196">
        <w:t>The c</w:t>
      </w:r>
      <w:r w:rsidR="0039763E" w:rsidRPr="00787196">
        <w:t>oncept</w:t>
      </w:r>
      <w:r w:rsidR="00A822F8" w:rsidRPr="00787196">
        <w:t xml:space="preserve"> </w:t>
      </w:r>
      <w:r w:rsidR="00ED67A1" w:rsidRPr="00787196">
        <w:t xml:space="preserve">of </w:t>
      </w:r>
      <w:r w:rsidR="0039763E" w:rsidRPr="00787196">
        <w:t>coping</w:t>
      </w:r>
      <w:r w:rsidR="00907314" w:rsidRPr="00787196">
        <w:t xml:space="preserve"> is</w:t>
      </w:r>
      <w:r w:rsidR="008316FD" w:rsidRPr="00787196">
        <w:t xml:space="preserve"> </w:t>
      </w:r>
      <w:r w:rsidR="009E189C" w:rsidRPr="00787196">
        <w:t xml:space="preserve">new to India and </w:t>
      </w:r>
      <w:r w:rsidRPr="00787196">
        <w:t>may</w:t>
      </w:r>
      <w:r w:rsidR="009E189C" w:rsidRPr="00787196">
        <w:t xml:space="preserve"> need culture s</w:t>
      </w:r>
      <w:r w:rsidR="00A822F8" w:rsidRPr="00787196">
        <w:t>pecific</w:t>
      </w:r>
      <w:r w:rsidR="009E189C" w:rsidRPr="00787196">
        <w:t xml:space="preserve"> conceptualisation. </w:t>
      </w:r>
      <w:r w:rsidR="000B6A07" w:rsidRPr="00787196">
        <w:t>T</w:t>
      </w:r>
      <w:r w:rsidR="00A822F8" w:rsidRPr="00787196">
        <w:t>he content validity of the measure used in th</w:t>
      </w:r>
      <w:r w:rsidR="000B6A07" w:rsidRPr="00787196">
        <w:t>is</w:t>
      </w:r>
      <w:r w:rsidR="009E189C" w:rsidRPr="00787196">
        <w:t xml:space="preserve"> </w:t>
      </w:r>
      <w:r w:rsidR="001E1A16" w:rsidRPr="00787196">
        <w:t xml:space="preserve">study </w:t>
      </w:r>
      <w:r w:rsidR="00907314" w:rsidRPr="00787196">
        <w:t>(Brief COPE) ha</w:t>
      </w:r>
      <w:r w:rsidR="000B6A07" w:rsidRPr="00787196">
        <w:t>d</w:t>
      </w:r>
      <w:r w:rsidR="00907314" w:rsidRPr="00787196">
        <w:t xml:space="preserve"> questionable relevance </w:t>
      </w:r>
      <w:r w:rsidRPr="00787196">
        <w:t>in</w:t>
      </w:r>
      <w:r w:rsidR="00907314" w:rsidRPr="00787196">
        <w:t xml:space="preserve"> certain subscales</w:t>
      </w:r>
      <w:r w:rsidR="000B6A07" w:rsidRPr="00787196">
        <w:t xml:space="preserve">. However, this </w:t>
      </w:r>
      <w:r w:rsidRPr="00787196">
        <w:t>may</w:t>
      </w:r>
      <w:r w:rsidR="00907314" w:rsidRPr="00787196">
        <w:t xml:space="preserve"> have had little effect o</w:t>
      </w:r>
      <w:r w:rsidR="000B6A07" w:rsidRPr="00787196">
        <w:t>n</w:t>
      </w:r>
      <w:r w:rsidR="00907314" w:rsidRPr="00787196">
        <w:t xml:space="preserve"> the results.</w:t>
      </w:r>
    </w:p>
    <w:p w14:paraId="4F825F53" w14:textId="7B01F7BC" w:rsidR="00907314" w:rsidRPr="00787196" w:rsidRDefault="00907314" w:rsidP="000B6A07">
      <w:pPr>
        <w:pStyle w:val="ListParagraph"/>
        <w:numPr>
          <w:ilvl w:val="0"/>
          <w:numId w:val="28"/>
        </w:numPr>
        <w:spacing w:before="0" w:after="0"/>
        <w:ind w:left="426" w:hanging="284"/>
      </w:pPr>
      <w:r w:rsidRPr="00787196">
        <w:t>The Brief COPE scale ha</w:t>
      </w:r>
      <w:r w:rsidR="000B6A07" w:rsidRPr="00787196">
        <w:t>d</w:t>
      </w:r>
      <w:r w:rsidRPr="00787196">
        <w:t xml:space="preserve"> questionable test-retest reliability </w:t>
      </w:r>
      <w:r w:rsidR="004455CC" w:rsidRPr="00787196">
        <w:t>when using</w:t>
      </w:r>
      <w:r w:rsidRPr="00787196">
        <w:t xml:space="preserve"> the factor structures reduced for t</w:t>
      </w:r>
      <w:r w:rsidR="004455CC" w:rsidRPr="00787196">
        <w:t>his study. The extent to which this</w:t>
      </w:r>
      <w:r w:rsidRPr="00787196">
        <w:t xml:space="preserve"> may have affected the result of the hypothesis </w:t>
      </w:r>
      <w:r w:rsidR="004455CC" w:rsidRPr="00787196">
        <w:t>testing</w:t>
      </w:r>
      <w:r w:rsidR="00671F39" w:rsidRPr="00787196">
        <w:t xml:space="preserve"> </w:t>
      </w:r>
      <w:r w:rsidRPr="00787196">
        <w:t>is</w:t>
      </w:r>
      <w:r w:rsidR="00671F39" w:rsidRPr="00787196">
        <w:t xml:space="preserve"> likely to be small.</w:t>
      </w:r>
    </w:p>
    <w:p w14:paraId="246A8B8F" w14:textId="62C2AA93" w:rsidR="0031073D" w:rsidRPr="00787196" w:rsidRDefault="000B6A07" w:rsidP="000B6A07">
      <w:pPr>
        <w:pStyle w:val="ListParagraph"/>
        <w:numPr>
          <w:ilvl w:val="0"/>
          <w:numId w:val="28"/>
        </w:numPr>
        <w:spacing w:before="0" w:after="0"/>
        <w:ind w:left="426" w:hanging="284"/>
      </w:pPr>
      <w:r w:rsidRPr="00787196">
        <w:t>In India</w:t>
      </w:r>
      <w:r w:rsidR="00671F39" w:rsidRPr="00787196">
        <w:t>,</w:t>
      </w:r>
      <w:r w:rsidRPr="00787196">
        <w:t xml:space="preserve"> where oral health interventions are predominantly downstream</w:t>
      </w:r>
      <w:r w:rsidR="00671F39" w:rsidRPr="00787196">
        <w:t>,</w:t>
      </w:r>
      <w:r w:rsidRPr="00787196">
        <w:t xml:space="preserve"> clinicians have more authority and the patient perspectives may </w:t>
      </w:r>
      <w:r w:rsidR="00671F39" w:rsidRPr="00787196">
        <w:t>be</w:t>
      </w:r>
      <w:r w:rsidRPr="00787196">
        <w:t xml:space="preserve"> masked.</w:t>
      </w:r>
    </w:p>
    <w:p w14:paraId="188DD5CA" w14:textId="6116B107" w:rsidR="002611C4" w:rsidRPr="00787196" w:rsidRDefault="003D653E" w:rsidP="00907314">
      <w:pPr>
        <w:pStyle w:val="ListParagraph"/>
        <w:numPr>
          <w:ilvl w:val="0"/>
          <w:numId w:val="28"/>
        </w:numPr>
        <w:spacing w:before="0" w:after="0"/>
        <w:ind w:left="426" w:hanging="284"/>
      </w:pPr>
      <w:r w:rsidRPr="00787196">
        <w:t>To achieve a better</w:t>
      </w:r>
      <w:r w:rsidR="00302D71" w:rsidRPr="00787196">
        <w:t xml:space="preserve"> understanding</w:t>
      </w:r>
      <w:r w:rsidR="00FC3DC5" w:rsidRPr="00787196">
        <w:t xml:space="preserve"> </w:t>
      </w:r>
      <w:r w:rsidR="00302D71" w:rsidRPr="00787196">
        <w:t xml:space="preserve">of </w:t>
      </w:r>
      <w:r w:rsidR="00FC3DC5" w:rsidRPr="00787196">
        <w:t>coping</w:t>
      </w:r>
      <w:r w:rsidRPr="00787196">
        <w:t xml:space="preserve"> strategies</w:t>
      </w:r>
      <w:r w:rsidR="00FC3DC5" w:rsidRPr="00787196">
        <w:t xml:space="preserve"> in individuals seeking dentures</w:t>
      </w:r>
      <w:r w:rsidR="00302D71" w:rsidRPr="00787196">
        <w:t xml:space="preserve"> in </w:t>
      </w:r>
      <w:r w:rsidRPr="00787196">
        <w:t xml:space="preserve">an </w:t>
      </w:r>
      <w:r w:rsidR="00302D71" w:rsidRPr="00787196">
        <w:t>Indian</w:t>
      </w:r>
      <w:r w:rsidRPr="00787196">
        <w:t xml:space="preserve"> population</w:t>
      </w:r>
      <w:r w:rsidR="00302D71" w:rsidRPr="00787196">
        <w:t>, coping strategies</w:t>
      </w:r>
      <w:r w:rsidR="00FC3DC5" w:rsidRPr="00787196">
        <w:t xml:space="preserve"> should be explored qualitatively with more cultural and demographic sensitivity.</w:t>
      </w:r>
    </w:p>
    <w:p w14:paraId="225475C6" w14:textId="77777777" w:rsidR="00907314" w:rsidRPr="00787196" w:rsidRDefault="00907314" w:rsidP="000B6A07">
      <w:pPr>
        <w:pStyle w:val="ListParagraph"/>
        <w:spacing w:before="0" w:after="0"/>
        <w:ind w:left="426"/>
      </w:pPr>
    </w:p>
    <w:p w14:paraId="41B52FFD" w14:textId="249F0324" w:rsidR="004441A4" w:rsidRPr="00787196" w:rsidRDefault="004441A4" w:rsidP="00C14ECC">
      <w:pPr>
        <w:pStyle w:val="Heading2"/>
      </w:pPr>
      <w:bookmarkStart w:id="338" w:name="_Toc488655685"/>
      <w:r w:rsidRPr="00787196">
        <w:t xml:space="preserve">Variables </w:t>
      </w:r>
      <w:r w:rsidR="007A52BD" w:rsidRPr="00787196">
        <w:t xml:space="preserve">hypothesised </w:t>
      </w:r>
      <w:r w:rsidRPr="00787196">
        <w:t xml:space="preserve">in the model </w:t>
      </w:r>
      <w:r w:rsidR="007A52BD" w:rsidRPr="00787196">
        <w:t xml:space="preserve">but </w:t>
      </w:r>
      <w:r w:rsidR="00CF7B83" w:rsidRPr="00787196">
        <w:t xml:space="preserve">showed </w:t>
      </w:r>
      <w:r w:rsidR="009269AE" w:rsidRPr="00787196">
        <w:t>no associations</w:t>
      </w:r>
      <w:bookmarkEnd w:id="338"/>
    </w:p>
    <w:p w14:paraId="5CB349F1" w14:textId="677F2400" w:rsidR="00C14ECC" w:rsidRPr="00787196" w:rsidRDefault="00C14ECC" w:rsidP="00C14ECC">
      <w:pPr>
        <w:rPr>
          <w:lang w:bidi="hi-IN"/>
        </w:rPr>
      </w:pPr>
      <w:r w:rsidRPr="00787196">
        <w:rPr>
          <w:lang w:bidi="hi-IN"/>
        </w:rPr>
        <w:t xml:space="preserve">The secondary hypothesis of this study (Objective 4) was to determine and identify clinical, individual and environmental factors that influence OHQoL and other patient reported outcomes (denture satisfaction and chewing </w:t>
      </w:r>
      <w:r w:rsidRPr="00787196">
        <w:rPr>
          <w:lang w:bidi="hi-IN"/>
        </w:rPr>
        <w:lastRenderedPageBreak/>
        <w:t xml:space="preserve">ability).confirm whether coping strategies of individuals receiving new dentures predicted its successful outcome. </w:t>
      </w:r>
    </w:p>
    <w:p w14:paraId="65613175" w14:textId="448E1B97" w:rsidR="00C14ECC" w:rsidRPr="00787196" w:rsidRDefault="00C14ECC" w:rsidP="00C14ECC">
      <w:r w:rsidRPr="00787196">
        <w:rPr>
          <w:lang w:bidi="hi-IN"/>
        </w:rPr>
        <w:t xml:space="preserve">The results </w:t>
      </w:r>
      <w:r w:rsidR="00F72F7B" w:rsidRPr="00787196">
        <w:rPr>
          <w:lang w:bidi="hi-IN"/>
        </w:rPr>
        <w:t>found</w:t>
      </w:r>
      <w:r w:rsidRPr="00787196">
        <w:rPr>
          <w:lang w:bidi="hi-IN"/>
        </w:rPr>
        <w:t xml:space="preserve"> no significant ass</w:t>
      </w:r>
      <w:r w:rsidR="00F72F7B" w:rsidRPr="00787196">
        <w:rPr>
          <w:lang w:bidi="hi-IN"/>
        </w:rPr>
        <w:t>ociation between any individual</w:t>
      </w:r>
      <w:r w:rsidRPr="00787196">
        <w:rPr>
          <w:lang w:bidi="hi-IN"/>
        </w:rPr>
        <w:t xml:space="preserve"> factors or environmental </w:t>
      </w:r>
      <w:r w:rsidR="00F72F7B" w:rsidRPr="00787196">
        <w:rPr>
          <w:lang w:bidi="hi-IN"/>
        </w:rPr>
        <w:t xml:space="preserve">factors </w:t>
      </w:r>
      <w:r w:rsidRPr="00787196">
        <w:rPr>
          <w:lang w:bidi="hi-IN"/>
        </w:rPr>
        <w:t>except</w:t>
      </w:r>
      <w:r w:rsidR="007A52BD" w:rsidRPr="00787196">
        <w:rPr>
          <w:lang w:bidi="hi-IN"/>
        </w:rPr>
        <w:t xml:space="preserve"> certain clinical factors. </w:t>
      </w:r>
      <w:r w:rsidRPr="00787196">
        <w:rPr>
          <w:lang w:bidi="hi-IN"/>
        </w:rPr>
        <w:t xml:space="preserve">The </w:t>
      </w:r>
      <w:r w:rsidR="007A52BD" w:rsidRPr="00787196">
        <w:rPr>
          <w:lang w:bidi="hi-IN"/>
        </w:rPr>
        <w:t xml:space="preserve">lack </w:t>
      </w:r>
      <w:r w:rsidRPr="00787196">
        <w:rPr>
          <w:lang w:bidi="hi-IN"/>
        </w:rPr>
        <w:t>of th</w:t>
      </w:r>
      <w:r w:rsidR="007A52BD" w:rsidRPr="00787196">
        <w:rPr>
          <w:lang w:bidi="hi-IN"/>
        </w:rPr>
        <w:t>ese</w:t>
      </w:r>
      <w:r w:rsidRPr="00787196">
        <w:rPr>
          <w:lang w:bidi="hi-IN"/>
        </w:rPr>
        <w:t xml:space="preserve"> association</w:t>
      </w:r>
      <w:r w:rsidR="007A52BD" w:rsidRPr="00787196">
        <w:rPr>
          <w:lang w:bidi="hi-IN"/>
        </w:rPr>
        <w:t>s</w:t>
      </w:r>
      <w:r w:rsidRPr="00787196">
        <w:rPr>
          <w:lang w:bidi="hi-IN"/>
        </w:rPr>
        <w:t xml:space="preserve"> will be d</w:t>
      </w:r>
      <w:r w:rsidR="007A52BD" w:rsidRPr="00787196">
        <w:rPr>
          <w:lang w:bidi="hi-IN"/>
        </w:rPr>
        <w:t>iscussed in this section under the following sub</w:t>
      </w:r>
      <w:r w:rsidRPr="00787196">
        <w:rPr>
          <w:lang w:bidi="hi-IN"/>
        </w:rPr>
        <w:t xml:space="preserve"> sections </w:t>
      </w:r>
    </w:p>
    <w:p w14:paraId="5EFED759" w14:textId="74550E83" w:rsidR="004441A4" w:rsidRPr="00787196" w:rsidRDefault="00345C07" w:rsidP="00C14ECC">
      <w:pPr>
        <w:pStyle w:val="Heading3"/>
      </w:pPr>
      <w:bookmarkStart w:id="339" w:name="_Toc488655686"/>
      <w:r>
        <w:t>Ageing expectations</w:t>
      </w:r>
      <w:r w:rsidR="004441A4" w:rsidRPr="00787196">
        <w:t xml:space="preserve"> </w:t>
      </w:r>
      <w:bookmarkEnd w:id="339"/>
    </w:p>
    <w:p w14:paraId="71985462" w14:textId="5500E829" w:rsidR="004441A4" w:rsidRPr="00787196" w:rsidRDefault="004441A4" w:rsidP="007C6F81">
      <w:pPr>
        <w:rPr>
          <w:lang w:bidi="hi-IN"/>
        </w:rPr>
      </w:pPr>
      <w:r w:rsidRPr="00787196">
        <w:rPr>
          <w:lang w:bidi="hi-IN"/>
        </w:rPr>
        <w:t xml:space="preserve">Expectations regarding ageing (ERA) did not predict any outcomes in this study (OHQoL, </w:t>
      </w:r>
      <w:r w:rsidR="00345C07">
        <w:rPr>
          <w:lang w:bidi="hi-IN"/>
        </w:rPr>
        <w:t>denture satisfaction, c</w:t>
      </w:r>
      <w:r w:rsidRPr="00787196">
        <w:rPr>
          <w:lang w:bidi="hi-IN"/>
        </w:rPr>
        <w:t xml:space="preserve">hewing ability). </w:t>
      </w:r>
      <w:r w:rsidR="007C6F81" w:rsidRPr="00787196">
        <w:rPr>
          <w:lang w:bidi="hi-IN"/>
        </w:rPr>
        <w:t>E</w:t>
      </w:r>
      <w:r w:rsidRPr="00787196">
        <w:rPr>
          <w:lang w:bidi="hi-IN"/>
        </w:rPr>
        <w:t xml:space="preserve">xisting evidence suggested </w:t>
      </w:r>
      <w:r w:rsidRPr="00787196">
        <w:t xml:space="preserve">an association between overall QoL and expectations/attitude towards ageing </w:t>
      </w:r>
      <w:r w:rsidRPr="00787196">
        <w:rPr>
          <w:lang w:bidi="hi-IN"/>
        </w:rPr>
        <w:fldChar w:fldCharType="begin"/>
      </w:r>
      <w:r w:rsidRPr="00787196">
        <w:rPr>
          <w:lang w:bidi="hi-IN"/>
        </w:rPr>
        <w:instrText xml:space="preserve"> ADDIN EN.CITE &lt;EndNote&gt;&lt;Cite&gt;&lt;Author&gt;Low&lt;/Author&gt;&lt;Year&gt;2013&lt;/Year&gt;&lt;IDText&gt;Attitudes to aging mediate the relationship between older peoples&amp;apos; subjective health and quality of life in 20 countries&lt;/IDText&gt;&lt;DisplayText&gt;(Low et al., 2013)&lt;/DisplayText&gt;&lt;record&gt;&lt;isbn&gt;1477-7525&lt;/isbn&gt;&lt;custom2&gt;Pmc3765777&lt;/custom2&gt;&lt;titles&gt;&lt;title&gt;Attitudes to aging mediate the relationship between older peoples&amp;apos; subjective health and quality of life in 20 countries&lt;/title&gt;&lt;secondary-title&gt;Health Qual Life Outcomes&lt;/secondary-title&gt;&lt;alt-title&gt;Health and quality of life outcomes&lt;/alt-title&gt;&lt;/titles&gt;&lt;pages&gt;146&lt;/pages&gt;&lt;contributors&gt;&lt;authors&gt;&lt;author&gt;Low, G.&lt;/author&gt;&lt;author&gt;Molzahn, A. E.&lt;/author&gt;&lt;author&gt;Schopflocher, D.&lt;/author&gt;&lt;/authors&gt;&lt;/contributors&gt;&lt;edition&gt;2013/08/30&lt;/edition&gt;&lt;language&gt;eng&lt;/language&gt;&lt;added-date format="utc"&gt;1391183896&lt;/added-date&gt;&lt;ref-type name="Journal Article"&gt;17&lt;/ref-type&gt;&lt;auth-address&gt;Faculty of Nursing, University of Alberta, 11405-87 Avenue, Edmonton, AB T6G 1C9, Canada. gail.low@ualberta.ca.&lt;/auth-address&gt;&lt;dates&gt;&lt;year&gt;2013&lt;/year&gt;&lt;/dates&gt;&lt;remote-database-provider&gt;NLM&lt;/remote-database-provider&gt;&lt;rec-number&gt;1989&lt;/rec-number&gt;&lt;last-updated-date format="utc"&gt;1391183896&lt;/last-updated-date&gt;&lt;accession-num&gt;23984754&lt;/accession-num&gt;&lt;electronic-resource-num&gt;10.1186/1477-7525-11-146&lt;/electronic-resource-num&gt;&lt;volume&gt;11&lt;/volume&gt;&lt;/record&gt;&lt;/Cite&gt;&lt;/EndNote&gt;</w:instrText>
      </w:r>
      <w:r w:rsidRPr="00787196">
        <w:rPr>
          <w:lang w:bidi="hi-IN"/>
        </w:rPr>
        <w:fldChar w:fldCharType="separate"/>
      </w:r>
      <w:r w:rsidRPr="00787196">
        <w:rPr>
          <w:lang w:bidi="hi-IN"/>
        </w:rPr>
        <w:t>(Low et al., 2013)</w:t>
      </w:r>
      <w:r w:rsidRPr="00787196">
        <w:rPr>
          <w:lang w:bidi="hi-IN"/>
        </w:rPr>
        <w:fldChar w:fldCharType="end"/>
      </w:r>
      <w:r w:rsidRPr="00787196">
        <w:rPr>
          <w:lang w:bidi="hi-IN"/>
        </w:rPr>
        <w:t xml:space="preserve">. However, there </w:t>
      </w:r>
      <w:r w:rsidR="00D33D17" w:rsidRPr="00787196">
        <w:rPr>
          <w:lang w:bidi="hi-IN"/>
        </w:rPr>
        <w:t>were</w:t>
      </w:r>
      <w:r w:rsidRPr="00787196">
        <w:rPr>
          <w:lang w:bidi="hi-IN"/>
        </w:rPr>
        <w:t xml:space="preserve"> no studies done in the past where this variable has been tested </w:t>
      </w:r>
      <w:r w:rsidR="00D33D17" w:rsidRPr="00787196">
        <w:rPr>
          <w:lang w:bidi="hi-IN"/>
        </w:rPr>
        <w:t xml:space="preserve">on </w:t>
      </w:r>
      <w:r w:rsidRPr="00787196">
        <w:rPr>
          <w:lang w:bidi="hi-IN"/>
        </w:rPr>
        <w:t xml:space="preserve">individuals receiving dentures. </w:t>
      </w:r>
    </w:p>
    <w:p w14:paraId="5925A2D2" w14:textId="7A871BDE" w:rsidR="00A74760" w:rsidRPr="00787196" w:rsidRDefault="004441A4" w:rsidP="00952902">
      <w:pPr>
        <w:rPr>
          <w:lang w:bidi="hi-IN"/>
        </w:rPr>
      </w:pPr>
      <w:r w:rsidRPr="00787196">
        <w:rPr>
          <w:lang w:bidi="hi-IN"/>
        </w:rPr>
        <w:t>Th</w:t>
      </w:r>
      <w:r w:rsidR="00404A69" w:rsidRPr="00787196">
        <w:rPr>
          <w:lang w:bidi="hi-IN"/>
        </w:rPr>
        <w:t>is research</w:t>
      </w:r>
      <w:r w:rsidRPr="00787196">
        <w:rPr>
          <w:lang w:bidi="hi-IN"/>
        </w:rPr>
        <w:t xml:space="preserve"> study used this variable as studies have shown</w:t>
      </w:r>
      <w:r w:rsidR="007C6F81" w:rsidRPr="00787196">
        <w:rPr>
          <w:lang w:bidi="hi-IN"/>
        </w:rPr>
        <w:t xml:space="preserve"> strong association between age </w:t>
      </w:r>
      <w:r w:rsidRPr="00787196">
        <w:rPr>
          <w:lang w:bidi="hi-IN"/>
        </w:rPr>
        <w:t>and OHQoL in individuals wearing dentures</w:t>
      </w:r>
      <w:r w:rsidR="00952902" w:rsidRPr="00787196">
        <w:rPr>
          <w:lang w:bidi="hi-IN"/>
        </w:rPr>
        <w:t xml:space="preserve">. </w:t>
      </w:r>
      <w:r w:rsidRPr="00787196">
        <w:rPr>
          <w:lang w:bidi="hi-IN"/>
        </w:rPr>
        <w:t xml:space="preserve">Ageing has been stereotyped both positively and negatively in different cultures and has shown to influence how older adults see themselves </w:t>
      </w:r>
      <w:r w:rsidRPr="00787196">
        <w:rPr>
          <w:lang w:bidi="hi-IN"/>
        </w:rPr>
        <w:fldChar w:fldCharType="begin"/>
      </w:r>
      <w:r w:rsidRPr="00787196">
        <w:rPr>
          <w:lang w:bidi="hi-IN"/>
        </w:rPr>
        <w:instrText xml:space="preserve"> ADDIN EN.CITE &lt;EndNote&gt;&lt;Cite&gt;&lt;Author&gt;Dionigi&lt;/Author&gt;&lt;Year&gt;2015&lt;/Year&gt;&lt;IDText&gt;Stereotypes of aging: their effects on the health of older adults&lt;/IDText&gt;&lt;DisplayText&gt;(Dionigi, 2015)&lt;/DisplayText&gt;&lt;record&gt;&lt;isbn&gt;2356-7414&lt;/isbn&gt;&lt;titles&gt;&lt;title&gt;Stereotypes of aging: their effects on the health of older adults&lt;/title&gt;&lt;secondary-title&gt;Journal of Geriatrics&lt;/secondary-title&gt;&lt;/titles&gt;&lt;contributors&gt;&lt;authors&gt;&lt;author&gt;Dionigi, Rylee A.&lt;/author&gt;&lt;/authors&gt;&lt;/contributors&gt;&lt;added-date format="utc"&gt;1479771907&lt;/added-date&gt;&lt;ref-type name="Journal Article"&gt;17&lt;/ref-type&gt;&lt;dates&gt;&lt;year&gt;2015&lt;/year&gt;&lt;/dates&gt;&lt;rec-number&gt;2656&lt;/rec-number&gt;&lt;publisher&gt;Hindawi Publishing Corporation&lt;/publisher&gt;&lt;last-updated-date format="utc"&gt;1479771907&lt;/last-updated-date&gt;&lt;volume&gt;2015&lt;/volume&gt;&lt;/record&gt;&lt;/Cite&gt;&lt;/EndNote&gt;</w:instrText>
      </w:r>
      <w:r w:rsidRPr="00787196">
        <w:rPr>
          <w:lang w:bidi="hi-IN"/>
        </w:rPr>
        <w:fldChar w:fldCharType="separate"/>
      </w:r>
      <w:r w:rsidRPr="00787196">
        <w:rPr>
          <w:lang w:bidi="hi-IN"/>
        </w:rPr>
        <w:t>(Dionigi, 2015)</w:t>
      </w:r>
      <w:r w:rsidRPr="00787196">
        <w:rPr>
          <w:lang w:bidi="hi-IN"/>
        </w:rPr>
        <w:fldChar w:fldCharType="end"/>
      </w:r>
      <w:r w:rsidRPr="00787196">
        <w:rPr>
          <w:lang w:bidi="hi-IN"/>
        </w:rPr>
        <w:t xml:space="preserve">. </w:t>
      </w:r>
      <w:r w:rsidR="00952902" w:rsidRPr="00787196">
        <w:rPr>
          <w:lang w:bidi="hi-IN"/>
        </w:rPr>
        <w:t xml:space="preserve">Individual’s age is understandably strongly associated with their expectations regarding ageing. As </w:t>
      </w:r>
      <w:r w:rsidR="00D83874" w:rsidRPr="00787196">
        <w:rPr>
          <w:lang w:bidi="hi-IN"/>
        </w:rPr>
        <w:t xml:space="preserve">discussed </w:t>
      </w:r>
      <w:r w:rsidR="00952902" w:rsidRPr="00787196">
        <w:rPr>
          <w:lang w:bidi="hi-IN"/>
        </w:rPr>
        <w:t>in section</w:t>
      </w:r>
      <w:r w:rsidR="00D83874" w:rsidRPr="00787196">
        <w:rPr>
          <w:lang w:bidi="hi-IN"/>
        </w:rPr>
        <w:t xml:space="preserve"> 2.4.2.2 of the literature review</w:t>
      </w:r>
      <w:r w:rsidR="00952902" w:rsidRPr="00787196">
        <w:rPr>
          <w:lang w:bidi="hi-IN"/>
        </w:rPr>
        <w:t xml:space="preserve">, this research was interested in observing whether an </w:t>
      </w:r>
      <w:r w:rsidR="00D83874" w:rsidRPr="00787196">
        <w:rPr>
          <w:lang w:bidi="hi-IN"/>
        </w:rPr>
        <w:t xml:space="preserve">individual’s </w:t>
      </w:r>
      <w:r w:rsidR="00952902" w:rsidRPr="00787196">
        <w:rPr>
          <w:lang w:bidi="hi-IN"/>
        </w:rPr>
        <w:t>ERA was associated with denture success</w:t>
      </w:r>
      <w:r w:rsidR="00D83874" w:rsidRPr="00787196">
        <w:rPr>
          <w:lang w:bidi="hi-IN"/>
        </w:rPr>
        <w:t xml:space="preserve"> to</w:t>
      </w:r>
      <w:r w:rsidR="00B554F0" w:rsidRPr="00787196">
        <w:rPr>
          <w:lang w:bidi="hi-IN"/>
        </w:rPr>
        <w:t xml:space="preserve"> further</w:t>
      </w:r>
      <w:r w:rsidR="00D83874" w:rsidRPr="00787196">
        <w:rPr>
          <w:lang w:bidi="hi-IN"/>
        </w:rPr>
        <w:t xml:space="preserve"> understand the </w:t>
      </w:r>
      <w:r w:rsidR="00B554F0" w:rsidRPr="00787196">
        <w:rPr>
          <w:lang w:bidi="hi-IN"/>
        </w:rPr>
        <w:t>prevalence of dentures in aged cohort</w:t>
      </w:r>
      <w:r w:rsidR="00952902" w:rsidRPr="00787196">
        <w:rPr>
          <w:lang w:bidi="hi-IN"/>
        </w:rPr>
        <w:t xml:space="preserve">. </w:t>
      </w:r>
    </w:p>
    <w:p w14:paraId="2C451653" w14:textId="77777777" w:rsidR="00A74760" w:rsidRPr="00787196" w:rsidRDefault="00A74760">
      <w:pPr>
        <w:spacing w:before="0" w:after="0" w:line="240" w:lineRule="auto"/>
        <w:jc w:val="left"/>
        <w:rPr>
          <w:lang w:bidi="hi-IN"/>
        </w:rPr>
      </w:pPr>
      <w:r w:rsidRPr="00787196">
        <w:rPr>
          <w:lang w:bidi="hi-IN"/>
        </w:rPr>
        <w:br w:type="page"/>
      </w:r>
    </w:p>
    <w:p w14:paraId="526A2DD7" w14:textId="0F6D462C" w:rsidR="00952902" w:rsidRPr="00787196" w:rsidRDefault="00B554F0" w:rsidP="00952902">
      <w:pPr>
        <w:rPr>
          <w:lang w:bidi="hi-IN"/>
        </w:rPr>
      </w:pPr>
      <w:r w:rsidRPr="00787196">
        <w:rPr>
          <w:lang w:bidi="hi-IN"/>
        </w:rPr>
        <w:lastRenderedPageBreak/>
        <w:t xml:space="preserve">The results of the present study </w:t>
      </w:r>
      <w:r w:rsidR="00F91A7E" w:rsidRPr="00787196">
        <w:rPr>
          <w:lang w:bidi="hi-IN"/>
        </w:rPr>
        <w:t>found</w:t>
      </w:r>
      <w:r w:rsidRPr="00787196">
        <w:rPr>
          <w:lang w:bidi="hi-IN"/>
        </w:rPr>
        <w:t xml:space="preserve"> no association between ERA and denture success. </w:t>
      </w:r>
      <w:r w:rsidR="005F632A" w:rsidRPr="00787196">
        <w:rPr>
          <w:lang w:bidi="hi-IN"/>
        </w:rPr>
        <w:t>I</w:t>
      </w:r>
      <w:r w:rsidR="00952902" w:rsidRPr="00787196">
        <w:rPr>
          <w:lang w:bidi="hi-IN"/>
        </w:rPr>
        <w:t>n retrospect, it may be understood that</w:t>
      </w:r>
      <w:r w:rsidR="005F632A" w:rsidRPr="00787196">
        <w:rPr>
          <w:lang w:bidi="hi-IN"/>
        </w:rPr>
        <w:t xml:space="preserve"> any</w:t>
      </w:r>
      <w:r w:rsidR="00952902" w:rsidRPr="00787196">
        <w:rPr>
          <w:lang w:bidi="hi-IN"/>
        </w:rPr>
        <w:t xml:space="preserve"> </w:t>
      </w:r>
      <w:r w:rsidR="005F632A" w:rsidRPr="00787196">
        <w:rPr>
          <w:lang w:bidi="hi-IN"/>
        </w:rPr>
        <w:t>c</w:t>
      </w:r>
      <w:r w:rsidR="00952902" w:rsidRPr="00787196">
        <w:rPr>
          <w:lang w:bidi="hi-IN"/>
        </w:rPr>
        <w:t>hange in expectations</w:t>
      </w:r>
      <w:r w:rsidR="005F632A" w:rsidRPr="00787196">
        <w:rPr>
          <w:lang w:bidi="hi-IN"/>
        </w:rPr>
        <w:t xml:space="preserve"> regarding ageing</w:t>
      </w:r>
      <w:r w:rsidR="00952902" w:rsidRPr="00787196">
        <w:rPr>
          <w:lang w:bidi="hi-IN"/>
        </w:rPr>
        <w:t xml:space="preserve"> may </w:t>
      </w:r>
      <w:r w:rsidR="005F632A" w:rsidRPr="00787196">
        <w:rPr>
          <w:lang w:bidi="hi-IN"/>
        </w:rPr>
        <w:t xml:space="preserve">have been too little to be observed </w:t>
      </w:r>
      <w:r w:rsidR="00116C71" w:rsidRPr="00787196">
        <w:rPr>
          <w:lang w:bidi="hi-IN"/>
        </w:rPr>
        <w:t xml:space="preserve">given </w:t>
      </w:r>
      <w:r w:rsidR="005F632A" w:rsidRPr="00787196">
        <w:rPr>
          <w:lang w:bidi="hi-IN"/>
        </w:rPr>
        <w:t xml:space="preserve">the </w:t>
      </w:r>
      <w:r w:rsidR="00116C71" w:rsidRPr="00787196">
        <w:rPr>
          <w:lang w:bidi="hi-IN"/>
        </w:rPr>
        <w:t xml:space="preserve">narrow </w:t>
      </w:r>
      <w:r w:rsidR="005F632A" w:rsidRPr="00787196">
        <w:rPr>
          <w:lang w:bidi="hi-IN"/>
        </w:rPr>
        <w:t xml:space="preserve">3 month follow-up </w:t>
      </w:r>
      <w:r w:rsidR="00116C71" w:rsidRPr="00787196">
        <w:rPr>
          <w:lang w:bidi="hi-IN"/>
        </w:rPr>
        <w:t xml:space="preserve">window </w:t>
      </w:r>
      <w:r w:rsidR="005F632A" w:rsidRPr="00787196">
        <w:rPr>
          <w:lang w:bidi="hi-IN"/>
        </w:rPr>
        <w:t>of th</w:t>
      </w:r>
      <w:r w:rsidR="00116C71" w:rsidRPr="00787196">
        <w:rPr>
          <w:lang w:bidi="hi-IN"/>
        </w:rPr>
        <w:t>e</w:t>
      </w:r>
      <w:r w:rsidR="005F632A" w:rsidRPr="00787196">
        <w:rPr>
          <w:lang w:bidi="hi-IN"/>
        </w:rPr>
        <w:t xml:space="preserve"> study. </w:t>
      </w:r>
      <w:r w:rsidR="00116C71" w:rsidRPr="00787196">
        <w:rPr>
          <w:lang w:bidi="hi-IN"/>
        </w:rPr>
        <w:t>Also g</w:t>
      </w:r>
      <w:r w:rsidR="005F632A" w:rsidRPr="00787196">
        <w:rPr>
          <w:lang w:bidi="hi-IN"/>
        </w:rPr>
        <w:t xml:space="preserve">iven the homogeneity of the study </w:t>
      </w:r>
      <w:r w:rsidR="00116C71" w:rsidRPr="00787196">
        <w:rPr>
          <w:lang w:bidi="hi-IN"/>
        </w:rPr>
        <w:t xml:space="preserve">sample with its </w:t>
      </w:r>
      <w:r w:rsidR="005F632A" w:rsidRPr="00787196">
        <w:rPr>
          <w:lang w:bidi="hi-IN"/>
        </w:rPr>
        <w:t xml:space="preserve">SES, </w:t>
      </w:r>
      <w:r w:rsidR="00116C71" w:rsidRPr="00787196">
        <w:rPr>
          <w:lang w:bidi="hi-IN"/>
        </w:rPr>
        <w:t xml:space="preserve">the changes may have been </w:t>
      </w:r>
      <w:r w:rsidR="009910E4" w:rsidRPr="00787196">
        <w:rPr>
          <w:lang w:bidi="hi-IN"/>
        </w:rPr>
        <w:t xml:space="preserve">minimised </w:t>
      </w:r>
      <w:r w:rsidR="00116C71" w:rsidRPr="00787196">
        <w:rPr>
          <w:lang w:bidi="hi-IN"/>
        </w:rPr>
        <w:t>further</w:t>
      </w:r>
      <w:r w:rsidR="009910E4" w:rsidRPr="00787196">
        <w:rPr>
          <w:lang w:bidi="hi-IN"/>
        </w:rPr>
        <w:t xml:space="preserve"> and had any effect on the treatment outcome</w:t>
      </w:r>
      <w:r w:rsidR="00116C71" w:rsidRPr="00787196">
        <w:rPr>
          <w:lang w:bidi="hi-IN"/>
        </w:rPr>
        <w:t xml:space="preserve">.     </w:t>
      </w:r>
      <w:r w:rsidR="005F632A" w:rsidRPr="00787196">
        <w:rPr>
          <w:lang w:bidi="hi-IN"/>
        </w:rPr>
        <w:t xml:space="preserve">   </w:t>
      </w:r>
    </w:p>
    <w:p w14:paraId="5CF925C4" w14:textId="77777777" w:rsidR="004441A4" w:rsidRPr="00787196" w:rsidRDefault="004441A4" w:rsidP="00C14ECC">
      <w:pPr>
        <w:pStyle w:val="Heading3"/>
      </w:pPr>
      <w:bookmarkStart w:id="340" w:name="_Toc488655687"/>
      <w:r w:rsidRPr="00787196">
        <w:t>Perceived stress</w:t>
      </w:r>
      <w:bookmarkEnd w:id="340"/>
      <w:r w:rsidRPr="00787196">
        <w:t xml:space="preserve"> </w:t>
      </w:r>
    </w:p>
    <w:p w14:paraId="50ED9129" w14:textId="025DA1F3" w:rsidR="00F91A7E" w:rsidRPr="00787196" w:rsidRDefault="004441A4" w:rsidP="00F91A7E">
      <w:pPr>
        <w:spacing w:before="0" w:after="0"/>
        <w:rPr>
          <w:rFonts w:cs="Arial"/>
          <w:szCs w:val="24"/>
        </w:rPr>
      </w:pPr>
      <w:r w:rsidRPr="00787196">
        <w:rPr>
          <w:lang w:bidi="hi-IN"/>
        </w:rPr>
        <w:t xml:space="preserve">Perceived stress was not associated with any successful </w:t>
      </w:r>
      <w:r w:rsidR="006879FE" w:rsidRPr="00787196">
        <w:rPr>
          <w:lang w:bidi="hi-IN"/>
        </w:rPr>
        <w:t>denture outcomes in this study</w:t>
      </w:r>
      <w:r w:rsidR="0084508A" w:rsidRPr="00787196">
        <w:rPr>
          <w:lang w:bidi="hi-IN"/>
        </w:rPr>
        <w:t>.</w:t>
      </w:r>
      <w:r w:rsidR="005E047A" w:rsidRPr="00787196">
        <w:rPr>
          <w:lang w:bidi="hi-IN"/>
        </w:rPr>
        <w:t xml:space="preserve"> </w:t>
      </w:r>
      <w:r w:rsidR="00F91A7E" w:rsidRPr="00787196">
        <w:rPr>
          <w:lang w:bidi="hi-IN"/>
        </w:rPr>
        <w:t>This study used PSS-4 scale to measure perceived stress.</w:t>
      </w:r>
      <w:r w:rsidR="00F91A7E" w:rsidRPr="00787196">
        <w:rPr>
          <w:rFonts w:cs="Arial"/>
          <w:szCs w:val="24"/>
        </w:rPr>
        <w:t xml:space="preserve"> As discussed earlier </w:t>
      </w:r>
      <w:r w:rsidR="00712927" w:rsidRPr="00787196">
        <w:rPr>
          <w:rFonts w:cs="Arial"/>
          <w:szCs w:val="24"/>
        </w:rPr>
        <w:t>in Section 4.2.2.2</w:t>
      </w:r>
      <w:r w:rsidR="00F91A7E" w:rsidRPr="00787196">
        <w:rPr>
          <w:rFonts w:cs="Arial"/>
          <w:szCs w:val="24"/>
        </w:rPr>
        <w:t>, PSS-4 measure was designed and developed in a western population</w:t>
      </w:r>
      <w:r w:rsidR="00712927" w:rsidRPr="00787196">
        <w:rPr>
          <w:rFonts w:cs="Arial"/>
          <w:szCs w:val="24"/>
        </w:rPr>
        <w:t xml:space="preserve"> culturally different from the population examined in this study</w:t>
      </w:r>
      <w:r w:rsidR="00F91A7E" w:rsidRPr="00787196">
        <w:rPr>
          <w:rFonts w:cs="Arial"/>
          <w:szCs w:val="24"/>
        </w:rPr>
        <w:t xml:space="preserve">. </w:t>
      </w:r>
    </w:p>
    <w:p w14:paraId="16CE6EF1" w14:textId="14E581DA" w:rsidR="001317B5" w:rsidRPr="00787196" w:rsidRDefault="001317B5" w:rsidP="00F91A7E">
      <w:pPr>
        <w:spacing w:before="0" w:after="0"/>
        <w:rPr>
          <w:rFonts w:cs="Arial"/>
          <w:szCs w:val="24"/>
        </w:rPr>
      </w:pPr>
    </w:p>
    <w:p w14:paraId="7B688B0D" w14:textId="77777777" w:rsidR="005924FB" w:rsidRPr="00787196" w:rsidRDefault="00F91A7E" w:rsidP="00942F4F">
      <w:pPr>
        <w:spacing w:before="0" w:after="0"/>
        <w:rPr>
          <w:rFonts w:cs="Arial"/>
          <w:szCs w:val="24"/>
        </w:rPr>
      </w:pPr>
      <w:r w:rsidRPr="00787196">
        <w:rPr>
          <w:lang w:bidi="hi-IN"/>
        </w:rPr>
        <w:t xml:space="preserve">Previous </w:t>
      </w:r>
      <w:r w:rsidRPr="00787196">
        <w:rPr>
          <w:rFonts w:cs="Arial"/>
          <w:szCs w:val="24"/>
        </w:rPr>
        <w:t xml:space="preserve">studies </w:t>
      </w:r>
      <w:r w:rsidR="005924FB" w:rsidRPr="00787196">
        <w:rPr>
          <w:rFonts w:cs="Arial"/>
          <w:szCs w:val="24"/>
        </w:rPr>
        <w:t>found</w:t>
      </w:r>
      <w:r w:rsidRPr="00787196">
        <w:rPr>
          <w:rFonts w:cs="Arial"/>
          <w:szCs w:val="24"/>
        </w:rPr>
        <w:t xml:space="preserve"> strong negative associations between perceived stress with oral health </w:t>
      </w:r>
      <w:r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LCBMb2NrZXIgYW5kIEFsbGVuLCAyMDAyLCBTYW5kZXJzIGFuZCBTcGVuY2VyLCAyMDA1KTwvRGlz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</w:fldData>
        </w:fldChar>
      </w:r>
      <w:r w:rsidRPr="00787196">
        <w:rPr>
          <w:rFonts w:cs="Arial"/>
          <w:szCs w:val="24"/>
        </w:rPr>
        <w:instrText xml:space="preserve"> ADDIN EN.CITE </w:instrText>
      </w:r>
      <w:r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LCBMb2NrZXIgYW5kIEFsbGVuLCAyMDAyLCBTYW5kZXJzIGFuZCBTcGVuY2VyLCAyMDA1KTwvRGlz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(Locker et al., 2001, Locker and Allen, 2002, Sanders and Spencer, 2005)</w:t>
      </w:r>
      <w:r w:rsidRPr="00787196">
        <w:rPr>
          <w:rFonts w:cs="Arial"/>
          <w:szCs w:val="24"/>
        </w:rPr>
        <w:fldChar w:fldCharType="end"/>
      </w:r>
      <w:r w:rsidRPr="00787196">
        <w:rPr>
          <w:rFonts w:cs="Arial"/>
          <w:szCs w:val="24"/>
        </w:rPr>
        <w:t xml:space="preserve">. Increased perceived stress levels were associated with significantly low levels of subjective oral health even when the other mediating factors were adjusted  across various ethno-racial groups </w:t>
      </w:r>
      <w:r w:rsidRPr="00787196">
        <w:rPr>
          <w:rFonts w:cs="Arial"/>
          <w:szCs w:val="24"/>
        </w:rPr>
        <w:fldChar w:fldCharType="begin"/>
      </w:r>
      <w:r w:rsidRPr="00787196">
        <w:rPr>
          <w:rFonts w:cs="Arial"/>
          <w:szCs w:val="24"/>
        </w:rPr>
        <w:instrText xml:space="preserve"> ADDIN EN.CITE &lt;EndNote&gt;&lt;Cite&gt;&lt;Author&gt;Sanders&lt;/Author&gt;&lt;Year&gt;2005&lt;/Year&gt;&lt;IDText&gt;Why do poor adults rate their oral health poorly?&lt;/IDText&gt;&lt;DisplayText&gt;(Sanders and Spencer, 2005, Watson et al., 2008)&lt;/DisplayText&gt;&lt;record&gt;&lt;keywords&gt;&lt;keyword&gt;Socioeconomic position&lt;/keyword&gt;&lt;keyword&gt;explaining health inequalities&lt;/keyword&gt;&lt;keyword&gt;psychosocial factors&lt;/keyword&gt;&lt;/keywords&gt;&lt;urls&gt;&lt;related-urls&gt;&lt;url&gt;http://dx.doi.org/10.1111/j.1834-7819.2005.tb00355.x&lt;/url&gt;&lt;/related-urls&gt;&lt;/urls&gt;&lt;titles&gt;&lt;title&gt;Why do poor adults rate their oral health poorly?&lt;/title&gt;&lt;secondary-title&gt;Australian Dental Journal&lt;/secondary-title&gt;&lt;/titles&gt;&lt;pages&gt;161-167&lt;/pages&gt;&lt;number&gt;3&lt;/number&gt;&lt;contributors&gt;&lt;authors&gt;&lt;author&gt;Sanders, A. E.&lt;/author&gt;&lt;author&gt;Spencer, A. J.&lt;/author&gt;&lt;/authors&gt;&lt;/contributors&gt;&lt;added-date format="utc"&gt;1469778555&lt;/added-date&gt;&lt;ref-type name="Journal Article"&gt;17&lt;/ref-type&gt;&lt;dates&gt;&lt;year&gt;2005&lt;/year&gt;&lt;/dates&gt;&lt;rec-number&gt;2339&lt;/rec-number&gt;&lt;publisher&gt;Blackwell Publishing Ltd&lt;/publisher&gt;&lt;last-updated-date format="utc"&gt;1469778555&lt;/last-updated-date&gt;&lt;volume&gt;50&lt;/volume&gt;&lt;/record&gt;&lt;/Cite&gt;&lt;Cite&gt;&lt;Author&gt;Watson&lt;/Author&gt;&lt;Year&gt;2008&lt;/Year&gt;&lt;RecNum&gt;59&lt;/RecNum&gt;&lt;record&gt;&lt;rec-number&gt;59&lt;/rec-number&gt;&lt;foreign-keys&gt;&lt;key app="EN" db-id="xf0vwtv58a0w9wezwe9vp0fn0wwt2fp5srs0"&gt;59&lt;/key&gt;&lt;/foreign-keys&gt;&lt;ref-type name="Journal Article"&gt;17&lt;/ref-type&gt;&lt;contributors&gt;&lt;authors&gt;&lt;author&gt;Watson, Jennifer&lt;/author&gt;&lt;author&gt;Logan, Henrietta&lt;/author&gt;&lt;author&gt;Tomar, Scott&lt;/author&gt;&lt;/authors&gt;&lt;/contributors&gt;&lt;titles&gt;&lt;title&gt;The influence of active coping and perceived stress on health disparities in a multi-ethnic low income sample&lt;/title&gt;&lt;secondary-title&gt;BMC Public Health&lt;/secondary-title&gt;&lt;/titles&gt;&lt;periodical&gt;&lt;full-title&gt;BMC Public Health&lt;/full-title&gt;&lt;/periodical&gt;&lt;pages&gt;41&lt;/pages&gt;&lt;volume&gt;8&lt;/volume&gt;&lt;number&gt;1&lt;/number&gt;&lt;dates&gt;&lt;year&gt;2008&lt;/year&gt;&lt;/dates&gt;&lt;isbn&gt;1471-2458&lt;/isbn&gt;&lt;accession-num&gt;doi:10.1186/1471-2458-8-41&lt;/accession-num&gt;&lt;urls&gt;&lt;related-urls&gt;&lt;url&gt;http://www.biomedcentral.com/1471-2458/8/41 &lt;/url&gt;&lt;/related-urls&gt;&lt;/urls&gt;&lt;/record&gt;&lt;/Cite&gt;&lt;/EndNote&gt;</w:instrText>
      </w:r>
      <w:r w:rsidRPr="00787196">
        <w:rPr>
          <w:rFonts w:cs="Arial"/>
          <w:szCs w:val="24"/>
        </w:rPr>
        <w:fldChar w:fldCharType="separate"/>
      </w:r>
      <w:r w:rsidRPr="00787196">
        <w:rPr>
          <w:rFonts w:cs="Arial"/>
          <w:noProof/>
          <w:szCs w:val="24"/>
        </w:rPr>
        <w:t>(Sanders and Spencer, 2005, Watson et al., 2008)</w:t>
      </w:r>
      <w:r w:rsidRPr="00787196">
        <w:rPr>
          <w:rFonts w:cs="Arial"/>
          <w:szCs w:val="24"/>
        </w:rPr>
        <w:fldChar w:fldCharType="end"/>
      </w:r>
      <w:r w:rsidRPr="00787196">
        <w:rPr>
          <w:rFonts w:cs="Arial"/>
          <w:szCs w:val="24"/>
        </w:rPr>
        <w:t xml:space="preserve">. Based on the results from the systematic literature review (section 2.4.4) studies were identified suggesting strong associations between perceived stress and OHQoL  </w:t>
      </w:r>
      <w:r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LCBMb2NrZXIgYW5kIEFsbGVuLCAyMDAyKTwvRGlzcGxheVRleHQ+PHJlY29yZD48ZGF0ZXM+PHB1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</w:fldData>
        </w:fldChar>
      </w:r>
      <w:r w:rsidRPr="00787196">
        <w:rPr>
          <w:rFonts w:cs="Arial"/>
          <w:szCs w:val="24"/>
        </w:rPr>
        <w:instrText xml:space="preserve"> ADDIN EN.CITE </w:instrText>
      </w:r>
      <w:r w:rsidRPr="00787196">
        <w:rPr>
          <w:rFonts w:cs="Arial"/>
          <w:szCs w:val="24"/>
        </w:rPr>
        <w:fldChar w:fldCharType="begin">
          <w:fldData xml:space="preserve">PEVuZE5vdGU+PENpdGU+PEF1dGhvcj5Mb2NrZXI8L0F1dGhvcj48WWVhcj4yMDAxPC9ZZWFyPjxS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noProof/>
          <w:szCs w:val="24"/>
        </w:rPr>
        <w:t>(Locker et al., 2001, Locker and Allen, 2002)</w:t>
      </w:r>
      <w:r w:rsidRPr="00787196">
        <w:rPr>
          <w:rFonts w:cs="Arial"/>
          <w:szCs w:val="24"/>
        </w:rPr>
        <w:fldChar w:fldCharType="end"/>
      </w:r>
      <w:r w:rsidRPr="00787196">
        <w:rPr>
          <w:rFonts w:cs="Arial"/>
          <w:szCs w:val="24"/>
        </w:rPr>
        <w:t>. Thus</w:t>
      </w:r>
      <w:r w:rsidR="00E76552" w:rsidRPr="00787196">
        <w:rPr>
          <w:rFonts w:cs="Arial"/>
          <w:szCs w:val="24"/>
        </w:rPr>
        <w:t>, perceived stress was chosen as a</w:t>
      </w:r>
      <w:r w:rsidRPr="00787196">
        <w:rPr>
          <w:lang w:bidi="hi-IN"/>
        </w:rPr>
        <w:t xml:space="preserve"> variable and populated within the model developed for this study.</w:t>
      </w:r>
      <w:r w:rsidR="005924FB" w:rsidRPr="00787196">
        <w:rPr>
          <w:lang w:bidi="hi-IN"/>
        </w:rPr>
        <w:t xml:space="preserve"> </w:t>
      </w:r>
      <w:r w:rsidRPr="00787196">
        <w:rPr>
          <w:rFonts w:cs="Arial"/>
          <w:szCs w:val="24"/>
        </w:rPr>
        <w:t>The result</w:t>
      </w:r>
      <w:r w:rsidR="00E76552" w:rsidRPr="00787196">
        <w:rPr>
          <w:rFonts w:cs="Arial"/>
          <w:szCs w:val="24"/>
        </w:rPr>
        <w:t>s</w:t>
      </w:r>
      <w:r w:rsidRPr="00787196">
        <w:rPr>
          <w:rFonts w:cs="Arial"/>
          <w:szCs w:val="24"/>
        </w:rPr>
        <w:t xml:space="preserve"> however showed no associations between perceived stress and denture success. </w:t>
      </w:r>
    </w:p>
    <w:p w14:paraId="6D6FC32C" w14:textId="77777777" w:rsidR="005924FB" w:rsidRPr="00787196" w:rsidRDefault="005924FB" w:rsidP="00942F4F">
      <w:pPr>
        <w:spacing w:before="0" w:after="0"/>
        <w:rPr>
          <w:rFonts w:cs="Arial"/>
          <w:szCs w:val="24"/>
        </w:rPr>
      </w:pPr>
    </w:p>
    <w:p w14:paraId="46A19460" w14:textId="77777777" w:rsidR="005924FB" w:rsidRPr="00787196" w:rsidRDefault="00942F4F" w:rsidP="00942F4F">
      <w:pPr>
        <w:spacing w:before="0" w:after="0"/>
        <w:rPr>
          <w:rFonts w:cs="Arial"/>
          <w:szCs w:val="24"/>
        </w:rPr>
      </w:pPr>
      <w:r w:rsidRPr="00787196">
        <w:rPr>
          <w:rFonts w:cs="Arial"/>
          <w:szCs w:val="24"/>
        </w:rPr>
        <w:t xml:space="preserve">Perceived stress has been explored in the past in Indian population but its range has been very limited. Most studies observed perceived stress in students mostly in the field of health </w:t>
      </w:r>
      <w:r w:rsidRPr="00787196">
        <w:rPr>
          <w:rFonts w:cs="Arial"/>
          <w:szCs w:val="24"/>
        </w:rPr>
        <w:fldChar w:fldCharType="begin">
          <w:fldData xml:space="preserve">PEVuZE5vdGU+PENpdGU+PEF1dGhvcj5BY2hhcnlhPC9BdXRob3I+PFllYXI+MjAwMzwvWWVhcj48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=
</w:fldData>
        </w:fldChar>
      </w:r>
      <w:r w:rsidRPr="00787196">
        <w:rPr>
          <w:rFonts w:cs="Arial"/>
          <w:szCs w:val="24"/>
        </w:rPr>
        <w:instrText xml:space="preserve"> ADDIN EN.CITE </w:instrText>
      </w:r>
      <w:r w:rsidRPr="00787196">
        <w:rPr>
          <w:rFonts w:cs="Arial"/>
          <w:szCs w:val="24"/>
        </w:rPr>
        <w:fldChar w:fldCharType="begin">
          <w:fldData xml:space="preserve">PEVuZE5vdGU+PENpdGU+PEF1dGhvcj5BY2hhcnlhPC9BdXRob3I+PFllYXI+MjAwMzwvWWVhcj48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=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noProof/>
          <w:szCs w:val="24"/>
        </w:rPr>
        <w:t>(Acharya, 2003, Lane et al., 2007, Kumar et al., 2009, Singh et al., 2011, Harikiran et al., 2012, Reddy et al., 2013, Singh et al., 2013, Swami et al., 2013, Gade et al., 2014, Gupta et al., 2014, Joseph et al., 2015)</w:t>
      </w:r>
      <w:r w:rsidRPr="00787196">
        <w:rPr>
          <w:rFonts w:cs="Arial"/>
          <w:szCs w:val="24"/>
        </w:rPr>
        <w:fldChar w:fldCharType="end"/>
      </w:r>
      <w:r w:rsidRPr="00787196">
        <w:rPr>
          <w:rFonts w:cs="Arial"/>
          <w:szCs w:val="24"/>
        </w:rPr>
        <w:t xml:space="preserve"> and also in healthcare professionals </w:t>
      </w:r>
      <w:r w:rsidRPr="00787196">
        <w:rPr>
          <w:rFonts w:cs="Arial"/>
          <w:szCs w:val="24"/>
        </w:rPr>
        <w:fldChar w:fldCharType="begin"/>
      </w:r>
      <w:r w:rsidRPr="00787196">
        <w:rPr>
          <w:rFonts w:cs="Arial"/>
          <w:szCs w:val="24"/>
        </w:rPr>
        <w:instrText xml:space="preserve"> ADDIN EN.CITE &lt;EndNote&gt;&lt;Cite&gt;&lt;Author&gt;Amin&lt;/Author&gt;&lt;Year&gt;2015&lt;/Year&gt;&lt;IDText&gt;Perceived stress and professional quality of life in neonatal intensive care unit nurses in Gujarat, India&lt;/IDText&gt;&lt;DisplayText&gt;(Amin et al., 2015)&lt;/DisplayText&gt;&lt;record&gt;&lt;isbn&gt;0019-5456&lt;/isbn&gt;&lt;titles&gt;&lt;title&gt;Perceived stress and professional quality of life in neonatal intensive care unit nurses in Gujarat, India&lt;/title&gt;&lt;secondary-title&gt;The Indian Journal of Pediatrics&lt;/secondary-title&gt;&lt;/titles&gt;&lt;pages&gt;1001-1005&lt;/pages&gt;&lt;number&gt;11&lt;/number&gt;&lt;contributors&gt;&lt;authors&gt;&lt;author&gt;Amin, Amee A&lt;/author&gt;&lt;author&gt;Vankar, Jagdish R&lt;/author&gt;&lt;author&gt;Nimbalkar, Somashekhar M&lt;/author&gt;&lt;author&gt;Phatak, Ajay G&lt;/author&gt;&lt;/authors&gt;&lt;/contributors&gt;&lt;added-date format="utc"&gt;1499929144&lt;/added-date&gt;&lt;ref-type name="Journal Article"&gt;17&lt;/ref-type&gt;&lt;dates&gt;&lt;year&gt;2015&lt;/year&gt;&lt;/dates&gt;&lt;rec-number&gt;2795&lt;/rec-number&gt;&lt;last-updated-date format="utc"&gt;1499929144&lt;/last-updated-date&gt;&lt;volume&gt;82&lt;/volume&gt;&lt;/record&gt;&lt;/Cite&gt;&lt;/EndNote&gt;</w:instrText>
      </w:r>
      <w:r w:rsidRPr="00787196">
        <w:rPr>
          <w:rFonts w:cs="Arial"/>
          <w:szCs w:val="24"/>
        </w:rPr>
        <w:fldChar w:fldCharType="separate"/>
      </w:r>
      <w:r w:rsidRPr="00787196">
        <w:rPr>
          <w:rFonts w:cs="Arial"/>
          <w:noProof/>
          <w:szCs w:val="24"/>
        </w:rPr>
        <w:t>(Amin et al., 2015)</w:t>
      </w:r>
      <w:r w:rsidRPr="00787196">
        <w:rPr>
          <w:rFonts w:cs="Arial"/>
          <w:szCs w:val="24"/>
        </w:rPr>
        <w:fldChar w:fldCharType="end"/>
      </w:r>
      <w:r w:rsidRPr="00787196">
        <w:rPr>
          <w:rFonts w:cs="Arial"/>
          <w:szCs w:val="24"/>
        </w:rPr>
        <w:t xml:space="preserve">. </w:t>
      </w:r>
    </w:p>
    <w:p w14:paraId="282D9424" w14:textId="77777777" w:rsidR="005924FB" w:rsidRPr="00787196" w:rsidRDefault="005924FB">
      <w:pPr>
        <w:spacing w:before="0" w:after="0" w:line="240" w:lineRule="auto"/>
        <w:jc w:val="left"/>
        <w:rPr>
          <w:rFonts w:cs="Arial"/>
          <w:szCs w:val="24"/>
        </w:rPr>
      </w:pPr>
      <w:r w:rsidRPr="00787196">
        <w:rPr>
          <w:rFonts w:cs="Arial"/>
          <w:szCs w:val="24"/>
        </w:rPr>
        <w:br w:type="page"/>
      </w:r>
    </w:p>
    <w:p w14:paraId="2C0C24C7" w14:textId="65258D59" w:rsidR="00942F4F" w:rsidRPr="00787196" w:rsidRDefault="00942F4F" w:rsidP="004441A4">
      <w:pPr>
        <w:spacing w:before="0" w:after="0"/>
        <w:rPr>
          <w:rFonts w:cs="Arial"/>
          <w:szCs w:val="24"/>
        </w:rPr>
      </w:pPr>
      <w:r w:rsidRPr="00787196">
        <w:rPr>
          <w:rFonts w:cs="Arial"/>
          <w:szCs w:val="24"/>
        </w:rPr>
        <w:lastRenderedPageBreak/>
        <w:t>Perceived stress as a variable predicting health outcomes or treatment outcomes has been very limited in the Indian population</w:t>
      </w:r>
      <w:r w:rsidR="00312CFC" w:rsidRPr="00787196">
        <w:rPr>
          <w:rFonts w:cs="Arial"/>
          <w:szCs w:val="24"/>
        </w:rPr>
        <w:t xml:space="preserve"> especially, in terms of oral health. </w:t>
      </w:r>
      <w:r w:rsidR="00C4532C" w:rsidRPr="00787196">
        <w:rPr>
          <w:rFonts w:cs="Arial"/>
          <w:szCs w:val="24"/>
        </w:rPr>
        <w:t>Also, the</w:t>
      </w:r>
      <w:r w:rsidR="00312CFC" w:rsidRPr="00787196">
        <w:rPr>
          <w:rFonts w:cs="Arial"/>
          <w:szCs w:val="24"/>
        </w:rPr>
        <w:t xml:space="preserve"> context of perceived stress </w:t>
      </w:r>
      <w:r w:rsidR="005924FB" w:rsidRPr="00787196">
        <w:rPr>
          <w:rFonts w:cs="Arial"/>
          <w:szCs w:val="24"/>
        </w:rPr>
        <w:t xml:space="preserve">in individuals receiving dentures has </w:t>
      </w:r>
      <w:r w:rsidR="00C4532C" w:rsidRPr="00787196">
        <w:rPr>
          <w:rFonts w:cs="Arial"/>
          <w:szCs w:val="24"/>
        </w:rPr>
        <w:t xml:space="preserve">never </w:t>
      </w:r>
      <w:r w:rsidR="005924FB" w:rsidRPr="00787196">
        <w:rPr>
          <w:rFonts w:cs="Arial"/>
          <w:szCs w:val="24"/>
        </w:rPr>
        <w:t>been explored</w:t>
      </w:r>
      <w:r w:rsidR="00C4532C" w:rsidRPr="00787196">
        <w:rPr>
          <w:rFonts w:cs="Arial"/>
          <w:szCs w:val="24"/>
        </w:rPr>
        <w:t xml:space="preserve"> in a sample similar to that of this study. </w:t>
      </w:r>
      <w:r w:rsidR="005924FB" w:rsidRPr="00787196">
        <w:rPr>
          <w:rFonts w:cs="Arial"/>
          <w:szCs w:val="24"/>
        </w:rPr>
        <w:t xml:space="preserve">This </w:t>
      </w:r>
      <w:r w:rsidR="00C4532C" w:rsidRPr="00787196">
        <w:rPr>
          <w:rFonts w:cs="Arial"/>
          <w:szCs w:val="24"/>
        </w:rPr>
        <w:t xml:space="preserve">raises </w:t>
      </w:r>
      <w:r w:rsidR="005924FB" w:rsidRPr="00787196">
        <w:rPr>
          <w:rFonts w:cs="Arial"/>
          <w:szCs w:val="24"/>
        </w:rPr>
        <w:t>issues</w:t>
      </w:r>
      <w:r w:rsidR="00C4532C" w:rsidRPr="00787196">
        <w:rPr>
          <w:rFonts w:cs="Arial"/>
          <w:szCs w:val="24"/>
        </w:rPr>
        <w:t xml:space="preserve"> on the content validity of the instrument. Varied i</w:t>
      </w:r>
      <w:r w:rsidR="00C4532C" w:rsidRPr="00787196">
        <w:rPr>
          <w:lang w:bidi="hi-IN"/>
        </w:rPr>
        <w:t>ndividual expectations and cultural differences may have influenced th</w:t>
      </w:r>
      <w:r w:rsidR="00820956" w:rsidRPr="00787196">
        <w:rPr>
          <w:lang w:bidi="hi-IN"/>
        </w:rPr>
        <w:t>is</w:t>
      </w:r>
      <w:r w:rsidR="00C4532C" w:rsidRPr="00787196">
        <w:rPr>
          <w:lang w:bidi="hi-IN"/>
        </w:rPr>
        <w:t xml:space="preserve"> non-association. </w:t>
      </w:r>
    </w:p>
    <w:p w14:paraId="68EBB26B" w14:textId="77777777" w:rsidR="00942F4F" w:rsidRPr="00787196" w:rsidRDefault="00942F4F" w:rsidP="004441A4">
      <w:pPr>
        <w:spacing w:before="0" w:after="0"/>
        <w:rPr>
          <w:rFonts w:cs="Arial"/>
          <w:szCs w:val="24"/>
        </w:rPr>
      </w:pPr>
    </w:p>
    <w:p w14:paraId="41060FB5" w14:textId="2D065FAA" w:rsidR="00C4532C" w:rsidRPr="00787196" w:rsidRDefault="004441A4" w:rsidP="00C4532C">
      <w:pPr>
        <w:spacing w:before="0" w:after="0"/>
        <w:rPr>
          <w:rFonts w:cs="Arial"/>
          <w:szCs w:val="24"/>
        </w:rPr>
      </w:pPr>
      <w:r w:rsidRPr="00787196">
        <w:rPr>
          <w:rFonts w:cs="Arial"/>
          <w:szCs w:val="24"/>
        </w:rPr>
        <w:t>Furthermore, the internal consistency was the lowest (α = 0.50 baseline; α = 0.60 follow-up) of any of the questionnaires used in this study. A</w:t>
      </w:r>
      <w:r w:rsidR="00C4532C" w:rsidRPr="00787196">
        <w:rPr>
          <w:rFonts w:cs="Arial"/>
          <w:szCs w:val="24"/>
        </w:rPr>
        <w:t>lthough, a</w:t>
      </w:r>
      <w:r w:rsidRPr="00787196">
        <w:rPr>
          <w:rFonts w:cs="Arial"/>
          <w:szCs w:val="24"/>
        </w:rPr>
        <w:t xml:space="preserve"> more dental-specific perceived stress measure may </w:t>
      </w:r>
      <w:r w:rsidR="00C4532C" w:rsidRPr="00787196">
        <w:rPr>
          <w:rFonts w:cs="Arial"/>
          <w:szCs w:val="24"/>
        </w:rPr>
        <w:t xml:space="preserve">have helped </w:t>
      </w:r>
      <w:r w:rsidRPr="00787196">
        <w:rPr>
          <w:rFonts w:cs="Arial"/>
          <w:szCs w:val="24"/>
        </w:rPr>
        <w:t>to explore this association</w:t>
      </w:r>
      <w:r w:rsidR="00C4532C" w:rsidRPr="00787196">
        <w:rPr>
          <w:rFonts w:cs="Arial"/>
          <w:szCs w:val="24"/>
        </w:rPr>
        <w:t xml:space="preserve">, </w:t>
      </w:r>
      <w:r w:rsidR="00C4532C" w:rsidRPr="00787196">
        <w:rPr>
          <w:lang w:bidi="hi-IN"/>
        </w:rPr>
        <w:t xml:space="preserve">the instrument used in this study was subject to rigorous translations methods and piloting. Thus the effect of issues arising through content validity may be negligible. </w:t>
      </w:r>
      <w:r w:rsidR="00820956" w:rsidRPr="00787196">
        <w:rPr>
          <w:lang w:bidi="hi-IN"/>
        </w:rPr>
        <w:t>Although</w:t>
      </w:r>
      <w:r w:rsidR="00C4532C" w:rsidRPr="00787196">
        <w:rPr>
          <w:lang w:bidi="hi-IN"/>
        </w:rPr>
        <w:t>,</w:t>
      </w:r>
      <w:r w:rsidR="00820956" w:rsidRPr="00787196">
        <w:rPr>
          <w:lang w:bidi="hi-IN"/>
        </w:rPr>
        <w:t xml:space="preserve"> significant </w:t>
      </w:r>
      <w:r w:rsidR="00C4532C" w:rsidRPr="00787196">
        <w:rPr>
          <w:lang w:bidi="hi-IN"/>
        </w:rPr>
        <w:t>predictor</w:t>
      </w:r>
      <w:r w:rsidR="00820956" w:rsidRPr="00787196">
        <w:rPr>
          <w:lang w:bidi="hi-IN"/>
        </w:rPr>
        <w:t>s</w:t>
      </w:r>
      <w:r w:rsidR="00C4532C" w:rsidRPr="00787196">
        <w:rPr>
          <w:lang w:bidi="hi-IN"/>
        </w:rPr>
        <w:t xml:space="preserve"> </w:t>
      </w:r>
      <w:r w:rsidR="00820956" w:rsidRPr="00787196">
        <w:rPr>
          <w:lang w:bidi="hi-IN"/>
        </w:rPr>
        <w:t>of denture success may</w:t>
      </w:r>
      <w:r w:rsidR="00C4532C" w:rsidRPr="00787196">
        <w:rPr>
          <w:lang w:bidi="hi-IN"/>
        </w:rPr>
        <w:t xml:space="preserve"> </w:t>
      </w:r>
      <w:r w:rsidR="00820956" w:rsidRPr="00787196">
        <w:rPr>
          <w:lang w:bidi="hi-IN"/>
        </w:rPr>
        <w:t xml:space="preserve">have masked the association with perceived stress, based on the discussion it can be well concluded that perceived stress was not a significant predictor of denture success in a homogenous, low SES south Indian population. </w:t>
      </w:r>
    </w:p>
    <w:p w14:paraId="4CA8974A" w14:textId="63F9FA94" w:rsidR="004441A4" w:rsidRPr="00787196" w:rsidRDefault="004441A4" w:rsidP="004441A4">
      <w:pPr>
        <w:spacing w:before="0" w:after="0"/>
        <w:rPr>
          <w:rFonts w:cs="Arial"/>
          <w:szCs w:val="24"/>
        </w:rPr>
      </w:pPr>
    </w:p>
    <w:p w14:paraId="7AC0D4B6" w14:textId="77777777" w:rsidR="004441A4" w:rsidRPr="00787196" w:rsidRDefault="004441A4" w:rsidP="00C14ECC">
      <w:pPr>
        <w:pStyle w:val="Heading3"/>
      </w:pPr>
      <w:bookmarkStart w:id="341" w:name="_Toc488655688"/>
      <w:r w:rsidRPr="00787196">
        <w:t>Concern about oral health</w:t>
      </w:r>
      <w:bookmarkEnd w:id="341"/>
      <w:r w:rsidRPr="00787196">
        <w:t xml:space="preserve"> </w:t>
      </w:r>
    </w:p>
    <w:p w14:paraId="52AD3A5C" w14:textId="484EBB5C" w:rsidR="004441A4" w:rsidRPr="00787196" w:rsidRDefault="004441A4" w:rsidP="004441A4">
      <w:pPr>
        <w:rPr>
          <w:rFonts w:cs="Arial"/>
          <w:szCs w:val="24"/>
        </w:rPr>
      </w:pPr>
      <w:r w:rsidRPr="00787196">
        <w:rPr>
          <w:lang w:bidi="hi-IN"/>
        </w:rPr>
        <w:t xml:space="preserve">Concern about one’s health was not associated with any outcomes variables in the present study. Health beliefs of individuals are suggested to play a key role in determining their behaviour and help them with their perceptions and placing their confidence thus </w:t>
      </w:r>
      <w:r w:rsidR="007C6F81" w:rsidRPr="00787196">
        <w:rPr>
          <w:lang w:bidi="hi-IN"/>
        </w:rPr>
        <w:t>contributing</w:t>
      </w:r>
      <w:r w:rsidRPr="00787196">
        <w:rPr>
          <w:lang w:bidi="hi-IN"/>
        </w:rPr>
        <w:t xml:space="preserve"> towards their health status (Bandura, 2006). </w:t>
      </w:r>
      <w:r w:rsidRPr="00787196">
        <w:rPr>
          <w:rFonts w:cs="Arial"/>
          <w:szCs w:val="24"/>
        </w:rPr>
        <w:t xml:space="preserve">Studies have shown that individuals exhibiting lack of concern on oral health have negative dental self-care behaviours (such as dental neglect and dental indifference) that were associated with poor oral health outcomes </w:t>
      </w:r>
      <w:r w:rsidRPr="00787196">
        <w:rPr>
          <w:rFonts w:cs="Arial"/>
          <w:szCs w:val="24"/>
        </w:rPr>
        <w:fldChar w:fldCharType="begin">
          <w:fldData xml:space="preserve">PEVuZE5vdGU+PENpdGU+PEF1dGhvcj5OdXR0YWxsPC9BdXRob3I+PFllYXI+MTk5NjwvWWVhcj48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</w:fldData>
        </w:fldChar>
      </w:r>
      <w:r w:rsidRPr="00787196">
        <w:rPr>
          <w:rFonts w:cs="Arial"/>
          <w:szCs w:val="24"/>
        </w:rPr>
        <w:instrText xml:space="preserve"> ADDIN EN.CITE </w:instrText>
      </w:r>
      <w:r w:rsidRPr="00787196">
        <w:rPr>
          <w:rFonts w:cs="Arial"/>
          <w:szCs w:val="24"/>
        </w:rPr>
        <w:fldChar w:fldCharType="begin">
          <w:fldData xml:space="preserve">PEVuZE5vdGU+PENpdGU+PEF1dGhvcj5OdXR0YWxsPC9BdXRob3I+PFllYXI+MTk5NjwvWWVhcj48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</w:fldData>
        </w:fldChar>
      </w:r>
      <w:r w:rsidRPr="00787196">
        <w:rPr>
          <w:rFonts w:cs="Arial"/>
          <w:szCs w:val="24"/>
        </w:rPr>
        <w:instrText xml:space="preserve"> ADDIN EN.CITE.DATA </w:instrText>
      </w:r>
      <w:r w:rsidRPr="00787196">
        <w:rPr>
          <w:rFonts w:cs="Arial"/>
          <w:szCs w:val="24"/>
        </w:rPr>
      </w:r>
      <w:r w:rsidRPr="00787196">
        <w:rPr>
          <w:rFonts w:cs="Arial"/>
          <w:szCs w:val="24"/>
        </w:rPr>
        <w:fldChar w:fldCharType="end"/>
      </w:r>
      <w:r w:rsidRPr="00787196">
        <w:rPr>
          <w:rFonts w:cs="Arial"/>
          <w:szCs w:val="24"/>
        </w:rPr>
      </w:r>
      <w:r w:rsidRPr="00787196">
        <w:rPr>
          <w:rFonts w:cs="Arial"/>
          <w:szCs w:val="24"/>
        </w:rPr>
        <w:fldChar w:fldCharType="separate"/>
      </w:r>
      <w:r w:rsidRPr="00787196">
        <w:rPr>
          <w:rFonts w:cs="Arial"/>
          <w:szCs w:val="24"/>
        </w:rPr>
        <w:t>(Nuttall, 1996, Thomson et al., 1996, Sanders et al., 2004a, Marshman et al., 2014)</w:t>
      </w:r>
      <w:r w:rsidRPr="00787196">
        <w:rPr>
          <w:rFonts w:cs="Arial"/>
          <w:szCs w:val="24"/>
        </w:rPr>
        <w:fldChar w:fldCharType="end"/>
      </w:r>
      <w:r w:rsidRPr="00787196">
        <w:rPr>
          <w:rFonts w:cs="Arial"/>
          <w:szCs w:val="24"/>
        </w:rPr>
        <w:t>.</w:t>
      </w:r>
    </w:p>
    <w:p w14:paraId="5AA4B928" w14:textId="77777777" w:rsidR="004441A4" w:rsidRPr="00787196" w:rsidRDefault="004441A4" w:rsidP="004441A4">
      <w:pPr>
        <w:spacing w:after="0"/>
        <w:rPr>
          <w:rFonts w:cs="Arial"/>
          <w:szCs w:val="24"/>
        </w:rPr>
      </w:pPr>
      <w:r w:rsidRPr="00787196">
        <w:rPr>
          <w:rFonts w:cs="Arial"/>
          <w:szCs w:val="24"/>
        </w:rPr>
        <w:t xml:space="preserve">In the study by Marshman and colleagues (2014), it was observed whether dental indifference was associated with OHQoL amongst 659 prisoners based within three prisons in the UK.  An 8-item dental indifference questionnaire designed by Nuttall and colleagues </w:t>
      </w:r>
      <w:r w:rsidRPr="00787196">
        <w:rPr>
          <w:rFonts w:cs="Arial"/>
          <w:szCs w:val="24"/>
        </w:rPr>
        <w:fldChar w:fldCharType="begin"/>
      </w:r>
      <w:r w:rsidRPr="00787196">
        <w:rPr>
          <w:rFonts w:cs="Arial"/>
          <w:szCs w:val="24"/>
        </w:rPr>
        <w:instrText xml:space="preserve"> ADDIN EN.CITE &lt;EndNote&gt;&lt;Cite ExcludeAuth="1"&gt;&lt;Author&gt;Nuttall&lt;/Author&gt;&lt;Year&gt;1996&lt;/Year&gt;&lt;IDText&gt;Initial development of a scale to measure dental indifference&lt;/IDText&gt;&lt;DisplayText&gt;(1996)&lt;/DisplayText&gt;&lt;record&gt;&lt;dates&gt;&lt;pub-dates&gt;&lt;date&gt;Apr&lt;/date&gt;&lt;/pub-dates&gt;&lt;year&gt;1996&lt;/year&gt;&lt;/dates&gt;&lt;keywords&gt;&lt;keyword&gt;Adult&lt;/keyword&gt;&lt;keyword&gt;Age Factors&lt;/keyword&gt;&lt;keyword&gt;Attitude to Health&lt;/keyword&gt;&lt;keyword&gt;Chi-Square Distribution&lt;/keyword&gt;&lt;keyword&gt;Dental Anxiety&lt;/keyword&gt;&lt;keyword&gt;Dental Care/ psychology/ utilization&lt;/keyword&gt;&lt;keyword&gt;Female&lt;/keyword&gt;&lt;keyword&gt;Humans&lt;/keyword&gt;&lt;keyword&gt;Male&lt;/keyword&gt;&lt;keyword&gt;Questionnaires&lt;/keyword&gt;&lt;keyword&gt;Reproducibility of Results&lt;/keyword&gt;&lt;keyword&gt;Scotland&lt;/keyword&gt;&lt;keyword&gt;Sex Factors&lt;/keyword&gt;&lt;keyword&gt;Socioeconomic Factors&lt;/keyword&gt;&lt;/keywords&gt;&lt;isbn&gt;0301-5661 (Print)&amp;#xD;0301-5661 (Linking)&lt;/isbn&gt;&lt;titles&gt;&lt;title&gt;Initial development of a scale to measure dental indifference&lt;/title&gt;&lt;secondary-title&gt;Community Dent Oral Epidemiol&lt;/secondary-title&gt;&lt;alt-title&gt;Community dentistry and oral epidemiology&lt;/alt-title&gt;&lt;/titles&gt;&lt;pages&gt;112-6&lt;/pages&gt;&lt;number&gt;2&lt;/number&gt;&lt;contributors&gt;&lt;authors&gt;&lt;author&gt;Nuttall, N. M.&lt;/author&gt;&lt;/authors&gt;&lt;/contributors&gt;&lt;edition&gt;1996/04/01&lt;/edition&gt;&lt;language&gt;eng&lt;/language&gt;&lt;added-date format="utc"&gt;1364396581&lt;/added-date&gt;&lt;ref-type name="Journal Article"&gt;17&lt;/ref-type&gt;&lt;auth-address&gt;Department of Dental Health, University of Dundee, Scotland.&lt;/auth-address&gt;&lt;remote-database-provider&gt;NLM&lt;/remote-database-provider&gt;&lt;rec-number&gt;588&lt;/rec-number&gt;&lt;last-updated-date format="utc"&gt;1385713712&lt;/last-updated-date&gt;&lt;accession-num&gt;8654030&lt;/accession-num&gt;&lt;volume&gt;24&lt;/volume&gt;&lt;/record&gt;&lt;/Cite&gt;&lt;/EndNote&gt;</w:instrText>
      </w:r>
      <w:r w:rsidRPr="00787196">
        <w:rPr>
          <w:rFonts w:cs="Arial"/>
          <w:szCs w:val="24"/>
        </w:rPr>
        <w:fldChar w:fldCharType="separate"/>
      </w:r>
      <w:r w:rsidRPr="00787196">
        <w:rPr>
          <w:rFonts w:cs="Arial"/>
          <w:szCs w:val="24"/>
        </w:rPr>
        <w:t>(1996)</w:t>
      </w:r>
      <w:r w:rsidRPr="00787196">
        <w:rPr>
          <w:rFonts w:cs="Arial"/>
          <w:szCs w:val="24"/>
        </w:rPr>
        <w:fldChar w:fldCharType="end"/>
      </w:r>
      <w:r w:rsidRPr="00787196">
        <w:rPr>
          <w:rFonts w:cs="Arial"/>
          <w:szCs w:val="24"/>
        </w:rPr>
        <w:t xml:space="preserve"> was used in this study which reported a strong association between dental indifference and OHQoL. </w:t>
      </w:r>
    </w:p>
    <w:p w14:paraId="7C601649" w14:textId="77777777" w:rsidR="004441A4" w:rsidRPr="00787196" w:rsidRDefault="004441A4" w:rsidP="004441A4">
      <w:pPr>
        <w:spacing w:after="0"/>
        <w:rPr>
          <w:rFonts w:cs="Arial"/>
          <w:szCs w:val="24"/>
        </w:rPr>
      </w:pPr>
      <w:r w:rsidRPr="00787196">
        <w:rPr>
          <w:rFonts w:cs="Arial"/>
          <w:szCs w:val="24"/>
        </w:rPr>
        <w:lastRenderedPageBreak/>
        <w:t>The present study used a custom 6-item questionnaire based on the evidence from the above study and on the Maslow’s hierarchy of needs (1943). This questionnaire has never been used in any specific population before and has not, therefore, been validated thoroughly except at the piloting phase of the present study. Understandably, the lack of testing of this questionnaire may have influenced the association between the variables.</w:t>
      </w:r>
    </w:p>
    <w:p w14:paraId="0D43D7CC" w14:textId="77777777" w:rsidR="004441A4" w:rsidRPr="00787196" w:rsidRDefault="004441A4" w:rsidP="004441A4">
      <w:pPr>
        <w:spacing w:after="0"/>
        <w:rPr>
          <w:rFonts w:cs="Arial"/>
          <w:szCs w:val="24"/>
        </w:rPr>
      </w:pPr>
      <w:r w:rsidRPr="00787196">
        <w:rPr>
          <w:rFonts w:cs="Arial"/>
          <w:szCs w:val="24"/>
        </w:rPr>
        <w:t>Also presumably, the range of concern among the participants of the present study was limited considering they were all seeking a treatment procedure. This may have masked the association in the present study.</w:t>
      </w:r>
    </w:p>
    <w:p w14:paraId="7EBA6886" w14:textId="77777777" w:rsidR="004441A4" w:rsidRPr="00787196" w:rsidRDefault="004441A4" w:rsidP="00C14ECC">
      <w:pPr>
        <w:pStyle w:val="Heading3"/>
      </w:pPr>
      <w:bookmarkStart w:id="342" w:name="_Toc488655689"/>
      <w:r w:rsidRPr="00787196">
        <w:t>Objective SES</w:t>
      </w:r>
      <w:bookmarkEnd w:id="342"/>
      <w:r w:rsidRPr="00787196">
        <w:t xml:space="preserve"> </w:t>
      </w:r>
    </w:p>
    <w:p w14:paraId="5048DE74" w14:textId="77777777" w:rsidR="004441A4" w:rsidRPr="00787196" w:rsidRDefault="004441A4" w:rsidP="004441A4">
      <w:pPr>
        <w:spacing w:before="0" w:after="0"/>
        <w:rPr>
          <w:lang w:bidi="hi-IN"/>
        </w:rPr>
      </w:pPr>
      <w:r w:rsidRPr="00787196">
        <w:rPr>
          <w:lang w:bidi="hi-IN"/>
        </w:rPr>
        <w:t xml:space="preserve">Objective socioeconomic status (SES) in this study comprised of education, income, occupation, caste and religion. Although SES did not predict OHQoL and denture satisfaction, occupation predicted participant’s chewing ability (Table 5-26). </w:t>
      </w:r>
    </w:p>
    <w:p w14:paraId="168AF90F" w14:textId="77777777" w:rsidR="004441A4" w:rsidRPr="00787196" w:rsidRDefault="004441A4" w:rsidP="004441A4">
      <w:pPr>
        <w:spacing w:before="0" w:after="0"/>
        <w:rPr>
          <w:lang w:bidi="hi-IN"/>
        </w:rPr>
      </w:pPr>
    </w:p>
    <w:p w14:paraId="2B1E8032" w14:textId="2D5C1907" w:rsidR="00703EBC" w:rsidRPr="00787196" w:rsidRDefault="004441A4" w:rsidP="00613E75">
      <w:pPr>
        <w:spacing w:before="0" w:after="0"/>
        <w:rPr>
          <w:lang w:bidi="hi-IN"/>
        </w:rPr>
      </w:pPr>
      <w:r w:rsidRPr="00787196">
        <w:rPr>
          <w:lang w:bidi="hi-IN"/>
        </w:rPr>
        <w:t xml:space="preserve">The lack of association with the other denture outcomes may be due to the nature of the sample as discussed </w:t>
      </w:r>
      <w:r w:rsidR="00703EBC" w:rsidRPr="00787196">
        <w:rPr>
          <w:lang w:bidi="hi-IN"/>
        </w:rPr>
        <w:t xml:space="preserve">above </w:t>
      </w:r>
      <w:r w:rsidRPr="00787196">
        <w:rPr>
          <w:lang w:bidi="hi-IN"/>
        </w:rPr>
        <w:t xml:space="preserve">in section 6.2.2. </w:t>
      </w:r>
      <w:r w:rsidR="00703EBC" w:rsidRPr="00787196">
        <w:rPr>
          <w:lang w:bidi="hi-IN"/>
        </w:rPr>
        <w:t>A</w:t>
      </w:r>
      <w:r w:rsidRPr="00787196">
        <w:rPr>
          <w:lang w:bidi="hi-IN"/>
        </w:rPr>
        <w:t>lmost 60% of the participants were not in active employment and only 35.3% had an education above high school level. With a homogenous sample, the variability in SES would have been too narrow to reveal any effect on OHQoL and denture satisfaction.</w:t>
      </w:r>
    </w:p>
    <w:p w14:paraId="4138E760" w14:textId="77777777" w:rsidR="00703EBC" w:rsidRPr="00787196" w:rsidRDefault="00703EBC">
      <w:pPr>
        <w:spacing w:before="0" w:after="0" w:line="240" w:lineRule="auto"/>
        <w:jc w:val="left"/>
        <w:rPr>
          <w:lang w:bidi="hi-IN"/>
        </w:rPr>
      </w:pPr>
      <w:r w:rsidRPr="00787196">
        <w:rPr>
          <w:lang w:bidi="hi-IN"/>
        </w:rPr>
        <w:br w:type="page"/>
      </w:r>
    </w:p>
    <w:p w14:paraId="3A1F4A82" w14:textId="05044843" w:rsidR="00FD5DAD" w:rsidRPr="00787196" w:rsidRDefault="00FD5DAD" w:rsidP="004F4839">
      <w:pPr>
        <w:pStyle w:val="Heading2"/>
        <w:ind w:left="0" w:firstLine="0"/>
        <w:jc w:val="both"/>
        <w:rPr>
          <w:lang w:bidi="hi-IN"/>
        </w:rPr>
      </w:pPr>
      <w:bookmarkStart w:id="343" w:name="_Toc456211206"/>
      <w:r w:rsidRPr="00787196">
        <w:rPr>
          <w:lang w:bidi="hi-IN"/>
        </w:rPr>
        <w:lastRenderedPageBreak/>
        <w:t xml:space="preserve"> </w:t>
      </w:r>
      <w:bookmarkStart w:id="344" w:name="_Toc488655690"/>
      <w:r w:rsidRPr="00787196">
        <w:rPr>
          <w:lang w:bidi="hi-IN"/>
        </w:rPr>
        <w:t>Associations found in the study</w:t>
      </w:r>
      <w:bookmarkEnd w:id="344"/>
      <w:r w:rsidRPr="00787196">
        <w:rPr>
          <w:lang w:bidi="hi-IN"/>
        </w:rPr>
        <w:t xml:space="preserve"> </w:t>
      </w:r>
    </w:p>
    <w:p w14:paraId="482529B3" w14:textId="5A243558" w:rsidR="00C92386" w:rsidRPr="00787196" w:rsidRDefault="00C92386" w:rsidP="00FD5DAD">
      <w:pPr>
        <w:pStyle w:val="Heading3"/>
      </w:pPr>
      <w:bookmarkStart w:id="345" w:name="_Toc488655691"/>
      <w:r w:rsidRPr="00787196">
        <w:t xml:space="preserve">Predictors of </w:t>
      </w:r>
      <w:r w:rsidR="001B4846" w:rsidRPr="00787196">
        <w:t xml:space="preserve">successful </w:t>
      </w:r>
      <w:r w:rsidR="00E30992" w:rsidRPr="00787196">
        <w:t>patient-</w:t>
      </w:r>
      <w:r w:rsidRPr="00787196">
        <w:t xml:space="preserve">reported </w:t>
      </w:r>
      <w:r w:rsidR="00E30992" w:rsidRPr="00787196">
        <w:t xml:space="preserve">denture </w:t>
      </w:r>
      <w:r w:rsidRPr="00787196">
        <w:t>outcomes</w:t>
      </w:r>
      <w:bookmarkEnd w:id="345"/>
    </w:p>
    <w:p w14:paraId="445B0A7A" w14:textId="546AF46B" w:rsidR="00386B1A" w:rsidRPr="00787196" w:rsidRDefault="001707BB" w:rsidP="00FA477B">
      <w:pPr>
        <w:rPr>
          <w:lang w:bidi="hi-IN"/>
        </w:rPr>
      </w:pPr>
      <w:r w:rsidRPr="00787196">
        <w:rPr>
          <w:lang w:bidi="hi-IN"/>
        </w:rPr>
        <w:t>Apart from assessing if coping strategies determined denture success, t</w:t>
      </w:r>
      <w:r w:rsidR="00386B1A" w:rsidRPr="00787196">
        <w:rPr>
          <w:lang w:bidi="hi-IN"/>
        </w:rPr>
        <w:t>his study</w:t>
      </w:r>
      <w:r w:rsidR="00944229" w:rsidRPr="00787196">
        <w:rPr>
          <w:lang w:bidi="hi-IN"/>
        </w:rPr>
        <w:t xml:space="preserve"> </w:t>
      </w:r>
      <w:r w:rsidR="00944229" w:rsidRPr="00787196">
        <w:rPr>
          <w:rFonts w:cs="Arial"/>
          <w:szCs w:val="24"/>
        </w:rPr>
        <w:t>aimed</w:t>
      </w:r>
      <w:r w:rsidRPr="00787196">
        <w:rPr>
          <w:rFonts w:cs="Arial"/>
          <w:szCs w:val="24"/>
        </w:rPr>
        <w:t xml:space="preserve"> to</w:t>
      </w:r>
      <w:r w:rsidR="00944229" w:rsidRPr="00787196">
        <w:rPr>
          <w:rFonts w:cs="Arial"/>
          <w:szCs w:val="24"/>
        </w:rPr>
        <w:t xml:space="preserve"> identify </w:t>
      </w:r>
      <w:r w:rsidR="00656BD4" w:rsidRPr="00787196">
        <w:rPr>
          <w:rFonts w:cs="Arial"/>
          <w:szCs w:val="24"/>
        </w:rPr>
        <w:t xml:space="preserve">the </w:t>
      </w:r>
      <w:r w:rsidR="00944229" w:rsidRPr="00787196">
        <w:rPr>
          <w:rFonts w:cs="Arial"/>
          <w:szCs w:val="24"/>
        </w:rPr>
        <w:t>clinical, individual and environmental factors that influence patient reported outcomes</w:t>
      </w:r>
      <w:r w:rsidRPr="00787196">
        <w:rPr>
          <w:rFonts w:cs="Arial"/>
          <w:szCs w:val="24"/>
        </w:rPr>
        <w:t xml:space="preserve"> in individuals </w:t>
      </w:r>
      <w:r w:rsidR="00656BD4" w:rsidRPr="00787196">
        <w:rPr>
          <w:rFonts w:cs="Arial"/>
          <w:szCs w:val="24"/>
        </w:rPr>
        <w:t xml:space="preserve">(Objective 4 – Section 3.2). </w:t>
      </w:r>
      <w:r w:rsidR="00663729" w:rsidRPr="00787196">
        <w:rPr>
          <w:lang w:bidi="hi-IN"/>
        </w:rPr>
        <w:t xml:space="preserve">OHQoL was the primary outcome variable </w:t>
      </w:r>
      <w:r w:rsidR="00FA477B" w:rsidRPr="00787196">
        <w:rPr>
          <w:lang w:bidi="hi-IN"/>
        </w:rPr>
        <w:t xml:space="preserve">used in the </w:t>
      </w:r>
      <w:r w:rsidR="00663729" w:rsidRPr="00787196">
        <w:rPr>
          <w:lang w:bidi="hi-IN"/>
        </w:rPr>
        <w:t>study. Denture satisfaction and patient</w:t>
      </w:r>
      <w:r w:rsidR="00E30992" w:rsidRPr="00787196">
        <w:rPr>
          <w:lang w:bidi="hi-IN"/>
        </w:rPr>
        <w:t>-</w:t>
      </w:r>
      <w:r w:rsidR="00663729" w:rsidRPr="00787196">
        <w:rPr>
          <w:lang w:bidi="hi-IN"/>
        </w:rPr>
        <w:t>reporte</w:t>
      </w:r>
      <w:r w:rsidR="00E30992" w:rsidRPr="00787196">
        <w:rPr>
          <w:lang w:bidi="hi-IN"/>
        </w:rPr>
        <w:t>d c</w:t>
      </w:r>
      <w:r w:rsidR="00663729" w:rsidRPr="00787196">
        <w:rPr>
          <w:lang w:bidi="hi-IN"/>
        </w:rPr>
        <w:t xml:space="preserve">hewing ability were the </w:t>
      </w:r>
      <w:r w:rsidR="00FA477B" w:rsidRPr="00787196">
        <w:rPr>
          <w:lang w:bidi="hi-IN"/>
        </w:rPr>
        <w:t xml:space="preserve">other </w:t>
      </w:r>
      <w:r w:rsidR="00663729" w:rsidRPr="00787196">
        <w:rPr>
          <w:lang w:bidi="hi-IN"/>
        </w:rPr>
        <w:t xml:space="preserve">outcomes. </w:t>
      </w:r>
    </w:p>
    <w:p w14:paraId="31D39578" w14:textId="0F2AD141" w:rsidR="00B44366" w:rsidRPr="00787196" w:rsidRDefault="006B2B1E" w:rsidP="00226A04">
      <w:pPr>
        <w:pStyle w:val="Heading4"/>
      </w:pPr>
      <w:r w:rsidRPr="00787196">
        <w:t>Primary outcome (</w:t>
      </w:r>
      <w:r w:rsidR="00C92386" w:rsidRPr="00787196">
        <w:t>OHQoL</w:t>
      </w:r>
      <w:r w:rsidRPr="00787196">
        <w:t>)</w:t>
      </w:r>
      <w:r w:rsidR="004305BB" w:rsidRPr="00787196">
        <w:t xml:space="preserve"> </w:t>
      </w:r>
    </w:p>
    <w:p w14:paraId="21625A59" w14:textId="11D6D604" w:rsidR="00613E75" w:rsidRPr="00787196" w:rsidRDefault="00B75A37" w:rsidP="00703EBC">
      <w:pPr>
        <w:rPr>
          <w:lang w:bidi="hi-IN"/>
        </w:rPr>
      </w:pPr>
      <w:r w:rsidRPr="00787196">
        <w:rPr>
          <w:lang w:bidi="hi-IN"/>
        </w:rPr>
        <w:t>The results of the analysis</w:t>
      </w:r>
      <w:r w:rsidR="00A804F7" w:rsidRPr="00787196">
        <w:rPr>
          <w:lang w:bidi="hi-IN"/>
        </w:rPr>
        <w:t xml:space="preserve"> indicated </w:t>
      </w:r>
      <w:r w:rsidRPr="00787196">
        <w:rPr>
          <w:lang w:bidi="hi-IN"/>
        </w:rPr>
        <w:t>(Table 5-27) that</w:t>
      </w:r>
      <w:r w:rsidR="00D32487" w:rsidRPr="00787196">
        <w:rPr>
          <w:lang w:bidi="hi-IN"/>
        </w:rPr>
        <w:t xml:space="preserve"> </w:t>
      </w:r>
      <w:r w:rsidRPr="00787196">
        <w:rPr>
          <w:lang w:bidi="hi-IN"/>
        </w:rPr>
        <w:t xml:space="preserve">the </w:t>
      </w:r>
      <w:r w:rsidR="00A5338F" w:rsidRPr="00787196">
        <w:rPr>
          <w:lang w:bidi="hi-IN"/>
        </w:rPr>
        <w:t xml:space="preserve">baseline </w:t>
      </w:r>
      <w:r w:rsidR="00711261" w:rsidRPr="00787196">
        <w:rPr>
          <w:lang w:bidi="hi-IN"/>
        </w:rPr>
        <w:t>number of teeth present</w:t>
      </w:r>
      <w:r w:rsidR="00FA477B" w:rsidRPr="00787196">
        <w:rPr>
          <w:lang w:bidi="hi-IN"/>
        </w:rPr>
        <w:t xml:space="preserve"> </w:t>
      </w:r>
      <w:r w:rsidRPr="00787196">
        <w:rPr>
          <w:lang w:bidi="hi-IN"/>
        </w:rPr>
        <w:t xml:space="preserve">predicted </w:t>
      </w:r>
      <w:r w:rsidR="00A51DE0" w:rsidRPr="00787196">
        <w:rPr>
          <w:lang w:bidi="hi-IN"/>
        </w:rPr>
        <w:t>OHQoL</w:t>
      </w:r>
      <w:r w:rsidR="00756553" w:rsidRPr="00787196">
        <w:rPr>
          <w:lang w:bidi="hi-IN"/>
        </w:rPr>
        <w:t xml:space="preserve"> </w:t>
      </w:r>
      <w:r w:rsidR="00711261" w:rsidRPr="00787196">
        <w:rPr>
          <w:lang w:bidi="hi-IN"/>
        </w:rPr>
        <w:t xml:space="preserve">at follow-up. </w:t>
      </w:r>
      <w:r w:rsidR="00756553" w:rsidRPr="00787196">
        <w:rPr>
          <w:lang w:bidi="hi-IN"/>
        </w:rPr>
        <w:t>B</w:t>
      </w:r>
      <w:r w:rsidR="00711261" w:rsidRPr="00787196">
        <w:rPr>
          <w:lang w:bidi="hi-IN"/>
        </w:rPr>
        <w:t xml:space="preserve">aseline </w:t>
      </w:r>
      <w:r w:rsidR="00756553" w:rsidRPr="00787196">
        <w:rPr>
          <w:lang w:bidi="hi-IN"/>
        </w:rPr>
        <w:t xml:space="preserve">chewing ability and </w:t>
      </w:r>
      <w:r w:rsidR="00711261" w:rsidRPr="00787196">
        <w:rPr>
          <w:lang w:bidi="hi-IN"/>
        </w:rPr>
        <w:t>OHQoL also</w:t>
      </w:r>
      <w:r w:rsidR="006A4367" w:rsidRPr="00787196">
        <w:rPr>
          <w:lang w:bidi="hi-IN"/>
        </w:rPr>
        <w:t xml:space="preserve"> predicted OHQoL</w:t>
      </w:r>
      <w:r w:rsidR="00756553" w:rsidRPr="00787196">
        <w:rPr>
          <w:lang w:bidi="hi-IN"/>
        </w:rPr>
        <w:t xml:space="preserve"> at follow-up</w:t>
      </w:r>
      <w:r w:rsidR="00711261" w:rsidRPr="00787196">
        <w:rPr>
          <w:lang w:bidi="hi-IN"/>
        </w:rPr>
        <w:t xml:space="preserve"> </w:t>
      </w:r>
    </w:p>
    <w:p w14:paraId="4D01D707" w14:textId="27AE9318" w:rsidR="009B17AC" w:rsidRPr="00787196" w:rsidRDefault="009B17AC" w:rsidP="00FD5DAD">
      <w:pPr>
        <w:pStyle w:val="Heading5"/>
        <w:rPr>
          <w:rFonts w:eastAsia="Calibri" w:cs="Arial"/>
        </w:rPr>
      </w:pPr>
      <w:r w:rsidRPr="00787196">
        <w:t xml:space="preserve">Number of teeth present </w:t>
      </w:r>
    </w:p>
    <w:p w14:paraId="0797544E" w14:textId="0A08CD5D" w:rsidR="00E7588A" w:rsidRPr="00787196" w:rsidRDefault="00062E15" w:rsidP="00FD5DAD">
      <w:r w:rsidRPr="00787196">
        <w:t xml:space="preserve">The </w:t>
      </w:r>
      <w:r w:rsidR="00B115B5" w:rsidRPr="00787196">
        <w:t xml:space="preserve">number of teeth present </w:t>
      </w:r>
      <w:r w:rsidR="00756553" w:rsidRPr="00787196">
        <w:t xml:space="preserve">(i.e.) presence or absence of a functional dentition directly predicted OHQoL (Table 5-27, β = -0.277, </w:t>
      </w:r>
      <w:r w:rsidR="00756553" w:rsidRPr="00787196">
        <w:rPr>
          <w:i/>
          <w:iCs/>
        </w:rPr>
        <w:t>p</w:t>
      </w:r>
      <w:r w:rsidR="00756553" w:rsidRPr="00787196">
        <w:t>&lt;</w:t>
      </w:r>
      <w:r w:rsidR="00756553" w:rsidRPr="00787196">
        <w:rPr>
          <w:i/>
          <w:iCs/>
        </w:rPr>
        <w:t>0.01</w:t>
      </w:r>
      <w:r w:rsidR="00756553" w:rsidRPr="00787196">
        <w:t>)</w:t>
      </w:r>
      <w:r w:rsidR="000C4506" w:rsidRPr="00787196">
        <w:t xml:space="preserve">. </w:t>
      </w:r>
    </w:p>
    <w:p w14:paraId="7218D107" w14:textId="5389D767" w:rsidR="00A27B11" w:rsidRPr="00787196" w:rsidRDefault="000C4506" w:rsidP="00A27B11">
      <w:r w:rsidRPr="00787196">
        <w:t xml:space="preserve">In line with the </w:t>
      </w:r>
      <w:r w:rsidR="00A27B11" w:rsidRPr="00787196">
        <w:t xml:space="preserve">current literature on functional dentition the present findings provide further evidence linking functional dentition to improved OHQoL. Number of teeth present and the associated factor of tooth loss, retention are </w:t>
      </w:r>
      <w:r w:rsidR="00062E15" w:rsidRPr="00787196">
        <w:t>important clinical in</w:t>
      </w:r>
      <w:r w:rsidR="00B115B5" w:rsidRPr="00787196">
        <w:t>dicator</w:t>
      </w:r>
      <w:r w:rsidR="00A27B11" w:rsidRPr="00787196">
        <w:t>s</w:t>
      </w:r>
      <w:r w:rsidR="0012374E" w:rsidRPr="00787196">
        <w:t>.</w:t>
      </w:r>
      <w:r w:rsidR="006A4367" w:rsidRPr="00787196">
        <w:t xml:space="preserve"> Loss of teeth is considered a major public health problem</w:t>
      </w:r>
      <w:r w:rsidR="0012374E" w:rsidRPr="00787196">
        <w:t xml:space="preserve"> </w:t>
      </w:r>
      <w:r w:rsidR="006A4367" w:rsidRPr="00787196">
        <w:t xml:space="preserve">in various societies </w:t>
      </w:r>
      <w:r w:rsidR="006A4367" w:rsidRPr="00787196">
        <w:fldChar w:fldCharType="begin"/>
      </w:r>
      <w:r w:rsidR="006A4367" w:rsidRPr="00787196">
        <w:instrText xml:space="preserve"> ADDIN EN.CITE &lt;EndNote&gt;&lt;Cite&gt;&lt;Author&gt;Tan&lt;/Author&gt;&lt;Year&gt;2016&lt;/Year&gt;&lt;IDText&gt;Retention of Teeth and Oral Health–Related Quality of Life&lt;/IDText&gt;&lt;DisplayText&gt;(Tan et al., 2016)&lt;/DisplayText&gt;&lt;record&gt;&lt;dates&gt;&lt;pub-dates&gt;&lt;date&gt;2016/11/01&lt;/date&gt;&lt;/pub-dates&gt;&lt;year&gt;2016&lt;/year&gt;&lt;/dates&gt;&lt;urls&gt;&lt;related-urls&gt;&lt;url&gt;http://journals.sagepub.com/doi/abs/10.1177/0022034516657992&lt;/url&gt;&lt;/related-urls&gt;&lt;/urls&gt;&lt;isbn&gt;0022-0345&lt;/isbn&gt;&lt;titles&gt;&lt;title&gt;Retention of Teeth and Oral Health–Related Quality of Life&lt;/title&gt;&lt;secondary-title&gt;Journal of Dental Research&lt;/secondary-title&gt;&lt;/titles&gt;&lt;pages&gt;1350-1357&lt;/pages&gt;&lt;number&gt;12&lt;/number&gt;&lt;access-date&gt;2017/01/05&lt;/access-date&gt;&lt;contributors&gt;&lt;authors&gt;&lt;author&gt;Tan, H.&lt;/author&gt;&lt;author&gt;Peres, K. G.&lt;/author&gt;&lt;author&gt;Peres, M. A.&lt;/author&gt;&lt;/authors&gt;&lt;/contributors&gt;&lt;added-date format="utc"&gt;1483615083&lt;/added-date&gt;&lt;ref-type name="Journal Article"&gt;17&lt;/ref-type&gt;&lt;rec-number&gt;2762&lt;/rec-number&gt;&lt;publisher&gt;SAGE Publications&lt;/publisher&gt;&lt;last-updated-date format="utc"&gt;1483615083&lt;/last-updated-date&gt;&lt;electronic-resource-num&gt;10.1177/0022034516657992&lt;/electronic-resource-num&gt;&lt;volume&gt;95&lt;/volume&gt;&lt;/record&gt;&lt;/Cite&gt;&lt;/EndNote&gt;</w:instrText>
      </w:r>
      <w:r w:rsidR="006A4367" w:rsidRPr="00787196">
        <w:fldChar w:fldCharType="separate"/>
      </w:r>
      <w:r w:rsidR="006A4367" w:rsidRPr="00787196">
        <w:rPr>
          <w:noProof/>
        </w:rPr>
        <w:t>(Tan et al., 2016)</w:t>
      </w:r>
      <w:r w:rsidR="006A4367" w:rsidRPr="00787196">
        <w:fldChar w:fldCharType="end"/>
      </w:r>
      <w:r w:rsidR="006A4367" w:rsidRPr="00787196">
        <w:t xml:space="preserve">. </w:t>
      </w:r>
    </w:p>
    <w:p w14:paraId="5CA139EF" w14:textId="4E7E6DDF" w:rsidR="00B30E51" w:rsidRPr="00787196" w:rsidRDefault="006A4367" w:rsidP="00613E75">
      <w:pPr>
        <w:rPr>
          <w:lang w:val="fr-FR"/>
        </w:rPr>
      </w:pPr>
      <w:r w:rsidRPr="00787196">
        <w:t>It affects quality of life due to issues such as reduced functional capacity as a result of change in patterns of diet etc.</w:t>
      </w:r>
      <w:r w:rsidRPr="00787196">
        <w:fldChar w:fldCharType="begin"/>
      </w:r>
      <w:r w:rsidRPr="00787196">
        <w:instrText xml:space="preserve"> ADDIN EN.CITE &lt;EndNote&gt;&lt;Cite&gt;&lt;Author&gt;Gerritsen&lt;/Author&gt;&lt;Year&gt;2010&lt;/Year&gt;&lt;IDText&gt;Tooth loss and oral health-related quality of life: a systematic review and meta-analysis&lt;/IDText&gt;&lt;DisplayText&gt;(Gerritsen et al., 2010)&lt;/DisplayText&gt;&lt;record&gt;&lt;keywords&gt;&lt;keyword&gt;Humans&lt;/keyword&gt;&lt;keyword&gt;*Oral Health&lt;/keyword&gt;&lt;keyword&gt;*Quality of Life&lt;/keyword&gt;&lt;keyword&gt;*Tooth Loss/therapy&lt;/keyword&gt;&lt;/keywords&gt;&lt;isbn&gt;1477-7525&lt;/isbn&gt;&lt;custom2&gt;Pmc2992503&lt;/custom2&gt;&lt;titles&gt;&lt;title&gt;Tooth loss and oral health-related quality of life: a systematic review and meta-analysis&lt;/title&gt;&lt;secondary-title&gt;Health Qual Life Outcomes&lt;/secondary-title&gt;&lt;alt-title&gt;Health and quality of life outcomes&lt;/alt-title&gt;&lt;/titles&gt;&lt;pages&gt;126&lt;/pages&gt;&lt;contributors&gt;&lt;authors&gt;&lt;author&gt;Gerritsen, A. E.&lt;/author&gt;&lt;author&gt;Allen, P. F.&lt;/author&gt;&lt;author&gt;Witter, D. J.&lt;/author&gt;&lt;author&gt;Bronkhorst, E. M.&lt;/author&gt;&lt;author&gt;Creugers, N. H.&lt;/author&gt;&lt;/authors&gt;&lt;/contributors&gt;&lt;edition&gt;2010/11/06&lt;/edition&gt;&lt;language&gt;eng&lt;/language&gt;&lt;added-date format="utc"&gt;1374040090&lt;/added-date&gt;&lt;ref-type name="Journal Article"&gt;17&lt;/ref-type&gt;&lt;auth-address&gt;Department of Oral Function and Prosthetic Dentistry, College of Dental Science, Radboud University Nijmegen Medical Centre, Philips van Leydenlaan 25, 6525 EX Nijmegen, The Netherlands. a.gerritsen@dent.umcn.nl&lt;/auth-address&gt;&lt;dates&gt;&lt;year&gt;2010&lt;/year&gt;&lt;/dates&gt;&lt;remote-database-provider&gt;Nlm&lt;/remote-database-provider&gt;&lt;rec-number&gt;899&lt;/rec-number&gt;&lt;last-updated-date format="utc"&gt;1385713712&lt;/last-updated-date&gt;&lt;accession-num&gt;21050499&lt;/accession-num&gt;&lt;electronic-resource-num&gt;10.1186/1477-7525-8-126&lt;/electronic-resource-num&gt;&lt;volume&gt;8&lt;/volume&gt;&lt;/record&gt;&lt;/Cite&gt;&lt;/EndNote&gt;</w:instrText>
      </w:r>
      <w:r w:rsidRPr="00787196">
        <w:fldChar w:fldCharType="separate"/>
      </w:r>
      <w:r w:rsidRPr="00787196">
        <w:rPr>
          <w:noProof/>
        </w:rPr>
        <w:t>(Gerritsen et al., 2010)</w:t>
      </w:r>
      <w:r w:rsidRPr="00787196">
        <w:fldChar w:fldCharType="end"/>
      </w:r>
      <w:r w:rsidRPr="00787196">
        <w:t xml:space="preserve">. </w:t>
      </w:r>
      <w:r w:rsidR="0012374E" w:rsidRPr="00787196">
        <w:t xml:space="preserve">It has even shown to predict mortality </w:t>
      </w:r>
      <w:r w:rsidR="0012374E" w:rsidRPr="00787196">
        <w:fldChar w:fldCharType="begin"/>
      </w:r>
      <w:r w:rsidR="0012374E" w:rsidRPr="00787196">
        <w:instrText xml:space="preserve"> ADDIN EN.CITE &lt;EndNote&gt;&lt;Cite&gt;&lt;Author&gt;Österberg&lt;/Author&gt;&lt;Year&gt;2008&lt;/Year&gt;&lt;IDText&gt;Number of teeth – a predictor of mortality in 70-year-old subjects&lt;/IDText&gt;&lt;DisplayText&gt;(Österberg et al., 2008)&lt;/DisplayText&gt;&lt;record&gt;&lt;keywords&gt;&lt;keyword&gt;dental health&lt;/keyword&gt;&lt;keyword&gt;elderly&lt;/keyword&gt;&lt;keyword&gt;epidemiology&lt;/keyword&gt;&lt;keyword&gt;general health&lt;/keyword&gt;&lt;keyword&gt;survival&lt;/keyword&gt;&lt;/keywords&gt;&lt;urls&gt;&lt;related-urls&gt;&lt;url&gt;http://dx.doi.org/10.1111/j.1600-0528.2007.00413.x&lt;/url&gt;&lt;/related-urls&gt;&lt;/urls&gt;&lt;isbn&gt;1600-0528&lt;/isbn&gt;&lt;titles&gt;&lt;title&gt;Number of teeth – a predictor of mortality in 70-year-old subjects&lt;/title&gt;&lt;secondary-title&gt;Community Dentistry and Oral Epidemiology&lt;/secondary-title&gt;&lt;/titles&gt;&lt;pages&gt;258-268&lt;/pages&gt;&lt;number&gt;3&lt;/number&gt;&lt;contributors&gt;&lt;authors&gt;&lt;author&gt;Österberg, Tor&lt;/author&gt;&lt;author&gt;Carlsson, Gunnar E.&lt;/author&gt;&lt;author&gt;Sundh, Valter&lt;/author&gt;&lt;author&gt;Mellström, Dan&lt;/author&gt;&lt;/authors&gt;&lt;/contributors&gt;&lt;added-date format="utc"&gt;1476308378&lt;/added-date&gt;&lt;ref-type name="Journal Article"&gt;17&lt;/ref-type&gt;&lt;dates&gt;&lt;year&gt;2008&lt;/year&gt;&lt;/dates&gt;&lt;rec-number&gt;2651&lt;/rec-number&gt;&lt;publisher&gt;Blackwell Publishing Ltd&lt;/publisher&gt;&lt;last-updated-date format="utc"&gt;1483457416&lt;/last-updated-date&gt;&lt;electronic-resource-num&gt;10.1111/j.1600-0528.2007.00413.x&lt;/electronic-resource-num&gt;&lt;volume&gt;36&lt;/volume&gt;&lt;/record&gt;&lt;/Cite&gt;&lt;/EndNote&gt;</w:instrText>
      </w:r>
      <w:r w:rsidR="0012374E" w:rsidRPr="00787196">
        <w:fldChar w:fldCharType="separate"/>
      </w:r>
      <w:r w:rsidR="0012374E" w:rsidRPr="00787196">
        <w:t>(Österberg et al., 2008)</w:t>
      </w:r>
      <w:r w:rsidR="0012374E" w:rsidRPr="00787196">
        <w:fldChar w:fldCharType="end"/>
      </w:r>
      <w:r w:rsidR="0012374E" w:rsidRPr="00787196">
        <w:t xml:space="preserve"> and nutrition status in the elderly </w:t>
      </w:r>
      <w:r w:rsidR="0012374E" w:rsidRPr="00787196">
        <w:fldChar w:fldCharType="begin"/>
      </w:r>
      <w:r w:rsidR="007C6F81" w:rsidRPr="00787196">
        <w:instrText xml:space="preserve"> ADDIN EN.CITE &lt;EndNote&gt;&lt;Cite&gt;&lt;Author&gt;Yoshihara&lt;/Author&gt;&lt;Year&gt;2005&lt;/Year&gt;&lt;IDText&gt;The relationship between dietary intake and the number of teeth in elderly Japanese subjects&lt;/IDText&gt;&lt;DisplayText&gt;(Yoshihara et al., 2005, Thomson, 2014)&lt;/DisplayText&gt;&lt;record&gt;&lt;keywords&gt;&lt;keyword&gt;dietary intake&lt;/keyword&gt;&lt;keyword&gt;teeth present&lt;/keyword&gt;&lt;keyword&gt;elderly people&lt;/keyword&gt;&lt;/keywords&gt;&lt;urls&gt;&lt;related-urls&gt;&lt;url&gt;http://dx.doi.org/10.1111/j.1741-2358.2005.00083.x&lt;/url&gt;&lt;/related-urls&gt;&lt;/urls&gt;&lt;isbn&gt;1741-2358&lt;/isbn&gt;&lt;titles&gt;&lt;title&gt;The relationship between dietary intake and the number of teeth in elderly Japanese subjects&lt;/title&gt;&lt;secondary-title&gt;Gerodontology&lt;/secondary-title&gt;&lt;/titles&gt;&lt;pages&gt;211-218&lt;/pages&gt;&lt;number&gt;4&lt;/number&gt;&lt;contributors&gt;&lt;authors&gt;&lt;author&gt;Yoshihara, Akihiro&lt;/author&gt;&lt;author&gt;Watanabe, Reiko&lt;/author&gt;&lt;author&gt;Nishimuta, Mamoru&lt;/author&gt;&lt;author&gt;Hanada, Nobuhiro&lt;/author&gt;&lt;author&gt;Miyazaki, Hideo&lt;/author&gt;&lt;/authors&gt;&lt;/contributors&gt;&lt;added-date format="utc"&gt;1476310367&lt;/added-date&gt;&lt;ref-type name="Journal Article"&gt;17&lt;/ref-type&gt;&lt;dates&gt;&lt;year&gt;2005&lt;/year&gt;&lt;/dates&gt;&lt;rec-number&gt;2653&lt;/rec-number&gt;&lt;publisher&gt;Blackwell Publishing Ltd&lt;/publisher&gt;&lt;last-updated-date format="utc"&gt;1483457416&lt;/last-updated-date&gt;&lt;electronic-resource-num&gt;10.1111/j.1741-2358.2005.00083.x&lt;/electronic-resource-num&gt;&lt;volume&gt;22&lt;/volume&gt;&lt;/record&gt;&lt;/Cite&gt;&lt;Cite&gt;&lt;Author&gt;Thomson&lt;/Author&gt;&lt;Year&gt;2014&lt;/Year&gt;&lt;IDText&gt;Epidemiology of oral health conditions in older people&lt;/IDText&gt;&lt;record&gt;&lt;isbn&gt;1741-2358&lt;/isbn&gt;&lt;titles&gt;&lt;title&gt;Epidemiology of oral health conditions in older people&lt;/title&gt;&lt;secondary-title&gt;Gerodontology&lt;/secondary-title&gt;&lt;/titles&gt;&lt;pages&gt;9-16&lt;/pages&gt;&lt;number&gt;s1&lt;/number&gt;&lt;contributors&gt;&lt;authors&gt;&lt;author&gt;Thomson, W.M&lt;/author&gt;&lt;/authors&gt;&lt;/contributors&gt;&lt;added-date format="utc"&gt;1483450194&lt;/added-date&gt;&lt;ref-type name="Journal Article"&gt;17&lt;/ref-type&gt;&lt;dates&gt;&lt;year&gt;2014&lt;/year&gt;&lt;/dates&gt;&lt;rec-number&gt;2688&lt;/rec-number&gt;&lt;publisher&gt;Wiley Online Library&lt;/publisher&gt;&lt;last-updated-date format="utc"&gt;1498854121&lt;/last-updated-date&gt;&lt;volume&gt;31&lt;/volume&gt;&lt;/record&gt;&lt;/Cite&gt;&lt;/EndNote&gt;</w:instrText>
      </w:r>
      <w:r w:rsidR="0012374E" w:rsidRPr="00787196">
        <w:fldChar w:fldCharType="separate"/>
      </w:r>
      <w:r w:rsidR="007C6F81" w:rsidRPr="00787196">
        <w:rPr>
          <w:noProof/>
        </w:rPr>
        <w:t>(Yoshihara et al., 2005, Thomson, 2014)</w:t>
      </w:r>
      <w:r w:rsidR="0012374E" w:rsidRPr="00787196">
        <w:fldChar w:fldCharType="end"/>
      </w:r>
      <w:r w:rsidR="0012374E" w:rsidRPr="00787196">
        <w:t xml:space="preserve">, </w:t>
      </w:r>
      <w:r w:rsidR="00062E15" w:rsidRPr="00787196">
        <w:t>health</w:t>
      </w:r>
      <w:r w:rsidR="0070448D" w:rsidRPr="00787196">
        <w:t xml:space="preserve"> and illness conditions</w:t>
      </w:r>
      <w:r w:rsidR="00062E15" w:rsidRPr="00787196">
        <w:t xml:space="preserve"> including cardiac </w:t>
      </w:r>
      <w:r w:rsidR="00B115B5" w:rsidRPr="00787196">
        <w:t>vascular diseases</w:t>
      </w:r>
      <w:r w:rsidR="00062E15" w:rsidRPr="00787196">
        <w:t xml:space="preserve"> </w:t>
      </w:r>
      <w:r w:rsidR="00B115B5" w:rsidRPr="00787196">
        <w:fldChar w:fldCharType="begin">
          <w:fldData xml:space="preserve">PEVuZE5vdGU+PENpdGU+PEF1dGhvcj5EZXN2YXJpZXV4PC9BdXRob3I+PFllYXI+MjAwMzwvWWVh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</w:fldData>
        </w:fldChar>
      </w:r>
      <w:r w:rsidR="005402D7" w:rsidRPr="00787196">
        <w:instrText xml:space="preserve"> ADDIN EN.CITE </w:instrText>
      </w:r>
      <w:r w:rsidR="005402D7" w:rsidRPr="00787196">
        <w:fldChar w:fldCharType="begin">
          <w:fldData xml:space="preserve">PEVuZE5vdGU+PENpdGU+PEF1dGhvcj5EZXN2YXJpZXV4PC9BdXRob3I+PFllYXI+MjAwMzwvWWVh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</w:fldData>
        </w:fldChar>
      </w:r>
      <w:r w:rsidR="005402D7" w:rsidRPr="00787196">
        <w:instrText xml:space="preserve"> ADDIN EN.CITE.DATA </w:instrText>
      </w:r>
      <w:r w:rsidR="005402D7" w:rsidRPr="00787196">
        <w:fldChar w:fldCharType="end"/>
      </w:r>
      <w:r w:rsidR="00B115B5" w:rsidRPr="00787196">
        <w:fldChar w:fldCharType="separate"/>
      </w:r>
      <w:r w:rsidR="00FF304D" w:rsidRPr="00787196">
        <w:t>(Desvarieux et al., 2003, Holmlund et al., 2010)</w:t>
      </w:r>
      <w:r w:rsidR="00B115B5" w:rsidRPr="00787196">
        <w:fldChar w:fldCharType="end"/>
      </w:r>
      <w:r w:rsidR="00C81F5B" w:rsidRPr="00787196">
        <w:t xml:space="preserve">, </w:t>
      </w:r>
      <w:r w:rsidR="0012374E" w:rsidRPr="00787196">
        <w:t>acute</w:t>
      </w:r>
      <w:r w:rsidR="00062E15" w:rsidRPr="00787196">
        <w:t xml:space="preserve"> respiratory illnesses </w:t>
      </w:r>
      <w:r w:rsidR="00943C6D" w:rsidRPr="00787196">
        <w:fldChar w:fldCharType="begin"/>
      </w:r>
      <w:r w:rsidR="005402D7" w:rsidRPr="00787196">
        <w:instrText xml:space="preserve"> ADDIN EN.CITE &lt;EndNote&gt;&lt;Cite&gt;&lt;Author&gt;Barros&lt;/Author&gt;&lt;Year&gt;2013&lt;/Year&gt;&lt;IDText&gt;A Cohort Study of the Impact of Tooth Loss and Periodontal Disease on Respiratory Events among COPD Subjects: Modulatory Role of Systemic Biomarkers of Inflammation&lt;/IDText&gt;&lt;DisplayText&gt;(Barros et al., 2013)&lt;/DisplayText&gt;&lt;record&gt;&lt;urls&gt;&lt;related-urls&gt;&lt;url&gt;http://dx.doi.org/10.1371%2Fjournal.pone.0068592&lt;/url&gt;&lt;/related-urls&gt;&lt;/urls&gt;&lt;titles&gt;&lt;title&gt;A Cohort Study of the Impact of Tooth Loss and Periodontal Disease on Respiratory Events among COPD Subjects: Modulatory Role of Systemic Biomarkers of Inflammation&lt;/title&gt;&lt;secondary-title&gt;PLOS ONE&lt;/secondary-title&gt;&lt;/titles&gt;&lt;pages&gt;e68592&lt;/pages&gt;&lt;number&gt;8&lt;/number&gt;&lt;contributors&gt;&lt;authors&gt;&lt;author&gt;Barros, Silvana P.&lt;/author&gt;&lt;author&gt;Suruki, Robert&lt;/author&gt;&lt;author&gt;Loewy, Zvi G.&lt;/author&gt;&lt;author&gt;Beck, James D.&lt;/author&gt;&lt;author&gt;Offenbacher, Steven&lt;/author&gt;&lt;/authors&gt;&lt;/contributors&gt;&lt;added-date format="utc"&gt;1483450063&lt;/added-date&gt;&lt;ref-type name="Journal Article"&gt;17&lt;/ref-type&gt;&lt;dates&gt;&lt;year&gt;2013&lt;/year&gt;&lt;/dates&gt;&lt;rec-number&gt;2687&lt;/rec-number&gt;&lt;publisher&gt;Public Library of Science&lt;/publisher&gt;&lt;last-updated-date format="utc"&gt;1483457416&lt;/last-updated-date&gt;&lt;electronic-resource-num&gt;10.1371/journal.pone.0068592&lt;/electronic-resource-num&gt;&lt;volume&gt;8&lt;/volume&gt;&lt;/record&gt;&lt;/Cite&gt;&lt;/EndNote&gt;</w:instrText>
      </w:r>
      <w:r w:rsidR="00943C6D" w:rsidRPr="00787196">
        <w:fldChar w:fldCharType="separate"/>
      </w:r>
      <w:r w:rsidR="00943C6D" w:rsidRPr="00787196">
        <w:t>(Barros et al., 2013)</w:t>
      </w:r>
      <w:r w:rsidR="00943C6D" w:rsidRPr="00787196">
        <w:fldChar w:fldCharType="end"/>
      </w:r>
      <w:r w:rsidR="00062E15" w:rsidRPr="00787196">
        <w:t>,</w:t>
      </w:r>
      <w:r w:rsidR="0012374E" w:rsidRPr="00787196">
        <w:t xml:space="preserve"> chronic health conditions such as </w:t>
      </w:r>
      <w:r w:rsidR="003D6AB1" w:rsidRPr="00787196">
        <w:t xml:space="preserve">diabetes </w:t>
      </w:r>
      <w:r w:rsidR="003E6996" w:rsidRPr="00787196">
        <w:fldChar w:fldCharType="begin"/>
      </w:r>
      <w:r w:rsidR="005402D7" w:rsidRPr="00787196">
        <w:instrText xml:space="preserve"> ADDIN EN.CITE &lt;EndNote&gt;&lt;Cite&gt;&lt;Author&gt;Kapp&lt;/Author&gt;&lt;Year&gt;2007&lt;/Year&gt;&lt;IDText&gt;Diabetes and tooth loss in a national sample of dentate adults reporting annual dental visits&lt;/IDText&gt;&lt;DisplayText&gt;(Kapp et al., 2007, Marín et al., 2008)&lt;/DisplayText&gt;&lt;record&gt;&lt;titles&gt;&lt;title&gt;Diabetes and tooth loss in a national sample of dentate adults reporting annual dental visits&lt;/t</w:instrText>
      </w:r>
      <w:r w:rsidR="005402D7" w:rsidRPr="00787196">
        <w:rPr>
          <w:lang w:val="fr-FR"/>
        </w:rPr>
        <w:instrText>itle&gt;&lt;secondary-title&gt;Prev Chronic Dis&lt;/secondary-title&gt;&lt;/titles&gt;&lt;pages&gt;A59&lt;/pages&gt;&lt;number&gt;3&lt;/number&gt;&lt;contributors&gt;&lt;authors&gt;&lt;author&gt;Kapp, Julie M.&lt;/author&gt;&lt;author&gt;Boren, Suzanne Austin&lt;/author&gt;&lt;author&gt;Yun, Shumei&lt;/author&gt;&lt;author&gt;LeMaster, Joseph&lt;/author&gt;&lt;/authors&gt;&lt;/contributors&gt;&lt;added-date format="utc"&gt;1483450722&lt;/added-date&gt;&lt;ref-type name="Journal Article"&gt;17&lt;/ref-type&gt;&lt;dates&gt;&lt;year&gt;2007&lt;/year&gt;&lt;/dates&gt;&lt;rec-number&gt;2689&lt;/rec-number&gt;&lt;last-updated-date format="utc"&gt;1483457416&lt;/last-updated-date&gt;&lt;volume&gt;4&lt;/volume&gt;&lt;/record&gt;&lt;/Cite&gt;&lt;Cite&gt;&lt;Author&gt;Marín&lt;/Author&gt;&lt;Year&gt;2008&lt;/Year&gt;&lt;IDText&gt;Caries, periodontal disease and tooth loss in patients with diabetes mellitus types 1 and 2&lt;/IDText&gt;&lt;record&gt;&lt;titles&gt;&lt;title&gt;Caries, periodontal disease and tooth loss in patients with diabetes mellitus types 1 and 2&lt;/title&gt;&lt;secondary-title&gt;Acta odontol. latinoam&lt;/secondary-title&gt;&lt;/titles&gt;&lt;pages&gt;127-133&lt;/pages&gt;&lt;number&gt;2&lt;/number&gt;&lt;contributors&gt;&lt;authors&gt;&lt;author&gt;Marín, Nuria Patiño&lt;/author&gt;&lt;author&gt;Rodríguez, Juan P. Loyola&lt;/author&gt;&lt;author&gt;Solis, Carlo E. Medina&lt;/author&gt;&lt;author&gt;Loyola, América P. Pontigo&lt;/author&gt;&lt;author&gt;Macías, Juan F. Reyes&lt;/author&gt;&lt;author&gt;Rosado, Jenny C. Ortega&lt;/author&gt;&lt;author&gt;García, Celia Aradillas&lt;/author&gt;&lt;/authors&gt;&lt;/contributors&gt;&lt;added-date format="utc"&gt;1483450974&lt;/added-date&gt;&lt;ref-type name="Journal Article"&gt;17&lt;/ref-type&gt;&lt;dates&gt;&lt;year&gt;2008&lt;/year&gt;&lt;/dates&gt;&lt;rec-number&gt;2690&lt;/rec-number&gt;&lt;last-updated-date format="utc"&gt;1483457416&lt;/last-updated-date&gt;&lt;volume&gt;21&lt;/volume&gt;&lt;/record&gt;&lt;/Cite&gt;&lt;/EndNote&gt;</w:instrText>
      </w:r>
      <w:r w:rsidR="003E6996" w:rsidRPr="00787196">
        <w:fldChar w:fldCharType="separate"/>
      </w:r>
      <w:r w:rsidR="003E6996" w:rsidRPr="00787196">
        <w:rPr>
          <w:lang w:val="fr-FR"/>
        </w:rPr>
        <w:t>(Kapp et al., 2007, Marín et al., 2008)</w:t>
      </w:r>
      <w:r w:rsidR="003E6996" w:rsidRPr="00787196">
        <w:fldChar w:fldCharType="end"/>
      </w:r>
      <w:r w:rsidR="00062E15" w:rsidRPr="00787196">
        <w:rPr>
          <w:lang w:val="fr-FR"/>
        </w:rPr>
        <w:t xml:space="preserve"> cancer </w:t>
      </w:r>
      <w:r w:rsidR="00D35CBE" w:rsidRPr="00787196">
        <w:fldChar w:fldCharType="begin"/>
      </w:r>
      <w:r w:rsidR="008F386D" w:rsidRPr="00787196">
        <w:rPr>
          <w:lang w:val="fr-FR"/>
        </w:rPr>
        <w:instrText xml:space="preserve"> ADDIN EN.CITE &lt;EndNote&gt;&lt;Cite&gt;&lt;Author&gt;Michaud&lt;/Author&gt;&lt;Year&gt;2008&lt;/Year&gt;&lt;IDText&gt;Periodontal disease, tooth loss, and cancer risk in male health professionals: a prospective cohort study&lt;/IDText&gt;&lt;DisplayText&gt;(Michaud et al., 2008, Meyer et al., 2008)&lt;/DisplayText&gt;&lt;record&gt;&lt;isbn&gt;1470-2045&lt;/isbn&gt;&lt;titles&gt;&lt;title&gt;Periodontal disease, tooth loss, and cancer risk in male health professionals: a prospective cohort study&lt;/title&gt;&lt;secondary-title&gt;The lancet oncology&lt;/secondary-title&gt;&lt;/titles&gt;&lt;pages&gt;550-558&lt;/pages&gt;&lt;number&gt;6&lt;/number&gt;&lt;contributors&gt;&lt;authors&gt;&lt;author&gt;Michaud, Dominique S.&lt;/author&gt;&lt;author&gt;Liu, Yan&lt;/author&gt;&lt;author&gt;Meyer, Mara&lt;/author&gt;&lt;author&gt;Giovannucci, Edward&lt;/author&gt;&lt;author&gt;Joshipura, Kaumudi&lt;/author&gt;&lt;/authors&gt;&lt;/contributors&gt;&lt;added-date format="utc"&gt;1377828886&lt;/added-date&gt;&lt;ref-type name="Journal Article"&gt;17&lt;/ref-type&gt;&lt;dates&gt;&lt;year&gt;2008&lt;/year&gt;&lt;/dates&gt;&lt;rec-number&gt;1171&lt;/rec-number&gt;&lt;publisher&gt;Elsevier&lt;/publisher&gt;&lt;last-updated-date format="utc"&gt;1385713712&lt;/last-updated-date&gt;&lt;volume&gt;9&lt;/volume&gt;&lt;/record&gt;&lt;/Cite&gt;&lt;Cite&gt;&lt;Author&gt;Meyer&lt;/Author&gt;&lt;Year&gt;2008&lt;/Year&gt;&lt;IDText&gt;A review of the relationship between tooth loss, periodontal disease, and cancer&lt;/IDText&gt;&lt;record&gt;&lt;isbn&gt;0957-5243&lt;/isbn&gt;&lt;titles&gt;&lt;title&gt;A review of the relationship between tooth loss, periodontal disease, and cancer&lt;/title&gt;&lt;secondary-title&gt;Cancer Causes &amp;amp; Control&lt;/secondary-title&gt;&lt;/titles&gt;&lt;pages&gt;895-907&lt;/pages&gt;&lt;number&gt;9&lt;/number&gt;&lt;contributors&gt;&lt;authors&gt;&lt;author&gt;Meyer, Mara S&lt;/author&gt;&lt;author&gt;Joshipura, Kaumudi&lt;/author&gt;&lt;author&gt;Giovannucci, Edward&lt;/author&gt;&lt;author&gt;Michaud, Dominique S&lt;/author&gt;&lt;/authors&gt;&lt;/contributors&gt;&lt;added-date format="utc"&gt;1483456257&lt;/added-date&gt;&lt;ref-type name="Journal Article"&gt;17&lt;/ref-type&gt;&lt;dates&gt;&lt;year&gt;2008&lt;/year&gt;&lt;/dates&gt;&lt;rec-number&gt;2730&lt;/rec-number&gt;&lt;last-updated-date format="utc"&gt;1483456257&lt;/last-updated-date&gt;&lt;volume&gt;19&lt;/volume&gt;&lt;/record&gt;&lt;/Cite&gt;&lt;/EndNote&gt;</w:instrText>
      </w:r>
      <w:r w:rsidR="00D35CBE" w:rsidRPr="00787196">
        <w:fldChar w:fldCharType="separate"/>
      </w:r>
      <w:r w:rsidR="008F386D" w:rsidRPr="00787196">
        <w:rPr>
          <w:lang w:val="fr-FR"/>
        </w:rPr>
        <w:t>(Michaud et al., 2008, Meyer et al., 2008)</w:t>
      </w:r>
      <w:r w:rsidR="00D35CBE" w:rsidRPr="00787196">
        <w:fldChar w:fldCharType="end"/>
      </w:r>
      <w:r w:rsidR="00062E15" w:rsidRPr="00787196">
        <w:rPr>
          <w:lang w:val="fr-FR"/>
        </w:rPr>
        <w:t xml:space="preserve"> and </w:t>
      </w:r>
      <w:r w:rsidR="005402D7" w:rsidRPr="00787196">
        <w:rPr>
          <w:lang w:val="fr-FR"/>
        </w:rPr>
        <w:t>rheumatoid arthritis</w:t>
      </w:r>
      <w:r w:rsidR="002F0B69" w:rsidRPr="00787196">
        <w:rPr>
          <w:lang w:val="fr-FR"/>
        </w:rPr>
        <w:t xml:space="preserve"> </w:t>
      </w:r>
      <w:r w:rsidR="005402D7" w:rsidRPr="00787196">
        <w:fldChar w:fldCharType="begin">
          <w:fldData xml:space="preserve">PEVuZE5vdGU+PENpdGU+PEF1dGhvcj5NY0FsaW5kb248L0F1dGhvcj48WWVhcj4yMDA4PC9ZZWFy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</w:fldData>
        </w:fldChar>
      </w:r>
      <w:r w:rsidR="002F0B69" w:rsidRPr="00787196">
        <w:rPr>
          <w:lang w:val="fr-FR"/>
        </w:rPr>
        <w:instrText xml:space="preserve"> ADDIN EN.CITE </w:instrText>
      </w:r>
      <w:r w:rsidR="002F0B69" w:rsidRPr="00787196">
        <w:fldChar w:fldCharType="begin">
          <w:fldData xml:space="preserve">PEVuZE5vdGU+PENpdGU+PEF1dGhvcj5NY0FsaW5kb248L0F1dGhvcj48WWVhcj4yMDA4PC9ZZWFy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</w:fldData>
        </w:fldChar>
      </w:r>
      <w:r w:rsidR="002F0B69" w:rsidRPr="00787196">
        <w:rPr>
          <w:lang w:val="fr-FR"/>
        </w:rPr>
        <w:instrText xml:space="preserve"> ADDIN EN.CITE.DATA </w:instrText>
      </w:r>
      <w:r w:rsidR="002F0B69" w:rsidRPr="00787196">
        <w:fldChar w:fldCharType="end"/>
      </w:r>
      <w:r w:rsidR="005402D7" w:rsidRPr="00787196">
        <w:fldChar w:fldCharType="separate"/>
      </w:r>
      <w:r w:rsidR="002F0B69" w:rsidRPr="00787196">
        <w:rPr>
          <w:lang w:val="fr-FR"/>
        </w:rPr>
        <w:t>(McAlindon et al., 2008, Wolff et al., 2014)</w:t>
      </w:r>
      <w:r w:rsidR="005402D7" w:rsidRPr="00787196">
        <w:fldChar w:fldCharType="end"/>
      </w:r>
      <w:r w:rsidRPr="00787196">
        <w:rPr>
          <w:lang w:val="fr-FR"/>
        </w:rPr>
        <w:t xml:space="preserve">. </w:t>
      </w:r>
      <w:r w:rsidR="00B30E51" w:rsidRPr="00787196">
        <w:rPr>
          <w:lang w:val="fr-FR"/>
        </w:rPr>
        <w:t xml:space="preserve"> </w:t>
      </w:r>
    </w:p>
    <w:p w14:paraId="533A6BEF" w14:textId="481A3278" w:rsidR="00872A84" w:rsidRPr="00787196" w:rsidRDefault="00B30E51" w:rsidP="00E96705">
      <w:r w:rsidRPr="00787196">
        <w:lastRenderedPageBreak/>
        <w:t xml:space="preserve">A reduced dentition is shown to be </w:t>
      </w:r>
      <w:r w:rsidR="006A4367" w:rsidRPr="00787196">
        <w:t>associated with</w:t>
      </w:r>
      <w:r w:rsidRPr="00787196">
        <w:t xml:space="preserve"> </w:t>
      </w:r>
      <w:r w:rsidR="006A4367" w:rsidRPr="00787196">
        <w:t>socioeconomic</w:t>
      </w:r>
      <w:r w:rsidRPr="00787196">
        <w:t xml:space="preserve"> status, </w:t>
      </w:r>
      <w:r w:rsidR="00A5589E" w:rsidRPr="00787196">
        <w:t>availability/ access to dental services, patient-dentist attitudes/ relationships and even cultural priorities</w:t>
      </w:r>
      <w:r w:rsidR="00980D60" w:rsidRPr="00787196">
        <w:t xml:space="preserve"> </w:t>
      </w:r>
      <w:r w:rsidR="00980D60" w:rsidRPr="00787196">
        <w:fldChar w:fldCharType="begin"/>
      </w:r>
      <w:r w:rsidR="00980D60" w:rsidRPr="00787196">
        <w:instrText xml:space="preserve"> ADDIN EN.CITE &lt;EndNote&gt;&lt;Cite&gt;&lt;Author&gt;Fejerskov&lt;/Author&gt;&lt;Year&gt;2013&lt;/Year&gt;&lt;IDText&gt;A functional natural dentition for all--and for life? The oral healthcare system needs revision&lt;/IDText&gt;&lt;DisplayText&gt;(Fejerskov et al., 2013)&lt;/DisplayText&gt;&lt;record&gt;&lt;dates&gt;&lt;pub-dates&gt;&lt;date&gt;Sep&lt;/date&gt;&lt;/pub-dates&gt;&lt;year&gt;2013&lt;/year&gt;&lt;/dates&gt;&lt;keywords&gt;&lt;keyword&gt;Delivery of Health Care/*organization &amp;amp; administration&lt;/keyword&gt;&lt;keyword&gt;Denmark&lt;/keyword&gt;&lt;keyword&gt;Dental Care/methods/*organization &amp;amp; administration&lt;/keyword&gt;&lt;ke</w:instrText>
      </w:r>
      <w:r w:rsidR="00980D60" w:rsidRPr="00787196">
        <w:rPr>
          <w:lang w:eastAsia="ko-KR"/>
        </w:rPr>
        <w:instrText>yword&gt;Dental Caries/prevention &amp;amp; control&lt;/keyword&gt;&lt;keyword&gt;Dentistry/*organization &amp;amp; administration&lt;/keyword&gt;&lt;keyword&gt;*Health Services Needs and Demand&lt;/keyword&gt;&lt;keyword&gt;Humans&lt;/keyword&gt;&lt;keyword&gt;Mouth Diseases/diagnosis/therapy&lt;/keyword&gt;&lt;keyword&gt;dental care&lt;/keyword&gt;&lt;keyword&gt;dental caries&lt;/keyword&gt;&lt;keyword&gt;dental education&lt;/keyword&gt;&lt;keyword&gt;dental health services&lt;/keyword&gt;&lt;keyword&gt;oral health&lt;/keyword&gt;&lt;keyword&gt;oral rehabilitation&lt;/keyword&gt;&lt;keyword&gt;periodontitis&lt;/keyword&gt;&lt;/keywords&gt;&lt;isbn&gt;0305-182x&lt;/isbn&gt;&lt;titles&gt;&lt;title&gt;A functional natural dentition for all--and for life? The oral healthcare system needs revision&lt;/title&gt;&lt;secondary-title&gt;J Oral Rehabil&lt;/secondary-title&gt;&lt;alt-title&gt;Journal of oral rehabilitation&lt;/alt-title&gt;&lt;/titles&gt;&lt;pages&gt;707-22&lt;/pages&gt;&lt;number&gt;9&lt;/number&gt;&lt;contributors&gt;&lt;authors&gt;&lt;author&gt;Fejerskov, O.&lt;/author&gt;&lt;author&gt;Escobar, G.&lt;/author&gt;&lt;author&gt;Jossing, M.&lt;/author&gt;&lt;author&gt;Baelum, V.&lt;/author&gt;&lt;/authors&gt;&lt;/contributors&gt;&lt;edition&gt;2013/07/17&lt;/edition&gt;&lt;language&gt;eng&lt;/language&gt;&lt;added-date format="utc"&gt;1483615848&lt;/added-date&gt;&lt;ref-type name="Journal Article"&gt;17&lt;/ref-type&gt;&lt;auth-address&gt;Department of Biomedicine, University of Aarhus, Aarhus, Denmark. of@ana.au.dk&lt;/auth-address&gt;&lt;remote-database-provider&gt;NLM&lt;/remote-database-provider&gt;&lt;rec-number&gt;2763&lt;/rec-number&gt;&lt;last-updated-date format="utc"&gt;1483615848&lt;/last-updated-date&gt;&lt;accession-num&gt;23855597&lt;/accession-num&gt;&lt;electronic-resource-num&gt;10.1111/joor.12082&lt;/electronic-resource-num&gt;&lt;volume&gt;40&lt;/volume&gt;&lt;/record&gt;&lt;/Cite&gt;&lt;/EndNote&gt;</w:instrText>
      </w:r>
      <w:r w:rsidR="00980D60" w:rsidRPr="00787196">
        <w:fldChar w:fldCharType="separate"/>
      </w:r>
      <w:r w:rsidR="00980D60" w:rsidRPr="00787196">
        <w:rPr>
          <w:noProof/>
          <w:lang w:eastAsia="ko-KR"/>
        </w:rPr>
        <w:t>(Fejerskov et al., 2013)</w:t>
      </w:r>
      <w:r w:rsidR="00980D60" w:rsidRPr="00787196">
        <w:fldChar w:fldCharType="end"/>
      </w:r>
      <w:r w:rsidR="00613E75" w:rsidRPr="00787196">
        <w:t>, I</w:t>
      </w:r>
      <w:r w:rsidR="0012374E" w:rsidRPr="00787196">
        <w:rPr>
          <w:rFonts w:eastAsia="Calibri" w:cs="Arial"/>
          <w:szCs w:val="24"/>
          <w:lang w:eastAsia="ko-KR" w:bidi="ar-SA"/>
        </w:rPr>
        <w:t xml:space="preserve">n terms of oral health </w:t>
      </w:r>
      <w:r w:rsidR="00E0346E" w:rsidRPr="00787196">
        <w:rPr>
          <w:rFonts w:eastAsia="Calibri" w:cs="Arial"/>
          <w:szCs w:val="24"/>
          <w:lang w:eastAsia="ko-KR" w:bidi="ar-SA"/>
        </w:rPr>
        <w:t xml:space="preserve">status, numerous studies have </w:t>
      </w:r>
      <w:r w:rsidR="007973DE" w:rsidRPr="00787196">
        <w:rPr>
          <w:rFonts w:eastAsia="Calibri" w:cs="Arial"/>
          <w:szCs w:val="24"/>
          <w:lang w:eastAsia="ko-KR" w:bidi="ar-SA"/>
        </w:rPr>
        <w:t>shown</w:t>
      </w:r>
      <w:r w:rsidR="00E0346E" w:rsidRPr="00787196">
        <w:rPr>
          <w:rFonts w:eastAsia="Calibri" w:cs="Arial"/>
          <w:szCs w:val="24"/>
          <w:lang w:eastAsia="ko-KR" w:bidi="ar-SA"/>
        </w:rPr>
        <w:t xml:space="preserve"> strong </w:t>
      </w:r>
      <w:r w:rsidR="002A6C1D" w:rsidRPr="00787196">
        <w:rPr>
          <w:rFonts w:eastAsia="Calibri" w:cs="Arial"/>
          <w:szCs w:val="24"/>
          <w:lang w:eastAsia="ko-KR" w:bidi="ar-SA"/>
        </w:rPr>
        <w:t>associations</w:t>
      </w:r>
      <w:r w:rsidR="00E0346E" w:rsidRPr="00787196">
        <w:rPr>
          <w:rFonts w:eastAsia="Calibri" w:cs="Arial"/>
          <w:szCs w:val="24"/>
          <w:lang w:eastAsia="ko-KR" w:bidi="ar-SA"/>
        </w:rPr>
        <w:t xml:space="preserve"> with the number of teeth </w:t>
      </w:r>
      <w:r w:rsidR="002A6C1D" w:rsidRPr="00787196">
        <w:rPr>
          <w:rFonts w:eastAsia="Calibri" w:cs="Arial"/>
          <w:szCs w:val="24"/>
          <w:lang w:eastAsia="ko-KR" w:bidi="ar-SA"/>
        </w:rPr>
        <w:t>a</w:t>
      </w:r>
      <w:r w:rsidR="007973DE" w:rsidRPr="00787196">
        <w:rPr>
          <w:rFonts w:eastAsia="Calibri" w:cs="Arial"/>
          <w:szCs w:val="24"/>
          <w:lang w:eastAsia="ko-KR" w:bidi="ar-SA"/>
        </w:rPr>
        <w:t xml:space="preserve">bove </w:t>
      </w:r>
      <w:r w:rsidR="00A6631E" w:rsidRPr="00787196">
        <w:rPr>
          <w:rFonts w:eastAsia="Calibri" w:cs="Arial"/>
          <w:szCs w:val="24"/>
          <w:lang w:eastAsia="ko-KR" w:bidi="ar-SA"/>
        </w:rPr>
        <w:t>the functional dentition (21 or more teeth)</w:t>
      </w:r>
      <w:r w:rsidR="00980D60" w:rsidRPr="00787196">
        <w:rPr>
          <w:rFonts w:eastAsia="Calibri" w:cs="Arial"/>
          <w:szCs w:val="24"/>
          <w:lang w:eastAsia="ko-KR" w:bidi="ar-SA"/>
        </w:rPr>
        <w:t xml:space="preserve"> and OHQoL</w:t>
      </w:r>
      <w:r w:rsidR="00A6631E" w:rsidRPr="00787196">
        <w:rPr>
          <w:rFonts w:eastAsia="Calibri" w:cs="Arial"/>
          <w:szCs w:val="24"/>
          <w:lang w:eastAsia="ko-KR" w:bidi="ar-SA"/>
        </w:rPr>
        <w:t xml:space="preserve">. </w:t>
      </w:r>
      <w:r w:rsidR="00872A84" w:rsidRPr="00787196">
        <w:rPr>
          <w:lang w:eastAsia="ko-KR"/>
        </w:rPr>
        <w:t xml:space="preserve">In a systematic review assessing the relationship between missing teeth and OHQoL by Gerritsen and colleagues </w:t>
      </w:r>
      <w:r w:rsidR="00872A84" w:rsidRPr="00787196">
        <w:fldChar w:fldCharType="begin"/>
      </w:r>
      <w:r w:rsidR="00872A84" w:rsidRPr="00787196">
        <w:rPr>
          <w:lang w:eastAsia="ko-KR"/>
        </w:rPr>
        <w:instrText xml:space="preserve"> ADDIN EN.CITE &lt;EndNote&gt;&lt;Cite ExcludeAuth="1"&gt;&lt;Author&gt;Gerritsen&lt;/Author&gt;&lt;Year&gt;2010&lt;/Year&gt;&lt;IDText&gt;Tooth loss and oral health-related quality of life: a systematic review and meta-analysis&lt;/IDText&gt;&lt;DisplayText&gt;(2010)&lt;/DisplayText&gt;&lt;record&gt;&lt;keywords&gt;&lt;keyword&gt;Humans&lt;/keyword&gt;&lt;keyword&gt;*Oral Health&lt;/keyword&gt;&lt;keyword&gt;*Quality of Life&lt;/keyword&gt;&lt;keyword&gt;*Tooth Loss/therapy&lt;/keyword&gt;&lt;/keywords&gt;&lt;isbn&gt;1477-7525&lt;/isbn&gt;&lt;custom2&gt;Pmc2992503&lt;/custom2&gt;&lt;titles&gt;&lt;title&gt;Tooth loss and oral health-related quality of life: a systematic review and meta-analysis&lt;/title&gt;&lt;secondary-title&gt;Health Qual Life Outcomes&lt;/secondary-title&gt;&lt;alt-title&gt;Health and quality of life outcomes&lt;/alt-title&gt;&lt;/titles&gt;&lt;pages&gt;126&lt;/pages&gt;&lt;contributors&gt;&lt;authors&gt;&lt;author&gt;Gerritsen, A. E.&lt;/author&gt;&lt;author&gt;Allen, P. F.&lt;/author&gt;&lt;author&gt;Witter, D. J.&lt;/author&gt;&lt;author&gt;Bronkhorst, E. M.&lt;/author&gt;&lt;author&gt;Creuge</w:instrText>
      </w:r>
      <w:r w:rsidR="00872A84" w:rsidRPr="00787196">
        <w:instrText>rs, N. H.&lt;/author&gt;&lt;/authors&gt;&lt;/contributors&gt;&lt;edition&gt;2010/11/06&lt;/edition&gt;&lt;language&gt;eng&lt;/language&gt;&lt;added-date format="utc"&gt;1374040090&lt;/added-date&gt;&lt;ref-type name="Journal Article"&gt;17&lt;/ref-type&gt;&lt;auth-address&gt;Department of Oral Function and Prosthetic Dentistry, College of Dental Science, Radboud University Nijmegen Medical Centre, Philips van Leydenlaan 25, 6525 EX Nijmegen, The Netherlands. a.gerritsen@dent.umcn.nl&lt;/auth-address&gt;&lt;dates&gt;&lt;year&gt;2010&lt;/year&gt;&lt;/dates&gt;&lt;remote-database-provider&gt;Nlm&lt;/remote-database-provider&gt;&lt;rec-number&gt;899&lt;/rec-number&gt;&lt;last-updated-date format="utc"&gt;1385713712&lt;/last-updated-date&gt;&lt;accession-num&gt;21050499&lt;/accession-num&gt;&lt;electronic-resource-num&gt;10.1186/1477-7525-8-126&lt;/electronic-resource-num&gt;&lt;volume&gt;8&lt;/volume&gt;&lt;/record&gt;&lt;/Cite&gt;&lt;/EndNote&gt;</w:instrText>
      </w:r>
      <w:r w:rsidR="00872A84" w:rsidRPr="00787196">
        <w:fldChar w:fldCharType="separate"/>
      </w:r>
      <w:r w:rsidR="00872A84" w:rsidRPr="00787196">
        <w:t>(2010)</w:t>
      </w:r>
      <w:r w:rsidR="00872A84" w:rsidRPr="00787196">
        <w:fldChar w:fldCharType="end"/>
      </w:r>
      <w:r w:rsidR="00872A84" w:rsidRPr="00787196">
        <w:t xml:space="preserve">, </w:t>
      </w:r>
      <w:r w:rsidR="00980D60" w:rsidRPr="00787196">
        <w:t>10 out of the 35 studies synthesised were eligible for meta-analysis with 13 different samples</w:t>
      </w:r>
      <w:r w:rsidR="00192864" w:rsidRPr="00787196">
        <w:t xml:space="preserve"> leading to 6 set of </w:t>
      </w:r>
      <w:r w:rsidR="00980D60" w:rsidRPr="00787196">
        <w:t>analyses. All studies showed that tooth loss is associated OHQoL s</w:t>
      </w:r>
      <w:r w:rsidR="00192864" w:rsidRPr="00787196">
        <w:t xml:space="preserve">ignificantly </w:t>
      </w:r>
      <w:r w:rsidR="00980D60" w:rsidRPr="00787196">
        <w:t>indep</w:t>
      </w:r>
      <w:r w:rsidR="00E96705" w:rsidRPr="00787196">
        <w:t>endent of study location and OH</w:t>
      </w:r>
      <w:r w:rsidR="00980D60" w:rsidRPr="00787196">
        <w:t xml:space="preserve">QoL instrument </w:t>
      </w:r>
      <w:r w:rsidR="00E96705" w:rsidRPr="00787196">
        <w:t xml:space="preserve">used. </w:t>
      </w:r>
    </w:p>
    <w:p w14:paraId="184520DB" w14:textId="77FB9204" w:rsidR="00E7588A" w:rsidRPr="00787196" w:rsidRDefault="00E96705" w:rsidP="00E6699B">
      <w:pPr>
        <w:rPr>
          <w:rFonts w:eastAsia="Calibri" w:cs="Arial"/>
          <w:szCs w:val="24"/>
          <w:lang w:eastAsia="en-US" w:bidi="ar-SA"/>
        </w:rPr>
      </w:pPr>
      <w:r w:rsidRPr="00787196">
        <w:t xml:space="preserve">In recent a critical review by Tan and colleagues </w:t>
      </w:r>
      <w:r w:rsidRPr="00787196">
        <w:rPr>
          <w:rFonts w:eastAsia="Calibri" w:cs="Arial"/>
          <w:szCs w:val="24"/>
          <w:lang w:eastAsia="en-US" w:bidi="ar-SA"/>
        </w:rPr>
        <w:fldChar w:fldCharType="begin"/>
      </w:r>
      <w:r w:rsidRPr="00787196">
        <w:rPr>
          <w:rFonts w:eastAsia="Calibri" w:cs="Arial"/>
          <w:szCs w:val="24"/>
          <w:lang w:eastAsia="en-US" w:bidi="ar-SA"/>
        </w:rPr>
        <w:instrText xml:space="preserve"> ADDIN EN.CITE &lt;EndNote&gt;&lt;Cite ExcludeAuth="1"&gt;&lt;Author&gt;Tan&lt;/Author&gt;&lt;Year&gt;2016&lt;/Year&gt;&lt;IDText&gt;Retention of Teeth and Oral Health–Related Quality of Life&lt;/IDText&gt;&lt;DisplayText&gt;(2016)&lt;/DisplayText&gt;&lt;record&gt;&lt;dates&gt;&lt;pub-dates&gt;&lt;date&gt;2016/11/01&lt;/date&gt;&lt;/pub-dates&gt;&lt;year&gt;2016&lt;/year&gt;&lt;/dates&gt;&lt;urls&gt;&lt;related-urls&gt;&lt;url&gt;http://journals.sagepub.com/doi/abs/10.1177/0022034516657992&lt;/url&gt;&lt;/related-urls&gt;&lt;/urls&gt;&lt;isbn&gt;0022-0345&lt;/isbn&gt;&lt;titles&gt;&lt;title&gt;Retention of Teeth and Oral Health–Related Quality of Life&lt;/title&gt;&lt;secondary-title&gt;Journal of Dental Research&lt;/secondary-title&gt;&lt;/titles&gt;&lt;pages&gt;1350-1357&lt;/pages&gt;&lt;number&gt;12&lt;/number&gt;&lt;access-date&gt;2017/01/05&lt;/access-date&gt;&lt;contributors&gt;&lt;authors&gt;&lt;author&gt;Tan, H.&lt;/author&gt;&lt;author&gt;Peres, K. G.&lt;/author&gt;&lt;author&gt;Peres, M. A.&lt;/author&gt;&lt;/authors&gt;&lt;/contributors&gt;&lt;added-date format="utc"&gt;1483615083&lt;/added-date&gt;&lt;ref-type name="Journal Article"&gt;17&lt;/ref-type&gt;&lt;rec-number&gt;2762&lt;/rec-number&gt;&lt;publisher&gt;SAGE Publications&lt;/publisher&gt;&lt;last-updated-date format="utc"&gt;1483615083&lt;/last-updated-date&gt;&lt;electronic-resource-num&gt;10.1177/0022034516657992&lt;/electronic-resource-num&gt;&lt;volume&gt;95&lt;/volume&gt;&lt;/record&gt;&lt;/Cite&gt;&lt;/EndNote&gt;</w:instrText>
      </w:r>
      <w:r w:rsidRPr="00787196">
        <w:rPr>
          <w:rFonts w:eastAsia="Calibri" w:cs="Arial"/>
          <w:szCs w:val="24"/>
          <w:lang w:eastAsia="en-US" w:bidi="ar-SA"/>
        </w:rPr>
        <w:fldChar w:fldCharType="separate"/>
      </w:r>
      <w:r w:rsidRPr="00787196">
        <w:rPr>
          <w:rFonts w:eastAsia="Calibri" w:cs="Arial"/>
          <w:noProof/>
          <w:szCs w:val="24"/>
          <w:lang w:eastAsia="en-US" w:bidi="ar-SA"/>
        </w:rPr>
        <w:t>(2016)</w:t>
      </w:r>
      <w:r w:rsidRPr="00787196">
        <w:rPr>
          <w:rFonts w:eastAsia="Calibri" w:cs="Arial"/>
          <w:szCs w:val="24"/>
          <w:lang w:eastAsia="en-US" w:bidi="ar-SA"/>
        </w:rPr>
        <w:fldChar w:fldCharType="end"/>
      </w:r>
      <w:r w:rsidRPr="00787196">
        <w:rPr>
          <w:rFonts w:eastAsia="Calibri" w:cs="Arial"/>
          <w:szCs w:val="24"/>
          <w:lang w:eastAsia="en-US" w:bidi="ar-SA"/>
        </w:rPr>
        <w:t>, out of the 29 studies shortlisted, several studies found that participants with 20 or lesser teeth had worse OHQoL scores than those who had more.</w:t>
      </w:r>
      <w:r w:rsidR="004B29AD" w:rsidRPr="00787196">
        <w:rPr>
          <w:rFonts w:eastAsia="Calibri" w:cs="Arial"/>
          <w:szCs w:val="24"/>
          <w:lang w:eastAsia="en-US" w:bidi="ar-SA"/>
        </w:rPr>
        <w:t xml:space="preserve"> This study further implied that reten</w:t>
      </w:r>
      <w:r w:rsidR="00E7588A" w:rsidRPr="00787196">
        <w:rPr>
          <w:rFonts w:eastAsia="Calibri" w:cs="Arial"/>
          <w:szCs w:val="24"/>
          <w:lang w:eastAsia="en-US" w:bidi="ar-SA"/>
        </w:rPr>
        <w:t>tion of teeth may improve OHQoL.</w:t>
      </w:r>
    </w:p>
    <w:p w14:paraId="2AA9D31C" w14:textId="53ACDEB6" w:rsidR="00641EA0" w:rsidRPr="00787196" w:rsidRDefault="00E96705" w:rsidP="00E7588A">
      <w:pPr>
        <w:rPr>
          <w:b/>
          <w:bCs/>
          <w:sz w:val="30"/>
          <w:szCs w:val="26"/>
          <w:lang w:bidi="hi-IN"/>
        </w:rPr>
      </w:pPr>
      <w:r w:rsidRPr="00787196">
        <w:rPr>
          <w:lang w:bidi="hi-IN"/>
        </w:rPr>
        <w:t>The</w:t>
      </w:r>
      <w:r w:rsidR="00A27B11" w:rsidRPr="00787196">
        <w:rPr>
          <w:lang w:bidi="hi-IN"/>
        </w:rPr>
        <w:t xml:space="preserve"> present study </w:t>
      </w:r>
      <w:r w:rsidR="00703EBC" w:rsidRPr="00787196">
        <w:rPr>
          <w:lang w:bidi="hi-IN"/>
        </w:rPr>
        <w:t xml:space="preserve">thus </w:t>
      </w:r>
      <w:r w:rsidR="00A27B11" w:rsidRPr="00787196">
        <w:rPr>
          <w:lang w:bidi="hi-IN"/>
        </w:rPr>
        <w:t xml:space="preserve">provides a further longitudinal evidence to support the findings of the </w:t>
      </w:r>
      <w:r w:rsidRPr="00787196">
        <w:rPr>
          <w:lang w:bidi="hi-IN"/>
        </w:rPr>
        <w:t>past studies</w:t>
      </w:r>
      <w:r w:rsidR="00660BB7" w:rsidRPr="00787196">
        <w:rPr>
          <w:lang w:bidi="hi-IN"/>
        </w:rPr>
        <w:t>.</w:t>
      </w:r>
      <w:r w:rsidRPr="00787196">
        <w:rPr>
          <w:lang w:bidi="hi-IN"/>
        </w:rPr>
        <w:t xml:space="preserve"> These finding</w:t>
      </w:r>
      <w:r w:rsidR="004B29AD" w:rsidRPr="00787196">
        <w:rPr>
          <w:lang w:bidi="hi-IN"/>
        </w:rPr>
        <w:t>s</w:t>
      </w:r>
      <w:r w:rsidRPr="00787196">
        <w:rPr>
          <w:lang w:bidi="hi-IN"/>
        </w:rPr>
        <w:t xml:space="preserve"> imply </w:t>
      </w:r>
      <w:r w:rsidR="00E7588A" w:rsidRPr="00787196">
        <w:rPr>
          <w:lang w:bidi="hi-IN"/>
        </w:rPr>
        <w:t xml:space="preserve">that </w:t>
      </w:r>
      <w:r w:rsidR="004B29AD" w:rsidRPr="00787196">
        <w:rPr>
          <w:lang w:bidi="hi-IN"/>
        </w:rPr>
        <w:t xml:space="preserve">replacing missing teeth with prosthesis (dentures, implants) and associated service provisions </w:t>
      </w:r>
      <w:r w:rsidR="00A27B11" w:rsidRPr="00787196">
        <w:rPr>
          <w:lang w:bidi="hi-IN"/>
        </w:rPr>
        <w:t xml:space="preserve">which </w:t>
      </w:r>
      <w:r w:rsidR="00703EBC" w:rsidRPr="00787196">
        <w:rPr>
          <w:lang w:bidi="hi-IN"/>
        </w:rPr>
        <w:t>need</w:t>
      </w:r>
      <w:r w:rsidR="004B29AD" w:rsidRPr="00787196">
        <w:rPr>
          <w:lang w:bidi="hi-IN"/>
        </w:rPr>
        <w:t xml:space="preserve"> to be improved. Th</w:t>
      </w:r>
      <w:r w:rsidR="00B73FC9" w:rsidRPr="00787196">
        <w:rPr>
          <w:lang w:bidi="hi-IN"/>
        </w:rPr>
        <w:t>e</w:t>
      </w:r>
      <w:r w:rsidR="00A27B11" w:rsidRPr="00787196">
        <w:rPr>
          <w:lang w:bidi="hi-IN"/>
        </w:rPr>
        <w:t>se</w:t>
      </w:r>
      <w:r w:rsidR="00B73FC9" w:rsidRPr="00787196">
        <w:rPr>
          <w:lang w:bidi="hi-IN"/>
        </w:rPr>
        <w:t xml:space="preserve"> findings further</w:t>
      </w:r>
      <w:r w:rsidR="004B29AD" w:rsidRPr="00787196">
        <w:rPr>
          <w:lang w:bidi="hi-IN"/>
        </w:rPr>
        <w:t xml:space="preserve"> impl</w:t>
      </w:r>
      <w:r w:rsidR="00A27B11" w:rsidRPr="00787196">
        <w:rPr>
          <w:lang w:bidi="hi-IN"/>
        </w:rPr>
        <w:t>y</w:t>
      </w:r>
      <w:r w:rsidR="004B29AD" w:rsidRPr="00787196">
        <w:rPr>
          <w:lang w:bidi="hi-IN"/>
        </w:rPr>
        <w:t xml:space="preserve"> that preventive dental interventions must aim to</w:t>
      </w:r>
      <w:r w:rsidR="00A27B11" w:rsidRPr="00787196">
        <w:rPr>
          <w:lang w:bidi="hi-IN"/>
        </w:rPr>
        <w:t xml:space="preserve"> achieve retention of teeth to maintaining</w:t>
      </w:r>
      <w:r w:rsidR="004B29AD" w:rsidRPr="00787196">
        <w:rPr>
          <w:lang w:bidi="hi-IN"/>
        </w:rPr>
        <w:t xml:space="preserve"> functional dentition in adults to ensure improved OHQoL.</w:t>
      </w:r>
    </w:p>
    <w:p w14:paraId="5F1EC992" w14:textId="77777777" w:rsidR="00E80FE8" w:rsidRPr="00787196" w:rsidRDefault="00746D68" w:rsidP="00E6699B">
      <w:pPr>
        <w:pStyle w:val="Heading5"/>
      </w:pPr>
      <w:r w:rsidRPr="00787196">
        <w:t>Baseli</w:t>
      </w:r>
      <w:r w:rsidR="00E80FE8" w:rsidRPr="00787196">
        <w:t>ne Chewing ability and OHQoL</w:t>
      </w:r>
    </w:p>
    <w:p w14:paraId="4726B40D" w14:textId="21A88A4B" w:rsidR="00E80FE8" w:rsidRPr="00787196" w:rsidRDefault="00E80FE8" w:rsidP="00E80FE8">
      <w:pPr>
        <w:rPr>
          <w:lang w:bidi="hi-IN"/>
        </w:rPr>
      </w:pPr>
      <w:r w:rsidRPr="00787196">
        <w:rPr>
          <w:lang w:bidi="hi-IN"/>
        </w:rPr>
        <w:t>The present study reported findings of a strong associations between baseline OHQoL (</w:t>
      </w:r>
      <w:r w:rsidRPr="00787196">
        <w:t xml:space="preserve">β = 0.246, </w:t>
      </w:r>
      <w:r w:rsidRPr="00787196">
        <w:rPr>
          <w:i/>
          <w:iCs/>
        </w:rPr>
        <w:t>p&lt;0.</w:t>
      </w:r>
      <w:r w:rsidRPr="00787196">
        <w:t>01), c</w:t>
      </w:r>
      <w:r w:rsidRPr="00787196">
        <w:rPr>
          <w:lang w:bidi="hi-IN"/>
        </w:rPr>
        <w:t>hewing ability (</w:t>
      </w:r>
      <w:r w:rsidRPr="00787196">
        <w:t xml:space="preserve">β = -0.194, </w:t>
      </w:r>
      <w:r w:rsidRPr="00787196">
        <w:rPr>
          <w:i/>
          <w:iCs/>
        </w:rPr>
        <w:t>p&lt;0.05</w:t>
      </w:r>
      <w:r w:rsidRPr="00787196">
        <w:t>) and OHQoL at follow-up</w:t>
      </w:r>
      <w:r w:rsidRPr="00787196">
        <w:rPr>
          <w:lang w:bidi="hi-IN"/>
        </w:rPr>
        <w:t xml:space="preserve">. </w:t>
      </w:r>
    </w:p>
    <w:p w14:paraId="32D63728" w14:textId="25BB6329" w:rsidR="00E80FE8" w:rsidRPr="00787196" w:rsidRDefault="00E80FE8" w:rsidP="00E80FE8">
      <w:pPr>
        <w:rPr>
          <w:lang w:bidi="hi-IN"/>
        </w:rPr>
      </w:pPr>
      <w:r w:rsidRPr="00787196">
        <w:rPr>
          <w:lang w:bidi="hi-IN"/>
        </w:rPr>
        <w:t>Patient reported chewing ability is a functional outcome as perceived by the patient. In the literature review (Section 2.2) studies have reported strong associations between OHQoL and Chewing ability. Given that OHQoL comprises functional limitation as a sub-domain this association can be described as a part-whole association. The finding from the present study further strengthen</w:t>
      </w:r>
      <w:r w:rsidR="00F41D91" w:rsidRPr="00787196">
        <w:rPr>
          <w:lang w:bidi="hi-IN"/>
        </w:rPr>
        <w:t>s</w:t>
      </w:r>
      <w:r w:rsidRPr="00787196">
        <w:rPr>
          <w:lang w:bidi="hi-IN"/>
        </w:rPr>
        <w:t xml:space="preserve"> this association. </w:t>
      </w:r>
    </w:p>
    <w:p w14:paraId="1AB5E218" w14:textId="49D2839E" w:rsidR="00084782" w:rsidRPr="00787196" w:rsidRDefault="00084782" w:rsidP="00226A04">
      <w:pPr>
        <w:pStyle w:val="Heading4"/>
      </w:pPr>
      <w:r w:rsidRPr="00787196">
        <w:lastRenderedPageBreak/>
        <w:t>Denture satisfaction</w:t>
      </w:r>
    </w:p>
    <w:p w14:paraId="43B23B21" w14:textId="0E3A08BE" w:rsidR="00084782" w:rsidRPr="00787196" w:rsidRDefault="00346129" w:rsidP="009329B8">
      <w:r w:rsidRPr="00787196">
        <w:t xml:space="preserve">The results of the analysis indicated (Table 5-28) that the baseline occluding pairs of teeth predicted OHQoL at follow-up. Baseline chewing ability and denture satisfaction also predicted denture satisfaction at follow-up. </w:t>
      </w:r>
    </w:p>
    <w:p w14:paraId="636E1AB7" w14:textId="06F0AC2B" w:rsidR="009329B8" w:rsidRPr="00787196" w:rsidRDefault="009329B8" w:rsidP="00E6699B">
      <w:pPr>
        <w:pStyle w:val="Heading5"/>
      </w:pPr>
      <w:r w:rsidRPr="00787196">
        <w:t xml:space="preserve">Occluding pairs of teeth </w:t>
      </w:r>
    </w:p>
    <w:p w14:paraId="5A099F4C" w14:textId="6E5733EC" w:rsidR="009329B8" w:rsidRPr="00787196" w:rsidRDefault="009329B8" w:rsidP="00725DA9">
      <w:pPr>
        <w:spacing w:after="0"/>
      </w:pPr>
      <w:r w:rsidRPr="00787196">
        <w:t xml:space="preserve">The presence of occluding pairs of teeth directly predicted patient’s denture satisfaction (Table 5-28, β = -0.239, </w:t>
      </w:r>
      <w:r w:rsidRPr="00787196">
        <w:rPr>
          <w:i/>
          <w:iCs/>
        </w:rPr>
        <w:t>p</w:t>
      </w:r>
      <w:r w:rsidRPr="00787196">
        <w:t>&lt;</w:t>
      </w:r>
      <w:r w:rsidRPr="00787196">
        <w:rPr>
          <w:i/>
          <w:iCs/>
        </w:rPr>
        <w:t>0.01</w:t>
      </w:r>
      <w:r w:rsidRPr="00787196">
        <w:t>).</w:t>
      </w:r>
    </w:p>
    <w:p w14:paraId="3792170C" w14:textId="5BB689C6" w:rsidR="00530C98" w:rsidRPr="00787196" w:rsidRDefault="00F41D91" w:rsidP="00E6699B">
      <w:r w:rsidRPr="00787196">
        <w:t xml:space="preserve">With vast amount of studies explaining about associations between occluding pairs and better chewing ability and masticatory ability, </w:t>
      </w:r>
      <w:r w:rsidR="009302AB" w:rsidRPr="00787196">
        <w:t xml:space="preserve">the present study highlights </w:t>
      </w:r>
      <w:r w:rsidRPr="00787196">
        <w:t>a strong association</w:t>
      </w:r>
      <w:r w:rsidR="009302AB" w:rsidRPr="00787196">
        <w:t xml:space="preserve"> between patient</w:t>
      </w:r>
      <w:r w:rsidRPr="00787196">
        <w:t>’s</w:t>
      </w:r>
      <w:r w:rsidR="009302AB" w:rsidRPr="00787196">
        <w:t xml:space="preserve"> </w:t>
      </w:r>
      <w:r w:rsidRPr="00787196">
        <w:t>denture satisfaction and</w:t>
      </w:r>
      <w:r w:rsidR="009302AB" w:rsidRPr="00787196">
        <w:t xml:space="preserve"> occluding pairs of teeth.</w:t>
      </w:r>
      <w:r w:rsidRPr="00787196">
        <w:t xml:space="preserve"> </w:t>
      </w:r>
      <w:r w:rsidRPr="00787196">
        <w:rPr>
          <w:noProof/>
        </w:rPr>
        <w:t>Elias and Sheiham</w:t>
      </w:r>
      <w:r w:rsidRPr="00787196">
        <w:t xml:space="preserve"> </w:t>
      </w:r>
      <w:r w:rsidRPr="00787196">
        <w:fldChar w:fldCharType="begin"/>
      </w:r>
      <w:r w:rsidRPr="00787196">
        <w:instrText xml:space="preserve"> ADDIN EN.CITE &lt;EndNote&gt;&lt;Cite ExcludeAuth="1"&gt;&lt;Author&gt;Elias&lt;/Author&gt;&lt;Year&gt;1998&lt;/Year&gt;&lt;IDText&gt;The relationship between satisfaction with mouth and number and position of teeth&lt;/IDText&gt;&lt;DisplayText&gt;(1998)&lt;/DisplayText&gt;&lt;record&gt;&lt;urls&gt;&lt;related-urls&gt;&lt;url&gt;http://dx.doi.org/10.1046/j.1365-2842.1998.00313.x&lt;/url&gt;&lt;/related-urls&gt;&lt;/urls&gt;&lt;isbn&gt;1365-2842&lt;/isbn&gt;&lt;titles&gt;&lt;title&gt;The relationship between satisfaction with mouth and number and position of teeth&lt;/title&gt;&lt;secondary-title&gt;Journal of Oral Rehabilitation&lt;/secondary-title&gt;&lt;/titles&gt;&lt;pages&gt;649-661&lt;/pages&gt;&lt;number&gt;9&lt;/number&gt;&lt;contributors&gt;&lt;authors&gt;&lt;author&gt;Elias, A. C.&lt;/author&gt;&lt;author&gt;Sheiham, A.&lt;/author&gt;&lt;/authors&gt;&lt;/contributors&gt;&lt;added-date format="utc"&gt;1483685868&lt;/added-date&gt;&lt;ref-type name="Journal Article"&gt;17&lt;/ref-type&gt;&lt;dates&gt;&lt;year&gt;1998&lt;/year&gt;&lt;/dates&gt;&lt;rec-number&gt;2775&lt;/rec-number&gt;&lt;publisher&gt;Blackwell Science Ltd&lt;/publisher&gt;&lt;last-updated-date format="utc"&gt;1483685868&lt;/last-updated-date&gt;&lt;electronic-resource-num&gt;10.1046/j.1365-2842.1998.00313.x&lt;/electronic-resource-num&gt;&lt;volume&gt;25&lt;/volume&gt;&lt;/record&gt;&lt;/Cite&gt;&lt;/EndNote&gt;</w:instrText>
      </w:r>
      <w:r w:rsidRPr="00787196">
        <w:fldChar w:fldCharType="separate"/>
      </w:r>
      <w:r w:rsidRPr="00787196">
        <w:rPr>
          <w:noProof/>
        </w:rPr>
        <w:t>(1998)</w:t>
      </w:r>
      <w:r w:rsidRPr="00787196">
        <w:fldChar w:fldCharType="end"/>
      </w:r>
      <w:r w:rsidRPr="00787196">
        <w:t xml:space="preserve"> in their narrative review explain how occluding pairs of teeth can improve satisfaction with mouth’s functional status. Many studies have explored the association between</w:t>
      </w:r>
    </w:p>
    <w:p w14:paraId="226FCACA" w14:textId="0644B250" w:rsidR="009329B8" w:rsidRPr="00787196" w:rsidRDefault="00796D25" w:rsidP="00226A04">
      <w:pPr>
        <w:pStyle w:val="Heading4"/>
      </w:pPr>
      <w:r w:rsidRPr="00787196">
        <w:t xml:space="preserve">Chewing ability </w:t>
      </w:r>
    </w:p>
    <w:p w14:paraId="14794D0E" w14:textId="28A01269" w:rsidR="00796D25" w:rsidRPr="00787196" w:rsidRDefault="00796D25" w:rsidP="00796D25">
      <w:r w:rsidRPr="00787196">
        <w:t>The results of the regression analysis indicated (Table 5-29) that the baseline number of teeth present predicted chewing ability at follow-up. Baseline chewing ability and OHQoL also predicted Chewing ability at follow-up</w:t>
      </w:r>
    </w:p>
    <w:p w14:paraId="7BC8FC93" w14:textId="46E82EF9" w:rsidR="00796D25" w:rsidRPr="00787196" w:rsidRDefault="00796D25" w:rsidP="00E6699B">
      <w:pPr>
        <w:pStyle w:val="Heading5"/>
      </w:pPr>
      <w:r w:rsidRPr="00787196">
        <w:t>Number of teeth present</w:t>
      </w:r>
    </w:p>
    <w:p w14:paraId="6016B7C1" w14:textId="77777777" w:rsidR="006652F6" w:rsidRPr="00787196" w:rsidRDefault="00796D25" w:rsidP="006652F6">
      <w:r w:rsidRPr="00787196">
        <w:t xml:space="preserve">The number of teeth present (presence of functional dentition) directly predicted patient’s chewing ability (Table 5-29, β = -0.163, </w:t>
      </w:r>
      <w:r w:rsidRPr="00787196">
        <w:rPr>
          <w:i/>
          <w:iCs/>
        </w:rPr>
        <w:t>p</w:t>
      </w:r>
      <w:r w:rsidRPr="00787196">
        <w:t>&lt;</w:t>
      </w:r>
      <w:r w:rsidRPr="00787196">
        <w:rPr>
          <w:i/>
          <w:iCs/>
        </w:rPr>
        <w:t>0.01</w:t>
      </w:r>
      <w:r w:rsidRPr="00787196">
        <w:t>).</w:t>
      </w:r>
    </w:p>
    <w:p w14:paraId="1EAB0098" w14:textId="21429765" w:rsidR="00703EBC" w:rsidRPr="00787196" w:rsidRDefault="006652F6" w:rsidP="00703EBC">
      <w:r w:rsidRPr="00787196">
        <w:t xml:space="preserve">In line with the existing </w:t>
      </w:r>
      <w:r w:rsidR="00F05411" w:rsidRPr="00787196">
        <w:t>literature</w:t>
      </w:r>
      <w:r w:rsidR="00796D25" w:rsidRPr="00787196">
        <w:t xml:space="preserve"> on </w:t>
      </w:r>
      <w:r w:rsidR="00F05411" w:rsidRPr="00787196">
        <w:t>number of</w:t>
      </w:r>
      <w:r w:rsidR="00796D25" w:rsidRPr="00787196">
        <w:t xml:space="preserve"> teeth </w:t>
      </w:r>
      <w:r w:rsidR="00F05411" w:rsidRPr="00787196">
        <w:t xml:space="preserve">present </w:t>
      </w:r>
      <w:r w:rsidR="00796D25" w:rsidRPr="00787196">
        <w:t xml:space="preserve">and </w:t>
      </w:r>
      <w:r w:rsidR="00F05411" w:rsidRPr="00787196">
        <w:t xml:space="preserve">chewing ability, </w:t>
      </w:r>
      <w:r w:rsidR="00796D25" w:rsidRPr="00787196">
        <w:t xml:space="preserve">the </w:t>
      </w:r>
      <w:r w:rsidR="00F05411" w:rsidRPr="00787196">
        <w:t xml:space="preserve">findings of the </w:t>
      </w:r>
      <w:r w:rsidR="00796D25" w:rsidRPr="00787196">
        <w:t xml:space="preserve">present study highlights </w:t>
      </w:r>
      <w:r w:rsidR="00F05411" w:rsidRPr="00787196">
        <w:t xml:space="preserve">the consistency with this association. </w:t>
      </w:r>
      <w:r w:rsidR="00BB0B2B" w:rsidRPr="00787196">
        <w:t xml:space="preserve">One of </w:t>
      </w:r>
      <w:r w:rsidR="00DD3804" w:rsidRPr="00787196">
        <w:t xml:space="preserve">the preliminary studies that explored the factors influencing the chewing ability was that of </w:t>
      </w:r>
      <w:r w:rsidR="00CE4CA3" w:rsidRPr="00787196">
        <w:t xml:space="preserve">Agerberg and Carlsson’s </w:t>
      </w:r>
      <w:r w:rsidR="00CE4CA3" w:rsidRPr="00787196">
        <w:fldChar w:fldCharType="begin"/>
      </w:r>
      <w:r w:rsidR="00CE4CA3" w:rsidRPr="00787196">
        <w:instrText xml:space="preserve"> ADDIN EN.CITE &lt;EndNote&gt;&lt;Cite ExcludeAuth="1"&gt;&lt;Author&gt;Agerberg&lt;/Author&gt;&lt;Year&gt;1981&lt;/Year&gt;&lt;IDText&gt;Chewing Ability in Relation to Dental and General Health&lt;/IDText&gt;&lt;DisplayText&gt;(1981)&lt;/DisplayText&gt;&lt;record&gt;&lt;dates&gt;&lt;pub-dates&gt;&lt;date&gt;1981/01/01&lt;/date&gt;&lt;/pub-dates&gt;&lt;year&gt;1981&lt;/year&gt;&lt;/dates&gt;&lt;urls&gt;&lt;related-urls&gt;&lt;url&gt;http://dx.doi.org/10.3109/00016358109162273&lt;/url&gt;&lt;/related-urls&gt;&lt;/urls&gt;&lt;isbn&gt;0001-6357&lt;/isbn&gt;&lt;titles&gt;&lt;title&gt;Chewing Ability in Relation to Dental and General Health&lt;/title&gt;&lt;secondary-title&gt;Acta Odontologica Scandinavica&lt;/secondary-title&gt;&lt;/titles&gt;&lt;pages&gt;147-153&lt;/pages&gt;&lt;number&gt;3&lt;/number&gt;&lt;contributors&gt;&lt;authors&gt;&lt;author&gt;Agerberg, Göran&lt;/author&gt;&lt;author&gt;Carlsson, Gunnar E.&lt;/author&gt;&lt;/authors&gt;&lt;/contributors&gt;&lt;added-date format="utc"&gt;1483670813&lt;/added-date&gt;&lt;ref-type name="Journal Article"&gt;17&lt;/ref-type&gt;&lt;rec-number&gt;2770&lt;/rec-number&gt;&lt;publisher&gt;Taylor &amp;amp; Francis&lt;/publisher&gt;&lt;last-updated-date format="utc"&gt;1483670813&lt;/last-updated-date&gt;&lt;electronic-resource-num&gt;10.3109/00016358109162273&lt;/electronic-resource-num&gt;&lt;volume&gt;39&lt;/volume&gt;&lt;/record&gt;&lt;/Cite&gt;&lt;/EndNote&gt;</w:instrText>
      </w:r>
      <w:r w:rsidR="00CE4CA3" w:rsidRPr="00787196">
        <w:fldChar w:fldCharType="separate"/>
      </w:r>
      <w:r w:rsidR="00CE4CA3" w:rsidRPr="00787196">
        <w:rPr>
          <w:noProof/>
        </w:rPr>
        <w:t>(1981)</w:t>
      </w:r>
      <w:r w:rsidR="00CE4CA3" w:rsidRPr="00787196">
        <w:fldChar w:fldCharType="end"/>
      </w:r>
      <w:r w:rsidR="00CE4CA3" w:rsidRPr="00787196">
        <w:t xml:space="preserve">. In this study of 1215 participants in Sweden, they explored their chewing and masticatory ability observed against various clinical factors. </w:t>
      </w:r>
      <w:r w:rsidR="006371AB" w:rsidRPr="00787196">
        <w:t xml:space="preserve">One of the strong finding of this study was that none of the </w:t>
      </w:r>
      <w:r w:rsidR="00142DF5" w:rsidRPr="00787196">
        <w:t>participants who had 20 or more teeth repo</w:t>
      </w:r>
      <w:r w:rsidR="00F04F3E" w:rsidRPr="00787196">
        <w:t xml:space="preserve">rted poor ability and only 1% of individuals with 8–20 teeth considered their chewing ability to be </w:t>
      </w:r>
      <w:r w:rsidR="005E6389" w:rsidRPr="00787196">
        <w:t xml:space="preserve">poor. </w:t>
      </w:r>
      <w:r w:rsidR="00703EBC" w:rsidRPr="00787196">
        <w:br w:type="page"/>
      </w:r>
    </w:p>
    <w:p w14:paraId="4DE2FDB2" w14:textId="6129E109" w:rsidR="005E6389" w:rsidRPr="00787196" w:rsidRDefault="005E6389" w:rsidP="00F04F3E">
      <w:r w:rsidRPr="00787196">
        <w:lastRenderedPageBreak/>
        <w:t>More recent</w:t>
      </w:r>
      <w:r w:rsidR="00F04F3E" w:rsidRPr="00787196">
        <w:t xml:space="preserve"> studies show strong</w:t>
      </w:r>
      <w:r w:rsidR="00321570" w:rsidRPr="00787196">
        <w:t>er</w:t>
      </w:r>
      <w:r w:rsidR="00F04F3E" w:rsidRPr="00787196">
        <w:t xml:space="preserve"> associations between the number of teeth present and p</w:t>
      </w:r>
      <w:r w:rsidR="005A55F6" w:rsidRPr="00787196">
        <w:t>atient reported chewing ability</w:t>
      </w:r>
      <w:r w:rsidR="00321570" w:rsidRPr="00787196">
        <w:t xml:space="preserve">.as well as an association with an individual’s general health </w:t>
      </w:r>
      <w:r w:rsidR="005A55F6" w:rsidRPr="00787196">
        <w:fldChar w:fldCharType="begin"/>
      </w:r>
      <w:r w:rsidR="00321570" w:rsidRPr="00787196">
        <w:instrText xml:space="preserve"> ADDIN EN.CITE &lt;EndNote&gt;&lt;Cite&gt;&lt;Author&gt;Brennan&lt;/Author&gt;&lt;Year&gt;2008&lt;/Year&gt;&lt;IDText&gt;Tooth loss, chewing ability and quality of life&lt;/IDText&gt;&lt;DisplayText&gt;(Brennan et al., 2008, Singh and Brennan, 2012)&lt;/DisplayText&gt;&lt;record&gt;&lt;isbn&gt;0962-9343&lt;/isbn&gt;&lt;titles&gt;&lt;title&gt;Tooth loss, chewing ability and quality of life&lt;/title&gt;&lt;secondary-title&gt;Quality of Life Research&lt;/secondary-title&gt;&lt;/titles&gt;&lt;pages&gt;227-235&lt;/pages&gt;&lt;number&gt;2&lt;/number&gt;&lt;contributors&gt;&lt;authors&gt;&lt;author&gt;Brennan, David S.&lt;/author&gt;&lt;author&gt;Spencer, A. John&lt;/author&gt;&lt;author&gt;Roberts-Thomson, Kaye F.&lt;/author&gt;&lt;/authors&gt;&lt;/contributors&gt;&lt;added-date format="utc"&gt;1364401138&lt;/added-date&gt;&lt;ref-type name="Journal Article"&gt;17&lt;/ref-type&gt;&lt;dates&gt;&lt;year&gt;2008&lt;/year&gt;&lt;/dates&gt;&lt;rec-number&gt;596&lt;/rec-number&gt;&lt;last-updated-date format="utc"&gt;1364401138&lt;/last-updated-date&gt;&lt;volume&gt;17&lt;/volume&gt;&lt;/record&gt;&lt;/Cite&gt;&lt;Cite&gt;&lt;Author&gt;Singh&lt;/Author&gt;&lt;Year&gt;2012&lt;/Year&gt;&lt;IDText&gt;Chewing disability in older adults attributable to tooth loss and other oral conditions&lt;/IDText&gt;&lt;record&gt;&lt;keywords&gt;&lt;keyword&gt;chewing ability&lt;/keyword&gt;&lt;keyword&gt;oral health&lt;/keyword&gt;&lt;keyword&gt;population attributable fraction&lt;/keyword&gt;&lt;/keywords&gt;&lt;urls&gt;&lt;related-urls&gt;&lt;url&gt;http://dx.doi.org/10.1111/j.1741-2358.2010.00412.x&lt;/url&gt;&lt;/related-urls&gt;&lt;/urls&gt;&lt;isbn&gt;1741-2358&lt;/isbn&gt;&lt;titles&gt;&lt;title&gt;Chewing disability in older adults attributable to tooth loss and other oral conditions&lt;/title&gt;&lt;secondary-title&gt;Gerodontology&lt;/secondary-title&gt;&lt;/titles&gt;&lt;pages&gt;106-110&lt;/pages&gt;&lt;number&gt;2&lt;/number&gt;&lt;contributors&gt;&lt;authors&gt;&lt;author&gt;Singh, Kiran A.&lt;/author&gt;&lt;author&gt;Brennan, David S.&lt;/author&gt;&lt;/authors&gt;&lt;/contributors&gt;&lt;added-date format="utc"&gt;1483683372&lt;/added-date&gt;&lt;ref-type name="Journal Article"&gt;17&lt;/ref-type&gt;&lt;dates&gt;&lt;year&gt;2012&lt;/year&gt;&lt;/dates&gt;&lt;rec-number&gt;2773&lt;/rec-number&gt;&lt;publisher&gt;Blackwell Publishing Ltd&lt;/publisher&gt;&lt;last-updated-date format="utc"&gt;1483683372&lt;/last-updated-date&gt;&lt;electronic-resource-num&gt;10.1111/j.1741-2358.2010.00412.x&lt;/electronic-resource-num&gt;&lt;volume&gt;29&lt;/volume&gt;&lt;/record&gt;&lt;/Cite&gt;&lt;/EndNote&gt;</w:instrText>
      </w:r>
      <w:r w:rsidR="005A55F6" w:rsidRPr="00787196">
        <w:fldChar w:fldCharType="separate"/>
      </w:r>
      <w:r w:rsidR="00321570" w:rsidRPr="00787196">
        <w:rPr>
          <w:noProof/>
        </w:rPr>
        <w:t>(Brennan et al., 2008, Singh and Brennan, 2012)</w:t>
      </w:r>
      <w:r w:rsidR="005A55F6" w:rsidRPr="00787196">
        <w:fldChar w:fldCharType="end"/>
      </w:r>
      <w:r w:rsidR="00321570" w:rsidRPr="00787196">
        <w:t>.</w:t>
      </w:r>
      <w:r w:rsidRPr="00787196">
        <w:t xml:space="preserve"> </w:t>
      </w:r>
    </w:p>
    <w:p w14:paraId="313F3812" w14:textId="5436AEBC" w:rsidR="00613E75" w:rsidRPr="00787196" w:rsidRDefault="005E6389" w:rsidP="00703EBC">
      <w:r w:rsidRPr="00787196">
        <w:t xml:space="preserve">Although studies in the past have </w:t>
      </w:r>
      <w:r w:rsidR="00530C98" w:rsidRPr="00787196">
        <w:t xml:space="preserve">explored this association, the present study </w:t>
      </w:r>
      <w:r w:rsidR="00E7588A" w:rsidRPr="00787196">
        <w:t>is</w:t>
      </w:r>
      <w:r w:rsidRPr="00787196">
        <w:t xml:space="preserve"> a longitudinal observation among individual seeking dentures </w:t>
      </w:r>
      <w:r w:rsidR="00E7588A" w:rsidRPr="00787196">
        <w:t>based on a conceptual model. The finding of the study further implicates the importance of retention of natural</w:t>
      </w:r>
      <w:r w:rsidRPr="00787196">
        <w:t xml:space="preserve"> </w:t>
      </w:r>
      <w:r w:rsidR="00E7588A" w:rsidRPr="00787196">
        <w:t>teeth and improved denture provision</w:t>
      </w:r>
      <w:r w:rsidRPr="00787196">
        <w:t>.</w:t>
      </w:r>
      <w:r w:rsidR="00E7588A" w:rsidRPr="00787196">
        <w:t xml:space="preserve"> Preventive dental interventions should aim to retain natural teeth in order to improve functional capacity (such as chewing) in individuals.</w:t>
      </w:r>
    </w:p>
    <w:p w14:paraId="27168F4D" w14:textId="77777777" w:rsidR="009758DD" w:rsidRPr="00787196" w:rsidRDefault="009758DD" w:rsidP="009758DD">
      <w:pPr>
        <w:rPr>
          <w:lang w:bidi="hi-IN"/>
        </w:rPr>
      </w:pPr>
      <w:r w:rsidRPr="00787196">
        <w:rPr>
          <w:lang w:bidi="hi-IN"/>
        </w:rPr>
        <w:t>The present study reported findings of a strong association between denture satisfaction at follow up and baseline patient reported chewing ability in the primary bivariate analysis (Table 5-22) as well as in the secondary regression analysis (Table 5-32). Likewise, patient reported chewing ability at follow-up was strongly associated with baseline denture satisfaction (Table 5-25 and Table 5-33).</w:t>
      </w:r>
    </w:p>
    <w:p w14:paraId="5D0232AE" w14:textId="2BC90681" w:rsidR="005E6389" w:rsidRPr="00787196" w:rsidRDefault="009758DD" w:rsidP="00F04F3E">
      <w:r w:rsidRPr="00787196">
        <w:rPr>
          <w:lang w:bidi="hi-IN"/>
        </w:rPr>
        <w:t xml:space="preserve">Both these outcomes have been used in studies as variables in denture based studies and have reported associations in the past. </w:t>
      </w:r>
      <w:r w:rsidR="00B30E51" w:rsidRPr="00787196">
        <w:rPr>
          <w:lang w:bidi="hi-IN"/>
        </w:rPr>
        <w:t>However,</w:t>
      </w:r>
      <w:r w:rsidRPr="00787196">
        <w:rPr>
          <w:lang w:bidi="hi-IN"/>
        </w:rPr>
        <w:t xml:space="preserve"> both these variables are not well conceptualised nor have a strong theoretical model backed robustness. Both the outcomes can be incorporated within the domains of the OHQoL which is strongly backed by theory based Wilson and Cleary (1995) model which links clinical status to subjective outcomes.</w:t>
      </w:r>
      <w:r w:rsidR="00E7588A" w:rsidRPr="00787196">
        <w:t xml:space="preserve"> </w:t>
      </w:r>
    </w:p>
    <w:p w14:paraId="74ACDADF" w14:textId="77777777" w:rsidR="004441A4" w:rsidRPr="00787196" w:rsidRDefault="004441A4" w:rsidP="00E6699B">
      <w:pPr>
        <w:pStyle w:val="Heading3"/>
      </w:pPr>
      <w:bookmarkStart w:id="346" w:name="_Toc488655692"/>
      <w:r w:rsidRPr="00787196">
        <w:t>Predictors of coping strategies</w:t>
      </w:r>
      <w:bookmarkEnd w:id="346"/>
    </w:p>
    <w:p w14:paraId="265587B6" w14:textId="56A14DD1" w:rsidR="004441A4" w:rsidRPr="00787196" w:rsidRDefault="00660BB7" w:rsidP="007A7E37">
      <w:r w:rsidRPr="00787196">
        <w:t>This</w:t>
      </w:r>
      <w:r w:rsidR="004441A4" w:rsidRPr="00787196">
        <w:t xml:space="preserve"> study also explored factors that may influence </w:t>
      </w:r>
      <w:r w:rsidR="007A7E37" w:rsidRPr="00787196">
        <w:t xml:space="preserve">the </w:t>
      </w:r>
      <w:r w:rsidR="004441A4" w:rsidRPr="00787196">
        <w:t xml:space="preserve">coping strategies post receiving dentures (Objective 5). Prosthetic </w:t>
      </w:r>
      <w:r w:rsidR="007A7E37" w:rsidRPr="00787196">
        <w:t xml:space="preserve">treatment need </w:t>
      </w:r>
      <w:r w:rsidR="004441A4" w:rsidRPr="00787196">
        <w:t xml:space="preserve">and prosthetic status were strongly associated with </w:t>
      </w:r>
      <w:r w:rsidRPr="00787196">
        <w:t>inadequate</w:t>
      </w:r>
      <w:r w:rsidR="004441A4" w:rsidRPr="00787196">
        <w:t xml:space="preserve"> negative coping strategy. </w:t>
      </w:r>
      <w:r w:rsidR="007A7E37" w:rsidRPr="00787196">
        <w:t>The number of o</w:t>
      </w:r>
      <w:r w:rsidR="004441A4" w:rsidRPr="00787196">
        <w:t>ccluding pairs of teeth was associated with positive coping strategies. Needing for dentures in the upper arch and denture status of the upper arch associated with negative inadequate coping. Understandably, the respective coping strategies at baseline were associated with their respective strategies at follow-up. Self-blaming coping strategy at baseline was associated with negative, inadequate coping strategy at follow-up.</w:t>
      </w:r>
    </w:p>
    <w:p w14:paraId="3A441DC5" w14:textId="77777777" w:rsidR="004441A4" w:rsidRPr="00787196" w:rsidRDefault="004441A4" w:rsidP="00226A04">
      <w:pPr>
        <w:pStyle w:val="Heading4"/>
      </w:pPr>
      <w:r w:rsidRPr="00787196">
        <w:lastRenderedPageBreak/>
        <w:t>Inadequate negative avoidant strategies</w:t>
      </w:r>
    </w:p>
    <w:p w14:paraId="6E735B7A" w14:textId="2BED27A4" w:rsidR="004441A4" w:rsidRPr="00787196" w:rsidRDefault="004441A4" w:rsidP="00E6699B">
      <w:pPr>
        <w:rPr>
          <w:lang w:bidi="hi-IN"/>
        </w:rPr>
      </w:pPr>
      <w:r w:rsidRPr="00787196">
        <w:rPr>
          <w:lang w:bidi="hi-IN"/>
        </w:rPr>
        <w:t xml:space="preserve">For a successful performance in any activity, individuals must be able to overcome the effects of negative events that threaten their goals and ability to self-regulate effectively. Appraising failure associated with events evoke a complex of negative emotions Receiving dentures as discussed earlier, can be a stressful life event and may evoke negative emotions </w:t>
      </w:r>
      <w:r w:rsidRPr="00787196">
        <w:rPr>
          <w:lang w:bidi="hi-IN"/>
        </w:rPr>
        <w:fldChar w:fldCharType="begin">
          <w:fldData xml:space="preserve">PEVuZE5vdGU+PENpdGU+PEF1dGhvcj5LbG9jazwvQXV0aG9yPjxZZWFyPjIwMDI8L1llYXI+PElE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</w:fldData>
        </w:fldChar>
      </w:r>
      <w:r w:rsidRPr="00787196">
        <w:rPr>
          <w:lang w:bidi="hi-IN"/>
        </w:rPr>
        <w:instrText xml:space="preserve"> ADDIN EN.CITE </w:instrText>
      </w:r>
      <w:r w:rsidRPr="00787196">
        <w:rPr>
          <w:lang w:bidi="hi-IN"/>
        </w:rPr>
        <w:fldChar w:fldCharType="begin">
          <w:fldData xml:space="preserve">PEVuZE5vdGU+PENpdGU+PEF1dGhvcj5LbG9jazwvQXV0aG9yPjxZZWFyPjIwMDI8L1llYXI+PElE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</w:fldData>
        </w:fldChar>
      </w:r>
      <w:r w:rsidRPr="00787196">
        <w:rPr>
          <w:lang w:bidi="hi-IN"/>
        </w:rPr>
        <w:instrText xml:space="preserve"> ADDIN EN.CITE.DATA </w:instrText>
      </w:r>
      <w:r w:rsidRPr="00787196">
        <w:rPr>
          <w:lang w:bidi="hi-IN"/>
        </w:rPr>
      </w:r>
      <w:r w:rsidRPr="00787196">
        <w:rPr>
          <w:lang w:bidi="hi-IN"/>
        </w:rPr>
        <w:fldChar w:fldCharType="end"/>
      </w:r>
      <w:r w:rsidRPr="00787196">
        <w:rPr>
          <w:lang w:bidi="hi-IN"/>
        </w:rPr>
      </w:r>
      <w:r w:rsidRPr="00787196">
        <w:rPr>
          <w:lang w:bidi="hi-IN"/>
        </w:rPr>
        <w:fldChar w:fldCharType="separate"/>
      </w:r>
      <w:r w:rsidRPr="00787196">
        <w:rPr>
          <w:noProof/>
          <w:lang w:bidi="hi-IN"/>
        </w:rPr>
        <w:t>(Klock and Haugejorden, 2002)</w:t>
      </w:r>
      <w:r w:rsidRPr="00787196">
        <w:rPr>
          <w:lang w:bidi="hi-IN"/>
        </w:rPr>
        <w:fldChar w:fldCharType="end"/>
      </w:r>
      <w:r w:rsidRPr="00787196">
        <w:rPr>
          <w:lang w:bidi="hi-IN"/>
        </w:rPr>
        <w:t xml:space="preserve">. An individual’s performance can be adversely affected if negative emotions are triggered unless effective coping strategies are used </w:t>
      </w:r>
      <w:r w:rsidRPr="00787196">
        <w:rPr>
          <w:lang w:bidi="hi-IN"/>
        </w:rPr>
        <w:fldChar w:fldCharType="begin"/>
      </w:r>
      <w:r w:rsidRPr="00787196">
        <w:rPr>
          <w:lang w:bidi="hi-IN"/>
        </w:rPr>
        <w:instrText xml:space="preserve"> ADDIN EN.CITE &lt;EndNote&gt;&lt;Cite&gt;&lt;Author&gt;Weiss&lt;/Author&gt;&lt;Year&gt;1996&lt;/Year&gt;&lt;IDText&gt;Affective events theory: A theoretical discussion of the structure, causes and consequences of affective experiences at work&lt;/IDText&gt;&lt;DisplayText&gt;(Weiss and Cropanzano, 1996)&lt;/DisplayText&gt;&lt;record&gt;&lt;isbn&gt;1559389389&lt;/isbn&gt;&lt;titles&gt;&lt;title&gt;Affective events theory: A theoretical discussion of the structure, causes and consequences of affective experiences at work&lt;/title&gt;&lt;/titles&gt;&lt;contributors&gt;&lt;authors&gt;&lt;author&gt;Weiss, Howard M.&lt;/author&gt;&lt;author&gt;Cropanzano, Russell&lt;/author&gt;&lt;/authors&gt;&lt;/contributors&gt;&lt;added-date format="utc"&gt;1483623438&lt;/added-date&gt;&lt;ref-type name="Journal Article"&gt;17&lt;/ref-type&gt;&lt;dates&gt;&lt;year&gt;1996&lt;/year&gt;&lt;/dates&gt;&lt;rec-number&gt;2764&lt;/rec-number&gt;&lt;publisher&gt;Elsevier Science/JAI Press&lt;/publisher&gt;&lt;last-updated-date format="utc"&gt;1483623438&lt;/last-updated-date&gt;&lt;/record&gt;&lt;/Cite&gt;&lt;/EndNote&gt;</w:instrText>
      </w:r>
      <w:r w:rsidRPr="00787196">
        <w:rPr>
          <w:lang w:bidi="hi-IN"/>
        </w:rPr>
        <w:fldChar w:fldCharType="separate"/>
      </w:r>
      <w:r w:rsidRPr="00787196">
        <w:rPr>
          <w:noProof/>
          <w:lang w:bidi="hi-IN"/>
        </w:rPr>
        <w:t>(Weiss and Cropanzano, 1996)</w:t>
      </w:r>
      <w:r w:rsidRPr="00787196">
        <w:rPr>
          <w:lang w:bidi="hi-IN"/>
        </w:rPr>
        <w:fldChar w:fldCharType="end"/>
      </w:r>
      <w:r w:rsidRPr="00787196">
        <w:rPr>
          <w:lang w:bidi="hi-IN"/>
        </w:rPr>
        <w:t>.</w:t>
      </w:r>
    </w:p>
    <w:p w14:paraId="5A8956B2" w14:textId="77777777" w:rsidR="004441A4" w:rsidRPr="00787196" w:rsidRDefault="004441A4" w:rsidP="004441A4">
      <w:pPr>
        <w:rPr>
          <w:lang w:bidi="hi-IN"/>
        </w:rPr>
      </w:pPr>
      <w:r w:rsidRPr="00787196">
        <w:rPr>
          <w:lang w:bidi="hi-IN"/>
        </w:rPr>
        <w:t xml:space="preserve">Prosthetic treatment need is strongly associated with negative strategies in the present study. This suggests that receiving dentures indeed does trigger negative emotions which lead to coping negatively among individuals. This can be due to various reasons ranging from problems with adaptation, priorities of the patient, difficulties with managing them, lack of support, socio-economic status and so on. This evidence strengthens the rationale to further explore denture provisions based on individual’s coping strategies </w:t>
      </w:r>
    </w:p>
    <w:p w14:paraId="61CFE2C6" w14:textId="1452BF8C" w:rsidR="004441A4" w:rsidRPr="00787196" w:rsidRDefault="004441A4" w:rsidP="004441A4">
      <w:pPr>
        <w:rPr>
          <w:lang w:bidi="hi-IN"/>
        </w:rPr>
      </w:pPr>
      <w:r w:rsidRPr="00787196">
        <w:rPr>
          <w:lang w:bidi="hi-IN"/>
        </w:rPr>
        <w:t xml:space="preserve">Prosthetic status was also strongly associated with Negative strategies in the present study. Individuals who already wore a denture tend to cope negatively. Considering the sample used in this study were seeking new dentures, it is understandable that participants who already had </w:t>
      </w:r>
      <w:r w:rsidR="007A7212" w:rsidRPr="00787196">
        <w:rPr>
          <w:lang w:bidi="hi-IN"/>
        </w:rPr>
        <w:t>prosthesis</w:t>
      </w:r>
      <w:r w:rsidRPr="00787196">
        <w:rPr>
          <w:lang w:bidi="hi-IN"/>
        </w:rPr>
        <w:t xml:space="preserve"> used negative strategies. This may be due to their past unhelpful experiences with wearing dentures, uncertainty with the new dentures, </w:t>
      </w:r>
      <w:r w:rsidR="00BC4ED5" w:rsidRPr="00787196">
        <w:rPr>
          <w:lang w:bidi="hi-IN"/>
        </w:rPr>
        <w:t>and lack</w:t>
      </w:r>
      <w:r w:rsidRPr="00787196">
        <w:rPr>
          <w:lang w:bidi="hi-IN"/>
        </w:rPr>
        <w:t xml:space="preserve"> of support on getting adapted to them and so on. This further strengthens and implies the need to explore denture provisions and interventions that incorporate help and support with adaptation to dentures.</w:t>
      </w:r>
    </w:p>
    <w:p w14:paraId="7F3BA649" w14:textId="77777777" w:rsidR="004441A4" w:rsidRPr="00787196" w:rsidRDefault="004441A4" w:rsidP="004441A4">
      <w:pPr>
        <w:rPr>
          <w:lang w:bidi="hi-IN"/>
        </w:rPr>
      </w:pPr>
      <w:r w:rsidRPr="00787196">
        <w:rPr>
          <w:lang w:bidi="hi-IN"/>
        </w:rPr>
        <w:t>Individuals who were coping negatively before receiving new dentures were coping negatively post receiving the dentures in the present study. Understandably, individuals who have issues with coping with dentures may not the always adapt well to new dentures.</w:t>
      </w:r>
    </w:p>
    <w:p w14:paraId="2E672EFD" w14:textId="77777777" w:rsidR="004441A4" w:rsidRPr="00787196" w:rsidRDefault="004441A4" w:rsidP="00226A04">
      <w:pPr>
        <w:pStyle w:val="Heading4"/>
      </w:pPr>
      <w:r w:rsidRPr="00787196">
        <w:lastRenderedPageBreak/>
        <w:t>Positive adequate strategies</w:t>
      </w:r>
    </w:p>
    <w:p w14:paraId="47826C1D" w14:textId="77777777" w:rsidR="004441A4" w:rsidRPr="00787196" w:rsidRDefault="004441A4" w:rsidP="004441A4">
      <w:pPr>
        <w:rPr>
          <w:lang w:bidi="hi-IN"/>
        </w:rPr>
      </w:pPr>
      <w:r w:rsidRPr="00787196">
        <w:rPr>
          <w:lang w:bidi="hi-IN"/>
        </w:rPr>
        <w:t>Positive coping enables individuals to resolve problems, relieve emotional distress, and stay on track toward achieving their goals. Identifying effective and ineffective ways of coping is likely to inform efforts to improve individuals’ coping skills.</w:t>
      </w:r>
    </w:p>
    <w:p w14:paraId="717A63F5" w14:textId="77777777" w:rsidR="004441A4" w:rsidRPr="00787196" w:rsidRDefault="004441A4" w:rsidP="004441A4">
      <w:pPr>
        <w:rPr>
          <w:rFonts w:cs="Arial"/>
          <w:color w:val="333333"/>
          <w:shd w:val="clear" w:color="auto" w:fill="FFFFFF"/>
        </w:rPr>
      </w:pPr>
      <w:r w:rsidRPr="00787196">
        <w:rPr>
          <w:lang w:bidi="hi-IN"/>
        </w:rPr>
        <w:t>Presence of occluding pairs of teeth was strongly associated with positive coping strategies (Table 5-31). An</w:t>
      </w:r>
      <w:r w:rsidRPr="00787196">
        <w:rPr>
          <w:rFonts w:cs="Arial"/>
          <w:shd w:val="clear" w:color="auto" w:fill="FFFFFF"/>
        </w:rPr>
        <w:t xml:space="preserve"> occluding pair consists of a tooth in the upper arch and the corresponding tooth in the lower arch that it bites against or occludes. Studies have suggested better retention of dentures and improved chewing ability with more occluding pairs of teeth </w:t>
      </w:r>
      <w:r w:rsidRPr="00787196">
        <w:rPr>
          <w:rFonts w:cs="Arial"/>
          <w:shd w:val="clear" w:color="auto" w:fill="FFFFFF"/>
        </w:rPr>
        <w:fldChar w:fldCharType="begin">
          <w:fldData xml:space="preserve">PEVuZE5vdGU+PENpdGU+PEF1dGhvcj5HaWxiZXJ0PC9BdXRob3I+PFllYXI+MjAwNDwvWWVhcj48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</w:fldData>
        </w:fldChar>
      </w:r>
      <w:r w:rsidRPr="00787196">
        <w:rPr>
          <w:rFonts w:cs="Arial"/>
          <w:shd w:val="clear" w:color="auto" w:fill="FFFFFF"/>
        </w:rPr>
        <w:instrText xml:space="preserve"> ADDIN EN.CITE </w:instrText>
      </w:r>
      <w:r w:rsidRPr="00787196">
        <w:rPr>
          <w:rFonts w:cs="Arial"/>
          <w:shd w:val="clear" w:color="auto" w:fill="FFFFFF"/>
        </w:rPr>
        <w:fldChar w:fldCharType="begin">
          <w:fldData xml:space="preserve">PEVuZE5vdGU+PENpdGU+PEF1dGhvcj5HaWxiZXJ0PC9BdXRob3I+PFllYXI+MjAwNDwvWWVhcj48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</w:fldData>
        </w:fldChar>
      </w:r>
      <w:r w:rsidRPr="00787196">
        <w:rPr>
          <w:rFonts w:cs="Arial"/>
          <w:shd w:val="clear" w:color="auto" w:fill="FFFFFF"/>
        </w:rPr>
        <w:instrText xml:space="preserve"> ADDIN EN.CITE.DATA </w:instrText>
      </w:r>
      <w:r w:rsidRPr="00787196">
        <w:rPr>
          <w:rFonts w:cs="Arial"/>
          <w:shd w:val="clear" w:color="auto" w:fill="FFFFFF"/>
        </w:rPr>
      </w:r>
      <w:r w:rsidRPr="00787196">
        <w:rPr>
          <w:rFonts w:cs="Arial"/>
          <w:shd w:val="clear" w:color="auto" w:fill="FFFFFF"/>
        </w:rPr>
        <w:fldChar w:fldCharType="end"/>
      </w:r>
      <w:r w:rsidRPr="00787196">
        <w:rPr>
          <w:rFonts w:cs="Arial"/>
          <w:shd w:val="clear" w:color="auto" w:fill="FFFFFF"/>
        </w:rPr>
      </w:r>
      <w:r w:rsidRPr="00787196">
        <w:rPr>
          <w:rFonts w:cs="Arial"/>
          <w:shd w:val="clear" w:color="auto" w:fill="FFFFFF"/>
        </w:rPr>
        <w:fldChar w:fldCharType="separate"/>
      </w:r>
      <w:r w:rsidRPr="00787196">
        <w:rPr>
          <w:rFonts w:cs="Arial"/>
          <w:noProof/>
          <w:shd w:val="clear" w:color="auto" w:fill="FFFFFF"/>
        </w:rPr>
        <w:t>(Gilbert et al., 2004, Tsakos et al., 2006, Mei Na et al., 2014)</w:t>
      </w:r>
      <w:r w:rsidRPr="00787196">
        <w:rPr>
          <w:rFonts w:cs="Arial"/>
          <w:shd w:val="clear" w:color="auto" w:fill="FFFFFF"/>
        </w:rPr>
        <w:fldChar w:fldCharType="end"/>
      </w:r>
      <w:r w:rsidRPr="00787196">
        <w:rPr>
          <w:rFonts w:cs="Arial"/>
          <w:color w:val="333333"/>
          <w:shd w:val="clear" w:color="auto" w:fill="FFFFFF"/>
        </w:rPr>
        <w:t xml:space="preserve">. With better retention and functional ability, it should be easier for individuals to get adapted to dentures. </w:t>
      </w:r>
    </w:p>
    <w:p w14:paraId="7F599C85" w14:textId="77777777" w:rsidR="004441A4" w:rsidRPr="00787196" w:rsidRDefault="004441A4" w:rsidP="00226A04">
      <w:pPr>
        <w:pStyle w:val="Heading4"/>
      </w:pPr>
      <w:r w:rsidRPr="00787196">
        <w:t>Self-blaming and Religion</w:t>
      </w:r>
    </w:p>
    <w:p w14:paraId="2BD69786" w14:textId="77777777" w:rsidR="004441A4" w:rsidRPr="00787196" w:rsidRDefault="004441A4" w:rsidP="004441A4">
      <w:pPr>
        <w:rPr>
          <w:lang w:bidi="hi-IN"/>
        </w:rPr>
      </w:pPr>
      <w:r w:rsidRPr="00787196">
        <w:rPr>
          <w:lang w:bidi="hi-IN"/>
        </w:rPr>
        <w:t xml:space="preserve">Self-blaming strategy was associated with individuals who used self-blaming strategies at baseline in this present (Table 5-32) and so was religious coping strategy (Table 5-33) </w:t>
      </w:r>
    </w:p>
    <w:p w14:paraId="627FB73C" w14:textId="77777777" w:rsidR="004441A4" w:rsidRPr="00787196" w:rsidRDefault="004441A4" w:rsidP="004441A4">
      <w:pPr>
        <w:rPr>
          <w:lang w:bidi="hi-IN"/>
        </w:rPr>
      </w:pPr>
      <w:r w:rsidRPr="00787196">
        <w:rPr>
          <w:lang w:bidi="hi-IN"/>
        </w:rPr>
        <w:t>Self-blame is a negative emotional coping strategy where an individual blame themselves for the adversity they face due to a life event.</w:t>
      </w:r>
    </w:p>
    <w:p w14:paraId="58A5648B" w14:textId="77777777" w:rsidR="004441A4" w:rsidRPr="00787196" w:rsidRDefault="004441A4" w:rsidP="004441A4">
      <w:pPr>
        <w:spacing w:before="0" w:after="0"/>
        <w:rPr>
          <w:lang w:bidi="hi-IN"/>
        </w:rPr>
      </w:pPr>
      <w:r w:rsidRPr="00787196">
        <w:rPr>
          <w:lang w:bidi="hi-IN"/>
        </w:rPr>
        <w:t xml:space="preserve">The participants of this study may have used self-blaming strategies due attitudes, relationships with clinicians and priorities over life. In a healthcare set up like in India where the clinicians’ perspective and normative assessments are still widely used </w:t>
      </w:r>
      <w:r w:rsidRPr="00787196">
        <w:rPr>
          <w:lang w:bidi="hi-IN"/>
        </w:rPr>
        <w:fldChar w:fldCharType="begin"/>
      </w:r>
      <w:r w:rsidRPr="00787196">
        <w:rPr>
          <w:lang w:bidi="hi-IN"/>
        </w:rPr>
        <w:instrText xml:space="preserve"> ADDIN EN.CITE &lt;EndNote&gt;&lt;Cite&gt;&lt;Author&gt;World Health Organisation&lt;/Author&gt;&lt;Year&gt;2012&lt;/Year&gt;&lt;IDText&gt;WHO Country Cooperation Strategy India: 2012-2017&lt;/IDText&gt;&lt;DisplayText&gt;(World Health Organisation, 2012)&lt;/DisplayText&gt;&lt;record&gt;&lt;contributors&gt;&lt;tertiary-authors&gt;&lt;author&gt;WHO India publications&lt;/author&gt;&lt;/tertiary-authors&gt;&lt;/contributors&gt;&lt;urls&gt;&lt;related-urls&gt;&lt;url&gt;www.whoindia.org&lt;/url&gt;&lt;/related-urls&gt;&lt;/urls&gt;&lt;titles&gt;&lt;title&gt;WHO Country Cooperation Strategy India: 2012-2017&lt;/title&gt;&lt;/titles&gt;&lt;pages&gt;57&lt;/pages&gt;&lt;contributors&gt;&lt;authors&gt;&lt;author&gt;World Health Organisation,&lt;/author&gt;&lt;/authors&gt;&lt;/contributors&gt;&lt;added-date format="utc"&gt;1352864959&lt;/added-date&gt;&lt;pub-location&gt;New Delhi&lt;/pub-location&gt;&lt;ref-type name="Report"&gt;27&lt;/ref-type&gt;&lt;dates&gt;&lt;year&gt;2012&lt;/year&gt;&lt;/dates&gt;&lt;rec-number&gt;154&lt;/rec-number&gt;&lt;last-updated-date format="utc"&gt;1352865377&lt;/last-updated-date&gt;&lt;/record&gt;&lt;/Cite&gt;&lt;/EndNote&gt;</w:instrText>
      </w:r>
      <w:r w:rsidRPr="00787196">
        <w:rPr>
          <w:lang w:bidi="hi-IN"/>
        </w:rPr>
        <w:fldChar w:fldCharType="separate"/>
      </w:r>
      <w:r w:rsidRPr="00787196">
        <w:rPr>
          <w:noProof/>
          <w:lang w:bidi="hi-IN"/>
        </w:rPr>
        <w:t>(World Health Organisation, 2012)</w:t>
      </w:r>
      <w:r w:rsidRPr="00787196">
        <w:rPr>
          <w:lang w:bidi="hi-IN"/>
        </w:rPr>
        <w:fldChar w:fldCharType="end"/>
      </w:r>
      <w:r w:rsidRPr="00787196">
        <w:rPr>
          <w:lang w:bidi="hi-IN"/>
        </w:rPr>
        <w:t>, participants may have used self-blaming strategies assuming that the dentures they receive cannot be wrong.</w:t>
      </w:r>
    </w:p>
    <w:p w14:paraId="5C0F09FA" w14:textId="77777777" w:rsidR="004441A4" w:rsidRPr="00787196" w:rsidRDefault="004441A4" w:rsidP="004441A4">
      <w:pPr>
        <w:spacing w:before="0" w:after="0" w:line="240" w:lineRule="auto"/>
        <w:jc w:val="left"/>
        <w:rPr>
          <w:lang w:bidi="hi-IN"/>
        </w:rPr>
      </w:pPr>
      <w:r w:rsidRPr="00787196">
        <w:rPr>
          <w:lang w:bidi="hi-IN"/>
        </w:rPr>
        <w:br w:type="page"/>
      </w:r>
    </w:p>
    <w:p w14:paraId="72BF43C1" w14:textId="4C186BD1" w:rsidR="00C032FA" w:rsidRPr="00787196" w:rsidRDefault="005D7982" w:rsidP="004F119E">
      <w:pPr>
        <w:pStyle w:val="Heading2"/>
        <w:rPr>
          <w:lang w:bidi="hi-IN"/>
        </w:rPr>
      </w:pPr>
      <w:bookmarkStart w:id="347" w:name="_Toc488655693"/>
      <w:r w:rsidRPr="00787196">
        <w:rPr>
          <w:lang w:bidi="hi-IN"/>
        </w:rPr>
        <w:lastRenderedPageBreak/>
        <w:t>Methodological issues and limitation</w:t>
      </w:r>
      <w:bookmarkEnd w:id="343"/>
      <w:r w:rsidR="0004276C" w:rsidRPr="00787196">
        <w:rPr>
          <w:lang w:bidi="hi-IN"/>
        </w:rPr>
        <w:t>s</w:t>
      </w:r>
      <w:bookmarkEnd w:id="347"/>
    </w:p>
    <w:p w14:paraId="1E29C3FA" w14:textId="5C668A99" w:rsidR="00A007C7" w:rsidRPr="00787196" w:rsidRDefault="00AD0583" w:rsidP="00725DA9">
      <w:pPr>
        <w:rPr>
          <w:lang w:bidi="hi-IN"/>
        </w:rPr>
      </w:pPr>
      <w:r w:rsidRPr="00787196">
        <w:rPr>
          <w:lang w:bidi="hi-IN"/>
        </w:rPr>
        <w:t xml:space="preserve">In the past, </w:t>
      </w:r>
      <w:r w:rsidR="00D31B19" w:rsidRPr="00787196">
        <w:rPr>
          <w:lang w:bidi="hi-IN"/>
        </w:rPr>
        <w:t xml:space="preserve">only a few </w:t>
      </w:r>
      <w:r w:rsidRPr="00787196">
        <w:rPr>
          <w:lang w:bidi="hi-IN"/>
        </w:rPr>
        <w:t>s</w:t>
      </w:r>
      <w:r w:rsidR="00A21545" w:rsidRPr="00787196">
        <w:rPr>
          <w:lang w:bidi="hi-IN"/>
        </w:rPr>
        <w:t>tudies</w:t>
      </w:r>
      <w:r w:rsidRPr="00787196">
        <w:rPr>
          <w:lang w:bidi="hi-IN"/>
        </w:rPr>
        <w:t xml:space="preserve"> have investigated the</w:t>
      </w:r>
      <w:r w:rsidR="00D31B19" w:rsidRPr="00787196">
        <w:rPr>
          <w:lang w:bidi="hi-IN"/>
        </w:rPr>
        <w:t xml:space="preserve"> psychosocial </w:t>
      </w:r>
      <w:r w:rsidRPr="00787196">
        <w:rPr>
          <w:lang w:bidi="hi-IN"/>
        </w:rPr>
        <w:t xml:space="preserve">factors </w:t>
      </w:r>
      <w:r w:rsidR="00070814" w:rsidRPr="00787196">
        <w:rPr>
          <w:lang w:bidi="hi-IN"/>
        </w:rPr>
        <w:t xml:space="preserve">that </w:t>
      </w:r>
      <w:r w:rsidR="00D31B19" w:rsidRPr="00787196">
        <w:rPr>
          <w:lang w:bidi="hi-IN"/>
        </w:rPr>
        <w:t>are linked to successful outcomes in denture</w:t>
      </w:r>
      <w:r w:rsidR="00290612" w:rsidRPr="00787196">
        <w:rPr>
          <w:lang w:bidi="hi-IN"/>
        </w:rPr>
        <w:t xml:space="preserve"> provision. To date,</w:t>
      </w:r>
      <w:r w:rsidR="00A21545" w:rsidRPr="00787196">
        <w:rPr>
          <w:lang w:bidi="hi-IN"/>
        </w:rPr>
        <w:t xml:space="preserve"> no study has investigated the</w:t>
      </w:r>
      <w:r w:rsidR="00951BC7" w:rsidRPr="00787196">
        <w:rPr>
          <w:lang w:bidi="hi-IN"/>
        </w:rPr>
        <w:t>se associations longitudinally</w:t>
      </w:r>
      <w:r w:rsidR="00A21545" w:rsidRPr="00787196">
        <w:rPr>
          <w:lang w:bidi="hi-IN"/>
        </w:rPr>
        <w:t xml:space="preserve">. This </w:t>
      </w:r>
      <w:r w:rsidR="008E2AB2" w:rsidRPr="00787196">
        <w:rPr>
          <w:lang w:bidi="hi-IN"/>
        </w:rPr>
        <w:t>i</w:t>
      </w:r>
      <w:r w:rsidR="00A21545" w:rsidRPr="00787196">
        <w:rPr>
          <w:lang w:bidi="hi-IN"/>
        </w:rPr>
        <w:t xml:space="preserve">s the first </w:t>
      </w:r>
      <w:r w:rsidR="00951BC7" w:rsidRPr="00787196">
        <w:rPr>
          <w:lang w:bidi="hi-IN"/>
        </w:rPr>
        <w:t xml:space="preserve">longitudinal study </w:t>
      </w:r>
      <w:r w:rsidR="00A21545" w:rsidRPr="00787196">
        <w:rPr>
          <w:lang w:bidi="hi-IN"/>
        </w:rPr>
        <w:t xml:space="preserve">to investigate the </w:t>
      </w:r>
      <w:r w:rsidR="00951BC7" w:rsidRPr="00787196">
        <w:rPr>
          <w:lang w:bidi="hi-IN"/>
        </w:rPr>
        <w:t>psychosocial determinants of successful denture outcomes</w:t>
      </w:r>
      <w:r w:rsidR="008E2AB2" w:rsidRPr="00787196">
        <w:rPr>
          <w:lang w:bidi="hi-IN"/>
        </w:rPr>
        <w:t xml:space="preserve"> and</w:t>
      </w:r>
      <w:r w:rsidR="00A21545" w:rsidRPr="00787196">
        <w:rPr>
          <w:lang w:bidi="hi-IN"/>
        </w:rPr>
        <w:t xml:space="preserve"> the first investigating the relationship between </w:t>
      </w:r>
      <w:r w:rsidR="00951BC7" w:rsidRPr="00787196">
        <w:rPr>
          <w:lang w:bidi="hi-IN"/>
        </w:rPr>
        <w:t xml:space="preserve">coping strategies </w:t>
      </w:r>
      <w:r w:rsidR="00A21545" w:rsidRPr="00787196">
        <w:rPr>
          <w:lang w:bidi="hi-IN"/>
        </w:rPr>
        <w:t xml:space="preserve">and OHQoL using an </w:t>
      </w:r>
      <w:r w:rsidR="008E2AB2" w:rsidRPr="00787196">
        <w:rPr>
          <w:lang w:bidi="hi-IN"/>
        </w:rPr>
        <w:t>explicit theoretical model</w:t>
      </w:r>
      <w:r w:rsidR="00290612" w:rsidRPr="00787196">
        <w:rPr>
          <w:lang w:bidi="hi-IN"/>
        </w:rPr>
        <w:t>.</w:t>
      </w:r>
      <w:r w:rsidR="00A21545" w:rsidRPr="00787196">
        <w:rPr>
          <w:lang w:bidi="hi-IN"/>
        </w:rPr>
        <w:t xml:space="preserve"> </w:t>
      </w:r>
      <w:r w:rsidR="006800C0" w:rsidRPr="00787196">
        <w:rPr>
          <w:lang w:bidi="hi-IN"/>
        </w:rPr>
        <w:t xml:space="preserve"> Research based on theoretical models help</w:t>
      </w:r>
      <w:r w:rsidR="00A21545" w:rsidRPr="00787196">
        <w:rPr>
          <w:lang w:bidi="hi-IN"/>
        </w:rPr>
        <w:t xml:space="preserve"> understand the</w:t>
      </w:r>
      <w:r w:rsidR="006800C0" w:rsidRPr="00787196">
        <w:rPr>
          <w:lang w:bidi="hi-IN"/>
        </w:rPr>
        <w:t xml:space="preserve"> genuine nature of</w:t>
      </w:r>
      <w:r w:rsidR="00A21545" w:rsidRPr="00787196">
        <w:rPr>
          <w:lang w:bidi="hi-IN"/>
        </w:rPr>
        <w:t xml:space="preserve"> relationships between variables. Th</w:t>
      </w:r>
      <w:r w:rsidR="006800C0" w:rsidRPr="00787196">
        <w:rPr>
          <w:lang w:bidi="hi-IN"/>
        </w:rPr>
        <w:t xml:space="preserve">e present </w:t>
      </w:r>
      <w:r w:rsidR="004441A4" w:rsidRPr="00787196">
        <w:rPr>
          <w:lang w:bidi="hi-IN"/>
        </w:rPr>
        <w:t>study observed</w:t>
      </w:r>
      <w:r w:rsidR="006800C0" w:rsidRPr="00787196">
        <w:rPr>
          <w:lang w:bidi="hi-IN"/>
        </w:rPr>
        <w:t xml:space="preserve"> </w:t>
      </w:r>
      <w:r w:rsidR="00A21545" w:rsidRPr="00787196">
        <w:rPr>
          <w:lang w:bidi="hi-IN"/>
        </w:rPr>
        <w:t xml:space="preserve">the </w:t>
      </w:r>
      <w:r w:rsidR="004E0EB3" w:rsidRPr="00787196">
        <w:rPr>
          <w:lang w:bidi="hi-IN"/>
        </w:rPr>
        <w:t xml:space="preserve">psychosocial </w:t>
      </w:r>
      <w:r w:rsidR="00A21545" w:rsidRPr="00787196">
        <w:rPr>
          <w:lang w:bidi="hi-IN"/>
        </w:rPr>
        <w:t xml:space="preserve">factors influencing </w:t>
      </w:r>
      <w:r w:rsidR="004E0EB3" w:rsidRPr="00787196">
        <w:rPr>
          <w:lang w:bidi="hi-IN"/>
        </w:rPr>
        <w:t xml:space="preserve">successful denture outcomes </w:t>
      </w:r>
      <w:r w:rsidR="00A21545" w:rsidRPr="00787196">
        <w:rPr>
          <w:lang w:bidi="hi-IN"/>
        </w:rPr>
        <w:t>using the Wilson and Cleary model (1995)</w:t>
      </w:r>
      <w:r w:rsidR="006800C0" w:rsidRPr="00787196">
        <w:rPr>
          <w:lang w:bidi="hi-IN"/>
        </w:rPr>
        <w:t>. Th</w:t>
      </w:r>
      <w:r w:rsidR="003A641C" w:rsidRPr="00787196">
        <w:rPr>
          <w:lang w:bidi="hi-IN"/>
        </w:rPr>
        <w:t>is makes th</w:t>
      </w:r>
      <w:r w:rsidR="006800C0" w:rsidRPr="00787196">
        <w:rPr>
          <w:lang w:bidi="hi-IN"/>
        </w:rPr>
        <w:t xml:space="preserve">e present study </w:t>
      </w:r>
      <w:r w:rsidR="003A641C" w:rsidRPr="00787196">
        <w:rPr>
          <w:lang w:bidi="hi-IN"/>
        </w:rPr>
        <w:t xml:space="preserve">one of the very few in the field of dentistry to have explored this association based on a theoretical </w:t>
      </w:r>
      <w:r w:rsidR="004441A4" w:rsidRPr="00787196">
        <w:rPr>
          <w:lang w:bidi="hi-IN"/>
        </w:rPr>
        <w:t>model that</w:t>
      </w:r>
      <w:r w:rsidR="00A21545" w:rsidRPr="00787196">
        <w:rPr>
          <w:lang w:bidi="hi-IN"/>
        </w:rPr>
        <w:t xml:space="preserve"> link</w:t>
      </w:r>
      <w:r w:rsidR="003A641C" w:rsidRPr="00787196">
        <w:rPr>
          <w:lang w:bidi="hi-IN"/>
        </w:rPr>
        <w:t>s</w:t>
      </w:r>
      <w:r w:rsidR="00A21545" w:rsidRPr="00787196">
        <w:rPr>
          <w:lang w:bidi="hi-IN"/>
        </w:rPr>
        <w:t xml:space="preserve"> clinic</w:t>
      </w:r>
      <w:r w:rsidR="00A007C7" w:rsidRPr="00787196">
        <w:rPr>
          <w:lang w:bidi="hi-IN"/>
        </w:rPr>
        <w:t xml:space="preserve">al status and quality of life. Nevertheless, like any study, there </w:t>
      </w:r>
      <w:r w:rsidR="003A641C" w:rsidRPr="00787196">
        <w:rPr>
          <w:lang w:bidi="hi-IN"/>
        </w:rPr>
        <w:t>we</w:t>
      </w:r>
      <w:r w:rsidR="00A007C7" w:rsidRPr="00787196">
        <w:rPr>
          <w:lang w:bidi="hi-IN"/>
        </w:rPr>
        <w:t>re some methodological limitations that warrant</w:t>
      </w:r>
      <w:r w:rsidR="003A641C" w:rsidRPr="00787196">
        <w:rPr>
          <w:lang w:bidi="hi-IN"/>
        </w:rPr>
        <w:t>ed</w:t>
      </w:r>
      <w:r w:rsidR="00A007C7" w:rsidRPr="00787196">
        <w:rPr>
          <w:lang w:bidi="hi-IN"/>
        </w:rPr>
        <w:t xml:space="preserve"> attention.</w:t>
      </w:r>
    </w:p>
    <w:p w14:paraId="629539BE" w14:textId="50E193AB" w:rsidR="00AD0583" w:rsidRPr="00787196" w:rsidRDefault="00A21545" w:rsidP="00D9694A">
      <w:pPr>
        <w:pStyle w:val="Heading3"/>
      </w:pPr>
      <w:bookmarkStart w:id="348" w:name="_Toc488655694"/>
      <w:r w:rsidRPr="00787196">
        <w:t>Methodological limitations</w:t>
      </w:r>
      <w:bookmarkEnd w:id="348"/>
      <w:r w:rsidRPr="00787196">
        <w:t xml:space="preserve"> </w:t>
      </w:r>
    </w:p>
    <w:p w14:paraId="5B234D7A" w14:textId="4AC416C4" w:rsidR="00A21545" w:rsidRPr="00787196" w:rsidRDefault="009015F3" w:rsidP="00A21545">
      <w:pPr>
        <w:rPr>
          <w:lang w:bidi="hi-IN"/>
        </w:rPr>
      </w:pPr>
      <w:r w:rsidRPr="00787196">
        <w:rPr>
          <w:lang w:bidi="hi-IN"/>
        </w:rPr>
        <w:t>A</w:t>
      </w:r>
      <w:r w:rsidR="00070814" w:rsidRPr="00787196">
        <w:rPr>
          <w:lang w:bidi="hi-IN"/>
        </w:rPr>
        <w:t>s with any exploratory study</w:t>
      </w:r>
      <w:r w:rsidR="00A21545" w:rsidRPr="00787196">
        <w:rPr>
          <w:lang w:bidi="hi-IN"/>
        </w:rPr>
        <w:t>, the results</w:t>
      </w:r>
      <w:r w:rsidR="00070814" w:rsidRPr="00787196">
        <w:rPr>
          <w:lang w:bidi="hi-IN"/>
        </w:rPr>
        <w:t xml:space="preserve"> of this study</w:t>
      </w:r>
      <w:r w:rsidR="00A21545" w:rsidRPr="00787196">
        <w:rPr>
          <w:lang w:bidi="hi-IN"/>
        </w:rPr>
        <w:t xml:space="preserve"> should be </w:t>
      </w:r>
      <w:r w:rsidR="00290612" w:rsidRPr="00787196">
        <w:rPr>
          <w:lang w:bidi="hi-IN"/>
        </w:rPr>
        <w:t>treated with caution given potential methodological limitations.</w:t>
      </w:r>
    </w:p>
    <w:p w14:paraId="74602832" w14:textId="4AC5AFFA" w:rsidR="00A21545" w:rsidRPr="00787196" w:rsidRDefault="00070814" w:rsidP="009015F3">
      <w:pPr>
        <w:rPr>
          <w:lang w:bidi="hi-IN"/>
        </w:rPr>
      </w:pPr>
      <w:r w:rsidRPr="00787196">
        <w:rPr>
          <w:lang w:bidi="hi-IN"/>
        </w:rPr>
        <w:t>S</w:t>
      </w:r>
      <w:r w:rsidR="00A21545" w:rsidRPr="00787196">
        <w:rPr>
          <w:lang w:bidi="hi-IN"/>
        </w:rPr>
        <w:t>ample size</w:t>
      </w:r>
      <w:r w:rsidRPr="00787196">
        <w:rPr>
          <w:lang w:bidi="hi-IN"/>
        </w:rPr>
        <w:t xml:space="preserve">: </w:t>
      </w:r>
      <w:r w:rsidR="003A641C" w:rsidRPr="00787196">
        <w:rPr>
          <w:lang w:bidi="hi-IN"/>
        </w:rPr>
        <w:t xml:space="preserve">Usually, </w:t>
      </w:r>
      <w:r w:rsidR="00351877" w:rsidRPr="00787196">
        <w:rPr>
          <w:lang w:bidi="hi-IN"/>
        </w:rPr>
        <w:t>in hypothesis testing the power is at about</w:t>
      </w:r>
      <w:r w:rsidR="00A21545" w:rsidRPr="00787196">
        <w:rPr>
          <w:lang w:bidi="hi-IN"/>
        </w:rPr>
        <w:t xml:space="preserve"> 80-90%</w:t>
      </w:r>
      <w:r w:rsidR="00351877" w:rsidRPr="00787196">
        <w:rPr>
          <w:lang w:bidi="hi-IN"/>
        </w:rPr>
        <w:t xml:space="preserve"> for </w:t>
      </w:r>
      <w:r w:rsidR="00A21545" w:rsidRPr="00787196">
        <w:rPr>
          <w:lang w:bidi="hi-IN"/>
        </w:rPr>
        <w:t xml:space="preserve">sample size </w:t>
      </w:r>
      <w:r w:rsidR="00351877" w:rsidRPr="00787196">
        <w:rPr>
          <w:lang w:bidi="hi-IN"/>
        </w:rPr>
        <w:t>calculation with the</w:t>
      </w:r>
      <w:r w:rsidR="00A21545" w:rsidRPr="00787196">
        <w:rPr>
          <w:lang w:bidi="hi-IN"/>
        </w:rPr>
        <w:t xml:space="preserve"> given difference between groups (Altman, 1991). The sample size </w:t>
      </w:r>
      <w:r w:rsidR="00351877" w:rsidRPr="00787196">
        <w:rPr>
          <w:lang w:bidi="hi-IN"/>
        </w:rPr>
        <w:t xml:space="preserve">calculated </w:t>
      </w:r>
      <w:r w:rsidR="00A21545" w:rsidRPr="00787196">
        <w:rPr>
          <w:lang w:bidi="hi-IN"/>
        </w:rPr>
        <w:t xml:space="preserve">in </w:t>
      </w:r>
      <w:r w:rsidR="00C37A4A" w:rsidRPr="00787196">
        <w:rPr>
          <w:lang w:bidi="hi-IN"/>
        </w:rPr>
        <w:t xml:space="preserve">the </w:t>
      </w:r>
      <w:r w:rsidR="00A21545" w:rsidRPr="00787196">
        <w:rPr>
          <w:lang w:bidi="hi-IN"/>
        </w:rPr>
        <w:t xml:space="preserve">present study </w:t>
      </w:r>
      <w:r w:rsidRPr="00787196">
        <w:rPr>
          <w:lang w:bidi="hi-IN"/>
        </w:rPr>
        <w:t xml:space="preserve">was </w:t>
      </w:r>
      <w:r w:rsidR="008E2AB2" w:rsidRPr="00787196">
        <w:rPr>
          <w:lang w:bidi="hi-IN"/>
        </w:rPr>
        <w:t>based on the</w:t>
      </w:r>
      <w:r w:rsidR="00797F74" w:rsidRPr="00787196">
        <w:rPr>
          <w:lang w:bidi="hi-IN"/>
        </w:rPr>
        <w:t xml:space="preserve"> effect size found in the Heydecke and colleagues (2004) study as described in section (6.2.2). </w:t>
      </w:r>
      <w:r w:rsidR="004E0EB3" w:rsidRPr="00787196">
        <w:rPr>
          <w:lang w:bidi="hi-IN"/>
        </w:rPr>
        <w:t>Although the c</w:t>
      </w:r>
      <w:r w:rsidRPr="00787196">
        <w:rPr>
          <w:lang w:bidi="hi-IN"/>
        </w:rPr>
        <w:t xml:space="preserve">alculation </w:t>
      </w:r>
      <w:r w:rsidR="00A21545" w:rsidRPr="00787196">
        <w:rPr>
          <w:lang w:bidi="hi-IN"/>
        </w:rPr>
        <w:t xml:space="preserve">did detect differences </w:t>
      </w:r>
      <w:r w:rsidR="004E0EB3" w:rsidRPr="00787196">
        <w:rPr>
          <w:lang w:bidi="hi-IN"/>
        </w:rPr>
        <w:t xml:space="preserve">between coping strategies (primary independent variable) </w:t>
      </w:r>
      <w:r w:rsidR="00A21545" w:rsidRPr="00787196">
        <w:rPr>
          <w:lang w:bidi="hi-IN"/>
        </w:rPr>
        <w:t>and OH</w:t>
      </w:r>
      <w:r w:rsidR="004E0EB3" w:rsidRPr="00787196">
        <w:rPr>
          <w:lang w:bidi="hi-IN"/>
        </w:rPr>
        <w:t>QoL (primary outcome variable</w:t>
      </w:r>
      <w:r w:rsidR="00351877" w:rsidRPr="00787196">
        <w:rPr>
          <w:lang w:bidi="hi-IN"/>
        </w:rPr>
        <w:t xml:space="preserve">) it was not possible to power </w:t>
      </w:r>
      <w:r w:rsidR="004E0EB3" w:rsidRPr="00787196">
        <w:rPr>
          <w:lang w:bidi="hi-IN"/>
        </w:rPr>
        <w:t>t</w:t>
      </w:r>
      <w:r w:rsidR="00A21545" w:rsidRPr="00787196">
        <w:rPr>
          <w:lang w:bidi="hi-IN"/>
        </w:rPr>
        <w:t xml:space="preserve">he </w:t>
      </w:r>
      <w:r w:rsidR="00810D6D" w:rsidRPr="00787196">
        <w:rPr>
          <w:lang w:bidi="hi-IN"/>
        </w:rPr>
        <w:t xml:space="preserve">present </w:t>
      </w:r>
      <w:r w:rsidR="00A21545" w:rsidRPr="00787196">
        <w:rPr>
          <w:lang w:bidi="hi-IN"/>
        </w:rPr>
        <w:t xml:space="preserve">study </w:t>
      </w:r>
      <w:r w:rsidR="00A21545" w:rsidRPr="00787196">
        <w:rPr>
          <w:i/>
          <w:iCs/>
          <w:lang w:bidi="hi-IN"/>
        </w:rPr>
        <w:t xml:space="preserve">a priori </w:t>
      </w:r>
      <w:r w:rsidR="00A21545" w:rsidRPr="00787196">
        <w:rPr>
          <w:lang w:bidi="hi-IN"/>
        </w:rPr>
        <w:t xml:space="preserve">because this </w:t>
      </w:r>
      <w:r w:rsidR="00810D6D" w:rsidRPr="00787196">
        <w:rPr>
          <w:lang w:bidi="hi-IN"/>
        </w:rPr>
        <w:t>was</w:t>
      </w:r>
      <w:r w:rsidR="00A21545" w:rsidRPr="00787196">
        <w:rPr>
          <w:lang w:bidi="hi-IN"/>
        </w:rPr>
        <w:t xml:space="preserve"> the first study </w:t>
      </w:r>
      <w:r w:rsidR="00810D6D" w:rsidRPr="00787196">
        <w:rPr>
          <w:lang w:bidi="hi-IN"/>
        </w:rPr>
        <w:t>to evaluate this</w:t>
      </w:r>
      <w:r w:rsidR="00A21545" w:rsidRPr="00787196">
        <w:rPr>
          <w:lang w:bidi="hi-IN"/>
        </w:rPr>
        <w:t xml:space="preserve"> effect </w:t>
      </w:r>
      <w:r w:rsidR="004E0EB3" w:rsidRPr="00787196">
        <w:rPr>
          <w:lang w:bidi="hi-IN"/>
        </w:rPr>
        <w:t>longitudinally.</w:t>
      </w:r>
    </w:p>
    <w:p w14:paraId="27F2EF11" w14:textId="6D5B6CED" w:rsidR="00A21545" w:rsidRPr="00787196" w:rsidRDefault="004E0EB3" w:rsidP="000535D1">
      <w:pPr>
        <w:rPr>
          <w:lang w:bidi="hi-IN"/>
        </w:rPr>
      </w:pPr>
      <w:r w:rsidRPr="00787196">
        <w:rPr>
          <w:lang w:bidi="hi-IN"/>
        </w:rPr>
        <w:t>F</w:t>
      </w:r>
      <w:r w:rsidR="00A21545" w:rsidRPr="00787196">
        <w:rPr>
          <w:lang w:bidi="hi-IN"/>
        </w:rPr>
        <w:t>ollow-up</w:t>
      </w:r>
      <w:r w:rsidRPr="00787196">
        <w:rPr>
          <w:lang w:bidi="hi-IN"/>
        </w:rPr>
        <w:t xml:space="preserve">: </w:t>
      </w:r>
      <w:r w:rsidR="00794058" w:rsidRPr="00787196">
        <w:rPr>
          <w:lang w:bidi="hi-IN"/>
        </w:rPr>
        <w:t>Previou</w:t>
      </w:r>
      <w:r w:rsidR="00A21545" w:rsidRPr="00787196">
        <w:rPr>
          <w:lang w:bidi="hi-IN"/>
        </w:rPr>
        <w:t>s literature did not indicate an appropriate follow-up period for the intervention.</w:t>
      </w:r>
      <w:r w:rsidRPr="00787196">
        <w:rPr>
          <w:lang w:bidi="hi-IN"/>
        </w:rPr>
        <w:t xml:space="preserve"> Also with the time constraints for this study, a minimum </w:t>
      </w:r>
      <w:r w:rsidR="000535D1" w:rsidRPr="00787196">
        <w:rPr>
          <w:lang w:bidi="hi-IN"/>
        </w:rPr>
        <w:t>3-month</w:t>
      </w:r>
      <w:r w:rsidR="00A21545" w:rsidRPr="00787196">
        <w:rPr>
          <w:lang w:bidi="hi-IN"/>
        </w:rPr>
        <w:t xml:space="preserve"> </w:t>
      </w:r>
      <w:r w:rsidRPr="00787196">
        <w:rPr>
          <w:lang w:bidi="hi-IN"/>
        </w:rPr>
        <w:t xml:space="preserve">follow-up period was </w:t>
      </w:r>
      <w:r w:rsidR="00D400A4" w:rsidRPr="00787196">
        <w:rPr>
          <w:lang w:bidi="hi-IN"/>
        </w:rPr>
        <w:t xml:space="preserve">considered. </w:t>
      </w:r>
      <w:r w:rsidR="00A21545" w:rsidRPr="00787196">
        <w:rPr>
          <w:lang w:bidi="hi-IN"/>
        </w:rPr>
        <w:t xml:space="preserve">It may be possible that </w:t>
      </w:r>
      <w:r w:rsidR="00C37A4A" w:rsidRPr="00787196">
        <w:rPr>
          <w:lang w:bidi="hi-IN"/>
        </w:rPr>
        <w:t xml:space="preserve">an </w:t>
      </w:r>
      <w:r w:rsidRPr="00787196">
        <w:rPr>
          <w:lang w:bidi="hi-IN"/>
        </w:rPr>
        <w:t>association between coping str</w:t>
      </w:r>
      <w:r w:rsidR="008E2AB2" w:rsidRPr="00787196">
        <w:rPr>
          <w:lang w:bidi="hi-IN"/>
        </w:rPr>
        <w:t xml:space="preserve">ategies and improved OHQoL may be evident </w:t>
      </w:r>
      <w:r w:rsidRPr="00787196">
        <w:rPr>
          <w:lang w:bidi="hi-IN"/>
        </w:rPr>
        <w:t>over a longer period of time. T</w:t>
      </w:r>
      <w:r w:rsidR="00A21545" w:rsidRPr="00787196">
        <w:rPr>
          <w:lang w:bidi="hi-IN"/>
        </w:rPr>
        <w:t xml:space="preserve">o evaluate </w:t>
      </w:r>
      <w:r w:rsidRPr="00787196">
        <w:rPr>
          <w:lang w:bidi="hi-IN"/>
        </w:rPr>
        <w:t>this</w:t>
      </w:r>
      <w:r w:rsidR="00C37A4A" w:rsidRPr="00787196">
        <w:rPr>
          <w:lang w:bidi="hi-IN"/>
        </w:rPr>
        <w:t>,</w:t>
      </w:r>
      <w:r w:rsidRPr="00787196">
        <w:rPr>
          <w:lang w:bidi="hi-IN"/>
        </w:rPr>
        <w:t xml:space="preserve"> </w:t>
      </w:r>
      <w:r w:rsidR="00A21545" w:rsidRPr="00787196">
        <w:rPr>
          <w:lang w:bidi="hi-IN"/>
        </w:rPr>
        <w:t>further research having a longer follow up</w:t>
      </w:r>
      <w:r w:rsidR="00C37A4A" w:rsidRPr="00787196">
        <w:rPr>
          <w:lang w:bidi="hi-IN"/>
        </w:rPr>
        <w:t xml:space="preserve"> </w:t>
      </w:r>
      <w:r w:rsidR="008B778D" w:rsidRPr="00787196">
        <w:rPr>
          <w:lang w:bidi="hi-IN"/>
        </w:rPr>
        <w:t>period might</w:t>
      </w:r>
      <w:r w:rsidRPr="00787196">
        <w:rPr>
          <w:lang w:bidi="hi-IN"/>
        </w:rPr>
        <w:t xml:space="preserve"> be needed</w:t>
      </w:r>
      <w:r w:rsidR="00A21545" w:rsidRPr="00787196">
        <w:rPr>
          <w:lang w:bidi="hi-IN"/>
        </w:rPr>
        <w:t xml:space="preserve">.  </w:t>
      </w:r>
    </w:p>
    <w:p w14:paraId="4F51AFA5" w14:textId="77777777" w:rsidR="00965A66" w:rsidRPr="00787196" w:rsidRDefault="00632989" w:rsidP="00425D56">
      <w:pPr>
        <w:rPr>
          <w:lang w:bidi="hi-IN"/>
        </w:rPr>
      </w:pPr>
      <w:r w:rsidRPr="00787196">
        <w:rPr>
          <w:lang w:bidi="hi-IN"/>
        </w:rPr>
        <w:lastRenderedPageBreak/>
        <w:t>Questionnaires and their validity:</w:t>
      </w:r>
      <w:r w:rsidR="003B5DC4" w:rsidRPr="00787196">
        <w:rPr>
          <w:lang w:bidi="hi-IN"/>
        </w:rPr>
        <w:t xml:space="preserve"> </w:t>
      </w:r>
    </w:p>
    <w:p w14:paraId="52A44CD0" w14:textId="0A6197F5" w:rsidR="00E34747" w:rsidRPr="00787196" w:rsidRDefault="00FC2490" w:rsidP="00425D56">
      <w:pPr>
        <w:rPr>
          <w:lang w:bidi="hi-IN"/>
        </w:rPr>
      </w:pPr>
      <w:r w:rsidRPr="00787196">
        <w:rPr>
          <w:lang w:bidi="hi-IN"/>
        </w:rPr>
        <w:t xml:space="preserve">Most </w:t>
      </w:r>
      <w:r w:rsidR="002506CC" w:rsidRPr="00787196">
        <w:rPr>
          <w:lang w:bidi="hi-IN"/>
        </w:rPr>
        <w:t>questionnaires used</w:t>
      </w:r>
      <w:r w:rsidR="00A21545" w:rsidRPr="00787196">
        <w:rPr>
          <w:lang w:bidi="hi-IN"/>
        </w:rPr>
        <w:t xml:space="preserve"> in the </w:t>
      </w:r>
      <w:r w:rsidRPr="00787196">
        <w:rPr>
          <w:lang w:bidi="hi-IN"/>
        </w:rPr>
        <w:t>present</w:t>
      </w:r>
      <w:r w:rsidR="00A21545" w:rsidRPr="00787196">
        <w:rPr>
          <w:lang w:bidi="hi-IN"/>
        </w:rPr>
        <w:t xml:space="preserve"> study were </w:t>
      </w:r>
      <w:r w:rsidRPr="00787196">
        <w:rPr>
          <w:lang w:bidi="hi-IN"/>
        </w:rPr>
        <w:t xml:space="preserve">originally </w:t>
      </w:r>
      <w:r w:rsidR="00A21545" w:rsidRPr="00787196">
        <w:rPr>
          <w:lang w:bidi="hi-IN"/>
        </w:rPr>
        <w:t>developed in w</w:t>
      </w:r>
      <w:r w:rsidR="00D6487A" w:rsidRPr="00787196">
        <w:rPr>
          <w:lang w:bidi="hi-IN"/>
        </w:rPr>
        <w:t>estern countries</w:t>
      </w:r>
      <w:r w:rsidR="002506CC" w:rsidRPr="00787196">
        <w:rPr>
          <w:lang w:bidi="hi-IN"/>
        </w:rPr>
        <w:t xml:space="preserve"> with western populations</w:t>
      </w:r>
      <w:r w:rsidR="00D6487A" w:rsidRPr="00787196">
        <w:rPr>
          <w:lang w:bidi="hi-IN"/>
        </w:rPr>
        <w:t xml:space="preserve"> and </w:t>
      </w:r>
      <w:r w:rsidR="002506CC" w:rsidRPr="00787196">
        <w:rPr>
          <w:lang w:bidi="hi-IN"/>
        </w:rPr>
        <w:t xml:space="preserve">were </w:t>
      </w:r>
      <w:r w:rsidR="00D6487A" w:rsidRPr="00787196">
        <w:rPr>
          <w:lang w:bidi="hi-IN"/>
        </w:rPr>
        <w:t xml:space="preserve">then </w:t>
      </w:r>
      <w:r w:rsidRPr="00787196">
        <w:rPr>
          <w:lang w:bidi="hi-IN"/>
        </w:rPr>
        <w:t xml:space="preserve">tested </w:t>
      </w:r>
      <w:r w:rsidR="00A21545" w:rsidRPr="00787196">
        <w:rPr>
          <w:lang w:bidi="hi-IN"/>
        </w:rPr>
        <w:t>cross cultural</w:t>
      </w:r>
      <w:r w:rsidR="002506CC" w:rsidRPr="00787196">
        <w:rPr>
          <w:lang w:bidi="hi-IN"/>
        </w:rPr>
        <w:t>ly by subsequent</w:t>
      </w:r>
      <w:r w:rsidRPr="00787196">
        <w:rPr>
          <w:lang w:bidi="hi-IN"/>
        </w:rPr>
        <w:t xml:space="preserve"> studies.</w:t>
      </w:r>
      <w:r w:rsidR="00A21545" w:rsidRPr="00787196">
        <w:rPr>
          <w:lang w:bidi="hi-IN"/>
        </w:rPr>
        <w:t xml:space="preserve"> </w:t>
      </w:r>
      <w:r w:rsidR="002506CC" w:rsidRPr="00787196">
        <w:rPr>
          <w:lang w:bidi="hi-IN"/>
        </w:rPr>
        <w:t>In the present study</w:t>
      </w:r>
      <w:r w:rsidR="0083201A" w:rsidRPr="00787196">
        <w:rPr>
          <w:lang w:bidi="hi-IN"/>
        </w:rPr>
        <w:t>,</w:t>
      </w:r>
      <w:r w:rsidR="002506CC" w:rsidRPr="00787196">
        <w:rPr>
          <w:lang w:bidi="hi-IN"/>
        </w:rPr>
        <w:t xml:space="preserve"> q</w:t>
      </w:r>
      <w:r w:rsidRPr="00787196">
        <w:rPr>
          <w:lang w:bidi="hi-IN"/>
        </w:rPr>
        <w:t xml:space="preserve">uestionnaires </w:t>
      </w:r>
      <w:r w:rsidR="00A21545" w:rsidRPr="00787196">
        <w:rPr>
          <w:lang w:bidi="hi-IN"/>
        </w:rPr>
        <w:t xml:space="preserve">were translated from English to the </w:t>
      </w:r>
      <w:r w:rsidR="003B5DC4" w:rsidRPr="00787196">
        <w:rPr>
          <w:lang w:bidi="hi-IN"/>
        </w:rPr>
        <w:t xml:space="preserve">Tamil </w:t>
      </w:r>
      <w:r w:rsidR="00A21545" w:rsidRPr="00787196">
        <w:rPr>
          <w:lang w:bidi="hi-IN"/>
        </w:rPr>
        <w:t>language</w:t>
      </w:r>
      <w:r w:rsidR="002506CC" w:rsidRPr="00787196">
        <w:rPr>
          <w:lang w:bidi="hi-IN"/>
        </w:rPr>
        <w:t>. It has been suggested that varied</w:t>
      </w:r>
      <w:r w:rsidRPr="00787196">
        <w:rPr>
          <w:lang w:bidi="hi-IN"/>
        </w:rPr>
        <w:t xml:space="preserve"> expectations and cultural</w:t>
      </w:r>
      <w:r w:rsidR="0083201A" w:rsidRPr="00787196">
        <w:rPr>
          <w:lang w:bidi="hi-IN"/>
        </w:rPr>
        <w:t xml:space="preserve"> factors</w:t>
      </w:r>
      <w:r w:rsidRPr="00787196">
        <w:rPr>
          <w:lang w:bidi="hi-IN"/>
        </w:rPr>
        <w:t xml:space="preserve"> </w:t>
      </w:r>
      <w:r w:rsidR="002506CC" w:rsidRPr="00787196">
        <w:rPr>
          <w:lang w:bidi="hi-IN"/>
        </w:rPr>
        <w:t xml:space="preserve">can affect the sensitivity of adapted and translated versions </w:t>
      </w:r>
      <w:r w:rsidR="00A21545" w:rsidRPr="00787196">
        <w:rPr>
          <w:lang w:bidi="hi-IN"/>
        </w:rPr>
        <w:t>(Touze et al., 2006). For example,</w:t>
      </w:r>
      <w:r w:rsidR="000A34F6" w:rsidRPr="00787196">
        <w:rPr>
          <w:lang w:bidi="hi-IN"/>
        </w:rPr>
        <w:t xml:space="preserve"> in the present study</w:t>
      </w:r>
      <w:r w:rsidR="00A21545" w:rsidRPr="00787196">
        <w:rPr>
          <w:lang w:bidi="hi-IN"/>
        </w:rPr>
        <w:t xml:space="preserve"> the word ‘</w:t>
      </w:r>
      <w:r w:rsidR="003B5DC4" w:rsidRPr="00787196">
        <w:rPr>
          <w:lang w:bidi="hi-IN"/>
        </w:rPr>
        <w:t xml:space="preserve">laughing about’ </w:t>
      </w:r>
      <w:r w:rsidR="00A21545" w:rsidRPr="00787196">
        <w:rPr>
          <w:lang w:bidi="hi-IN"/>
        </w:rPr>
        <w:t xml:space="preserve">in the </w:t>
      </w:r>
      <w:r w:rsidR="003B5DC4" w:rsidRPr="00787196">
        <w:rPr>
          <w:lang w:bidi="hi-IN"/>
        </w:rPr>
        <w:t xml:space="preserve">Brief COPE </w:t>
      </w:r>
      <w:r w:rsidR="00A21545" w:rsidRPr="00787196">
        <w:rPr>
          <w:lang w:bidi="hi-IN"/>
        </w:rPr>
        <w:t xml:space="preserve">scale was not congruent in direct translation to the </w:t>
      </w:r>
      <w:r w:rsidR="008E2AB2" w:rsidRPr="00787196">
        <w:rPr>
          <w:lang w:bidi="hi-IN"/>
        </w:rPr>
        <w:t>Tamil</w:t>
      </w:r>
      <w:r w:rsidR="00A21545" w:rsidRPr="00787196">
        <w:rPr>
          <w:lang w:bidi="hi-IN"/>
        </w:rPr>
        <w:t xml:space="preserve"> language. </w:t>
      </w:r>
      <w:r w:rsidR="003B5DC4" w:rsidRPr="00787196">
        <w:rPr>
          <w:lang w:bidi="hi-IN"/>
        </w:rPr>
        <w:t>An equivalent</w:t>
      </w:r>
      <w:r w:rsidR="00A21545" w:rsidRPr="00787196">
        <w:rPr>
          <w:lang w:bidi="hi-IN"/>
        </w:rPr>
        <w:t xml:space="preserve"> </w:t>
      </w:r>
      <w:r w:rsidR="003B5DC4" w:rsidRPr="00787196">
        <w:rPr>
          <w:lang w:bidi="hi-IN"/>
        </w:rPr>
        <w:t>Tamil</w:t>
      </w:r>
      <w:r w:rsidR="00A21545" w:rsidRPr="00787196">
        <w:rPr>
          <w:lang w:bidi="hi-IN"/>
        </w:rPr>
        <w:t xml:space="preserve"> word </w:t>
      </w:r>
      <w:r w:rsidR="0072104D" w:rsidRPr="00787196">
        <w:rPr>
          <w:lang w:bidi="hi-IN"/>
        </w:rPr>
        <w:t xml:space="preserve">that </w:t>
      </w:r>
      <w:r w:rsidR="00A21545" w:rsidRPr="00787196">
        <w:rPr>
          <w:lang w:bidi="hi-IN"/>
        </w:rPr>
        <w:t>mean</w:t>
      </w:r>
      <w:r w:rsidR="003B5DC4" w:rsidRPr="00787196">
        <w:rPr>
          <w:lang w:bidi="hi-IN"/>
        </w:rPr>
        <w:t>t</w:t>
      </w:r>
      <w:r w:rsidR="00A21545" w:rsidRPr="00787196">
        <w:rPr>
          <w:lang w:bidi="hi-IN"/>
        </w:rPr>
        <w:t xml:space="preserve"> ‘</w:t>
      </w:r>
      <w:r w:rsidR="003B5DC4" w:rsidRPr="00787196">
        <w:rPr>
          <w:lang w:bidi="hi-IN"/>
        </w:rPr>
        <w:t>cracking a joke</w:t>
      </w:r>
      <w:r w:rsidR="00A21545" w:rsidRPr="00787196">
        <w:rPr>
          <w:lang w:bidi="hi-IN"/>
        </w:rPr>
        <w:t>’ was used</w:t>
      </w:r>
      <w:r w:rsidR="0072104D" w:rsidRPr="00787196">
        <w:rPr>
          <w:lang w:bidi="hi-IN"/>
        </w:rPr>
        <w:t xml:space="preserve"> instead</w:t>
      </w:r>
      <w:r w:rsidR="00A21545" w:rsidRPr="00787196">
        <w:rPr>
          <w:lang w:bidi="hi-IN"/>
        </w:rPr>
        <w:t xml:space="preserve">. </w:t>
      </w:r>
      <w:r w:rsidR="0072104D" w:rsidRPr="00787196">
        <w:rPr>
          <w:lang w:bidi="hi-IN"/>
        </w:rPr>
        <w:t>Similarly, in</w:t>
      </w:r>
      <w:r w:rsidR="00A21545" w:rsidRPr="00787196">
        <w:rPr>
          <w:lang w:bidi="hi-IN"/>
        </w:rPr>
        <w:t xml:space="preserve"> the </w:t>
      </w:r>
      <w:r w:rsidR="003B5DC4" w:rsidRPr="00787196">
        <w:rPr>
          <w:lang w:bidi="hi-IN"/>
        </w:rPr>
        <w:t xml:space="preserve">perceived stress </w:t>
      </w:r>
      <w:r w:rsidR="00A21545" w:rsidRPr="00787196">
        <w:rPr>
          <w:lang w:bidi="hi-IN"/>
        </w:rPr>
        <w:t>scale</w:t>
      </w:r>
      <w:r w:rsidR="0072104D" w:rsidRPr="00787196">
        <w:rPr>
          <w:lang w:bidi="hi-IN"/>
        </w:rPr>
        <w:t>, the item</w:t>
      </w:r>
      <w:r w:rsidR="00A21545" w:rsidRPr="00787196">
        <w:rPr>
          <w:lang w:bidi="hi-IN"/>
        </w:rPr>
        <w:t xml:space="preserve"> </w:t>
      </w:r>
      <w:r w:rsidR="0072104D" w:rsidRPr="00787196">
        <w:rPr>
          <w:lang w:bidi="hi-IN"/>
        </w:rPr>
        <w:t xml:space="preserve">enquiring on </w:t>
      </w:r>
      <w:r w:rsidR="0083201A" w:rsidRPr="00787196">
        <w:rPr>
          <w:lang w:bidi="hi-IN"/>
        </w:rPr>
        <w:t>‘</w:t>
      </w:r>
      <w:r w:rsidR="003B5DC4" w:rsidRPr="00787196">
        <w:rPr>
          <w:lang w:bidi="hi-IN"/>
        </w:rPr>
        <w:t xml:space="preserve">being </w:t>
      </w:r>
      <w:r w:rsidR="00BE765F" w:rsidRPr="00787196">
        <w:rPr>
          <w:lang w:bidi="hi-IN"/>
        </w:rPr>
        <w:t>in control of daily situations</w:t>
      </w:r>
      <w:r w:rsidR="0083201A" w:rsidRPr="00787196">
        <w:rPr>
          <w:lang w:bidi="hi-IN"/>
        </w:rPr>
        <w:t>’</w:t>
      </w:r>
      <w:r w:rsidR="00BE765F" w:rsidRPr="00787196">
        <w:rPr>
          <w:lang w:bidi="hi-IN"/>
        </w:rPr>
        <w:t xml:space="preserve"> </w:t>
      </w:r>
      <w:r w:rsidR="0072104D" w:rsidRPr="00787196">
        <w:rPr>
          <w:lang w:bidi="hi-IN"/>
        </w:rPr>
        <w:t>used</w:t>
      </w:r>
      <w:r w:rsidR="00BE765F" w:rsidRPr="00787196">
        <w:rPr>
          <w:lang w:bidi="hi-IN"/>
        </w:rPr>
        <w:t xml:space="preserve"> </w:t>
      </w:r>
      <w:r w:rsidR="00C37A4A" w:rsidRPr="00787196">
        <w:rPr>
          <w:lang w:bidi="hi-IN"/>
        </w:rPr>
        <w:t xml:space="preserve">a term </w:t>
      </w:r>
      <w:r w:rsidR="00BE765F" w:rsidRPr="00787196">
        <w:rPr>
          <w:lang w:bidi="hi-IN"/>
        </w:rPr>
        <w:t xml:space="preserve">commonly </w:t>
      </w:r>
      <w:r w:rsidR="00A21545" w:rsidRPr="00787196">
        <w:rPr>
          <w:lang w:bidi="hi-IN"/>
        </w:rPr>
        <w:t xml:space="preserve">used </w:t>
      </w:r>
      <w:r w:rsidR="00BE765F" w:rsidRPr="00787196">
        <w:rPr>
          <w:lang w:bidi="hi-IN"/>
        </w:rPr>
        <w:t>in Tamil</w:t>
      </w:r>
      <w:r w:rsidR="00A21545" w:rsidRPr="00787196">
        <w:rPr>
          <w:lang w:bidi="hi-IN"/>
        </w:rPr>
        <w:t>.</w:t>
      </w:r>
      <w:r w:rsidR="00BE765F" w:rsidRPr="00787196">
        <w:rPr>
          <w:lang w:bidi="hi-IN"/>
        </w:rPr>
        <w:t xml:space="preserve"> An equivalent translation stating ‘bringing things under control’ was used and explained during the </w:t>
      </w:r>
      <w:r w:rsidR="008B778D" w:rsidRPr="00787196">
        <w:rPr>
          <w:lang w:bidi="hi-IN"/>
        </w:rPr>
        <w:t>questionnaire completion</w:t>
      </w:r>
      <w:r w:rsidR="00C37A4A" w:rsidRPr="00787196">
        <w:rPr>
          <w:lang w:bidi="hi-IN"/>
        </w:rPr>
        <w:t>.</w:t>
      </w:r>
    </w:p>
    <w:p w14:paraId="58B3DFEE" w14:textId="77777777" w:rsidR="0083201A" w:rsidRPr="00787196" w:rsidRDefault="00C54968" w:rsidP="00A21545">
      <w:pPr>
        <w:rPr>
          <w:lang w:bidi="hi-IN"/>
        </w:rPr>
      </w:pPr>
      <w:r w:rsidRPr="00787196">
        <w:rPr>
          <w:lang w:bidi="hi-IN"/>
        </w:rPr>
        <w:t xml:space="preserve">In order to avoid and </w:t>
      </w:r>
      <w:r w:rsidR="00A21545" w:rsidRPr="00787196">
        <w:rPr>
          <w:lang w:bidi="hi-IN"/>
        </w:rPr>
        <w:t xml:space="preserve">overcome </w:t>
      </w:r>
      <w:r w:rsidRPr="00787196">
        <w:rPr>
          <w:lang w:bidi="hi-IN"/>
        </w:rPr>
        <w:t xml:space="preserve">such </w:t>
      </w:r>
      <w:r w:rsidR="00A21545" w:rsidRPr="00787196">
        <w:rPr>
          <w:lang w:bidi="hi-IN"/>
        </w:rPr>
        <w:t xml:space="preserve">difficulties, </w:t>
      </w:r>
      <w:r w:rsidR="006A7DAB" w:rsidRPr="00787196">
        <w:rPr>
          <w:lang w:bidi="hi-IN"/>
        </w:rPr>
        <w:t xml:space="preserve">it was ensured </w:t>
      </w:r>
      <w:r w:rsidR="00A21545" w:rsidRPr="00787196">
        <w:rPr>
          <w:lang w:bidi="hi-IN"/>
        </w:rPr>
        <w:t xml:space="preserve">that translated versions were of high quality in </w:t>
      </w:r>
      <w:r w:rsidR="003B5DC4" w:rsidRPr="00787196">
        <w:rPr>
          <w:lang w:bidi="hi-IN"/>
        </w:rPr>
        <w:t>Tamil</w:t>
      </w:r>
      <w:r w:rsidR="00A21545" w:rsidRPr="00787196">
        <w:rPr>
          <w:lang w:bidi="hi-IN"/>
        </w:rPr>
        <w:t>. Back translation</w:t>
      </w:r>
      <w:r w:rsidR="006A7DAB" w:rsidRPr="00787196">
        <w:rPr>
          <w:lang w:bidi="hi-IN"/>
        </w:rPr>
        <w:t xml:space="preserve"> method was</w:t>
      </w:r>
      <w:r w:rsidR="00A21545" w:rsidRPr="00787196">
        <w:rPr>
          <w:lang w:bidi="hi-IN"/>
        </w:rPr>
        <w:t xml:space="preserve"> repeated until the measures achieved high quality. </w:t>
      </w:r>
      <w:r w:rsidR="006A7DAB" w:rsidRPr="00787196">
        <w:rPr>
          <w:lang w:bidi="hi-IN"/>
        </w:rPr>
        <w:t xml:space="preserve">Easy, simple </w:t>
      </w:r>
      <w:r w:rsidR="00A21545" w:rsidRPr="00787196">
        <w:rPr>
          <w:lang w:bidi="hi-IN"/>
        </w:rPr>
        <w:t>language was used</w:t>
      </w:r>
      <w:r w:rsidR="008E2AB2" w:rsidRPr="00787196">
        <w:rPr>
          <w:lang w:bidi="hi-IN"/>
        </w:rPr>
        <w:t xml:space="preserve"> for the </w:t>
      </w:r>
      <w:r w:rsidR="00A94129" w:rsidRPr="00787196">
        <w:rPr>
          <w:lang w:bidi="hi-IN"/>
        </w:rPr>
        <w:t>participants</w:t>
      </w:r>
      <w:r w:rsidR="00A21545" w:rsidRPr="00787196">
        <w:rPr>
          <w:lang w:bidi="hi-IN"/>
        </w:rPr>
        <w:t xml:space="preserve">. </w:t>
      </w:r>
      <w:r w:rsidR="006A7DAB" w:rsidRPr="00787196">
        <w:rPr>
          <w:lang w:bidi="hi-IN"/>
        </w:rPr>
        <w:t>Q</w:t>
      </w:r>
      <w:r w:rsidR="00A21545" w:rsidRPr="00787196">
        <w:rPr>
          <w:lang w:bidi="hi-IN"/>
        </w:rPr>
        <w:t xml:space="preserve">uestionnaires were </w:t>
      </w:r>
      <w:r w:rsidR="006A7DAB" w:rsidRPr="00787196">
        <w:rPr>
          <w:lang w:bidi="hi-IN"/>
        </w:rPr>
        <w:t xml:space="preserve">pretested </w:t>
      </w:r>
      <w:r w:rsidR="00A21545" w:rsidRPr="00787196">
        <w:rPr>
          <w:lang w:bidi="hi-IN"/>
        </w:rPr>
        <w:t>to test their validity and reliability</w:t>
      </w:r>
      <w:r w:rsidR="006A7DAB" w:rsidRPr="00787196">
        <w:rPr>
          <w:lang w:bidi="hi-IN"/>
        </w:rPr>
        <w:t xml:space="preserve">. </w:t>
      </w:r>
      <w:r w:rsidR="00A21545" w:rsidRPr="00787196">
        <w:rPr>
          <w:lang w:bidi="hi-IN"/>
        </w:rPr>
        <w:t xml:space="preserve">The internal reliability of the measures varied. The </w:t>
      </w:r>
      <w:r w:rsidR="00BE765F" w:rsidRPr="00787196">
        <w:rPr>
          <w:lang w:bidi="hi-IN"/>
        </w:rPr>
        <w:t>Denture satisfaction</w:t>
      </w:r>
      <w:r w:rsidR="00C37A4A" w:rsidRPr="00787196">
        <w:rPr>
          <w:lang w:bidi="hi-IN"/>
        </w:rPr>
        <w:t xml:space="preserve"> scale</w:t>
      </w:r>
      <w:r w:rsidR="00BE765F" w:rsidRPr="00787196">
        <w:rPr>
          <w:lang w:bidi="hi-IN"/>
        </w:rPr>
        <w:t xml:space="preserve"> (de Liz Pocztaruk scale) </w:t>
      </w:r>
      <w:r w:rsidR="00A21545" w:rsidRPr="00787196">
        <w:rPr>
          <w:lang w:bidi="hi-IN"/>
        </w:rPr>
        <w:t>had</w:t>
      </w:r>
      <w:r w:rsidR="0014730F" w:rsidRPr="00787196">
        <w:rPr>
          <w:lang w:bidi="hi-IN"/>
        </w:rPr>
        <w:t xml:space="preserve"> the</w:t>
      </w:r>
      <w:r w:rsidR="00A21545" w:rsidRPr="00787196">
        <w:rPr>
          <w:lang w:bidi="hi-IN"/>
        </w:rPr>
        <w:t xml:space="preserve"> high</w:t>
      </w:r>
      <w:r w:rsidR="0014730F" w:rsidRPr="00787196">
        <w:rPr>
          <w:lang w:bidi="hi-IN"/>
        </w:rPr>
        <w:t>est</w:t>
      </w:r>
      <w:r w:rsidR="00A21545" w:rsidRPr="00787196">
        <w:rPr>
          <w:lang w:bidi="hi-IN"/>
        </w:rPr>
        <w:t xml:space="preserve"> internal consistency (α = 0.9</w:t>
      </w:r>
      <w:r w:rsidR="00BE765F" w:rsidRPr="00787196">
        <w:rPr>
          <w:lang w:bidi="hi-IN"/>
        </w:rPr>
        <w:t>2</w:t>
      </w:r>
      <w:r w:rsidR="00A21545" w:rsidRPr="00787196">
        <w:rPr>
          <w:lang w:bidi="hi-IN"/>
        </w:rPr>
        <w:t>-0.9</w:t>
      </w:r>
      <w:r w:rsidR="00BE765F" w:rsidRPr="00787196">
        <w:rPr>
          <w:lang w:bidi="hi-IN"/>
        </w:rPr>
        <w:t>5</w:t>
      </w:r>
      <w:r w:rsidR="00A21545" w:rsidRPr="00787196">
        <w:rPr>
          <w:lang w:bidi="hi-IN"/>
        </w:rPr>
        <w:t xml:space="preserve">) </w:t>
      </w:r>
      <w:r w:rsidR="0014730F" w:rsidRPr="00787196">
        <w:rPr>
          <w:lang w:bidi="hi-IN"/>
        </w:rPr>
        <w:t xml:space="preserve">while </w:t>
      </w:r>
      <w:r w:rsidR="00A21545" w:rsidRPr="00787196">
        <w:rPr>
          <w:lang w:bidi="hi-IN"/>
        </w:rPr>
        <w:t xml:space="preserve">the </w:t>
      </w:r>
      <w:r w:rsidR="00FE770C" w:rsidRPr="00787196">
        <w:rPr>
          <w:lang w:bidi="hi-IN"/>
        </w:rPr>
        <w:t>Perceived stress (PSS-4 scale</w:t>
      </w:r>
      <w:r w:rsidR="00D400A4" w:rsidRPr="00787196">
        <w:rPr>
          <w:lang w:bidi="hi-IN"/>
        </w:rPr>
        <w:t xml:space="preserve">) </w:t>
      </w:r>
      <w:r w:rsidR="00A21545" w:rsidRPr="00787196">
        <w:rPr>
          <w:lang w:bidi="hi-IN"/>
        </w:rPr>
        <w:t xml:space="preserve">had </w:t>
      </w:r>
      <w:r w:rsidR="0014730F" w:rsidRPr="00787196">
        <w:rPr>
          <w:lang w:bidi="hi-IN"/>
        </w:rPr>
        <w:t>the lowest</w:t>
      </w:r>
      <w:r w:rsidR="00A21545" w:rsidRPr="00787196">
        <w:rPr>
          <w:lang w:bidi="hi-IN"/>
        </w:rPr>
        <w:t xml:space="preserve"> (α = 0.</w:t>
      </w:r>
      <w:r w:rsidR="00FE770C" w:rsidRPr="00787196">
        <w:rPr>
          <w:lang w:bidi="hi-IN"/>
        </w:rPr>
        <w:t>50</w:t>
      </w:r>
      <w:r w:rsidR="00A21545" w:rsidRPr="00787196">
        <w:rPr>
          <w:lang w:bidi="hi-IN"/>
        </w:rPr>
        <w:t>-0.</w:t>
      </w:r>
      <w:r w:rsidR="00FE770C" w:rsidRPr="00787196">
        <w:rPr>
          <w:lang w:bidi="hi-IN"/>
        </w:rPr>
        <w:t>60</w:t>
      </w:r>
      <w:r w:rsidR="00A21545" w:rsidRPr="00787196">
        <w:rPr>
          <w:lang w:bidi="hi-IN"/>
        </w:rPr>
        <w:t>)</w:t>
      </w:r>
      <w:r w:rsidR="0014730F" w:rsidRPr="00787196">
        <w:rPr>
          <w:lang w:bidi="hi-IN"/>
        </w:rPr>
        <w:t xml:space="preserve"> among the scales used for the study</w:t>
      </w:r>
      <w:r w:rsidR="00A21545" w:rsidRPr="00787196">
        <w:rPr>
          <w:lang w:bidi="hi-IN"/>
        </w:rPr>
        <w:t>. T</w:t>
      </w:r>
      <w:r w:rsidR="0014730F" w:rsidRPr="00787196">
        <w:rPr>
          <w:lang w:bidi="hi-IN"/>
        </w:rPr>
        <w:t>he t</w:t>
      </w:r>
      <w:r w:rsidR="00A21545" w:rsidRPr="00787196">
        <w:rPr>
          <w:lang w:bidi="hi-IN"/>
        </w:rPr>
        <w:t xml:space="preserve">est-retest reliability </w:t>
      </w:r>
      <w:r w:rsidR="0014730F" w:rsidRPr="00787196">
        <w:rPr>
          <w:lang w:bidi="hi-IN"/>
        </w:rPr>
        <w:t xml:space="preserve">for the </w:t>
      </w:r>
      <w:r w:rsidR="00C37A4A" w:rsidRPr="00787196">
        <w:rPr>
          <w:lang w:bidi="hi-IN"/>
        </w:rPr>
        <w:t>a</w:t>
      </w:r>
      <w:r w:rsidR="00D400A4" w:rsidRPr="00787196">
        <w:rPr>
          <w:lang w:bidi="hi-IN"/>
        </w:rPr>
        <w:t xml:space="preserve">geing expectation scale (ERA-12) </w:t>
      </w:r>
      <w:r w:rsidR="00A21545" w:rsidRPr="00787196">
        <w:rPr>
          <w:lang w:bidi="hi-IN"/>
        </w:rPr>
        <w:t>was acceptably higher than 0.</w:t>
      </w:r>
      <w:r w:rsidR="00D400A4" w:rsidRPr="00787196">
        <w:rPr>
          <w:lang w:bidi="hi-IN"/>
        </w:rPr>
        <w:t>8</w:t>
      </w:r>
      <w:r w:rsidR="00A21545" w:rsidRPr="00787196">
        <w:rPr>
          <w:lang w:bidi="hi-IN"/>
        </w:rPr>
        <w:t xml:space="preserve"> but the </w:t>
      </w:r>
      <w:r w:rsidR="00D400A4" w:rsidRPr="00787196">
        <w:rPr>
          <w:lang w:bidi="hi-IN"/>
        </w:rPr>
        <w:t xml:space="preserve">scales such </w:t>
      </w:r>
      <w:r w:rsidR="009015F3" w:rsidRPr="00787196">
        <w:rPr>
          <w:lang w:bidi="hi-IN"/>
        </w:rPr>
        <w:t>as Brief</w:t>
      </w:r>
      <w:r w:rsidR="00D400A4" w:rsidRPr="00787196">
        <w:rPr>
          <w:lang w:bidi="hi-IN"/>
        </w:rPr>
        <w:t xml:space="preserve"> COPE, OHQoL</w:t>
      </w:r>
      <w:r w:rsidR="00C37A4A" w:rsidRPr="00787196">
        <w:rPr>
          <w:lang w:bidi="hi-IN"/>
        </w:rPr>
        <w:t>,</w:t>
      </w:r>
      <w:r w:rsidR="00D400A4" w:rsidRPr="00787196">
        <w:rPr>
          <w:lang w:bidi="hi-IN"/>
        </w:rPr>
        <w:t xml:space="preserve"> </w:t>
      </w:r>
      <w:r w:rsidR="00A21545" w:rsidRPr="00787196">
        <w:rPr>
          <w:lang w:bidi="hi-IN"/>
        </w:rPr>
        <w:t xml:space="preserve">SOC and </w:t>
      </w:r>
      <w:r w:rsidR="00D400A4" w:rsidRPr="00787196">
        <w:rPr>
          <w:lang w:bidi="hi-IN"/>
        </w:rPr>
        <w:t xml:space="preserve">denture satisfaction </w:t>
      </w:r>
      <w:r w:rsidR="00A21545" w:rsidRPr="00787196">
        <w:rPr>
          <w:lang w:bidi="hi-IN"/>
        </w:rPr>
        <w:t>were lower than</w:t>
      </w:r>
      <w:r w:rsidR="00D400A4" w:rsidRPr="00787196">
        <w:rPr>
          <w:lang w:bidi="hi-IN"/>
        </w:rPr>
        <w:t xml:space="preserve"> 0.6</w:t>
      </w:r>
      <w:r w:rsidR="0014730F" w:rsidRPr="00787196">
        <w:rPr>
          <w:lang w:bidi="hi-IN"/>
        </w:rPr>
        <w:t xml:space="preserve"> in terms of their intra-class correlation coefficients (ICC)</w:t>
      </w:r>
      <w:r w:rsidR="00D400A4" w:rsidRPr="00787196">
        <w:rPr>
          <w:lang w:bidi="hi-IN"/>
        </w:rPr>
        <w:t xml:space="preserve">. </w:t>
      </w:r>
      <w:r w:rsidR="00C37E01" w:rsidRPr="00787196">
        <w:rPr>
          <w:lang w:bidi="hi-IN"/>
        </w:rPr>
        <w:t xml:space="preserve"> A low i</w:t>
      </w:r>
      <w:r w:rsidR="00D400A4" w:rsidRPr="00787196">
        <w:rPr>
          <w:lang w:bidi="hi-IN"/>
        </w:rPr>
        <w:t xml:space="preserve">nternal consistency </w:t>
      </w:r>
      <w:r w:rsidR="00C37E01" w:rsidRPr="00787196">
        <w:rPr>
          <w:lang w:bidi="hi-IN"/>
        </w:rPr>
        <w:t xml:space="preserve">in a scale </w:t>
      </w:r>
      <w:r w:rsidR="00A21545" w:rsidRPr="00787196">
        <w:rPr>
          <w:lang w:bidi="hi-IN"/>
        </w:rPr>
        <w:t>decrease</w:t>
      </w:r>
      <w:r w:rsidR="008E2AB2" w:rsidRPr="00787196">
        <w:rPr>
          <w:lang w:bidi="hi-IN"/>
        </w:rPr>
        <w:t>s</w:t>
      </w:r>
      <w:r w:rsidR="00A21545" w:rsidRPr="00787196">
        <w:rPr>
          <w:lang w:bidi="hi-IN"/>
        </w:rPr>
        <w:t xml:space="preserve"> </w:t>
      </w:r>
      <w:r w:rsidR="00C37E01" w:rsidRPr="00787196">
        <w:rPr>
          <w:lang w:bidi="hi-IN"/>
        </w:rPr>
        <w:t xml:space="preserve">its </w:t>
      </w:r>
      <w:r w:rsidR="008E2AB2" w:rsidRPr="00787196">
        <w:rPr>
          <w:lang w:bidi="hi-IN"/>
        </w:rPr>
        <w:t>reliability</w:t>
      </w:r>
      <w:r w:rsidR="00A21545" w:rsidRPr="00787196">
        <w:rPr>
          <w:lang w:bidi="hi-IN"/>
        </w:rPr>
        <w:t xml:space="preserve"> </w:t>
      </w:r>
      <w:r w:rsidR="00C37E01" w:rsidRPr="00787196">
        <w:rPr>
          <w:lang w:bidi="hi-IN"/>
        </w:rPr>
        <w:t>thereby compromising the</w:t>
      </w:r>
      <w:r w:rsidR="00A21545" w:rsidRPr="00787196">
        <w:rPr>
          <w:lang w:bidi="hi-IN"/>
        </w:rPr>
        <w:t xml:space="preserve"> discriminative power</w:t>
      </w:r>
      <w:r w:rsidR="00C37E01" w:rsidRPr="00787196">
        <w:rPr>
          <w:lang w:bidi="hi-IN"/>
        </w:rPr>
        <w:t>.</w:t>
      </w:r>
      <w:r w:rsidR="00A21545" w:rsidRPr="00787196">
        <w:rPr>
          <w:lang w:bidi="hi-IN"/>
        </w:rPr>
        <w:t xml:space="preserve"> </w:t>
      </w:r>
      <w:r w:rsidR="00C37E01" w:rsidRPr="00787196">
        <w:rPr>
          <w:lang w:bidi="hi-IN"/>
        </w:rPr>
        <w:t>L</w:t>
      </w:r>
      <w:r w:rsidR="00A21545" w:rsidRPr="00787196">
        <w:rPr>
          <w:lang w:bidi="hi-IN"/>
        </w:rPr>
        <w:t>ow reliability may</w:t>
      </w:r>
      <w:r w:rsidR="00C37E01" w:rsidRPr="00787196">
        <w:rPr>
          <w:lang w:bidi="hi-IN"/>
        </w:rPr>
        <w:t xml:space="preserve"> eventually</w:t>
      </w:r>
      <w:r w:rsidR="00A21545" w:rsidRPr="00787196">
        <w:rPr>
          <w:lang w:bidi="hi-IN"/>
        </w:rPr>
        <w:t xml:space="preserve"> </w:t>
      </w:r>
      <w:r w:rsidR="00C37E01" w:rsidRPr="00787196">
        <w:rPr>
          <w:lang w:bidi="hi-IN"/>
        </w:rPr>
        <w:t xml:space="preserve">reduce an </w:t>
      </w:r>
      <w:r w:rsidR="00A21545" w:rsidRPr="00787196">
        <w:rPr>
          <w:lang w:bidi="hi-IN"/>
        </w:rPr>
        <w:t>instrument</w:t>
      </w:r>
      <w:r w:rsidR="00C37E01" w:rsidRPr="00787196">
        <w:rPr>
          <w:lang w:bidi="hi-IN"/>
        </w:rPr>
        <w:t>’s</w:t>
      </w:r>
      <w:r w:rsidR="00A21545" w:rsidRPr="00787196">
        <w:rPr>
          <w:lang w:bidi="hi-IN"/>
        </w:rPr>
        <w:t xml:space="preserve"> responsiveness</w:t>
      </w:r>
      <w:r w:rsidR="00C37E01" w:rsidRPr="00787196">
        <w:rPr>
          <w:lang w:bidi="hi-IN"/>
        </w:rPr>
        <w:t xml:space="preserve"> by masking changes over time</w:t>
      </w:r>
      <w:r w:rsidR="00A21545" w:rsidRPr="00787196">
        <w:rPr>
          <w:lang w:bidi="hi-IN"/>
        </w:rPr>
        <w:t>. Howe</w:t>
      </w:r>
      <w:r w:rsidR="008E2AB2" w:rsidRPr="00787196">
        <w:rPr>
          <w:lang w:bidi="hi-IN"/>
        </w:rPr>
        <w:t xml:space="preserve">ver, </w:t>
      </w:r>
      <w:r w:rsidR="00B30E51" w:rsidRPr="00787196">
        <w:rPr>
          <w:lang w:bidi="hi-IN"/>
        </w:rPr>
        <w:t>noticeably certain</w:t>
      </w:r>
      <w:r w:rsidR="002460C3" w:rsidRPr="00787196">
        <w:rPr>
          <w:lang w:bidi="hi-IN"/>
        </w:rPr>
        <w:t xml:space="preserve"> </w:t>
      </w:r>
      <w:r w:rsidR="00A21545" w:rsidRPr="00787196">
        <w:rPr>
          <w:lang w:bidi="hi-IN"/>
        </w:rPr>
        <w:t xml:space="preserve">key relationships hypothesised </w:t>
      </w:r>
      <w:r w:rsidR="002460C3" w:rsidRPr="00787196">
        <w:rPr>
          <w:lang w:bidi="hi-IN"/>
        </w:rPr>
        <w:t>by the present</w:t>
      </w:r>
      <w:r w:rsidR="00A21545" w:rsidRPr="00787196">
        <w:rPr>
          <w:lang w:bidi="hi-IN"/>
        </w:rPr>
        <w:t xml:space="preserve"> study, </w:t>
      </w:r>
      <w:r w:rsidR="002460C3" w:rsidRPr="00787196">
        <w:rPr>
          <w:lang w:bidi="hi-IN"/>
        </w:rPr>
        <w:t>(</w:t>
      </w:r>
      <w:r w:rsidR="00D400A4" w:rsidRPr="00787196">
        <w:rPr>
          <w:lang w:bidi="hi-IN"/>
        </w:rPr>
        <w:t>clinical factors</w:t>
      </w:r>
      <w:r w:rsidR="00A21545" w:rsidRPr="00787196">
        <w:rPr>
          <w:lang w:bidi="hi-IN"/>
        </w:rPr>
        <w:t xml:space="preserve"> and OHRQoL</w:t>
      </w:r>
      <w:r w:rsidR="002460C3" w:rsidRPr="00787196">
        <w:rPr>
          <w:lang w:bidi="hi-IN"/>
        </w:rPr>
        <w:t>)</w:t>
      </w:r>
      <w:r w:rsidR="00A21545" w:rsidRPr="00787196">
        <w:rPr>
          <w:lang w:bidi="hi-IN"/>
        </w:rPr>
        <w:t xml:space="preserve"> were </w:t>
      </w:r>
      <w:r w:rsidR="002460C3" w:rsidRPr="00787196">
        <w:rPr>
          <w:lang w:bidi="hi-IN"/>
        </w:rPr>
        <w:t xml:space="preserve">still </w:t>
      </w:r>
      <w:r w:rsidR="00A21545" w:rsidRPr="00787196">
        <w:rPr>
          <w:lang w:bidi="hi-IN"/>
        </w:rPr>
        <w:t xml:space="preserve">detected </w:t>
      </w:r>
      <w:r w:rsidR="002460C3" w:rsidRPr="00787196">
        <w:rPr>
          <w:lang w:bidi="hi-IN"/>
        </w:rPr>
        <w:t xml:space="preserve">suggesting a </w:t>
      </w:r>
      <w:r w:rsidR="008E2AB2" w:rsidRPr="00787196">
        <w:rPr>
          <w:lang w:bidi="hi-IN"/>
        </w:rPr>
        <w:t xml:space="preserve">reasonable discriminative power </w:t>
      </w:r>
      <w:r w:rsidR="005A024B" w:rsidRPr="00787196">
        <w:rPr>
          <w:lang w:bidi="hi-IN"/>
        </w:rPr>
        <w:t xml:space="preserve">and responsiveness </w:t>
      </w:r>
      <w:r w:rsidR="008E2AB2" w:rsidRPr="00787196">
        <w:rPr>
          <w:lang w:bidi="hi-IN"/>
        </w:rPr>
        <w:t xml:space="preserve">for </w:t>
      </w:r>
      <w:r w:rsidR="00C37A4A" w:rsidRPr="00787196">
        <w:rPr>
          <w:lang w:bidi="hi-IN"/>
        </w:rPr>
        <w:t xml:space="preserve">the </w:t>
      </w:r>
      <w:r w:rsidR="008E2AB2" w:rsidRPr="00787196">
        <w:rPr>
          <w:lang w:bidi="hi-IN"/>
        </w:rPr>
        <w:t xml:space="preserve">OHIP-EDENT </w:t>
      </w:r>
      <w:r w:rsidR="00B30E51" w:rsidRPr="00787196">
        <w:rPr>
          <w:lang w:bidi="hi-IN"/>
        </w:rPr>
        <w:t xml:space="preserve">scale. </w:t>
      </w:r>
    </w:p>
    <w:p w14:paraId="00AEEC57" w14:textId="77777777" w:rsidR="0083201A" w:rsidRPr="00787196" w:rsidRDefault="0083201A">
      <w:pPr>
        <w:spacing w:before="0" w:after="0" w:line="240" w:lineRule="auto"/>
        <w:jc w:val="left"/>
        <w:rPr>
          <w:lang w:bidi="hi-IN"/>
        </w:rPr>
      </w:pPr>
      <w:r w:rsidRPr="00787196">
        <w:rPr>
          <w:lang w:bidi="hi-IN"/>
        </w:rPr>
        <w:br w:type="page"/>
      </w:r>
    </w:p>
    <w:p w14:paraId="29BC1395" w14:textId="07A28402" w:rsidR="00425D56" w:rsidRPr="00787196" w:rsidRDefault="00B30E51" w:rsidP="00A21545">
      <w:pPr>
        <w:rPr>
          <w:lang w:bidi="hi-IN"/>
        </w:rPr>
      </w:pPr>
      <w:r w:rsidRPr="00787196">
        <w:rPr>
          <w:lang w:bidi="hi-IN"/>
        </w:rPr>
        <w:lastRenderedPageBreak/>
        <w:t>Participants</w:t>
      </w:r>
      <w:r w:rsidR="00D400A4" w:rsidRPr="00787196">
        <w:rPr>
          <w:lang w:bidi="hi-IN"/>
        </w:rPr>
        <w:t>:</w:t>
      </w:r>
      <w:r w:rsidR="00A21545" w:rsidRPr="00787196">
        <w:rPr>
          <w:lang w:bidi="hi-IN"/>
        </w:rPr>
        <w:t xml:space="preserve"> </w:t>
      </w:r>
      <w:r w:rsidR="008E2AB2" w:rsidRPr="00787196">
        <w:rPr>
          <w:lang w:bidi="hi-IN"/>
        </w:rPr>
        <w:t>As noted in section 6.2.2, t</w:t>
      </w:r>
      <w:r w:rsidR="00D400A4" w:rsidRPr="00787196">
        <w:rPr>
          <w:lang w:bidi="hi-IN"/>
        </w:rPr>
        <w:t>he demographic character of the participants in this study was un</w:t>
      </w:r>
      <w:r w:rsidR="008E2AB2" w:rsidRPr="00787196">
        <w:rPr>
          <w:lang w:bidi="hi-IN"/>
        </w:rPr>
        <w:t>usual</w:t>
      </w:r>
      <w:r w:rsidR="00D400A4" w:rsidRPr="00787196">
        <w:rPr>
          <w:lang w:bidi="hi-IN"/>
        </w:rPr>
        <w:t>. More than half</w:t>
      </w:r>
      <w:r w:rsidR="00103EAC" w:rsidRPr="00787196">
        <w:rPr>
          <w:lang w:bidi="hi-IN"/>
        </w:rPr>
        <w:t xml:space="preserve"> </w:t>
      </w:r>
      <w:r w:rsidR="00D400A4" w:rsidRPr="00787196">
        <w:rPr>
          <w:lang w:bidi="hi-IN"/>
        </w:rPr>
        <w:t>(54.2%) earned less than ₹ 4555 INR (equivalen</w:t>
      </w:r>
      <w:r w:rsidR="00103EAC" w:rsidRPr="00787196">
        <w:rPr>
          <w:lang w:bidi="hi-IN"/>
        </w:rPr>
        <w:t>t to £45 approximately) a month and a</w:t>
      </w:r>
      <w:r w:rsidR="00D400A4" w:rsidRPr="00787196">
        <w:rPr>
          <w:lang w:bidi="hi-IN"/>
        </w:rPr>
        <w:t xml:space="preserve">bout 65% </w:t>
      </w:r>
      <w:r w:rsidR="00103EAC" w:rsidRPr="00787196">
        <w:rPr>
          <w:lang w:bidi="hi-IN"/>
        </w:rPr>
        <w:t>were</w:t>
      </w:r>
      <w:r w:rsidR="00D400A4" w:rsidRPr="00787196">
        <w:rPr>
          <w:lang w:bidi="hi-IN"/>
        </w:rPr>
        <w:t xml:space="preserve"> educat</w:t>
      </w:r>
      <w:r w:rsidR="00103EAC" w:rsidRPr="00787196">
        <w:rPr>
          <w:lang w:bidi="hi-IN"/>
        </w:rPr>
        <w:t>ed to</w:t>
      </w:r>
      <w:r w:rsidR="00D400A4" w:rsidRPr="00787196">
        <w:rPr>
          <w:lang w:bidi="hi-IN"/>
        </w:rPr>
        <w:t xml:space="preserve"> less than high school level or were not formally educated at all. About 60% of the participants were not in active employment (i.e.) either unemployed or retired. </w:t>
      </w:r>
      <w:r w:rsidR="00103EAC" w:rsidRPr="00787196">
        <w:rPr>
          <w:lang w:bidi="hi-IN"/>
        </w:rPr>
        <w:t>And n</w:t>
      </w:r>
      <w:r w:rsidR="00D400A4" w:rsidRPr="00787196">
        <w:rPr>
          <w:lang w:bidi="hi-IN"/>
        </w:rPr>
        <w:t>early 3/4 of the participants belonged to a lower caste</w:t>
      </w:r>
      <w:r w:rsidR="00103EAC" w:rsidRPr="00787196">
        <w:rPr>
          <w:lang w:bidi="hi-IN"/>
        </w:rPr>
        <w:t>.  As noted earlier, the generic coping strategies considered in the present study may not have been as relevant in such a low SES sample seeking subsidised dentures. Furthermore, t</w:t>
      </w:r>
      <w:r w:rsidR="00A21545" w:rsidRPr="00787196">
        <w:rPr>
          <w:lang w:bidi="hi-IN"/>
        </w:rPr>
        <w:t xml:space="preserve">he </w:t>
      </w:r>
      <w:r w:rsidR="00103EAC" w:rsidRPr="00787196">
        <w:rPr>
          <w:lang w:bidi="hi-IN"/>
        </w:rPr>
        <w:t>participants</w:t>
      </w:r>
      <w:r w:rsidR="00B610CC" w:rsidRPr="00787196">
        <w:rPr>
          <w:lang w:bidi="hi-IN"/>
        </w:rPr>
        <w:t xml:space="preserve"> </w:t>
      </w:r>
      <w:r w:rsidR="00A21545" w:rsidRPr="00787196">
        <w:rPr>
          <w:lang w:bidi="hi-IN"/>
        </w:rPr>
        <w:t xml:space="preserve">completed </w:t>
      </w:r>
      <w:r w:rsidR="00B610CC" w:rsidRPr="00787196">
        <w:rPr>
          <w:lang w:bidi="hi-IN"/>
        </w:rPr>
        <w:t>eight</w:t>
      </w:r>
      <w:r w:rsidR="00A21545" w:rsidRPr="00787196">
        <w:rPr>
          <w:lang w:bidi="hi-IN"/>
        </w:rPr>
        <w:t xml:space="preserve"> questionnaires; total</w:t>
      </w:r>
      <w:r w:rsidR="00E0057A" w:rsidRPr="00787196">
        <w:rPr>
          <w:lang w:bidi="hi-IN"/>
        </w:rPr>
        <w:t>ly</w:t>
      </w:r>
      <w:r w:rsidR="00A21545" w:rsidRPr="00787196">
        <w:rPr>
          <w:lang w:bidi="hi-IN"/>
        </w:rPr>
        <w:t xml:space="preserve"> </w:t>
      </w:r>
      <w:r w:rsidR="001C4C87" w:rsidRPr="00787196">
        <w:rPr>
          <w:lang w:bidi="hi-IN"/>
        </w:rPr>
        <w:t xml:space="preserve">of 86 </w:t>
      </w:r>
      <w:r w:rsidR="00A21545" w:rsidRPr="00787196">
        <w:rPr>
          <w:lang w:bidi="hi-IN"/>
        </w:rPr>
        <w:t xml:space="preserve">items. </w:t>
      </w:r>
      <w:r w:rsidR="00E0057A" w:rsidRPr="00787196">
        <w:rPr>
          <w:lang w:bidi="hi-IN"/>
        </w:rPr>
        <w:t>C</w:t>
      </w:r>
      <w:r w:rsidR="001C4C87" w:rsidRPr="00787196">
        <w:rPr>
          <w:lang w:bidi="hi-IN"/>
        </w:rPr>
        <w:t xml:space="preserve">onsidering </w:t>
      </w:r>
      <w:r w:rsidR="00103EAC" w:rsidRPr="00787196">
        <w:rPr>
          <w:lang w:bidi="hi-IN"/>
        </w:rPr>
        <w:t>the</w:t>
      </w:r>
      <w:r w:rsidR="001C4C87" w:rsidRPr="00787196">
        <w:rPr>
          <w:lang w:bidi="hi-IN"/>
        </w:rPr>
        <w:t xml:space="preserve"> education</w:t>
      </w:r>
      <w:r w:rsidR="00103EAC" w:rsidRPr="00787196">
        <w:rPr>
          <w:lang w:bidi="hi-IN"/>
        </w:rPr>
        <w:t>al status</w:t>
      </w:r>
      <w:r w:rsidR="00C54968" w:rsidRPr="00787196">
        <w:rPr>
          <w:lang w:bidi="hi-IN"/>
        </w:rPr>
        <w:t xml:space="preserve"> of the population used in the present study,</w:t>
      </w:r>
      <w:r w:rsidR="00103EAC" w:rsidRPr="00787196">
        <w:rPr>
          <w:lang w:bidi="hi-IN"/>
        </w:rPr>
        <w:t xml:space="preserve"> </w:t>
      </w:r>
      <w:r w:rsidR="00E0057A" w:rsidRPr="00787196">
        <w:rPr>
          <w:lang w:bidi="hi-IN"/>
        </w:rPr>
        <w:t xml:space="preserve">the sheer number of items may have burdened them </w:t>
      </w:r>
      <w:r w:rsidR="001C4C87" w:rsidRPr="00787196">
        <w:rPr>
          <w:lang w:bidi="hi-IN"/>
        </w:rPr>
        <w:t>and</w:t>
      </w:r>
      <w:r w:rsidR="00A21545" w:rsidRPr="00787196">
        <w:rPr>
          <w:lang w:bidi="hi-IN"/>
        </w:rPr>
        <w:t xml:space="preserve"> the</w:t>
      </w:r>
      <w:r w:rsidR="00E0057A" w:rsidRPr="00787196">
        <w:rPr>
          <w:lang w:bidi="hi-IN"/>
        </w:rPr>
        <w:t>ir</w:t>
      </w:r>
      <w:r w:rsidR="00103EAC" w:rsidRPr="00787196">
        <w:rPr>
          <w:lang w:bidi="hi-IN"/>
        </w:rPr>
        <w:t xml:space="preserve"> </w:t>
      </w:r>
      <w:r w:rsidR="00E0057A" w:rsidRPr="00787196">
        <w:rPr>
          <w:lang w:bidi="hi-IN"/>
        </w:rPr>
        <w:t xml:space="preserve">responses </w:t>
      </w:r>
      <w:r w:rsidR="001C4C87" w:rsidRPr="00787196">
        <w:rPr>
          <w:lang w:bidi="hi-IN"/>
        </w:rPr>
        <w:t xml:space="preserve">may </w:t>
      </w:r>
      <w:r w:rsidR="00C54968" w:rsidRPr="00787196">
        <w:rPr>
          <w:lang w:bidi="hi-IN"/>
        </w:rPr>
        <w:t xml:space="preserve">have been influenced as result to </w:t>
      </w:r>
      <w:r w:rsidR="00A21545" w:rsidRPr="00787196">
        <w:rPr>
          <w:lang w:bidi="hi-IN"/>
        </w:rPr>
        <w:t xml:space="preserve">not reflect </w:t>
      </w:r>
      <w:r w:rsidR="00C54968" w:rsidRPr="00787196">
        <w:rPr>
          <w:lang w:bidi="hi-IN"/>
        </w:rPr>
        <w:t xml:space="preserve">genuine </w:t>
      </w:r>
      <w:r w:rsidR="00A21545" w:rsidRPr="00787196">
        <w:rPr>
          <w:lang w:bidi="hi-IN"/>
        </w:rPr>
        <w:t>feelings. N</w:t>
      </w:r>
      <w:r w:rsidR="002E72EF" w:rsidRPr="00787196">
        <w:rPr>
          <w:lang w:bidi="hi-IN"/>
        </w:rPr>
        <w:t xml:space="preserve">evertheless, questionnaires were given separately to each participant in order </w:t>
      </w:r>
      <w:r w:rsidR="00A21545" w:rsidRPr="00787196">
        <w:rPr>
          <w:lang w:bidi="hi-IN"/>
        </w:rPr>
        <w:t>to reduce their concern</w:t>
      </w:r>
      <w:r w:rsidR="002E72EF" w:rsidRPr="00787196">
        <w:rPr>
          <w:lang w:bidi="hi-IN"/>
        </w:rPr>
        <w:t xml:space="preserve">s and obtain accurate </w:t>
      </w:r>
      <w:r w:rsidR="00E0057A" w:rsidRPr="00787196">
        <w:rPr>
          <w:lang w:bidi="hi-IN"/>
        </w:rPr>
        <w:t>data</w:t>
      </w:r>
      <w:r w:rsidR="00A21545" w:rsidRPr="00787196">
        <w:rPr>
          <w:lang w:bidi="hi-IN"/>
        </w:rPr>
        <w:t xml:space="preserve">. </w:t>
      </w:r>
      <w:r w:rsidR="001C4C87" w:rsidRPr="00787196">
        <w:rPr>
          <w:lang w:bidi="hi-IN"/>
        </w:rPr>
        <w:t xml:space="preserve">Ample </w:t>
      </w:r>
      <w:r w:rsidR="00A21545" w:rsidRPr="00787196">
        <w:rPr>
          <w:lang w:bidi="hi-IN"/>
        </w:rPr>
        <w:t xml:space="preserve">time was </w:t>
      </w:r>
      <w:r w:rsidR="001C4C87" w:rsidRPr="00787196">
        <w:rPr>
          <w:lang w:bidi="hi-IN"/>
        </w:rPr>
        <w:t>given</w:t>
      </w:r>
      <w:r w:rsidR="00E0057A" w:rsidRPr="00787196">
        <w:rPr>
          <w:lang w:bidi="hi-IN"/>
        </w:rPr>
        <w:t xml:space="preserve"> to </w:t>
      </w:r>
      <w:r w:rsidRPr="00787196">
        <w:rPr>
          <w:lang w:bidi="hi-IN"/>
        </w:rPr>
        <w:t>participants</w:t>
      </w:r>
      <w:r w:rsidR="001C4C87" w:rsidRPr="00787196">
        <w:rPr>
          <w:lang w:bidi="hi-IN"/>
        </w:rPr>
        <w:t xml:space="preserve"> </w:t>
      </w:r>
      <w:r w:rsidR="00E34747" w:rsidRPr="00787196">
        <w:rPr>
          <w:lang w:bidi="hi-IN"/>
        </w:rPr>
        <w:t xml:space="preserve">before </w:t>
      </w:r>
      <w:r w:rsidR="00E0057A" w:rsidRPr="00787196">
        <w:rPr>
          <w:lang w:bidi="hi-IN"/>
        </w:rPr>
        <w:t xml:space="preserve">completing </w:t>
      </w:r>
      <w:r w:rsidR="00E34747" w:rsidRPr="00787196">
        <w:rPr>
          <w:lang w:bidi="hi-IN"/>
        </w:rPr>
        <w:t xml:space="preserve">each </w:t>
      </w:r>
      <w:r w:rsidR="00E0057A" w:rsidRPr="00787196">
        <w:rPr>
          <w:lang w:bidi="hi-IN"/>
        </w:rPr>
        <w:t>questionnaire</w:t>
      </w:r>
      <w:r w:rsidR="00E34747" w:rsidRPr="00787196">
        <w:rPr>
          <w:lang w:bidi="hi-IN"/>
        </w:rPr>
        <w:t>.</w:t>
      </w:r>
    </w:p>
    <w:p w14:paraId="20C2553D" w14:textId="2F8E7902" w:rsidR="00965A66" w:rsidRPr="00787196" w:rsidRDefault="00965A66" w:rsidP="00965A66">
      <w:pPr>
        <w:rPr>
          <w:lang w:bidi="hi-IN"/>
        </w:rPr>
      </w:pPr>
      <w:r w:rsidRPr="00787196">
        <w:rPr>
          <w:lang w:bidi="hi-IN"/>
        </w:rPr>
        <w:t xml:space="preserve">In retrospect, it was understood that one of the questionnaires that was used (ERA -12) used to measure ageing expectations was unnecessary. Such a change in expectations regarding ageing can hardly be observed in a short observational period of 3 months.  </w:t>
      </w:r>
    </w:p>
    <w:p w14:paraId="496EE434" w14:textId="64EFC6CA" w:rsidR="0083201A" w:rsidRPr="00787196" w:rsidRDefault="00D400A4" w:rsidP="00A21545">
      <w:pPr>
        <w:rPr>
          <w:lang w:bidi="hi-IN"/>
        </w:rPr>
      </w:pPr>
      <w:r w:rsidRPr="00787196">
        <w:rPr>
          <w:lang w:bidi="hi-IN"/>
        </w:rPr>
        <w:t xml:space="preserve">Intervention: </w:t>
      </w:r>
      <w:r w:rsidR="002E72EF" w:rsidRPr="00787196">
        <w:rPr>
          <w:lang w:bidi="hi-IN"/>
        </w:rPr>
        <w:t>C</w:t>
      </w:r>
      <w:r w:rsidR="00103EAC" w:rsidRPr="00787196">
        <w:rPr>
          <w:lang w:bidi="hi-IN"/>
        </w:rPr>
        <w:t>onventional denture</w:t>
      </w:r>
      <w:r w:rsidRPr="00787196">
        <w:rPr>
          <w:lang w:bidi="hi-IN"/>
        </w:rPr>
        <w:t xml:space="preserve"> treatment</w:t>
      </w:r>
      <w:r w:rsidR="002E72EF" w:rsidRPr="00787196">
        <w:rPr>
          <w:lang w:bidi="hi-IN"/>
        </w:rPr>
        <w:t xml:space="preserve"> was the intervention </w:t>
      </w:r>
      <w:r w:rsidR="00E559CA" w:rsidRPr="00787196">
        <w:rPr>
          <w:lang w:bidi="hi-IN"/>
        </w:rPr>
        <w:t>of</w:t>
      </w:r>
      <w:r w:rsidR="002E72EF" w:rsidRPr="00787196">
        <w:rPr>
          <w:lang w:bidi="hi-IN"/>
        </w:rPr>
        <w:t xml:space="preserve"> the present </w:t>
      </w:r>
      <w:r w:rsidR="00B30E51" w:rsidRPr="00787196">
        <w:rPr>
          <w:lang w:bidi="hi-IN"/>
        </w:rPr>
        <w:t>study</w:t>
      </w:r>
      <w:r w:rsidRPr="00787196">
        <w:rPr>
          <w:lang w:bidi="hi-IN"/>
        </w:rPr>
        <w:t>.</w:t>
      </w:r>
      <w:r w:rsidR="00A21545" w:rsidRPr="00787196">
        <w:rPr>
          <w:lang w:bidi="hi-IN"/>
        </w:rPr>
        <w:t xml:space="preserve"> </w:t>
      </w:r>
      <w:r w:rsidR="002E72EF" w:rsidRPr="00787196">
        <w:rPr>
          <w:lang w:bidi="hi-IN"/>
        </w:rPr>
        <w:t>L</w:t>
      </w:r>
      <w:r w:rsidR="00A21545" w:rsidRPr="00787196">
        <w:rPr>
          <w:lang w:bidi="hi-IN"/>
        </w:rPr>
        <w:t xml:space="preserve">ack of previous </w:t>
      </w:r>
      <w:r w:rsidR="00E559CA" w:rsidRPr="00787196">
        <w:rPr>
          <w:lang w:bidi="hi-IN"/>
        </w:rPr>
        <w:t xml:space="preserve">research </w:t>
      </w:r>
      <w:r w:rsidR="00103EAC" w:rsidRPr="00787196">
        <w:rPr>
          <w:lang w:bidi="hi-IN"/>
        </w:rPr>
        <w:t xml:space="preserve">regarding </w:t>
      </w:r>
      <w:r w:rsidR="002E72EF" w:rsidRPr="00787196">
        <w:rPr>
          <w:lang w:bidi="hi-IN"/>
        </w:rPr>
        <w:t xml:space="preserve">the </w:t>
      </w:r>
      <w:r w:rsidR="00103EAC" w:rsidRPr="00787196">
        <w:rPr>
          <w:lang w:bidi="hi-IN"/>
        </w:rPr>
        <w:t>subjective</w:t>
      </w:r>
      <w:r w:rsidR="00A21545" w:rsidRPr="00787196">
        <w:rPr>
          <w:lang w:bidi="hi-IN"/>
        </w:rPr>
        <w:t xml:space="preserve"> </w:t>
      </w:r>
      <w:r w:rsidRPr="00787196">
        <w:rPr>
          <w:lang w:bidi="hi-IN"/>
        </w:rPr>
        <w:t xml:space="preserve">impact </w:t>
      </w:r>
      <w:r w:rsidR="002E72EF" w:rsidRPr="00787196">
        <w:rPr>
          <w:lang w:bidi="hi-IN"/>
        </w:rPr>
        <w:t>of th</w:t>
      </w:r>
      <w:r w:rsidR="00E559CA" w:rsidRPr="00787196">
        <w:rPr>
          <w:lang w:bidi="hi-IN"/>
        </w:rPr>
        <w:t>is</w:t>
      </w:r>
      <w:r w:rsidR="002E72EF" w:rsidRPr="00787196">
        <w:rPr>
          <w:lang w:bidi="hi-IN"/>
        </w:rPr>
        <w:t xml:space="preserve"> intervention</w:t>
      </w:r>
      <w:r w:rsidR="00E559CA" w:rsidRPr="00787196">
        <w:rPr>
          <w:lang w:bidi="hi-IN"/>
        </w:rPr>
        <w:t xml:space="preserve"> </w:t>
      </w:r>
      <w:r w:rsidRPr="00787196">
        <w:rPr>
          <w:lang w:bidi="hi-IN"/>
        </w:rPr>
        <w:t>on individuals</w:t>
      </w:r>
      <w:r w:rsidR="00A21545" w:rsidRPr="00787196">
        <w:rPr>
          <w:lang w:bidi="hi-IN"/>
        </w:rPr>
        <w:t xml:space="preserve"> may have restricted its effect</w:t>
      </w:r>
      <w:r w:rsidRPr="00787196">
        <w:rPr>
          <w:lang w:bidi="hi-IN"/>
        </w:rPr>
        <w:t>.</w:t>
      </w:r>
      <w:r w:rsidR="00A21545" w:rsidRPr="00787196">
        <w:rPr>
          <w:lang w:bidi="hi-IN"/>
        </w:rPr>
        <w:t xml:space="preserve"> Further</w:t>
      </w:r>
      <w:r w:rsidR="00103EAC" w:rsidRPr="00787196">
        <w:rPr>
          <w:lang w:bidi="hi-IN"/>
        </w:rPr>
        <w:t>more</w:t>
      </w:r>
      <w:r w:rsidR="00E559CA" w:rsidRPr="00787196">
        <w:rPr>
          <w:lang w:bidi="hi-IN"/>
        </w:rPr>
        <w:t>,</w:t>
      </w:r>
      <w:r w:rsidR="00103EAC" w:rsidRPr="00787196">
        <w:rPr>
          <w:lang w:bidi="hi-IN"/>
        </w:rPr>
        <w:t xml:space="preserve"> an</w:t>
      </w:r>
      <w:r w:rsidR="00A21545" w:rsidRPr="00787196">
        <w:rPr>
          <w:lang w:bidi="hi-IN"/>
        </w:rPr>
        <w:t xml:space="preserve"> </w:t>
      </w:r>
      <w:r w:rsidRPr="00787196">
        <w:rPr>
          <w:lang w:bidi="hi-IN"/>
        </w:rPr>
        <w:t>understanding of the social position of a patient</w:t>
      </w:r>
      <w:r w:rsidR="00103EAC" w:rsidRPr="00787196">
        <w:rPr>
          <w:lang w:bidi="hi-IN"/>
        </w:rPr>
        <w:t xml:space="preserve"> and the receipt of</w:t>
      </w:r>
      <w:r w:rsidRPr="00787196">
        <w:rPr>
          <w:lang w:bidi="hi-IN"/>
        </w:rPr>
        <w:t xml:space="preserve"> denture treatment needs to be explored </w:t>
      </w:r>
      <w:r w:rsidR="00A21545" w:rsidRPr="00787196">
        <w:rPr>
          <w:lang w:bidi="hi-IN"/>
        </w:rPr>
        <w:t xml:space="preserve">in </w:t>
      </w:r>
      <w:r w:rsidR="00CB3037" w:rsidRPr="00787196">
        <w:rPr>
          <w:lang w:bidi="hi-IN"/>
        </w:rPr>
        <w:t xml:space="preserve">Indian </w:t>
      </w:r>
      <w:r w:rsidR="00A21545" w:rsidRPr="00787196">
        <w:rPr>
          <w:lang w:bidi="hi-IN"/>
        </w:rPr>
        <w:t>settings</w:t>
      </w:r>
      <w:r w:rsidR="00CB3037" w:rsidRPr="00787196">
        <w:rPr>
          <w:lang w:bidi="hi-IN"/>
        </w:rPr>
        <w:t xml:space="preserve">. </w:t>
      </w:r>
      <w:r w:rsidR="00DE4390" w:rsidRPr="00787196">
        <w:rPr>
          <w:lang w:bidi="hi-IN"/>
        </w:rPr>
        <w:t xml:space="preserve">This </w:t>
      </w:r>
      <w:r w:rsidR="00A21545" w:rsidRPr="00787196">
        <w:rPr>
          <w:lang w:bidi="hi-IN"/>
        </w:rPr>
        <w:t xml:space="preserve">should </w:t>
      </w:r>
      <w:r w:rsidR="00DE4390" w:rsidRPr="00787196">
        <w:rPr>
          <w:lang w:bidi="hi-IN"/>
        </w:rPr>
        <w:t xml:space="preserve">also </w:t>
      </w:r>
      <w:r w:rsidR="00A21545" w:rsidRPr="00787196">
        <w:rPr>
          <w:lang w:bidi="hi-IN"/>
        </w:rPr>
        <w:t xml:space="preserve">be considered in terms of </w:t>
      </w:r>
      <w:r w:rsidR="00CB3037" w:rsidRPr="00787196">
        <w:rPr>
          <w:lang w:bidi="hi-IN"/>
        </w:rPr>
        <w:t>treatment styles</w:t>
      </w:r>
      <w:r w:rsidR="00A21545" w:rsidRPr="00787196">
        <w:rPr>
          <w:lang w:bidi="hi-IN"/>
        </w:rPr>
        <w:t xml:space="preserve"> and </w:t>
      </w:r>
      <w:r w:rsidR="00C37A4A" w:rsidRPr="00787196">
        <w:rPr>
          <w:lang w:bidi="hi-IN"/>
        </w:rPr>
        <w:t xml:space="preserve">dentist’s </w:t>
      </w:r>
      <w:r w:rsidR="00CB3037" w:rsidRPr="00787196">
        <w:rPr>
          <w:lang w:bidi="hi-IN"/>
        </w:rPr>
        <w:t>approach towards the patients</w:t>
      </w:r>
      <w:r w:rsidR="00A21545" w:rsidRPr="00787196">
        <w:rPr>
          <w:lang w:bidi="hi-IN"/>
        </w:rPr>
        <w:t xml:space="preserve">. </w:t>
      </w:r>
      <w:r w:rsidR="00DE4390" w:rsidRPr="00787196">
        <w:rPr>
          <w:lang w:bidi="hi-IN"/>
        </w:rPr>
        <w:t>It should also be noted that the quality of dentures made in this study might also have affected the results, although the general improvement in OHQoL and other outcomes suggest that this was not a problem.</w:t>
      </w:r>
    </w:p>
    <w:p w14:paraId="5DAA0F9E" w14:textId="77777777" w:rsidR="0083201A" w:rsidRPr="00787196" w:rsidRDefault="0083201A">
      <w:pPr>
        <w:spacing w:before="0" w:after="0" w:line="240" w:lineRule="auto"/>
        <w:jc w:val="left"/>
        <w:rPr>
          <w:lang w:bidi="hi-IN"/>
        </w:rPr>
      </w:pPr>
      <w:r w:rsidRPr="00787196">
        <w:rPr>
          <w:lang w:bidi="hi-IN"/>
        </w:rPr>
        <w:br w:type="page"/>
      </w:r>
    </w:p>
    <w:p w14:paraId="0214D3A2" w14:textId="26BDEA64" w:rsidR="002A39FA" w:rsidRPr="00787196" w:rsidRDefault="000B7744" w:rsidP="000535D1">
      <w:pPr>
        <w:rPr>
          <w:lang w:bidi="hi-IN"/>
        </w:rPr>
      </w:pPr>
      <w:r w:rsidRPr="00787196">
        <w:rPr>
          <w:lang w:bidi="hi-IN"/>
        </w:rPr>
        <w:lastRenderedPageBreak/>
        <w:t>E</w:t>
      </w:r>
      <w:r w:rsidR="00A21545" w:rsidRPr="00787196">
        <w:rPr>
          <w:lang w:bidi="hi-IN"/>
        </w:rPr>
        <w:t>valuat</w:t>
      </w:r>
      <w:r w:rsidRPr="00787196">
        <w:rPr>
          <w:lang w:bidi="hi-IN"/>
        </w:rPr>
        <w:t>ion of</w:t>
      </w:r>
      <w:r w:rsidR="00A21545" w:rsidRPr="00787196">
        <w:rPr>
          <w:lang w:bidi="hi-IN"/>
        </w:rPr>
        <w:t xml:space="preserve"> </w:t>
      </w:r>
      <w:r w:rsidR="000535D1" w:rsidRPr="00787196">
        <w:rPr>
          <w:lang w:bidi="hi-IN"/>
        </w:rPr>
        <w:t>an interventional</w:t>
      </w:r>
      <w:r w:rsidRPr="00787196">
        <w:rPr>
          <w:lang w:bidi="hi-IN"/>
        </w:rPr>
        <w:t xml:space="preserve"> process can be </w:t>
      </w:r>
      <w:r w:rsidR="005F0618" w:rsidRPr="00787196">
        <w:rPr>
          <w:lang w:bidi="hi-IN"/>
        </w:rPr>
        <w:t xml:space="preserve">done </w:t>
      </w:r>
      <w:r w:rsidRPr="00787196">
        <w:rPr>
          <w:lang w:bidi="hi-IN"/>
        </w:rPr>
        <w:t xml:space="preserve">using various methods. Mixed methods observation </w:t>
      </w:r>
      <w:r w:rsidR="005F0618" w:rsidRPr="00787196">
        <w:rPr>
          <w:lang w:bidi="hi-IN"/>
        </w:rPr>
        <w:t xml:space="preserve">is one of those </w:t>
      </w:r>
      <w:r w:rsidR="00B30E51" w:rsidRPr="00787196">
        <w:rPr>
          <w:lang w:bidi="hi-IN"/>
        </w:rPr>
        <w:t>that use</w:t>
      </w:r>
      <w:r w:rsidR="00A21545" w:rsidRPr="00787196">
        <w:rPr>
          <w:lang w:bidi="hi-IN"/>
        </w:rPr>
        <w:t xml:space="preserve"> qualitative and quantitative approaches </w:t>
      </w:r>
      <w:r w:rsidR="00335556" w:rsidRPr="00787196">
        <w:rPr>
          <w:lang w:bidi="hi-IN"/>
        </w:rPr>
        <w:fldChar w:fldCharType="begin"/>
      </w:r>
      <w:r w:rsidR="00335556" w:rsidRPr="00787196">
        <w:rPr>
          <w:lang w:bidi="hi-IN"/>
        </w:rPr>
        <w:instrText xml:space="preserve"> ADDIN EN.CITE &lt;EndNote&gt;&lt;Cite&gt;&lt;Author&gt;Greene&lt;/Author&gt;&lt;Year&gt;2007&lt;/Year&gt;&lt;IDText&gt;Mixed methods in social inquiry&lt;/IDText&gt;&lt;DisplayText&gt;(Greene, 2007, Tashakkori and Teddlie, 2010)&lt;/DisplayText&gt;&lt;record&gt;&lt;isbn&gt;0787983829&lt;/isbn&gt;&lt;titles&gt;&lt;title&gt;Mixed methods in social inquiry&lt;/title&gt;&lt;/titles&gt;&lt;contributors&gt;&lt;authors&gt;&lt;author&gt;Greene, Jennifer C.&lt;/author&gt;&lt;/authors&gt;&lt;/contributors&gt;&lt;added-date format="utc"&gt;1485817618&lt;/added-date&gt;&lt;ref-type name="Book"&gt;6&lt;/ref-type&gt;&lt;dates&gt;&lt;year&gt;2007&lt;/year&gt;&lt;/dates&gt;&lt;rec-number&gt;2777&lt;/rec-number&gt;&lt;publisher&gt;John Wiley &amp;amp; Sons&lt;/publisher&gt;&lt;last-updated-date format="utc"&gt;1485817618&lt;/last-updated-date&gt;&lt;volume&gt;9&lt;/volume&gt;&lt;/record&gt;&lt;/Cite&gt;&lt;Cite&gt;&lt;Author&gt;Tashakkori&lt;/Author&gt;&lt;Year&gt;2010&lt;/Year&gt;&lt;IDText&gt;Sage handbook of mixed methods in social &amp;amp; behavioral research&lt;/IDText&gt;&lt;record&gt;&lt;isbn&gt;1412972663&lt;/isbn&gt;&lt;titles&gt;&lt;title&gt;Sage handbook of mixed methods in social &amp;amp; behavioral research&lt;/title&gt;&lt;/titles&gt;&lt;contributors&gt;&lt;authors&gt;&lt;author&gt;Tashakkori, Abbas&lt;/author&gt;&lt;author&gt;Teddlie, Charles&lt;/author&gt;&lt;/authors&gt;&lt;/contributors&gt;&lt;added-date format="utc"&gt;1485817716&lt;/added-date&gt;&lt;ref-type name="Book"&gt;6&lt;/ref-type&gt;&lt;dates&gt;&lt;year&gt;2010&lt;/year&gt;&lt;/dates&gt;&lt;rec-number&gt;2778&lt;/rec-number&gt;&lt;publisher&gt;Sage&lt;/publisher&gt;&lt;last-updated-date format="utc"&gt;1485817716&lt;/last-updated-date&gt;&lt;/record&gt;&lt;/Cite&gt;&lt;/EndNote&gt;</w:instrText>
      </w:r>
      <w:r w:rsidR="00335556" w:rsidRPr="00787196">
        <w:rPr>
          <w:lang w:bidi="hi-IN"/>
        </w:rPr>
        <w:fldChar w:fldCharType="separate"/>
      </w:r>
      <w:r w:rsidR="00335556" w:rsidRPr="00787196">
        <w:rPr>
          <w:noProof/>
          <w:lang w:bidi="hi-IN"/>
        </w:rPr>
        <w:t>(Greene, 2007, Tashakkori and Teddlie, 2010)</w:t>
      </w:r>
      <w:r w:rsidR="00335556" w:rsidRPr="00787196">
        <w:rPr>
          <w:lang w:bidi="hi-IN"/>
        </w:rPr>
        <w:fldChar w:fldCharType="end"/>
      </w:r>
      <w:r w:rsidR="00A21545" w:rsidRPr="00787196">
        <w:rPr>
          <w:lang w:bidi="hi-IN"/>
        </w:rPr>
        <w:t xml:space="preserve">. </w:t>
      </w:r>
      <w:r w:rsidR="009E6FE2" w:rsidRPr="00787196">
        <w:rPr>
          <w:lang w:bidi="hi-IN"/>
        </w:rPr>
        <w:t>D</w:t>
      </w:r>
      <w:r w:rsidR="00466F4E" w:rsidRPr="00787196">
        <w:rPr>
          <w:lang w:bidi="hi-IN"/>
        </w:rPr>
        <w:t>ata</w:t>
      </w:r>
      <w:r w:rsidR="00A21545" w:rsidRPr="00787196">
        <w:rPr>
          <w:lang w:bidi="hi-IN"/>
        </w:rPr>
        <w:t xml:space="preserve"> from </w:t>
      </w:r>
      <w:r w:rsidR="00466F4E" w:rsidRPr="00787196">
        <w:rPr>
          <w:lang w:bidi="hi-IN"/>
        </w:rPr>
        <w:t xml:space="preserve">both </w:t>
      </w:r>
      <w:r w:rsidR="00A21545" w:rsidRPr="00787196">
        <w:rPr>
          <w:lang w:bidi="hi-IN"/>
        </w:rPr>
        <w:t xml:space="preserve">sources (qualitative and quantitative) </w:t>
      </w:r>
      <w:r w:rsidR="009E6FE2" w:rsidRPr="00787196">
        <w:rPr>
          <w:lang w:bidi="hi-IN"/>
        </w:rPr>
        <w:t xml:space="preserve">provide </w:t>
      </w:r>
      <w:r w:rsidR="00A21545" w:rsidRPr="00787196">
        <w:rPr>
          <w:lang w:bidi="hi-IN"/>
        </w:rPr>
        <w:t xml:space="preserve">identify consistency in results </w:t>
      </w:r>
      <w:r w:rsidR="009E6FE2" w:rsidRPr="00787196">
        <w:rPr>
          <w:lang w:bidi="hi-IN"/>
        </w:rPr>
        <w:t xml:space="preserve">and </w:t>
      </w:r>
      <w:r w:rsidR="000535D1" w:rsidRPr="00787196">
        <w:rPr>
          <w:lang w:bidi="hi-IN"/>
        </w:rPr>
        <w:t>may offer</w:t>
      </w:r>
      <w:r w:rsidR="009E6FE2" w:rsidRPr="00787196">
        <w:rPr>
          <w:lang w:bidi="hi-IN"/>
        </w:rPr>
        <w:t xml:space="preserve"> </w:t>
      </w:r>
      <w:r w:rsidR="000535D1" w:rsidRPr="00787196">
        <w:rPr>
          <w:lang w:bidi="hi-IN"/>
        </w:rPr>
        <w:t>strong</w:t>
      </w:r>
      <w:r w:rsidR="00466F4E" w:rsidRPr="00787196">
        <w:rPr>
          <w:lang w:bidi="hi-IN"/>
        </w:rPr>
        <w:t xml:space="preserve"> </w:t>
      </w:r>
      <w:r w:rsidR="00A21545" w:rsidRPr="00787196">
        <w:rPr>
          <w:lang w:bidi="hi-IN"/>
        </w:rPr>
        <w:t xml:space="preserve">evidence of </w:t>
      </w:r>
      <w:r w:rsidR="009E6FE2" w:rsidRPr="00787196">
        <w:rPr>
          <w:lang w:bidi="hi-IN"/>
        </w:rPr>
        <w:t>associations and</w:t>
      </w:r>
      <w:r w:rsidR="00A21545" w:rsidRPr="00787196">
        <w:rPr>
          <w:lang w:bidi="hi-IN"/>
        </w:rPr>
        <w:t xml:space="preserve"> change in the populations and organisations (Nutbeam, 1998).</w:t>
      </w:r>
      <w:r w:rsidR="009E6FE2" w:rsidRPr="00787196">
        <w:rPr>
          <w:lang w:bidi="hi-IN"/>
        </w:rPr>
        <w:t xml:space="preserve"> </w:t>
      </w:r>
      <w:r w:rsidR="00AB634F" w:rsidRPr="00787196">
        <w:t xml:space="preserve">Patients </w:t>
      </w:r>
      <w:r w:rsidR="009E6FE2" w:rsidRPr="00787196">
        <w:t xml:space="preserve">offer </w:t>
      </w:r>
      <w:r w:rsidR="00AB634F" w:rsidRPr="00787196">
        <w:t xml:space="preserve">views and </w:t>
      </w:r>
      <w:r w:rsidR="009E6FE2" w:rsidRPr="00787196">
        <w:t xml:space="preserve">unique </w:t>
      </w:r>
      <w:r w:rsidR="00AB634F" w:rsidRPr="00787196">
        <w:t xml:space="preserve">experiences </w:t>
      </w:r>
      <w:r w:rsidR="009E6FE2" w:rsidRPr="00787196">
        <w:t>which</w:t>
      </w:r>
      <w:r w:rsidR="00AB634F" w:rsidRPr="00787196">
        <w:t xml:space="preserve"> do not necessarily share </w:t>
      </w:r>
      <w:r w:rsidR="009E6FE2" w:rsidRPr="00787196">
        <w:t xml:space="preserve">the </w:t>
      </w:r>
      <w:r w:rsidR="00AB634F" w:rsidRPr="00787196">
        <w:t xml:space="preserve">views </w:t>
      </w:r>
      <w:r w:rsidR="009E6FE2" w:rsidRPr="00787196">
        <w:t xml:space="preserve">of </w:t>
      </w:r>
      <w:r w:rsidR="00AB634F" w:rsidRPr="00787196">
        <w:t xml:space="preserve">dentists. </w:t>
      </w:r>
      <w:r w:rsidR="009E6FE2" w:rsidRPr="00787196">
        <w:t>A</w:t>
      </w:r>
      <w:r w:rsidR="00AB634F" w:rsidRPr="00787196">
        <w:t>llow</w:t>
      </w:r>
      <w:r w:rsidRPr="00787196">
        <w:t xml:space="preserve">ing </w:t>
      </w:r>
      <w:r w:rsidR="00B30E51" w:rsidRPr="00787196">
        <w:t>them to</w:t>
      </w:r>
      <w:r w:rsidR="00AB634F" w:rsidRPr="00787196">
        <w:t xml:space="preserve"> </w:t>
      </w:r>
      <w:r w:rsidR="009E6FE2" w:rsidRPr="00787196">
        <w:t xml:space="preserve">involve more </w:t>
      </w:r>
      <w:r w:rsidR="00AB634F" w:rsidRPr="00787196">
        <w:t>in</w:t>
      </w:r>
      <w:r w:rsidR="009E6FE2" w:rsidRPr="00787196">
        <w:t xml:space="preserve"> the</w:t>
      </w:r>
      <w:r w:rsidR="00AB634F" w:rsidRPr="00787196">
        <w:t xml:space="preserve"> decision-making </w:t>
      </w:r>
      <w:r w:rsidR="009E6FE2" w:rsidRPr="00787196">
        <w:t xml:space="preserve">process </w:t>
      </w:r>
      <w:r w:rsidR="00AB634F" w:rsidRPr="00787196">
        <w:t>pertaining to their care</w:t>
      </w:r>
      <w:r w:rsidRPr="00787196">
        <w:t xml:space="preserve"> may </w:t>
      </w:r>
      <w:r w:rsidR="009E6FE2" w:rsidRPr="00787196">
        <w:t>improve outcomes</w:t>
      </w:r>
      <w:r w:rsidR="00AB634F" w:rsidRPr="00787196">
        <w:t xml:space="preserve">. </w:t>
      </w:r>
      <w:r w:rsidR="000535D1" w:rsidRPr="00787196">
        <w:rPr>
          <w:lang w:bidi="hi-IN"/>
        </w:rPr>
        <w:t>In future</w:t>
      </w:r>
      <w:r w:rsidR="00A21545" w:rsidRPr="00787196">
        <w:rPr>
          <w:lang w:bidi="hi-IN"/>
        </w:rPr>
        <w:t>, research combining</w:t>
      </w:r>
      <w:r w:rsidR="00C37A4A" w:rsidRPr="00787196">
        <w:rPr>
          <w:lang w:bidi="hi-IN"/>
        </w:rPr>
        <w:t xml:space="preserve"> questionnaire-based research</w:t>
      </w:r>
      <w:r w:rsidR="00A21545" w:rsidRPr="00787196">
        <w:rPr>
          <w:lang w:bidi="hi-IN"/>
        </w:rPr>
        <w:t xml:space="preserve"> </w:t>
      </w:r>
      <w:r w:rsidR="0084643A" w:rsidRPr="00787196">
        <w:rPr>
          <w:lang w:bidi="hi-IN"/>
        </w:rPr>
        <w:t xml:space="preserve">alongside </w:t>
      </w:r>
      <w:r w:rsidR="00A21545" w:rsidRPr="00787196">
        <w:rPr>
          <w:lang w:bidi="hi-IN"/>
        </w:rPr>
        <w:t xml:space="preserve">qualitative approaches (e.g. interviews with </w:t>
      </w:r>
      <w:r w:rsidR="00CB3037" w:rsidRPr="00787196">
        <w:rPr>
          <w:lang w:bidi="hi-IN"/>
        </w:rPr>
        <w:t>dentists</w:t>
      </w:r>
      <w:r w:rsidR="00A21545" w:rsidRPr="00787196">
        <w:rPr>
          <w:lang w:bidi="hi-IN"/>
        </w:rPr>
        <w:t xml:space="preserve">, </w:t>
      </w:r>
      <w:r w:rsidR="00CB3037" w:rsidRPr="00787196">
        <w:rPr>
          <w:lang w:bidi="hi-IN"/>
        </w:rPr>
        <w:t>patients, students treating patients</w:t>
      </w:r>
      <w:r w:rsidR="00A21545" w:rsidRPr="00787196">
        <w:rPr>
          <w:lang w:bidi="hi-IN"/>
        </w:rPr>
        <w:t xml:space="preserve">) </w:t>
      </w:r>
      <w:r w:rsidRPr="00787196">
        <w:rPr>
          <w:lang w:bidi="hi-IN"/>
        </w:rPr>
        <w:t xml:space="preserve">may </w:t>
      </w:r>
      <w:r w:rsidR="00A21545" w:rsidRPr="00787196">
        <w:rPr>
          <w:lang w:bidi="hi-IN"/>
        </w:rPr>
        <w:t xml:space="preserve">help researchers clearly understand and explain </w:t>
      </w:r>
      <w:r w:rsidR="00CB3037" w:rsidRPr="00787196">
        <w:rPr>
          <w:lang w:bidi="hi-IN"/>
        </w:rPr>
        <w:t xml:space="preserve">conventional denture </w:t>
      </w:r>
      <w:r w:rsidR="00A21545" w:rsidRPr="00787196">
        <w:rPr>
          <w:lang w:bidi="hi-IN"/>
        </w:rPr>
        <w:t xml:space="preserve">interventions </w:t>
      </w:r>
      <w:r w:rsidR="0084643A" w:rsidRPr="00787196">
        <w:rPr>
          <w:lang w:bidi="hi-IN"/>
        </w:rPr>
        <w:t>by means of</w:t>
      </w:r>
      <w:r w:rsidR="00A21545" w:rsidRPr="00787196">
        <w:rPr>
          <w:lang w:bidi="hi-IN"/>
        </w:rPr>
        <w:t xml:space="preserve"> observed effects and how the</w:t>
      </w:r>
      <w:r w:rsidR="0084643A" w:rsidRPr="00787196">
        <w:rPr>
          <w:lang w:bidi="hi-IN"/>
        </w:rPr>
        <w:t>y</w:t>
      </w:r>
      <w:r w:rsidR="00A21545" w:rsidRPr="00787196">
        <w:rPr>
          <w:lang w:bidi="hi-IN"/>
        </w:rPr>
        <w:t xml:space="preserve"> work</w:t>
      </w:r>
      <w:r w:rsidR="0084643A" w:rsidRPr="00787196">
        <w:rPr>
          <w:lang w:bidi="hi-IN"/>
        </w:rPr>
        <w:t xml:space="preserve">(i.e.) </w:t>
      </w:r>
      <w:r w:rsidR="00A21545" w:rsidRPr="00787196">
        <w:rPr>
          <w:lang w:bidi="hi-IN"/>
        </w:rPr>
        <w:t>mechanisms of action.</w:t>
      </w:r>
    </w:p>
    <w:p w14:paraId="4B7A5EC7" w14:textId="091FD8F9" w:rsidR="00AB634F" w:rsidRPr="00787196" w:rsidRDefault="00E34747" w:rsidP="00AB634F">
      <w:pPr>
        <w:rPr>
          <w:lang w:bidi="hi-IN"/>
        </w:rPr>
      </w:pPr>
      <w:r w:rsidRPr="00787196">
        <w:rPr>
          <w:lang w:bidi="hi-IN"/>
        </w:rPr>
        <w:t>Inclusion of relevant variables:</w:t>
      </w:r>
    </w:p>
    <w:p w14:paraId="25D389F2" w14:textId="3FD87E67" w:rsidR="00E34747" w:rsidRPr="00787196" w:rsidRDefault="00E34747" w:rsidP="00AB634F">
      <w:r w:rsidRPr="00787196">
        <w:rPr>
          <w:lang w:bidi="hi-IN"/>
        </w:rPr>
        <w:t>The Wilson and Cleary (199</w:t>
      </w:r>
      <w:r w:rsidR="0084643A" w:rsidRPr="00787196">
        <w:rPr>
          <w:lang w:bidi="hi-IN"/>
        </w:rPr>
        <w:t>5)</w:t>
      </w:r>
      <w:r w:rsidRPr="00787196">
        <w:rPr>
          <w:lang w:bidi="hi-IN"/>
        </w:rPr>
        <w:t xml:space="preserve"> model was populated in this study with variables identified in the review (Section 2.3). Inevitably since the research was planned, new studies have been published on dentures and OHQoL that could be included in the review. However, the review was conducted to identify relevant variables and fortunately none of the more recent studies have introduced any new variables  </w:t>
      </w:r>
    </w:p>
    <w:p w14:paraId="27B3C8C4" w14:textId="4016779C" w:rsidR="00B610CC" w:rsidRPr="00787196" w:rsidRDefault="00B610CC" w:rsidP="00AB634F">
      <w:r w:rsidRPr="00787196">
        <w:t>The clinical variables in this study were based on common oral conditions representing</w:t>
      </w:r>
      <w:r w:rsidR="001C4C87" w:rsidRPr="00787196">
        <w:t xml:space="preserve"> </w:t>
      </w:r>
      <w:r w:rsidRPr="00787196">
        <w:t xml:space="preserve">problems experienced among </w:t>
      </w:r>
      <w:r w:rsidR="00AB634F" w:rsidRPr="00787196">
        <w:t>adults who seek new dentures</w:t>
      </w:r>
      <w:r w:rsidRPr="00787196">
        <w:t xml:space="preserve">. </w:t>
      </w:r>
      <w:r w:rsidR="00AB634F" w:rsidRPr="00787196">
        <w:t>I</w:t>
      </w:r>
      <w:r w:rsidRPr="00787196">
        <w:t xml:space="preserve">nclusion of </w:t>
      </w:r>
      <w:r w:rsidR="00AB634F" w:rsidRPr="00787196">
        <w:t>other</w:t>
      </w:r>
      <w:r w:rsidRPr="00787196">
        <w:t xml:space="preserve"> </w:t>
      </w:r>
      <w:r w:rsidR="00AB634F" w:rsidRPr="00787196">
        <w:t xml:space="preserve">clinical factors such as individuals with </w:t>
      </w:r>
      <w:r w:rsidRPr="00787196">
        <w:t>sever</w:t>
      </w:r>
      <w:r w:rsidR="00AB634F" w:rsidRPr="00787196">
        <w:t xml:space="preserve">e disabilities and </w:t>
      </w:r>
      <w:r w:rsidRPr="00787196">
        <w:t xml:space="preserve">cases </w:t>
      </w:r>
      <w:r w:rsidR="00AB634F" w:rsidRPr="00787196">
        <w:t xml:space="preserve">where the challenge in adapting to new dentures can be worse </w:t>
      </w:r>
      <w:r w:rsidRPr="00787196">
        <w:t>could have provided different findings. Thus, it is recommended to repeat</w:t>
      </w:r>
      <w:r w:rsidR="001C4C87" w:rsidRPr="00787196">
        <w:t xml:space="preserve"> </w:t>
      </w:r>
      <w:r w:rsidRPr="00787196">
        <w:t>this study among other</w:t>
      </w:r>
      <w:r w:rsidR="00C37A4A" w:rsidRPr="00787196">
        <w:t xml:space="preserve"> </w:t>
      </w:r>
      <w:r w:rsidRPr="00787196">
        <w:t>populations</w:t>
      </w:r>
      <w:r w:rsidR="00C37A4A" w:rsidRPr="00787196">
        <w:t xml:space="preserve">, including more diverse participants. </w:t>
      </w:r>
      <w:r w:rsidRPr="00787196">
        <w:t xml:space="preserve"> </w:t>
      </w:r>
    </w:p>
    <w:p w14:paraId="40A0A9C5" w14:textId="4CC67299" w:rsidR="00B610CC" w:rsidRPr="00787196" w:rsidRDefault="00AB634F" w:rsidP="005B744F">
      <w:pPr>
        <w:spacing w:before="0" w:after="0"/>
      </w:pPr>
      <w:r w:rsidRPr="00787196">
        <w:t xml:space="preserve">This study </w:t>
      </w:r>
      <w:r w:rsidR="00B610CC" w:rsidRPr="00787196">
        <w:t xml:space="preserve">followed </w:t>
      </w:r>
      <w:r w:rsidRPr="00787196">
        <w:t>the</w:t>
      </w:r>
      <w:r w:rsidR="00B610CC" w:rsidRPr="00787196">
        <w:t xml:space="preserve"> sample over a </w:t>
      </w:r>
      <w:r w:rsidR="00E34747" w:rsidRPr="00787196">
        <w:t>3-month</w:t>
      </w:r>
      <w:r w:rsidR="00B610CC" w:rsidRPr="00787196">
        <w:t xml:space="preserve"> period. It is possible that longer follow-up might</w:t>
      </w:r>
      <w:r w:rsidR="001C4C87" w:rsidRPr="00787196">
        <w:t xml:space="preserve"> </w:t>
      </w:r>
      <w:r w:rsidR="00B610CC" w:rsidRPr="00787196">
        <w:t xml:space="preserve">provide different effects between independent and dependent </w:t>
      </w:r>
      <w:r w:rsidR="00E34747" w:rsidRPr="00787196">
        <w:t>variables.</w:t>
      </w:r>
      <w:r w:rsidR="00B610CC" w:rsidRPr="00787196">
        <w:t xml:space="preserve"> These findings however, provided preliminary data of </w:t>
      </w:r>
      <w:r w:rsidR="00757EC7" w:rsidRPr="00787196">
        <w:t xml:space="preserve">individuals seeking new dentures and their </w:t>
      </w:r>
      <w:r w:rsidR="00B610CC" w:rsidRPr="00787196">
        <w:t>characteristics</w:t>
      </w:r>
      <w:r w:rsidR="00757EC7" w:rsidRPr="00787196">
        <w:t>.</w:t>
      </w:r>
      <w:r w:rsidR="00B610CC" w:rsidRPr="00787196">
        <w:t xml:space="preserve"> In</w:t>
      </w:r>
      <w:r w:rsidR="001C4C87" w:rsidRPr="00787196">
        <w:t xml:space="preserve"> </w:t>
      </w:r>
      <w:r w:rsidR="00B610CC" w:rsidRPr="00787196">
        <w:t xml:space="preserve">other words, the study provides important </w:t>
      </w:r>
      <w:r w:rsidR="00757EC7" w:rsidRPr="00787196">
        <w:t>f</w:t>
      </w:r>
      <w:r w:rsidR="00B610CC" w:rsidRPr="00787196">
        <w:t xml:space="preserve">indings to indicate key </w:t>
      </w:r>
      <w:r w:rsidR="00757EC7" w:rsidRPr="00787196">
        <w:t xml:space="preserve">clinical </w:t>
      </w:r>
      <w:r w:rsidR="00B610CC" w:rsidRPr="00787196">
        <w:t>variables that may be</w:t>
      </w:r>
      <w:r w:rsidR="001C4C87" w:rsidRPr="00787196">
        <w:t xml:space="preserve"> </w:t>
      </w:r>
      <w:r w:rsidR="00B610CC" w:rsidRPr="00787196">
        <w:t xml:space="preserve">useful in predicting </w:t>
      </w:r>
      <w:r w:rsidR="00B610CC" w:rsidRPr="00787196">
        <w:lastRenderedPageBreak/>
        <w:t xml:space="preserve">longitudinal </w:t>
      </w:r>
      <w:r w:rsidR="00757EC7" w:rsidRPr="00787196">
        <w:t>changes</w:t>
      </w:r>
      <w:r w:rsidR="00B610CC" w:rsidRPr="00787196">
        <w:t xml:space="preserve"> in oral health outcomes which could be useful in</w:t>
      </w:r>
      <w:r w:rsidR="001C4C87" w:rsidRPr="00787196">
        <w:t xml:space="preserve"> </w:t>
      </w:r>
      <w:r w:rsidR="00B610CC" w:rsidRPr="00787196">
        <w:t>oral health interventions. Longer periods of follow-up will be useful to provide information</w:t>
      </w:r>
      <w:r w:rsidR="001C4C87" w:rsidRPr="00787196">
        <w:t xml:space="preserve"> </w:t>
      </w:r>
      <w:r w:rsidR="00B610CC" w:rsidRPr="00787196">
        <w:t xml:space="preserve">about </w:t>
      </w:r>
      <w:r w:rsidR="00757EC7" w:rsidRPr="00787196">
        <w:t xml:space="preserve">further </w:t>
      </w:r>
      <w:r w:rsidR="00B610CC" w:rsidRPr="00787196">
        <w:t xml:space="preserve">factors </w:t>
      </w:r>
      <w:r w:rsidR="00C37A4A" w:rsidRPr="00787196">
        <w:t xml:space="preserve">linked to participant’s backgrounds or </w:t>
      </w:r>
      <w:r w:rsidR="008B778D" w:rsidRPr="00787196">
        <w:t>psychosocial variables</w:t>
      </w:r>
      <w:r w:rsidR="00C37A4A" w:rsidRPr="00787196">
        <w:t>.</w:t>
      </w:r>
      <w:r w:rsidR="00B610CC" w:rsidRPr="00787196">
        <w:t xml:space="preserve"> </w:t>
      </w:r>
      <w:r w:rsidR="00757EC7" w:rsidRPr="00787196">
        <w:t xml:space="preserve">For example, coping strategies are </w:t>
      </w:r>
      <w:r w:rsidR="00B610CC" w:rsidRPr="00787196">
        <w:t>important, but it remains to be seen whether it would be so pertinent</w:t>
      </w:r>
      <w:r w:rsidR="001C4C87" w:rsidRPr="00787196">
        <w:t xml:space="preserve"> </w:t>
      </w:r>
      <w:r w:rsidR="00B610CC" w:rsidRPr="00787196">
        <w:t xml:space="preserve">in </w:t>
      </w:r>
      <w:r w:rsidR="00757EC7" w:rsidRPr="00787196">
        <w:t>adults receiving dentures</w:t>
      </w:r>
      <w:r w:rsidR="00B610CC" w:rsidRPr="00787196">
        <w:t xml:space="preserve">. Furthermore, the study only involved </w:t>
      </w:r>
      <w:r w:rsidR="00757EC7" w:rsidRPr="00787196">
        <w:t xml:space="preserve">adults </w:t>
      </w:r>
      <w:r w:rsidR="00B610CC" w:rsidRPr="00787196">
        <w:t xml:space="preserve">of the </w:t>
      </w:r>
      <w:r w:rsidR="00757EC7" w:rsidRPr="00787196">
        <w:t>Tamil</w:t>
      </w:r>
      <w:r w:rsidR="00B610CC" w:rsidRPr="00787196">
        <w:t xml:space="preserve"> ethnicity and in </w:t>
      </w:r>
      <w:r w:rsidR="00757EC7" w:rsidRPr="00787196">
        <w:t>Chennai metropolis area</w:t>
      </w:r>
      <w:r w:rsidR="00B610CC" w:rsidRPr="00787196">
        <w:t>. Thus, generalisation to other age and ethnic groups may be limited.</w:t>
      </w:r>
    </w:p>
    <w:p w14:paraId="74B0D146" w14:textId="77777777" w:rsidR="001C4C87" w:rsidRPr="00787196" w:rsidRDefault="001C4C87" w:rsidP="001C4C87">
      <w:pPr>
        <w:spacing w:before="0" w:after="0"/>
      </w:pPr>
    </w:p>
    <w:p w14:paraId="05196632" w14:textId="2105D3B3" w:rsidR="00B610CC" w:rsidRPr="00787196" w:rsidRDefault="00B610CC" w:rsidP="001C4C87">
      <w:pPr>
        <w:spacing w:before="0" w:after="0"/>
      </w:pPr>
      <w:r w:rsidRPr="00787196">
        <w:t>Th</w:t>
      </w:r>
      <w:r w:rsidR="00757EC7" w:rsidRPr="00787196">
        <w:t>us</w:t>
      </w:r>
      <w:r w:rsidRPr="00787196">
        <w:t>, interpretation of the findings</w:t>
      </w:r>
      <w:r w:rsidR="00757EC7" w:rsidRPr="00787196">
        <w:t xml:space="preserve"> of this</w:t>
      </w:r>
      <w:r w:rsidR="00C37A4A" w:rsidRPr="00787196">
        <w:t xml:space="preserve"> study</w:t>
      </w:r>
      <w:r w:rsidR="00757EC7" w:rsidRPr="00787196">
        <w:t xml:space="preserve"> </w:t>
      </w:r>
      <w:r w:rsidRPr="00787196">
        <w:t>must be undertaken with caution. Separate studies</w:t>
      </w:r>
      <w:r w:rsidR="001C4C87" w:rsidRPr="00787196">
        <w:t xml:space="preserve"> </w:t>
      </w:r>
      <w:r w:rsidRPr="00787196">
        <w:t xml:space="preserve">involving </w:t>
      </w:r>
      <w:r w:rsidR="00757EC7" w:rsidRPr="00787196">
        <w:t xml:space="preserve">adults </w:t>
      </w:r>
      <w:r w:rsidRPr="00787196">
        <w:t xml:space="preserve">of other </w:t>
      </w:r>
      <w:r w:rsidR="00757EC7" w:rsidRPr="00787196">
        <w:t xml:space="preserve">backgrounds, </w:t>
      </w:r>
      <w:r w:rsidRPr="00787196">
        <w:t xml:space="preserve">races, </w:t>
      </w:r>
      <w:r w:rsidR="00757EC7" w:rsidRPr="00787196">
        <w:t>ethnicities</w:t>
      </w:r>
      <w:r w:rsidR="006E2948" w:rsidRPr="00787196">
        <w:t xml:space="preserve">, socio-economic groups, </w:t>
      </w:r>
      <w:r w:rsidRPr="00787196">
        <w:t xml:space="preserve">ages and cultures are therefore suggested. </w:t>
      </w:r>
      <w:r w:rsidR="006E2948" w:rsidRPr="00787196">
        <w:t>Also t</w:t>
      </w:r>
      <w:r w:rsidRPr="00787196">
        <w:t>he use of</w:t>
      </w:r>
      <w:r w:rsidR="001C4C87" w:rsidRPr="00787196">
        <w:t xml:space="preserve"> </w:t>
      </w:r>
      <w:r w:rsidRPr="00787196">
        <w:t>multiple regressions only identified predictive relationships but did not test causal</w:t>
      </w:r>
      <w:r w:rsidR="001C4C87" w:rsidRPr="00787196">
        <w:t xml:space="preserve"> </w:t>
      </w:r>
      <w:r w:rsidRPr="00787196">
        <w:t>relationships or bidirectional or feedback loops. The more sophisticated structural equation</w:t>
      </w:r>
      <w:r w:rsidR="001C4C87" w:rsidRPr="00787196">
        <w:t xml:space="preserve"> </w:t>
      </w:r>
      <w:r w:rsidRPr="00787196">
        <w:t>technique (Baker et a</w:t>
      </w:r>
      <w:r w:rsidR="00C37A4A" w:rsidRPr="00787196">
        <w:t>l.,</w:t>
      </w:r>
      <w:r w:rsidRPr="00787196">
        <w:t xml:space="preserve"> 2007) may </w:t>
      </w:r>
      <w:r w:rsidR="00C37A4A" w:rsidRPr="00787196">
        <w:t xml:space="preserve">help elucidate on indirect and direct pathways linking variables </w:t>
      </w:r>
      <w:r w:rsidR="00743B18" w:rsidRPr="00787196">
        <w:t xml:space="preserve">in </w:t>
      </w:r>
      <w:r w:rsidR="00C37A4A" w:rsidRPr="00787196">
        <w:t>the hypothesised Wilson and Cleary model</w:t>
      </w:r>
      <w:r w:rsidRPr="00787196">
        <w:t xml:space="preserve">. Nevertheless, </w:t>
      </w:r>
      <w:r w:rsidR="00743B18" w:rsidRPr="00787196">
        <w:t xml:space="preserve">the present </w:t>
      </w:r>
      <w:r w:rsidRPr="00787196">
        <w:t>study was a</w:t>
      </w:r>
      <w:r w:rsidR="001C4C87" w:rsidRPr="00787196">
        <w:t xml:space="preserve"> </w:t>
      </w:r>
      <w:r w:rsidRPr="00787196">
        <w:t>robust, longitudinal study, with lagged analyses which controlled for baseline variables to</w:t>
      </w:r>
      <w:r w:rsidR="001C4C87" w:rsidRPr="00787196">
        <w:t xml:space="preserve"> </w:t>
      </w:r>
      <w:r w:rsidRPr="00787196">
        <w:t xml:space="preserve">explain follow up variables. </w:t>
      </w:r>
    </w:p>
    <w:p w14:paraId="269F1C9B" w14:textId="77777777" w:rsidR="001C4C87" w:rsidRPr="00787196" w:rsidRDefault="001C4C87" w:rsidP="001C4C87">
      <w:pPr>
        <w:spacing w:before="0" w:after="0"/>
      </w:pPr>
    </w:p>
    <w:p w14:paraId="6EBE2D6D" w14:textId="00590C35" w:rsidR="0083201A" w:rsidRPr="00787196" w:rsidRDefault="00E62F46" w:rsidP="00777594">
      <w:pPr>
        <w:spacing w:before="0" w:after="0"/>
      </w:pPr>
      <w:r w:rsidRPr="00787196">
        <w:t>In spite of the above</w:t>
      </w:r>
      <w:r w:rsidR="00B610CC" w:rsidRPr="00787196">
        <w:t xml:space="preserve"> limitations, this study has made contributions to oral health research by</w:t>
      </w:r>
      <w:r w:rsidR="001C4C87" w:rsidRPr="00787196">
        <w:t xml:space="preserve"> </w:t>
      </w:r>
      <w:r w:rsidR="00B610CC" w:rsidRPr="00787196">
        <w:t xml:space="preserve">providing strong evidence that </w:t>
      </w:r>
      <w:r w:rsidR="006E2948" w:rsidRPr="00787196">
        <w:t>certain clinical factors were</w:t>
      </w:r>
      <w:r w:rsidR="00B610CC" w:rsidRPr="00787196">
        <w:t xml:space="preserve"> important determinant</w:t>
      </w:r>
      <w:r w:rsidR="006E2948" w:rsidRPr="00787196">
        <w:t>s</w:t>
      </w:r>
      <w:r w:rsidR="00B610CC" w:rsidRPr="00787196">
        <w:t xml:space="preserve"> of </w:t>
      </w:r>
      <w:r w:rsidR="006E2948" w:rsidRPr="00787196">
        <w:t xml:space="preserve">successful </w:t>
      </w:r>
      <w:r w:rsidR="00B610CC" w:rsidRPr="00787196">
        <w:t>oral health outcomes</w:t>
      </w:r>
      <w:r w:rsidR="001C4C87" w:rsidRPr="00787196">
        <w:t xml:space="preserve"> </w:t>
      </w:r>
      <w:r w:rsidR="00B610CC" w:rsidRPr="00787196">
        <w:t xml:space="preserve">among </w:t>
      </w:r>
      <w:r w:rsidR="006E2948" w:rsidRPr="00787196">
        <w:t>individuals seeking new dentures</w:t>
      </w:r>
      <w:r w:rsidR="00B610CC" w:rsidRPr="00787196">
        <w:t xml:space="preserve">. </w:t>
      </w:r>
      <w:r w:rsidR="006E2948" w:rsidRPr="00787196">
        <w:t xml:space="preserve">The main variable coping strategies did not seem to influence </w:t>
      </w:r>
      <w:r w:rsidR="00777594" w:rsidRPr="00787196">
        <w:t>such</w:t>
      </w:r>
      <w:r w:rsidR="006E2948" w:rsidRPr="00787196">
        <w:t xml:space="preserve"> outcomes</w:t>
      </w:r>
      <w:r w:rsidR="00601E1C" w:rsidRPr="00787196">
        <w:t>.</w:t>
      </w:r>
      <w:r w:rsidR="006E2948" w:rsidRPr="00787196">
        <w:t xml:space="preserve"> </w:t>
      </w:r>
      <w:r w:rsidR="00B610CC" w:rsidRPr="00787196">
        <w:t xml:space="preserve">It will be </w:t>
      </w:r>
      <w:r w:rsidRPr="00787196">
        <w:t xml:space="preserve">valuable </w:t>
      </w:r>
      <w:r w:rsidR="00B610CC" w:rsidRPr="00787196">
        <w:t xml:space="preserve">to further </w:t>
      </w:r>
      <w:r w:rsidRPr="00787196">
        <w:t>assess the</w:t>
      </w:r>
      <w:r w:rsidR="00B610CC" w:rsidRPr="00787196">
        <w:t xml:space="preserve"> ability of individual factors and</w:t>
      </w:r>
      <w:r w:rsidR="001C4C87" w:rsidRPr="00787196">
        <w:t xml:space="preserve"> </w:t>
      </w:r>
      <w:r w:rsidR="00B610CC" w:rsidRPr="00787196">
        <w:t xml:space="preserve">social adversity to define </w:t>
      </w:r>
      <w:r w:rsidR="006E2948" w:rsidRPr="00787196">
        <w:t xml:space="preserve">successful </w:t>
      </w:r>
      <w:r w:rsidR="00B610CC" w:rsidRPr="00787196">
        <w:t>oral health outcomes</w:t>
      </w:r>
      <w:r w:rsidR="006E2948" w:rsidRPr="00787196">
        <w:t xml:space="preserve"> in individuals seeking dentures</w:t>
      </w:r>
      <w:r w:rsidR="00B610CC" w:rsidRPr="00787196">
        <w:t xml:space="preserve">. </w:t>
      </w:r>
      <w:r w:rsidR="00331E7F" w:rsidRPr="00787196">
        <w:t xml:space="preserve">Studies carried out in the future should </w:t>
      </w:r>
      <w:r w:rsidR="00B610CC" w:rsidRPr="00787196">
        <w:t>consider whether the</w:t>
      </w:r>
      <w:r w:rsidRPr="00787196">
        <w:t>se</w:t>
      </w:r>
      <w:r w:rsidR="00B610CC" w:rsidRPr="00787196">
        <w:t xml:space="preserve"> same findings </w:t>
      </w:r>
      <w:r w:rsidRPr="00787196">
        <w:t xml:space="preserve">could be identified </w:t>
      </w:r>
      <w:r w:rsidR="00B610CC" w:rsidRPr="00787196">
        <w:t>a</w:t>
      </w:r>
      <w:r w:rsidRPr="00787196">
        <w:t xml:space="preserve">cross </w:t>
      </w:r>
      <w:r w:rsidR="00B610CC" w:rsidRPr="00787196">
        <w:t>age-groups, with different</w:t>
      </w:r>
      <w:r w:rsidR="001C4C87" w:rsidRPr="00787196">
        <w:t xml:space="preserve"> </w:t>
      </w:r>
      <w:r w:rsidR="00B610CC" w:rsidRPr="00787196">
        <w:t>patterns of diseases and longer periods of follow-up.</w:t>
      </w:r>
    </w:p>
    <w:p w14:paraId="7335F50A" w14:textId="77777777" w:rsidR="0083201A" w:rsidRPr="00787196" w:rsidRDefault="0083201A">
      <w:pPr>
        <w:spacing w:before="0" w:after="0" w:line="240" w:lineRule="auto"/>
        <w:jc w:val="left"/>
      </w:pPr>
      <w:r w:rsidRPr="00787196">
        <w:br w:type="page"/>
      </w:r>
    </w:p>
    <w:p w14:paraId="2EE779A2" w14:textId="77777777" w:rsidR="00DE4390" w:rsidRPr="00787196" w:rsidRDefault="00DE4390" w:rsidP="004F119E">
      <w:pPr>
        <w:pStyle w:val="Heading2"/>
        <w:rPr>
          <w:lang w:bidi="hi-IN"/>
        </w:rPr>
      </w:pPr>
      <w:bookmarkStart w:id="349" w:name="_Toc488655695"/>
      <w:bookmarkStart w:id="350" w:name="_Toc456211213"/>
      <w:r w:rsidRPr="00787196">
        <w:rPr>
          <w:lang w:bidi="hi-IN"/>
        </w:rPr>
        <w:lastRenderedPageBreak/>
        <w:t>Strengths of the study</w:t>
      </w:r>
      <w:bookmarkEnd w:id="349"/>
      <w:r w:rsidRPr="00787196">
        <w:rPr>
          <w:lang w:bidi="hi-IN"/>
        </w:rPr>
        <w:t xml:space="preserve"> </w:t>
      </w:r>
    </w:p>
    <w:p w14:paraId="2D20C977" w14:textId="77777777" w:rsidR="0083201A" w:rsidRPr="00787196" w:rsidRDefault="00DE4390" w:rsidP="0083201A">
      <w:pPr>
        <w:spacing w:before="0" w:after="0"/>
      </w:pPr>
      <w:r w:rsidRPr="00787196">
        <w:t>Over the last decade and a half</w:t>
      </w:r>
      <w:r w:rsidR="009F015F" w:rsidRPr="00787196">
        <w:t>,</w:t>
      </w:r>
      <w:r w:rsidR="00634148" w:rsidRPr="00787196">
        <w:t xml:space="preserve"> a few</w:t>
      </w:r>
      <w:r w:rsidRPr="00787196">
        <w:t xml:space="preserve"> studies have </w:t>
      </w:r>
      <w:r w:rsidR="009F015F" w:rsidRPr="00787196">
        <w:t xml:space="preserve">explored the association between individuals’ </w:t>
      </w:r>
      <w:r w:rsidR="00F66AEA" w:rsidRPr="00787196">
        <w:t xml:space="preserve">coping strategies and </w:t>
      </w:r>
      <w:r w:rsidR="005F44EC" w:rsidRPr="00787196">
        <w:t xml:space="preserve">oral health </w:t>
      </w:r>
      <w:r w:rsidR="009F015F" w:rsidRPr="00787196">
        <w:fldChar w:fldCharType="begin">
          <w:fldData xml:space="preserve">PEVuZE5vdGU+PENpdGU+PEF1dGhvcj5HZW5jbzwvQXV0aG9yPjxZZWFyPjE5OTk8L1llYXI+PElE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</w:fldData>
        </w:fldChar>
      </w:r>
      <w:r w:rsidR="00CC236A" w:rsidRPr="00787196">
        <w:instrText xml:space="preserve"> ADDIN EN.CITE </w:instrText>
      </w:r>
      <w:r w:rsidR="00CC236A" w:rsidRPr="00787196">
        <w:fldChar w:fldCharType="begin">
          <w:fldData xml:space="preserve">PEVuZE5vdGU+PENpdGU+PEF1dGhvcj5HZW5jbzwvQXV0aG9yPjxZZWFyPjE5OTk8L1llYXI+PElE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</w:fldData>
        </w:fldChar>
      </w:r>
      <w:r w:rsidR="00CC236A" w:rsidRPr="00787196">
        <w:instrText xml:space="preserve"> ADDIN EN.CITE.DATA </w:instrText>
      </w:r>
      <w:r w:rsidR="00CC236A" w:rsidRPr="00787196">
        <w:fldChar w:fldCharType="end"/>
      </w:r>
      <w:r w:rsidR="009F015F" w:rsidRPr="00787196">
        <w:fldChar w:fldCharType="separate"/>
      </w:r>
      <w:r w:rsidR="00CC236A" w:rsidRPr="00787196">
        <w:rPr>
          <w:noProof/>
        </w:rPr>
        <w:t>(Genco et al., 1999, Heydecke et al., 2004, Porritt et al., 2014)</w:t>
      </w:r>
      <w:r w:rsidR="009F015F" w:rsidRPr="00787196">
        <w:fldChar w:fldCharType="end"/>
      </w:r>
      <w:r w:rsidRPr="00787196">
        <w:t xml:space="preserve">. </w:t>
      </w:r>
      <w:r w:rsidR="005F44EC" w:rsidRPr="00787196">
        <w:t>W</w:t>
      </w:r>
      <w:r w:rsidR="00A13330" w:rsidRPr="00787196">
        <w:t xml:space="preserve">ith the </w:t>
      </w:r>
      <w:r w:rsidRPr="00787196">
        <w:t>except</w:t>
      </w:r>
      <w:r w:rsidR="00A13330" w:rsidRPr="00787196">
        <w:t>ion of</w:t>
      </w:r>
      <w:r w:rsidRPr="00787196">
        <w:t xml:space="preserve"> </w:t>
      </w:r>
      <w:r w:rsidR="00F66AEA" w:rsidRPr="00787196">
        <w:t>the Heydecke and colleagues’ (2004) study</w:t>
      </w:r>
      <w:r w:rsidR="00634148" w:rsidRPr="00787196">
        <w:t>,</w:t>
      </w:r>
      <w:r w:rsidR="005F44EC" w:rsidRPr="00787196">
        <w:t xml:space="preserve"> which was a cross-sectional observation</w:t>
      </w:r>
      <w:r w:rsidR="00F66AEA" w:rsidRPr="00787196">
        <w:t>,</w:t>
      </w:r>
      <w:r w:rsidR="00A13330" w:rsidRPr="00787196">
        <w:t xml:space="preserve"> </w:t>
      </w:r>
      <w:r w:rsidR="00F66AEA" w:rsidRPr="00787196">
        <w:t>t</w:t>
      </w:r>
      <w:r w:rsidRPr="00787196">
        <w:t xml:space="preserve">he effect coping </w:t>
      </w:r>
      <w:r w:rsidR="00601E1C" w:rsidRPr="00787196">
        <w:t xml:space="preserve">strategies </w:t>
      </w:r>
      <w:r w:rsidR="005F44EC" w:rsidRPr="00787196">
        <w:t xml:space="preserve">on </w:t>
      </w:r>
      <w:r w:rsidRPr="00787196">
        <w:t>denture wearer</w:t>
      </w:r>
      <w:r w:rsidR="00A13330" w:rsidRPr="00787196">
        <w:t>’s</w:t>
      </w:r>
      <w:r w:rsidR="00601E1C" w:rsidRPr="00787196">
        <w:t xml:space="preserve"> </w:t>
      </w:r>
      <w:r w:rsidRPr="00787196">
        <w:t>OHQoL</w:t>
      </w:r>
      <w:r w:rsidR="00F66AEA" w:rsidRPr="00787196">
        <w:t xml:space="preserve"> ha</w:t>
      </w:r>
      <w:r w:rsidR="005F44EC" w:rsidRPr="00787196">
        <w:t xml:space="preserve">s </w:t>
      </w:r>
      <w:r w:rsidR="00F66AEA" w:rsidRPr="00787196">
        <w:t xml:space="preserve">not been </w:t>
      </w:r>
      <w:r w:rsidR="005F44EC" w:rsidRPr="00787196">
        <w:t>explored. The</w:t>
      </w:r>
      <w:r w:rsidR="00F66AEA" w:rsidRPr="00787196">
        <w:t xml:space="preserve"> present</w:t>
      </w:r>
      <w:r w:rsidRPr="00787196">
        <w:t xml:space="preserve"> study is the first longitudinal</w:t>
      </w:r>
      <w:r w:rsidR="00A13330" w:rsidRPr="00787196">
        <w:t xml:space="preserve"> </w:t>
      </w:r>
      <w:r w:rsidR="00601E1C" w:rsidRPr="00787196">
        <w:t xml:space="preserve">examination </w:t>
      </w:r>
      <w:r w:rsidR="00A13330" w:rsidRPr="00787196">
        <w:t xml:space="preserve">of this relationship </w:t>
      </w:r>
      <w:r w:rsidR="0083201A" w:rsidRPr="00787196">
        <w:t>and</w:t>
      </w:r>
      <w:r w:rsidRPr="00787196">
        <w:t xml:space="preserve"> </w:t>
      </w:r>
      <w:r w:rsidR="005F44EC" w:rsidRPr="00787196">
        <w:t xml:space="preserve">also </w:t>
      </w:r>
      <w:r w:rsidRPr="00787196">
        <w:t xml:space="preserve">the first </w:t>
      </w:r>
      <w:r w:rsidR="005B744F" w:rsidRPr="00787196">
        <w:t>to</w:t>
      </w:r>
      <w:r w:rsidRPr="00787196">
        <w:t xml:space="preserve"> investigat</w:t>
      </w:r>
      <w:r w:rsidR="005B744F" w:rsidRPr="00787196">
        <w:t>e</w:t>
      </w:r>
      <w:r w:rsidRPr="00787196">
        <w:t xml:space="preserve"> the relationship using a robust theoretical model and has provided evidence that coping strategies are not associated with successful </w:t>
      </w:r>
      <w:r w:rsidR="005B744F" w:rsidRPr="00787196">
        <w:t>outcomes. The lack of apparent relationship may be may be due a homogenous l</w:t>
      </w:r>
      <w:r w:rsidRPr="00787196">
        <w:t xml:space="preserve">ow SES population receiving subsidised dentures. </w:t>
      </w:r>
      <w:r w:rsidR="007A7212" w:rsidRPr="00787196">
        <w:t>Research driven by theoretical concepts is</w:t>
      </w:r>
      <w:r w:rsidR="00686DF7" w:rsidRPr="00787196">
        <w:t xml:space="preserve"> imperative </w:t>
      </w:r>
      <w:r w:rsidRPr="00787196">
        <w:t xml:space="preserve">to </w:t>
      </w:r>
      <w:r w:rsidR="00686DF7" w:rsidRPr="00787196">
        <w:t>comprehensively</w:t>
      </w:r>
      <w:r w:rsidRPr="00787196">
        <w:t xml:space="preserve"> understand the relationship between variables influenc</w:t>
      </w:r>
      <w:r w:rsidR="00686DF7" w:rsidRPr="00787196">
        <w:t>ing</w:t>
      </w:r>
      <w:r w:rsidRPr="00787196">
        <w:t xml:space="preserve"> patient reported outcomes. Th</w:t>
      </w:r>
      <w:r w:rsidR="00686DF7" w:rsidRPr="00787196">
        <w:t xml:space="preserve">e present </w:t>
      </w:r>
      <w:r w:rsidRPr="00787196">
        <w:t>study is one of</w:t>
      </w:r>
      <w:r w:rsidR="00686DF7" w:rsidRPr="00787196">
        <w:t xml:space="preserve"> the very </w:t>
      </w:r>
      <w:r w:rsidRPr="00787196">
        <w:t xml:space="preserve">few within dentistry </w:t>
      </w:r>
      <w:r w:rsidR="00686DF7" w:rsidRPr="00787196">
        <w:t xml:space="preserve">to have </w:t>
      </w:r>
      <w:r w:rsidRPr="00787196">
        <w:t xml:space="preserve">tested the relationships between factors influencing patient reported successful denture outcomes </w:t>
      </w:r>
      <w:r w:rsidR="00686DF7" w:rsidRPr="00787196">
        <w:t>based on</w:t>
      </w:r>
      <w:r w:rsidRPr="00787196">
        <w:t xml:space="preserve"> the Wilson and Cleary model (1995) </w:t>
      </w:r>
      <w:r w:rsidR="00686DF7" w:rsidRPr="00787196">
        <w:t xml:space="preserve">which </w:t>
      </w:r>
      <w:r w:rsidR="000F2D79" w:rsidRPr="00787196">
        <w:t xml:space="preserve">associates </w:t>
      </w:r>
      <w:r w:rsidRPr="00787196">
        <w:t>clinical status, individual and environmental factors.</w:t>
      </w:r>
    </w:p>
    <w:p w14:paraId="76ED5632" w14:textId="5DDD9725" w:rsidR="00DE4390" w:rsidRPr="00787196" w:rsidRDefault="00DE4390" w:rsidP="0083201A">
      <w:pPr>
        <w:spacing w:before="0" w:after="0"/>
        <w:rPr>
          <w:lang w:bidi="hi-IN"/>
        </w:rPr>
        <w:sectPr w:rsidR="00DE4390" w:rsidRPr="00787196" w:rsidSect="009C5D71">
          <w:headerReference w:type="default" r:id="rId29"/>
          <w:footerReference w:type="even" r:id="rId30"/>
          <w:footerReference w:type="default" r:id="rId31"/>
          <w:pgSz w:w="11906" w:h="16838"/>
          <w:pgMar w:top="1134" w:right="1134" w:bottom="1134" w:left="2268" w:header="709" w:footer="709" w:gutter="0"/>
          <w:cols w:space="708"/>
          <w:docGrid w:linePitch="360"/>
        </w:sectPr>
      </w:pPr>
      <w:r w:rsidRPr="00787196">
        <w:t xml:space="preserve"> </w:t>
      </w:r>
    </w:p>
    <w:p w14:paraId="0A10C690" w14:textId="312C9823" w:rsidR="00DE4390" w:rsidRPr="00787196" w:rsidRDefault="007A40BC" w:rsidP="007A40BC">
      <w:pPr>
        <w:pStyle w:val="Heading1"/>
        <w:spacing w:after="0"/>
        <w:rPr>
          <w:lang w:bidi="hi-IN"/>
        </w:rPr>
      </w:pPr>
      <w:bookmarkStart w:id="351" w:name="_Toc488655696"/>
      <w:r w:rsidRPr="00787196">
        <w:rPr>
          <w:lang w:bidi="hi-IN"/>
        </w:rPr>
        <w:lastRenderedPageBreak/>
        <w:t>CHAPTER 7 CONCLUSION AND RECOMMENDATIONS</w:t>
      </w:r>
      <w:bookmarkEnd w:id="351"/>
    </w:p>
    <w:p w14:paraId="47DD1621" w14:textId="0B3845F5" w:rsidR="00B832DF" w:rsidRDefault="006E7D7A" w:rsidP="0079280A">
      <w:r>
        <w:t>T</w:t>
      </w:r>
      <w:r w:rsidRPr="00787196">
        <w:t xml:space="preserve">his prospective longitudinal </w:t>
      </w:r>
      <w:r>
        <w:t xml:space="preserve">and </w:t>
      </w:r>
      <w:r w:rsidRPr="00787196">
        <w:t xml:space="preserve">questionnaire study </w:t>
      </w:r>
      <w:r>
        <w:t xml:space="preserve">intended </w:t>
      </w:r>
      <w:r w:rsidRPr="00787196">
        <w:t xml:space="preserve"> </w:t>
      </w:r>
      <w:r>
        <w:t>t</w:t>
      </w:r>
      <w:r w:rsidR="00B832DF" w:rsidRPr="00787196">
        <w:t xml:space="preserve">o </w:t>
      </w:r>
      <w:r w:rsidR="004034C7" w:rsidRPr="00787196">
        <w:t xml:space="preserve">understand </w:t>
      </w:r>
      <w:r w:rsidR="0079280A" w:rsidRPr="00787196">
        <w:t>and</w:t>
      </w:r>
      <w:r w:rsidR="004034C7" w:rsidRPr="00787196">
        <w:t xml:space="preserve"> </w:t>
      </w:r>
      <w:r w:rsidR="00B832DF" w:rsidRPr="00787196">
        <w:t xml:space="preserve">conceptualise </w:t>
      </w:r>
      <w:r w:rsidR="0093519D" w:rsidRPr="00787196">
        <w:t>conventional denture success</w:t>
      </w:r>
      <w:r w:rsidR="00B832DF" w:rsidRPr="00787196">
        <w:t xml:space="preserve"> </w:t>
      </w:r>
      <w:r w:rsidR="00192C96" w:rsidRPr="00787196">
        <w:t>using</w:t>
      </w:r>
      <w:r w:rsidR="00B832DF" w:rsidRPr="00787196">
        <w:t xml:space="preserve"> OHQoL, identify its determinants </w:t>
      </w:r>
      <w:r w:rsidR="0093519D" w:rsidRPr="00787196">
        <w:t xml:space="preserve">and </w:t>
      </w:r>
      <w:r w:rsidR="00AB567E" w:rsidRPr="00787196">
        <w:t xml:space="preserve">further </w:t>
      </w:r>
      <w:r w:rsidR="00B832DF" w:rsidRPr="00787196">
        <w:t xml:space="preserve">observe </w:t>
      </w:r>
      <w:r w:rsidR="00192C96" w:rsidRPr="00787196">
        <w:t>its</w:t>
      </w:r>
      <w:r w:rsidR="00B832DF" w:rsidRPr="00787196">
        <w:t xml:space="preserve"> association </w:t>
      </w:r>
      <w:r w:rsidR="00192C96" w:rsidRPr="00787196">
        <w:t>with</w:t>
      </w:r>
      <w:r w:rsidR="00B832DF" w:rsidRPr="00787196">
        <w:t xml:space="preserve"> </w:t>
      </w:r>
      <w:r w:rsidR="0093519D" w:rsidRPr="00787196">
        <w:t xml:space="preserve">coping strategies </w:t>
      </w:r>
      <w:r w:rsidR="00B832DF" w:rsidRPr="00787196">
        <w:t>used by</w:t>
      </w:r>
      <w:r w:rsidR="0093519D" w:rsidRPr="00787196">
        <w:t xml:space="preserve"> individuals receiving new dentures,</w:t>
      </w:r>
      <w:r w:rsidR="0079280A" w:rsidRPr="00787196">
        <w:t xml:space="preserve">. </w:t>
      </w:r>
      <w:r w:rsidR="00DE4390" w:rsidRPr="00787196">
        <w:t>The</w:t>
      </w:r>
      <w:r>
        <w:t xml:space="preserve"> primary</w:t>
      </w:r>
      <w:r w:rsidR="00DE4390" w:rsidRPr="00787196">
        <w:rPr>
          <w:lang w:bidi="hi-IN"/>
        </w:rPr>
        <w:t xml:space="preserve"> </w:t>
      </w:r>
      <w:r w:rsidR="00B832DF" w:rsidRPr="00787196">
        <w:rPr>
          <w:lang w:bidi="hi-IN"/>
        </w:rPr>
        <w:t xml:space="preserve">aim of this </w:t>
      </w:r>
      <w:r w:rsidR="00B832DF" w:rsidRPr="00787196">
        <w:rPr>
          <w:rFonts w:cs="Arial"/>
          <w:szCs w:val="24"/>
        </w:rPr>
        <w:t>research was to observe whether coping strategies of individuals determine denture success to improve their OHQoL</w:t>
      </w:r>
      <w:r w:rsidR="0079280A" w:rsidRPr="00787196">
        <w:rPr>
          <w:rFonts w:cs="Arial"/>
          <w:szCs w:val="24"/>
        </w:rPr>
        <w:t>.</w:t>
      </w:r>
      <w:r w:rsidR="0079280A" w:rsidRPr="00787196">
        <w:t xml:space="preserve"> A robust theory based</w:t>
      </w:r>
      <w:r>
        <w:t xml:space="preserve"> model by Wilson and Cleary (1995)</w:t>
      </w:r>
      <w:r w:rsidR="0079280A" w:rsidRPr="00787196">
        <w:t xml:space="preserve"> was employed and</w:t>
      </w:r>
      <w:r>
        <w:t xml:space="preserve"> populate</w:t>
      </w:r>
      <w:r w:rsidR="00FC6E02">
        <w:t>d with</w:t>
      </w:r>
      <w:r>
        <w:t xml:space="preserve"> the variables identified through a systematic </w:t>
      </w:r>
      <w:r w:rsidR="00FC6E02">
        <w:t xml:space="preserve">literature </w:t>
      </w:r>
      <w:r>
        <w:t>review (Section 2.3)</w:t>
      </w:r>
      <w:r w:rsidR="00FC6E02">
        <w:t>. L</w:t>
      </w:r>
      <w:r w:rsidR="0079280A" w:rsidRPr="00787196">
        <w:t xml:space="preserve">agged </w:t>
      </w:r>
      <w:r w:rsidR="009D0003" w:rsidRPr="00787196">
        <w:t>regression</w:t>
      </w:r>
      <w:r w:rsidR="00FC6E02">
        <w:t xml:space="preserve"> modelling approach was used for the </w:t>
      </w:r>
      <w:r w:rsidR="0079280A" w:rsidRPr="00787196">
        <w:t>analysis.</w:t>
      </w:r>
      <w:r w:rsidR="00FC6E02">
        <w:t xml:space="preserve"> Measures included clinical, demographic</w:t>
      </w:r>
      <w:r w:rsidR="00707764">
        <w:t>, coping strategies</w:t>
      </w:r>
      <w:r w:rsidR="00FC6E02">
        <w:t xml:space="preserve"> </w:t>
      </w:r>
      <w:r w:rsidR="00707764">
        <w:t xml:space="preserve">other </w:t>
      </w:r>
      <w:r w:rsidR="00FC6E02">
        <w:t>individual factors (</w:t>
      </w:r>
      <w:r w:rsidR="00707764">
        <w:t>subjective SES</w:t>
      </w:r>
      <w:r w:rsidR="00707764">
        <w:t>, ageing expectations, concern about oral health, perceived stress), environmental factors (SES) and outcomes (OHQoL, denture satisfaction and chewing index)</w:t>
      </w:r>
      <w:r w:rsidR="00F255D7">
        <w:t>. Data were collected for all the populated variables at baseline and after a 3 month follow-up (except clinical data and subjective SES).</w:t>
      </w:r>
    </w:p>
    <w:p w14:paraId="0F7B60AB" w14:textId="27B5822D" w:rsidR="00F255D7" w:rsidRPr="00787196" w:rsidRDefault="00F255D7" w:rsidP="0079280A">
      <w:pPr>
        <w:rPr>
          <w:rFonts w:cs="Arial"/>
          <w:szCs w:val="24"/>
        </w:rPr>
      </w:pPr>
      <w:r>
        <w:rPr>
          <w:lang w:bidi="hi-IN"/>
        </w:rPr>
        <w:t xml:space="preserve">This </w:t>
      </w:r>
      <w:r>
        <w:rPr>
          <w:lang w:bidi="hi-IN"/>
        </w:rPr>
        <w:t xml:space="preserve">research </w:t>
      </w:r>
      <w:r>
        <w:rPr>
          <w:lang w:bidi="hi-IN"/>
        </w:rPr>
        <w:t>has contributed to current evidence</w:t>
      </w:r>
      <w:r w:rsidR="00F7616F">
        <w:rPr>
          <w:lang w:bidi="hi-IN"/>
        </w:rPr>
        <w:t xml:space="preserve"> by longitudinally exploring the association between coping strategies in individuals receiving new dentures and OHQoL.  It is the first study to </w:t>
      </w:r>
      <w:r>
        <w:rPr>
          <w:lang w:bidi="hi-IN"/>
        </w:rPr>
        <w:t xml:space="preserve">identify predictors of denture success </w:t>
      </w:r>
      <w:r w:rsidR="00F7616F">
        <w:rPr>
          <w:lang w:bidi="hi-IN"/>
        </w:rPr>
        <w:t>based on</w:t>
      </w:r>
      <w:r>
        <w:rPr>
          <w:lang w:bidi="hi-IN"/>
        </w:rPr>
        <w:t xml:space="preserve"> reported </w:t>
      </w:r>
      <w:r w:rsidR="00F7616F">
        <w:rPr>
          <w:lang w:bidi="hi-IN"/>
        </w:rPr>
        <w:t>treatment outcomes</w:t>
      </w:r>
      <w:r>
        <w:rPr>
          <w:lang w:bidi="hi-IN"/>
        </w:rPr>
        <w:t xml:space="preserve"> using a clearly conceptualised theoretical model, with strong analytical methods. Th</w:t>
      </w:r>
      <w:r w:rsidR="00F7616F">
        <w:rPr>
          <w:lang w:bidi="hi-IN"/>
        </w:rPr>
        <w:t xml:space="preserve">is chapter </w:t>
      </w:r>
      <w:r w:rsidR="00E30620">
        <w:rPr>
          <w:lang w:bidi="hi-IN"/>
        </w:rPr>
        <w:t>lists the</w:t>
      </w:r>
      <w:r w:rsidR="00F7616F">
        <w:rPr>
          <w:lang w:bidi="hi-IN"/>
        </w:rPr>
        <w:t xml:space="preserve"> balanced conclusions </w:t>
      </w:r>
      <w:r>
        <w:rPr>
          <w:lang w:bidi="hi-IN"/>
        </w:rPr>
        <w:t>of this study and</w:t>
      </w:r>
      <w:r w:rsidR="00E30620">
        <w:rPr>
          <w:lang w:bidi="hi-IN"/>
        </w:rPr>
        <w:t xml:space="preserve"> the</w:t>
      </w:r>
      <w:r>
        <w:rPr>
          <w:lang w:bidi="hi-IN"/>
        </w:rPr>
        <w:t xml:space="preserve"> recommendations for policy and future research</w:t>
      </w:r>
      <w:r w:rsidR="00E30620">
        <w:rPr>
          <w:lang w:bidi="hi-IN"/>
        </w:rPr>
        <w:t>.</w:t>
      </w:r>
    </w:p>
    <w:p w14:paraId="56DC8C06" w14:textId="120171E7" w:rsidR="00DE4390" w:rsidRPr="00787196" w:rsidRDefault="0093519D" w:rsidP="004F119E">
      <w:pPr>
        <w:pStyle w:val="Heading2"/>
        <w:rPr>
          <w:lang w:bidi="hi-IN"/>
        </w:rPr>
      </w:pPr>
      <w:bookmarkStart w:id="352" w:name="_Toc488655697"/>
      <w:r w:rsidRPr="00787196">
        <w:rPr>
          <w:lang w:bidi="hi-IN"/>
        </w:rPr>
        <w:t>Conclusions</w:t>
      </w:r>
      <w:bookmarkEnd w:id="352"/>
    </w:p>
    <w:p w14:paraId="760F0698" w14:textId="0755F0E0" w:rsidR="00DE4390" w:rsidRPr="00787196" w:rsidRDefault="00DE4390" w:rsidP="00AF5A2A">
      <w:pPr>
        <w:pStyle w:val="ListParagraph"/>
        <w:numPr>
          <w:ilvl w:val="0"/>
          <w:numId w:val="30"/>
        </w:numPr>
        <w:spacing w:before="0"/>
        <w:ind w:left="426" w:hanging="426"/>
        <w:rPr>
          <w:lang w:bidi="hi-IN"/>
        </w:rPr>
      </w:pPr>
      <w:r w:rsidRPr="00787196">
        <w:rPr>
          <w:lang w:bidi="hi-IN"/>
        </w:rPr>
        <w:t xml:space="preserve">Coping strategies </w:t>
      </w:r>
      <w:r w:rsidR="005A031A" w:rsidRPr="00787196">
        <w:rPr>
          <w:lang w:bidi="hi-IN"/>
        </w:rPr>
        <w:t xml:space="preserve">did not determine denture success to improve OHQoL </w:t>
      </w:r>
      <w:r w:rsidRPr="00787196">
        <w:rPr>
          <w:lang w:bidi="hi-IN"/>
        </w:rPr>
        <w:t xml:space="preserve">and </w:t>
      </w:r>
      <w:r w:rsidR="0079280A" w:rsidRPr="00787196">
        <w:rPr>
          <w:lang w:bidi="hi-IN"/>
        </w:rPr>
        <w:t xml:space="preserve">other </w:t>
      </w:r>
      <w:r w:rsidR="00AF5A2A" w:rsidRPr="00787196">
        <w:rPr>
          <w:lang w:bidi="hi-IN"/>
        </w:rPr>
        <w:t xml:space="preserve">secondary </w:t>
      </w:r>
      <w:r w:rsidR="0079280A" w:rsidRPr="00787196">
        <w:rPr>
          <w:lang w:bidi="hi-IN"/>
        </w:rPr>
        <w:t>ou</w:t>
      </w:r>
      <w:r w:rsidRPr="00787196">
        <w:rPr>
          <w:lang w:bidi="hi-IN"/>
        </w:rPr>
        <w:t>tcomes</w:t>
      </w:r>
      <w:r w:rsidR="005A031A" w:rsidRPr="00787196">
        <w:rPr>
          <w:lang w:bidi="hi-IN"/>
        </w:rPr>
        <w:t xml:space="preserve"> </w:t>
      </w:r>
      <w:r w:rsidR="00AF5A2A" w:rsidRPr="00787196">
        <w:rPr>
          <w:lang w:bidi="hi-IN"/>
        </w:rPr>
        <w:t>of d</w:t>
      </w:r>
      <w:r w:rsidR="005A031A" w:rsidRPr="00787196">
        <w:rPr>
          <w:lang w:bidi="hi-IN"/>
        </w:rPr>
        <w:t>enture satisfaction and chewing ability.</w:t>
      </w:r>
    </w:p>
    <w:p w14:paraId="794FAE98" w14:textId="46C39D6B" w:rsidR="00E30620" w:rsidRDefault="005A031A" w:rsidP="00711505">
      <w:pPr>
        <w:pStyle w:val="ListParagraph"/>
        <w:numPr>
          <w:ilvl w:val="0"/>
          <w:numId w:val="30"/>
        </w:numPr>
        <w:spacing w:before="0"/>
        <w:ind w:left="426" w:hanging="426"/>
        <w:rPr>
          <w:lang w:bidi="hi-IN"/>
        </w:rPr>
      </w:pPr>
      <w:r w:rsidRPr="00787196">
        <w:rPr>
          <w:lang w:bidi="hi-IN"/>
        </w:rPr>
        <w:t>Instead</w:t>
      </w:r>
      <w:r w:rsidR="00663B2E" w:rsidRPr="00787196">
        <w:rPr>
          <w:lang w:bidi="hi-IN"/>
        </w:rPr>
        <w:t>,</w:t>
      </w:r>
      <w:r w:rsidRPr="00787196">
        <w:rPr>
          <w:lang w:bidi="hi-IN"/>
        </w:rPr>
        <w:t xml:space="preserve"> clinical factors such </w:t>
      </w:r>
      <w:r w:rsidR="00663B2E" w:rsidRPr="00787196">
        <w:rPr>
          <w:lang w:bidi="hi-IN"/>
        </w:rPr>
        <w:t xml:space="preserve">as </w:t>
      </w:r>
      <w:r w:rsidRPr="00787196">
        <w:rPr>
          <w:lang w:bidi="hi-IN"/>
        </w:rPr>
        <w:t xml:space="preserve">the number of teeth present and the number of occluding pairs </w:t>
      </w:r>
      <w:r w:rsidR="00E47F1C" w:rsidRPr="00787196">
        <w:rPr>
          <w:lang w:bidi="hi-IN"/>
        </w:rPr>
        <w:t xml:space="preserve">had a strong association </w:t>
      </w:r>
      <w:r w:rsidRPr="00787196">
        <w:rPr>
          <w:lang w:bidi="hi-IN"/>
        </w:rPr>
        <w:t>denture success.</w:t>
      </w:r>
    </w:p>
    <w:p w14:paraId="597AF693" w14:textId="77777777" w:rsidR="00E30620" w:rsidRDefault="00DE4390" w:rsidP="00AF5A2A">
      <w:pPr>
        <w:pStyle w:val="ListParagraph"/>
        <w:numPr>
          <w:ilvl w:val="0"/>
          <w:numId w:val="30"/>
        </w:numPr>
        <w:ind w:left="426" w:hanging="426"/>
        <w:rPr>
          <w:lang w:bidi="hi-IN"/>
        </w:rPr>
      </w:pPr>
      <w:r w:rsidRPr="00787196">
        <w:rPr>
          <w:lang w:bidi="hi-IN"/>
        </w:rPr>
        <w:t xml:space="preserve">The lack of </w:t>
      </w:r>
      <w:r w:rsidR="00AF5A2A" w:rsidRPr="00787196">
        <w:rPr>
          <w:lang w:bidi="hi-IN"/>
        </w:rPr>
        <w:t>a</w:t>
      </w:r>
      <w:r w:rsidR="00DA3E78" w:rsidRPr="00787196">
        <w:rPr>
          <w:lang w:bidi="hi-IN"/>
        </w:rPr>
        <w:t>pparent a</w:t>
      </w:r>
      <w:r w:rsidR="00AF5A2A" w:rsidRPr="00787196">
        <w:rPr>
          <w:lang w:bidi="hi-IN"/>
        </w:rPr>
        <w:t xml:space="preserve">ssociation </w:t>
      </w:r>
      <w:r w:rsidRPr="00787196">
        <w:rPr>
          <w:lang w:bidi="hi-IN"/>
        </w:rPr>
        <w:t xml:space="preserve">between coping strategies and </w:t>
      </w:r>
      <w:r w:rsidR="007F0D33" w:rsidRPr="00787196">
        <w:rPr>
          <w:lang w:bidi="hi-IN"/>
        </w:rPr>
        <w:t>OHQoL</w:t>
      </w:r>
      <w:r w:rsidR="00AF5A2A" w:rsidRPr="00787196">
        <w:rPr>
          <w:lang w:bidi="hi-IN"/>
        </w:rPr>
        <w:t xml:space="preserve">, secondary outcomes may be due to a </w:t>
      </w:r>
      <w:r w:rsidRPr="00787196">
        <w:rPr>
          <w:lang w:bidi="hi-IN"/>
        </w:rPr>
        <w:t xml:space="preserve">combination of </w:t>
      </w:r>
      <w:r w:rsidR="00AF5A2A" w:rsidRPr="00787196">
        <w:rPr>
          <w:lang w:bidi="hi-IN"/>
        </w:rPr>
        <w:t xml:space="preserve">factors. </w:t>
      </w:r>
    </w:p>
    <w:p w14:paraId="337CF413" w14:textId="5D524409" w:rsidR="00AF5A2A" w:rsidRPr="00787196" w:rsidRDefault="00AF5A2A" w:rsidP="00E30620">
      <w:pPr>
        <w:pStyle w:val="ListParagraph"/>
        <w:ind w:left="426"/>
        <w:rPr>
          <w:lang w:bidi="hi-IN"/>
        </w:rPr>
      </w:pPr>
      <w:r w:rsidRPr="00787196">
        <w:rPr>
          <w:lang w:bidi="hi-IN"/>
        </w:rPr>
        <w:lastRenderedPageBreak/>
        <w:t xml:space="preserve">The </w:t>
      </w:r>
      <w:r w:rsidR="00DE4390" w:rsidRPr="00787196">
        <w:rPr>
          <w:lang w:bidi="hi-IN"/>
        </w:rPr>
        <w:t xml:space="preserve">content validity of the </w:t>
      </w:r>
      <w:r w:rsidRPr="00787196">
        <w:rPr>
          <w:lang w:bidi="hi-IN"/>
        </w:rPr>
        <w:t xml:space="preserve">coping </w:t>
      </w:r>
      <w:r w:rsidR="00DE4390" w:rsidRPr="00787196">
        <w:rPr>
          <w:lang w:bidi="hi-IN"/>
        </w:rPr>
        <w:t xml:space="preserve">measure used </w:t>
      </w:r>
      <w:r w:rsidRPr="00787196">
        <w:rPr>
          <w:lang w:bidi="hi-IN"/>
        </w:rPr>
        <w:t>in this study, the</w:t>
      </w:r>
      <w:r w:rsidR="00DE4390" w:rsidRPr="00787196">
        <w:rPr>
          <w:lang w:bidi="hi-IN"/>
        </w:rPr>
        <w:t xml:space="preserve"> conceptual validity </w:t>
      </w:r>
      <w:r w:rsidRPr="00787196">
        <w:rPr>
          <w:lang w:bidi="hi-IN"/>
        </w:rPr>
        <w:t>of carrying out a</w:t>
      </w:r>
      <w:r w:rsidR="00DE4390" w:rsidRPr="00787196">
        <w:rPr>
          <w:lang w:bidi="hi-IN"/>
        </w:rPr>
        <w:t xml:space="preserve"> coping based research in an Indian population and th</w:t>
      </w:r>
      <w:r w:rsidRPr="00787196">
        <w:rPr>
          <w:lang w:bidi="hi-IN"/>
        </w:rPr>
        <w:t>e homogeneity the sample may all have played</w:t>
      </w:r>
      <w:r w:rsidR="00DA3E78" w:rsidRPr="00787196">
        <w:rPr>
          <w:lang w:bidi="hi-IN"/>
        </w:rPr>
        <w:t xml:space="preserve"> a</w:t>
      </w:r>
      <w:r w:rsidRPr="00787196">
        <w:rPr>
          <w:lang w:bidi="hi-IN"/>
        </w:rPr>
        <w:t xml:space="preserve"> role</w:t>
      </w:r>
      <w:r w:rsidR="00DA3E78" w:rsidRPr="00787196">
        <w:rPr>
          <w:lang w:bidi="hi-IN"/>
        </w:rPr>
        <w:t>.</w:t>
      </w:r>
      <w:r w:rsidRPr="00787196">
        <w:rPr>
          <w:lang w:bidi="hi-IN"/>
        </w:rPr>
        <w:t xml:space="preserve"> </w:t>
      </w:r>
    </w:p>
    <w:p w14:paraId="397CF473" w14:textId="34EAC2ED" w:rsidR="00DE4390" w:rsidRPr="00787196" w:rsidRDefault="00DA3E78" w:rsidP="00AF5A2A">
      <w:pPr>
        <w:pStyle w:val="ListParagraph"/>
        <w:numPr>
          <w:ilvl w:val="0"/>
          <w:numId w:val="30"/>
        </w:numPr>
        <w:ind w:left="426" w:hanging="426"/>
        <w:rPr>
          <w:lang w:bidi="hi-IN"/>
        </w:rPr>
      </w:pPr>
      <w:r w:rsidRPr="00787196">
        <w:rPr>
          <w:lang w:bidi="hi-IN"/>
        </w:rPr>
        <w:t>Education o</w:t>
      </w:r>
      <w:r w:rsidR="008C1883" w:rsidRPr="00787196">
        <w:rPr>
          <w:lang w:bidi="hi-IN"/>
        </w:rPr>
        <w:t xml:space="preserve">n coping </w:t>
      </w:r>
      <w:r w:rsidRPr="00787196">
        <w:rPr>
          <w:lang w:bidi="hi-IN"/>
        </w:rPr>
        <w:t xml:space="preserve">strategies does </w:t>
      </w:r>
      <w:r w:rsidR="008E3083" w:rsidRPr="00787196">
        <w:rPr>
          <w:lang w:bidi="hi-IN"/>
        </w:rPr>
        <w:t xml:space="preserve">not </w:t>
      </w:r>
      <w:r w:rsidRPr="00787196">
        <w:rPr>
          <w:lang w:bidi="hi-IN"/>
        </w:rPr>
        <w:t>appear to be a promising method in achieving denture success in such populations.</w:t>
      </w:r>
    </w:p>
    <w:p w14:paraId="036C3014" w14:textId="14F1DCED" w:rsidR="00DE4390" w:rsidRPr="00787196" w:rsidRDefault="00DE4390" w:rsidP="00382E64">
      <w:pPr>
        <w:pStyle w:val="ListParagraph"/>
        <w:numPr>
          <w:ilvl w:val="0"/>
          <w:numId w:val="30"/>
        </w:numPr>
        <w:ind w:left="426" w:hanging="426"/>
        <w:rPr>
          <w:lang w:bidi="hi-IN"/>
        </w:rPr>
      </w:pPr>
      <w:r w:rsidRPr="00787196">
        <w:rPr>
          <w:lang w:bidi="hi-IN"/>
        </w:rPr>
        <w:t xml:space="preserve">Other individual factors populated within the model; subjective SES, ageing expectations, concern about oral health, </w:t>
      </w:r>
      <w:r w:rsidR="00355186" w:rsidRPr="00787196">
        <w:rPr>
          <w:lang w:bidi="hi-IN"/>
        </w:rPr>
        <w:t xml:space="preserve">and </w:t>
      </w:r>
      <w:r w:rsidRPr="00787196">
        <w:rPr>
          <w:lang w:bidi="hi-IN"/>
        </w:rPr>
        <w:t xml:space="preserve">perceived stress did not predict </w:t>
      </w:r>
      <w:r w:rsidR="00DD4047" w:rsidRPr="00787196">
        <w:rPr>
          <w:lang w:bidi="hi-IN"/>
        </w:rPr>
        <w:t>any of</w:t>
      </w:r>
      <w:r w:rsidR="00355186" w:rsidRPr="00787196">
        <w:rPr>
          <w:lang w:bidi="hi-IN"/>
        </w:rPr>
        <w:t xml:space="preserve"> the </w:t>
      </w:r>
      <w:r w:rsidRPr="00787196">
        <w:rPr>
          <w:lang w:bidi="hi-IN"/>
        </w:rPr>
        <w:t xml:space="preserve">subjective oral health outcomes. </w:t>
      </w:r>
    </w:p>
    <w:p w14:paraId="0CA79B91" w14:textId="5C920BF2" w:rsidR="00382E64" w:rsidRPr="00787196" w:rsidRDefault="00DE4390" w:rsidP="00F7616F">
      <w:pPr>
        <w:pStyle w:val="ListParagraph"/>
        <w:numPr>
          <w:ilvl w:val="0"/>
          <w:numId w:val="30"/>
        </w:numPr>
        <w:spacing w:before="0" w:after="0"/>
        <w:ind w:left="426" w:hanging="426"/>
        <w:jc w:val="left"/>
        <w:rPr>
          <w:lang w:bidi="hi-IN"/>
        </w:rPr>
      </w:pPr>
      <w:r w:rsidRPr="00787196">
        <w:rPr>
          <w:lang w:bidi="hi-IN"/>
        </w:rPr>
        <w:t>Environmental factors</w:t>
      </w:r>
      <w:r w:rsidR="00355186" w:rsidRPr="00787196">
        <w:rPr>
          <w:lang w:bidi="hi-IN"/>
        </w:rPr>
        <w:t>,</w:t>
      </w:r>
      <w:r w:rsidRPr="00787196">
        <w:rPr>
          <w:lang w:bidi="hi-IN"/>
        </w:rPr>
        <w:t xml:space="preserve"> specifically SES</w:t>
      </w:r>
      <w:r w:rsidR="00355186" w:rsidRPr="00787196">
        <w:rPr>
          <w:lang w:bidi="hi-IN"/>
        </w:rPr>
        <w:t>,</w:t>
      </w:r>
      <w:r w:rsidRPr="00787196">
        <w:rPr>
          <w:lang w:bidi="hi-IN"/>
        </w:rPr>
        <w:t xml:space="preserve"> as indicated by income, education</w:t>
      </w:r>
      <w:r w:rsidR="00355186" w:rsidRPr="00787196">
        <w:rPr>
          <w:lang w:bidi="hi-IN"/>
        </w:rPr>
        <w:t>,</w:t>
      </w:r>
      <w:r w:rsidRPr="00787196">
        <w:rPr>
          <w:lang w:bidi="hi-IN"/>
        </w:rPr>
        <w:t xml:space="preserve"> caste and occupation were unrelated to OHQoL, denture satisfaction and chewing ability</w:t>
      </w:r>
      <w:r w:rsidR="00355186" w:rsidRPr="00787196">
        <w:rPr>
          <w:lang w:bidi="hi-IN"/>
        </w:rPr>
        <w:t>.</w:t>
      </w:r>
      <w:r w:rsidR="00F7616F">
        <w:rPr>
          <w:lang w:bidi="hi-IN"/>
        </w:rPr>
        <w:t xml:space="preserve"> </w:t>
      </w:r>
    </w:p>
    <w:p w14:paraId="7C5DF30D" w14:textId="77777777" w:rsidR="00DE4390" w:rsidRPr="00787196" w:rsidRDefault="00DE4390" w:rsidP="005A031A">
      <w:pPr>
        <w:pStyle w:val="Heading2"/>
        <w:spacing w:line="360" w:lineRule="auto"/>
      </w:pPr>
      <w:bookmarkStart w:id="353" w:name="_Toc488655698"/>
      <w:r w:rsidRPr="00787196">
        <w:t>Recommendations</w:t>
      </w:r>
      <w:bookmarkEnd w:id="353"/>
    </w:p>
    <w:p w14:paraId="3B422ED6" w14:textId="06CE7CAC" w:rsidR="00DE4390" w:rsidRPr="00787196" w:rsidRDefault="00DE4390" w:rsidP="005A031A">
      <w:pPr>
        <w:rPr>
          <w:lang w:bidi="hi-IN"/>
        </w:rPr>
      </w:pPr>
      <w:r w:rsidRPr="00787196">
        <w:rPr>
          <w:lang w:bidi="hi-IN"/>
        </w:rPr>
        <w:t>Based on the outcomes of this research study, the following are recommended</w:t>
      </w:r>
      <w:r w:rsidR="00355186" w:rsidRPr="00787196">
        <w:rPr>
          <w:lang w:bidi="hi-IN"/>
        </w:rPr>
        <w:t>:</w:t>
      </w:r>
    </w:p>
    <w:p w14:paraId="011304D7" w14:textId="2B5F75C5" w:rsidR="00DE4390" w:rsidRPr="00787196" w:rsidRDefault="00DE4390" w:rsidP="00D9694A">
      <w:pPr>
        <w:pStyle w:val="Heading3"/>
        <w:rPr>
          <w:rStyle w:val="Heading3Char"/>
          <w:b/>
        </w:rPr>
      </w:pPr>
      <w:bookmarkStart w:id="354" w:name="_Toc488655699"/>
      <w:r w:rsidRPr="00787196">
        <w:rPr>
          <w:rStyle w:val="Heading3Char"/>
          <w:b/>
        </w:rPr>
        <w:t>Recommendations for research</w:t>
      </w:r>
      <w:bookmarkEnd w:id="354"/>
    </w:p>
    <w:p w14:paraId="02A04FA9" w14:textId="1B245F49" w:rsidR="00DE4390" w:rsidRPr="00787196" w:rsidRDefault="00EB3B09" w:rsidP="00382E64">
      <w:pPr>
        <w:pStyle w:val="ListParagraph"/>
        <w:numPr>
          <w:ilvl w:val="0"/>
          <w:numId w:val="31"/>
        </w:numPr>
        <w:spacing w:before="0" w:after="0"/>
        <w:ind w:left="284" w:hanging="568"/>
        <w:rPr>
          <w:lang w:bidi="hi-IN"/>
        </w:rPr>
      </w:pPr>
      <w:r w:rsidRPr="00787196">
        <w:t>Given that most research on coping has been conducted in the west, the concept of coping in general</w:t>
      </w:r>
      <w:r w:rsidR="00382E64" w:rsidRPr="00787196">
        <w:t>,</w:t>
      </w:r>
      <w:r w:rsidRPr="00787196">
        <w:t xml:space="preserve"> </w:t>
      </w:r>
      <w:r w:rsidR="00DE4390" w:rsidRPr="00787196">
        <w:t>needs further exploration in non-western populations</w:t>
      </w:r>
      <w:r w:rsidRPr="00787196">
        <w:t>, perhaps with qualitative research</w:t>
      </w:r>
    </w:p>
    <w:p w14:paraId="5B1CB91F" w14:textId="77777777" w:rsidR="00DE4390" w:rsidRPr="00787196" w:rsidRDefault="00DE4390" w:rsidP="00382E64">
      <w:pPr>
        <w:pStyle w:val="ListParagraph"/>
        <w:spacing w:before="0" w:after="0"/>
        <w:ind w:left="284" w:hanging="568"/>
        <w:rPr>
          <w:lang w:bidi="hi-IN"/>
        </w:rPr>
      </w:pPr>
    </w:p>
    <w:p w14:paraId="77F6B2FA" w14:textId="0F81942B" w:rsidR="00DE4390" w:rsidRPr="00787196" w:rsidRDefault="00DE4390" w:rsidP="00382E64">
      <w:pPr>
        <w:pStyle w:val="ListParagraph"/>
        <w:numPr>
          <w:ilvl w:val="0"/>
          <w:numId w:val="31"/>
        </w:numPr>
        <w:spacing w:before="0" w:after="0"/>
        <w:ind w:left="284" w:hanging="568"/>
        <w:rPr>
          <w:lang w:bidi="hi-IN"/>
        </w:rPr>
      </w:pPr>
      <w:r w:rsidRPr="00787196">
        <w:t xml:space="preserve">A qualitative exploration of coping strategies in denture wearers </w:t>
      </w:r>
      <w:r w:rsidR="00403075" w:rsidRPr="00787196">
        <w:t xml:space="preserve">would allow deeper understanding of </w:t>
      </w:r>
      <w:r w:rsidR="00EB3B09" w:rsidRPr="00787196">
        <w:t>its</w:t>
      </w:r>
      <w:r w:rsidR="00403075" w:rsidRPr="00787196">
        <w:t xml:space="preserve"> possible role</w:t>
      </w:r>
      <w:r w:rsidR="00EB3B09" w:rsidRPr="00787196">
        <w:t>.</w:t>
      </w:r>
    </w:p>
    <w:p w14:paraId="4E3D140F" w14:textId="77777777" w:rsidR="00DE4390" w:rsidRPr="00787196" w:rsidRDefault="00DE4390" w:rsidP="00382E64">
      <w:pPr>
        <w:pStyle w:val="ListParagraph"/>
        <w:spacing w:before="0" w:after="0"/>
        <w:ind w:left="284" w:hanging="568"/>
        <w:rPr>
          <w:lang w:bidi="hi-IN"/>
        </w:rPr>
      </w:pPr>
    </w:p>
    <w:p w14:paraId="4AC2834E" w14:textId="56033543" w:rsidR="00965A66" w:rsidRPr="00787196" w:rsidRDefault="00382E64" w:rsidP="00965A66">
      <w:pPr>
        <w:pStyle w:val="ListParagraph"/>
        <w:numPr>
          <w:ilvl w:val="0"/>
          <w:numId w:val="31"/>
        </w:numPr>
        <w:spacing w:before="0" w:after="0"/>
        <w:ind w:left="284" w:hanging="568"/>
        <w:rPr>
          <w:lang w:bidi="hi-IN"/>
        </w:rPr>
      </w:pPr>
      <w:r w:rsidRPr="00787196">
        <w:t>Whilst the environmental factors did not appear to play a role in the outcome of the study due to the homogeneity in the sample, s</w:t>
      </w:r>
      <w:r w:rsidR="00EB3B09" w:rsidRPr="00787196">
        <w:t xml:space="preserve">imilar </w:t>
      </w:r>
      <w:r w:rsidR="00DE4390" w:rsidRPr="00787196">
        <w:t xml:space="preserve">research </w:t>
      </w:r>
      <w:r w:rsidR="00403075" w:rsidRPr="00787196">
        <w:t>c</w:t>
      </w:r>
      <w:r w:rsidR="00DE4390" w:rsidRPr="00787196">
        <w:t xml:space="preserve">ould be </w:t>
      </w:r>
      <w:r w:rsidRPr="00787196">
        <w:t xml:space="preserve">repeated in a more </w:t>
      </w:r>
      <w:r w:rsidR="00EB3B09" w:rsidRPr="00787196">
        <w:t xml:space="preserve">diverse </w:t>
      </w:r>
      <w:r w:rsidRPr="00787196">
        <w:t>sample</w:t>
      </w:r>
      <w:r w:rsidR="00355186" w:rsidRPr="00787196">
        <w:rPr>
          <w:lang w:bidi="hi-IN"/>
        </w:rPr>
        <w:t>.</w:t>
      </w:r>
    </w:p>
    <w:p w14:paraId="1CF55B94" w14:textId="77777777" w:rsidR="00965A66" w:rsidRPr="00787196" w:rsidRDefault="00965A66" w:rsidP="00965A66">
      <w:pPr>
        <w:pStyle w:val="ListParagraph"/>
        <w:spacing w:before="0" w:after="0"/>
        <w:ind w:left="284"/>
        <w:rPr>
          <w:lang w:bidi="hi-IN"/>
        </w:rPr>
      </w:pPr>
    </w:p>
    <w:p w14:paraId="5B306E34" w14:textId="58EBFBAA" w:rsidR="00D63090" w:rsidRPr="00787196" w:rsidRDefault="00D63090" w:rsidP="00D9694A">
      <w:pPr>
        <w:pStyle w:val="Heading3"/>
      </w:pPr>
      <w:bookmarkStart w:id="355" w:name="_Toc488655700"/>
      <w:r w:rsidRPr="00787196">
        <w:t>Recommendations for service</w:t>
      </w:r>
      <w:bookmarkEnd w:id="355"/>
    </w:p>
    <w:p w14:paraId="4B02A018" w14:textId="77777777" w:rsidR="00EB3B09" w:rsidRPr="00787196" w:rsidRDefault="00D63090" w:rsidP="00D63090">
      <w:pPr>
        <w:pStyle w:val="ListParagraph"/>
        <w:numPr>
          <w:ilvl w:val="0"/>
          <w:numId w:val="44"/>
        </w:numPr>
        <w:spacing w:before="0" w:after="0"/>
        <w:ind w:left="131" w:hanging="436"/>
        <w:rPr>
          <w:lang w:bidi="hi-IN"/>
        </w:rPr>
      </w:pPr>
      <w:r w:rsidRPr="00787196">
        <w:rPr>
          <w:lang w:bidi="hi-IN"/>
        </w:rPr>
        <w:t>The effect of missing teeth is profound on OHQoL hence preventive dentistry should develop further support of tooth retention and denture provision</w:t>
      </w:r>
    </w:p>
    <w:p w14:paraId="08A29FAE" w14:textId="7B349A64" w:rsidR="007A7212" w:rsidRPr="00787196" w:rsidRDefault="00EB3B09" w:rsidP="003C5FFB">
      <w:pPr>
        <w:pStyle w:val="ListParagraph"/>
        <w:numPr>
          <w:ilvl w:val="0"/>
          <w:numId w:val="44"/>
        </w:numPr>
        <w:spacing w:before="0" w:after="0"/>
        <w:ind w:left="131" w:hanging="436"/>
        <w:jc w:val="left"/>
        <w:rPr>
          <w:lang w:bidi="hi-IN"/>
        </w:rPr>
        <w:sectPr w:rsidR="007A7212" w:rsidRPr="00787196" w:rsidSect="009C5D71">
          <w:headerReference w:type="default" r:id="rId32"/>
          <w:footerReference w:type="default" r:id="rId33"/>
          <w:pgSz w:w="11952" w:h="16848" w:code="9"/>
          <w:pgMar w:top="1134" w:right="1134" w:bottom="1134" w:left="2268" w:header="476" w:footer="1117" w:gutter="0"/>
          <w:cols w:space="720"/>
          <w:noEndnote/>
          <w:docGrid w:linePitch="360"/>
        </w:sectPr>
      </w:pPr>
      <w:r w:rsidRPr="00787196">
        <w:rPr>
          <w:lang w:bidi="hi-IN"/>
        </w:rPr>
        <w:t>Interventions to improve coping strategies in patients receiving new dentures</w:t>
      </w:r>
      <w:r w:rsidR="007A7212" w:rsidRPr="00787196">
        <w:rPr>
          <w:lang w:bidi="hi-IN"/>
        </w:rPr>
        <w:t xml:space="preserve"> </w:t>
      </w:r>
      <w:r w:rsidRPr="00787196">
        <w:rPr>
          <w:lang w:bidi="hi-IN"/>
        </w:rPr>
        <w:t>do</w:t>
      </w:r>
      <w:r w:rsidR="007A7212" w:rsidRPr="00787196">
        <w:rPr>
          <w:lang w:bidi="hi-IN"/>
        </w:rPr>
        <w:t xml:space="preserve"> not appear to be </w:t>
      </w:r>
      <w:r w:rsidRPr="00787196">
        <w:rPr>
          <w:lang w:bidi="hi-IN"/>
        </w:rPr>
        <w:t>warranted</w:t>
      </w:r>
      <w:r w:rsidR="007A7212" w:rsidRPr="00787196">
        <w:rPr>
          <w:lang w:bidi="hi-IN"/>
        </w:rPr>
        <w:t>.</w:t>
      </w:r>
    </w:p>
    <w:p w14:paraId="15A48C9B" w14:textId="06EB2850" w:rsidR="001731A2" w:rsidRPr="00787196" w:rsidRDefault="00284C60" w:rsidP="009347B4">
      <w:pPr>
        <w:pStyle w:val="Heading1"/>
        <w:numPr>
          <w:ilvl w:val="0"/>
          <w:numId w:val="0"/>
        </w:numPr>
      </w:pPr>
      <w:bookmarkStart w:id="356" w:name="_Toc456211222"/>
      <w:bookmarkStart w:id="357" w:name="_Toc488655701"/>
      <w:r w:rsidRPr="00787196">
        <w:lastRenderedPageBreak/>
        <w:t xml:space="preserve">CHAPTER EIGHT </w:t>
      </w:r>
      <w:r w:rsidR="001731A2" w:rsidRPr="00787196">
        <w:t>REFERENCES</w:t>
      </w:r>
      <w:bookmarkEnd w:id="356"/>
      <w:bookmarkEnd w:id="357"/>
    </w:p>
    <w:p w14:paraId="6A5A411D" w14:textId="77777777" w:rsidR="00525DC8" w:rsidRPr="00787196" w:rsidRDefault="001731A2" w:rsidP="00525DC8">
      <w:pPr>
        <w:pStyle w:val="EndNoteBibliography"/>
        <w:spacing w:after="240"/>
        <w:rPr>
          <w:noProof/>
        </w:rPr>
      </w:pPr>
      <w:r w:rsidRPr="00787196">
        <w:fldChar w:fldCharType="begin"/>
      </w:r>
      <w:r w:rsidRPr="00787196">
        <w:instrText xml:space="preserve"> ADDIN EN.REFLIST </w:instrText>
      </w:r>
      <w:r w:rsidRPr="00787196">
        <w:fldChar w:fldCharType="separate"/>
      </w:r>
      <w:r w:rsidRPr="00787196">
        <w:fldChar w:fldCharType="begin"/>
      </w:r>
      <w:r w:rsidRPr="00787196">
        <w:instrText xml:space="preserve"> ADDIN EN.REFLIST </w:instrText>
      </w:r>
      <w:r w:rsidRPr="00787196">
        <w:fldChar w:fldCharType="separate"/>
      </w:r>
      <w:bookmarkStart w:id="358" w:name="_ENREF_1"/>
      <w:r w:rsidR="00525DC8" w:rsidRPr="00787196">
        <w:rPr>
          <w:noProof/>
        </w:rPr>
        <w:t xml:space="preserve">ABUZAR, M. A., KAHWAGI, E. &amp; YAMAKAWA, T. 2012. Investigating oral health-related quality of life and self-perceived satisfaction with partial dentures. </w:t>
      </w:r>
      <w:r w:rsidR="00525DC8" w:rsidRPr="00787196">
        <w:rPr>
          <w:i/>
          <w:noProof/>
        </w:rPr>
        <w:t>Journal of Investigative and Clinical Dentistry,</w:t>
      </w:r>
      <w:r w:rsidR="00525DC8" w:rsidRPr="00787196">
        <w:rPr>
          <w:noProof/>
        </w:rPr>
        <w:t xml:space="preserve"> 3</w:t>
      </w:r>
      <w:r w:rsidR="00525DC8" w:rsidRPr="00787196">
        <w:rPr>
          <w:b/>
          <w:noProof/>
        </w:rPr>
        <w:t>,</w:t>
      </w:r>
      <w:r w:rsidR="00525DC8" w:rsidRPr="00787196">
        <w:rPr>
          <w:noProof/>
        </w:rPr>
        <w:t xml:space="preserve"> 109-117.</w:t>
      </w:r>
      <w:bookmarkEnd w:id="358"/>
    </w:p>
    <w:p w14:paraId="5B4EFE02" w14:textId="77777777" w:rsidR="00525DC8" w:rsidRPr="00787196" w:rsidRDefault="00525DC8" w:rsidP="00525DC8">
      <w:pPr>
        <w:pStyle w:val="EndNoteBibliography"/>
        <w:spacing w:after="240"/>
        <w:rPr>
          <w:noProof/>
        </w:rPr>
      </w:pPr>
      <w:bookmarkStart w:id="359" w:name="_ENREF_2"/>
      <w:r w:rsidRPr="00787196">
        <w:rPr>
          <w:noProof/>
        </w:rPr>
        <w:t xml:space="preserve">ACHARYA, S. 2003. Factors affecting stress among Indian dental students. </w:t>
      </w:r>
      <w:r w:rsidRPr="00787196">
        <w:rPr>
          <w:i/>
          <w:noProof/>
        </w:rPr>
        <w:t>Journal of dental education,</w:t>
      </w:r>
      <w:r w:rsidRPr="00787196">
        <w:rPr>
          <w:noProof/>
        </w:rPr>
        <w:t xml:space="preserve"> 67</w:t>
      </w:r>
      <w:r w:rsidRPr="00787196">
        <w:rPr>
          <w:b/>
          <w:noProof/>
        </w:rPr>
        <w:t>,</w:t>
      </w:r>
      <w:r w:rsidRPr="00787196">
        <w:rPr>
          <w:noProof/>
        </w:rPr>
        <w:t xml:space="preserve"> 1140-1148.</w:t>
      </w:r>
      <w:bookmarkEnd w:id="359"/>
    </w:p>
    <w:p w14:paraId="6AECFC3F" w14:textId="77777777" w:rsidR="00525DC8" w:rsidRPr="00787196" w:rsidRDefault="00525DC8" w:rsidP="00525DC8">
      <w:pPr>
        <w:pStyle w:val="EndNoteBibliography"/>
        <w:spacing w:after="240"/>
        <w:rPr>
          <w:noProof/>
        </w:rPr>
      </w:pPr>
      <w:bookmarkStart w:id="360" w:name="_ENREF_3"/>
      <w:r w:rsidRPr="00787196">
        <w:rPr>
          <w:noProof/>
        </w:rPr>
        <w:t xml:space="preserve">ACHARYA, S., BHAT, P. V. &amp; ACHARYA, S. 2009. Factors affecting oral health-related quality of life among pregnant women. </w:t>
      </w:r>
      <w:r w:rsidRPr="00787196">
        <w:rPr>
          <w:i/>
          <w:noProof/>
        </w:rPr>
        <w:t>Int J Dent Hyg,</w:t>
      </w:r>
      <w:r w:rsidRPr="00787196">
        <w:rPr>
          <w:noProof/>
        </w:rPr>
        <w:t xml:space="preserve"> 7</w:t>
      </w:r>
      <w:r w:rsidRPr="00787196">
        <w:rPr>
          <w:b/>
          <w:noProof/>
        </w:rPr>
        <w:t>,</w:t>
      </w:r>
      <w:r w:rsidRPr="00787196">
        <w:rPr>
          <w:noProof/>
        </w:rPr>
        <w:t xml:space="preserve"> 102-7.</w:t>
      </w:r>
      <w:bookmarkEnd w:id="360"/>
    </w:p>
    <w:p w14:paraId="37D7D4FD" w14:textId="77777777" w:rsidR="00525DC8" w:rsidRPr="00787196" w:rsidRDefault="00525DC8" w:rsidP="00525DC8">
      <w:pPr>
        <w:pStyle w:val="EndNoteBibliography"/>
        <w:spacing w:after="240"/>
        <w:rPr>
          <w:noProof/>
        </w:rPr>
      </w:pPr>
      <w:bookmarkStart w:id="361" w:name="_ENREF_4"/>
      <w:r w:rsidRPr="00787196">
        <w:rPr>
          <w:noProof/>
        </w:rPr>
        <w:t xml:space="preserve">ADLER, N. &amp; STEWART, J. 2007. The MacArthur scale of subjective social status. </w:t>
      </w:r>
      <w:r w:rsidRPr="00787196">
        <w:rPr>
          <w:i/>
          <w:noProof/>
        </w:rPr>
        <w:t>Psychosocial Notebook. Psychosocial Working Group</w:t>
      </w:r>
      <w:r w:rsidRPr="00787196">
        <w:rPr>
          <w:noProof/>
        </w:rPr>
        <w:t>.</w:t>
      </w:r>
      <w:bookmarkEnd w:id="361"/>
    </w:p>
    <w:p w14:paraId="7C0BB9E7" w14:textId="77777777" w:rsidR="00525DC8" w:rsidRPr="00787196" w:rsidRDefault="00525DC8" w:rsidP="00525DC8">
      <w:pPr>
        <w:pStyle w:val="EndNoteBibliography"/>
        <w:spacing w:after="240"/>
        <w:rPr>
          <w:noProof/>
        </w:rPr>
      </w:pPr>
      <w:bookmarkStart w:id="362" w:name="_ENREF_5"/>
      <w:r w:rsidRPr="00787196">
        <w:rPr>
          <w:noProof/>
        </w:rPr>
        <w:t xml:space="preserve">ADLER, N. E., EPEL, E. S., CASTELLAZZO, G. &amp; ICKOVICS, J. R. 2000. Relationship of subjective and objective social status with psychological and physiological functioning: preliminary data in healthy white women. </w:t>
      </w:r>
      <w:r w:rsidRPr="00787196">
        <w:rPr>
          <w:i/>
          <w:noProof/>
        </w:rPr>
        <w:t>Health psychology,</w:t>
      </w:r>
      <w:r w:rsidRPr="00787196">
        <w:rPr>
          <w:noProof/>
        </w:rPr>
        <w:t xml:space="preserve"> 19</w:t>
      </w:r>
      <w:r w:rsidRPr="00787196">
        <w:rPr>
          <w:b/>
          <w:noProof/>
        </w:rPr>
        <w:t>,</w:t>
      </w:r>
      <w:r w:rsidRPr="00787196">
        <w:rPr>
          <w:noProof/>
        </w:rPr>
        <w:t xml:space="preserve"> 586-592.</w:t>
      </w:r>
      <w:bookmarkEnd w:id="362"/>
    </w:p>
    <w:p w14:paraId="17F40A90" w14:textId="77777777" w:rsidR="00525DC8" w:rsidRPr="00787196" w:rsidRDefault="00525DC8" w:rsidP="00525DC8">
      <w:pPr>
        <w:pStyle w:val="EndNoteBibliography"/>
        <w:spacing w:after="240"/>
        <w:rPr>
          <w:noProof/>
        </w:rPr>
      </w:pPr>
      <w:bookmarkStart w:id="363" w:name="_ENREF_6"/>
      <w:r w:rsidRPr="00787196">
        <w:rPr>
          <w:noProof/>
        </w:rPr>
        <w:t xml:space="preserve">ADLER, N. E. &amp; SNIBBE, A. C. 2003. The Role of Psychosocial Processes in Explaining the Gradient Between Socioeconomic Status and Health. </w:t>
      </w:r>
      <w:r w:rsidRPr="00787196">
        <w:rPr>
          <w:i/>
          <w:noProof/>
        </w:rPr>
        <w:t>Current Directions in Psychological Science,</w:t>
      </w:r>
      <w:r w:rsidRPr="00787196">
        <w:rPr>
          <w:noProof/>
        </w:rPr>
        <w:t xml:space="preserve"> 12</w:t>
      </w:r>
      <w:r w:rsidRPr="00787196">
        <w:rPr>
          <w:b/>
          <w:noProof/>
        </w:rPr>
        <w:t>,</w:t>
      </w:r>
      <w:r w:rsidRPr="00787196">
        <w:rPr>
          <w:noProof/>
        </w:rPr>
        <w:t xml:space="preserve"> 119-123.</w:t>
      </w:r>
      <w:bookmarkEnd w:id="363"/>
    </w:p>
    <w:p w14:paraId="01488C78" w14:textId="77777777" w:rsidR="00525DC8" w:rsidRPr="00787196" w:rsidRDefault="00525DC8" w:rsidP="00525DC8">
      <w:pPr>
        <w:pStyle w:val="EndNoteBibliography"/>
        <w:spacing w:after="240"/>
        <w:rPr>
          <w:noProof/>
        </w:rPr>
      </w:pPr>
      <w:bookmarkStart w:id="364" w:name="_ENREF_7"/>
      <w:r w:rsidRPr="00787196">
        <w:rPr>
          <w:noProof/>
        </w:rPr>
        <w:t xml:space="preserve">AGERBERG, G. &amp; CARLSSON, G. E. 1981. Chewing Ability in Relation to Dental and General Health. </w:t>
      </w:r>
      <w:r w:rsidRPr="00787196">
        <w:rPr>
          <w:i/>
          <w:noProof/>
        </w:rPr>
        <w:t>Acta Odontologica Scandinavica,</w:t>
      </w:r>
      <w:r w:rsidRPr="00787196">
        <w:rPr>
          <w:noProof/>
        </w:rPr>
        <w:t xml:space="preserve"> 39</w:t>
      </w:r>
      <w:r w:rsidRPr="00787196">
        <w:rPr>
          <w:b/>
          <w:noProof/>
        </w:rPr>
        <w:t>,</w:t>
      </w:r>
      <w:r w:rsidRPr="00787196">
        <w:rPr>
          <w:noProof/>
        </w:rPr>
        <w:t xml:space="preserve"> 147-153.</w:t>
      </w:r>
      <w:bookmarkEnd w:id="364"/>
    </w:p>
    <w:p w14:paraId="17EE15DE" w14:textId="77777777" w:rsidR="00525DC8" w:rsidRPr="00787196" w:rsidRDefault="00525DC8" w:rsidP="00525DC8">
      <w:pPr>
        <w:pStyle w:val="EndNoteBibliography"/>
        <w:spacing w:after="240"/>
        <w:rPr>
          <w:noProof/>
        </w:rPr>
      </w:pPr>
      <w:bookmarkStart w:id="365" w:name="_ENREF_8"/>
      <w:r w:rsidRPr="00787196">
        <w:rPr>
          <w:noProof/>
        </w:rPr>
        <w:t xml:space="preserve">AITKEN, A. &amp; CRAWFORD, L. 2007. Coping with stress: Dispositional coping strategies of project managers. </w:t>
      </w:r>
      <w:r w:rsidRPr="00787196">
        <w:rPr>
          <w:i/>
          <w:noProof/>
        </w:rPr>
        <w:t>International Journal of Project Management,</w:t>
      </w:r>
      <w:r w:rsidRPr="00787196">
        <w:rPr>
          <w:noProof/>
        </w:rPr>
        <w:t xml:space="preserve"> 25</w:t>
      </w:r>
      <w:r w:rsidRPr="00787196">
        <w:rPr>
          <w:b/>
          <w:noProof/>
        </w:rPr>
        <w:t>,</w:t>
      </w:r>
      <w:r w:rsidRPr="00787196">
        <w:rPr>
          <w:noProof/>
        </w:rPr>
        <w:t xml:space="preserve"> 666-673.</w:t>
      </w:r>
      <w:bookmarkEnd w:id="365"/>
    </w:p>
    <w:p w14:paraId="0C767F16" w14:textId="77777777" w:rsidR="00525DC8" w:rsidRPr="00787196" w:rsidRDefault="00525DC8" w:rsidP="00525DC8">
      <w:pPr>
        <w:pStyle w:val="EndNoteBibliography"/>
        <w:spacing w:after="240"/>
        <w:rPr>
          <w:noProof/>
        </w:rPr>
      </w:pPr>
      <w:bookmarkStart w:id="366" w:name="_ENREF_9"/>
      <w:r w:rsidRPr="00787196">
        <w:rPr>
          <w:noProof/>
        </w:rPr>
        <w:t xml:space="preserve">AKAGAWA, Y., RACHI, Y., MATSUMOTO, T. &amp; TSURU, H. 1988. Attitudes of removable denture patients toward dental implants. </w:t>
      </w:r>
      <w:r w:rsidRPr="00787196">
        <w:rPr>
          <w:i/>
          <w:noProof/>
        </w:rPr>
        <w:t>The Journal of prosthetic dentistry,</w:t>
      </w:r>
      <w:r w:rsidRPr="00787196">
        <w:rPr>
          <w:noProof/>
        </w:rPr>
        <w:t xml:space="preserve"> 60</w:t>
      </w:r>
      <w:r w:rsidRPr="00787196">
        <w:rPr>
          <w:b/>
          <w:noProof/>
        </w:rPr>
        <w:t>,</w:t>
      </w:r>
      <w:r w:rsidRPr="00787196">
        <w:rPr>
          <w:noProof/>
        </w:rPr>
        <w:t xml:space="preserve"> 362-364.</w:t>
      </w:r>
      <w:bookmarkEnd w:id="366"/>
    </w:p>
    <w:p w14:paraId="695357F1" w14:textId="77777777" w:rsidR="00525DC8" w:rsidRPr="00787196" w:rsidRDefault="00525DC8" w:rsidP="00525DC8">
      <w:pPr>
        <w:pStyle w:val="EndNoteBibliography"/>
        <w:spacing w:after="240"/>
        <w:rPr>
          <w:noProof/>
        </w:rPr>
      </w:pPr>
      <w:bookmarkStart w:id="367" w:name="_ENREF_10"/>
      <w:r w:rsidRPr="00787196">
        <w:rPr>
          <w:noProof/>
        </w:rPr>
        <w:t xml:space="preserve">ALDWIN, C. M. 2007. </w:t>
      </w:r>
      <w:r w:rsidRPr="00787196">
        <w:rPr>
          <w:i/>
          <w:noProof/>
        </w:rPr>
        <w:t>Stress, coping, and development: An integrative perspective</w:t>
      </w:r>
      <w:r w:rsidRPr="00787196">
        <w:rPr>
          <w:noProof/>
        </w:rPr>
        <w:t>, Guilford Press.</w:t>
      </w:r>
      <w:bookmarkEnd w:id="367"/>
    </w:p>
    <w:p w14:paraId="4BFA1A94" w14:textId="77777777" w:rsidR="00525DC8" w:rsidRPr="00787196" w:rsidRDefault="00525DC8" w:rsidP="00525DC8">
      <w:pPr>
        <w:pStyle w:val="EndNoteBibliography"/>
        <w:spacing w:after="240"/>
        <w:rPr>
          <w:noProof/>
        </w:rPr>
      </w:pPr>
      <w:bookmarkStart w:id="368" w:name="_ENREF_11"/>
      <w:r w:rsidRPr="00787196">
        <w:rPr>
          <w:noProof/>
        </w:rPr>
        <w:lastRenderedPageBreak/>
        <w:t xml:space="preserve">ALLEN, F. &amp; LOCKER, D. 2002. A modified short version of the oral health impact profile for assessing health-related quality of life in edentulous adults. </w:t>
      </w:r>
      <w:r w:rsidRPr="00787196">
        <w:rPr>
          <w:i/>
          <w:noProof/>
        </w:rPr>
        <w:t>The International journal of prosthodontics,</w:t>
      </w:r>
      <w:r w:rsidRPr="00787196">
        <w:rPr>
          <w:noProof/>
        </w:rPr>
        <w:t xml:space="preserve"> 15</w:t>
      </w:r>
      <w:r w:rsidRPr="00787196">
        <w:rPr>
          <w:b/>
          <w:noProof/>
        </w:rPr>
        <w:t>,</w:t>
      </w:r>
      <w:r w:rsidRPr="00787196">
        <w:rPr>
          <w:noProof/>
        </w:rPr>
        <w:t xml:space="preserve"> 446.</w:t>
      </w:r>
      <w:bookmarkEnd w:id="368"/>
    </w:p>
    <w:p w14:paraId="5ED96590" w14:textId="77777777" w:rsidR="00525DC8" w:rsidRPr="00787196" w:rsidRDefault="00525DC8" w:rsidP="00525DC8">
      <w:pPr>
        <w:pStyle w:val="EndNoteBibliography"/>
        <w:spacing w:after="240"/>
        <w:rPr>
          <w:noProof/>
        </w:rPr>
      </w:pPr>
      <w:bookmarkStart w:id="369" w:name="_ENREF_12"/>
      <w:r w:rsidRPr="00787196">
        <w:rPr>
          <w:noProof/>
        </w:rPr>
        <w:t xml:space="preserve">ALLEN, P. 2003. Assessment of oral health related quality of life. </w:t>
      </w:r>
      <w:r w:rsidRPr="00787196">
        <w:rPr>
          <w:i/>
          <w:noProof/>
        </w:rPr>
        <w:t>Health and Quality of Life Outcomes,</w:t>
      </w:r>
      <w:r w:rsidRPr="00787196">
        <w:rPr>
          <w:noProof/>
        </w:rPr>
        <w:t xml:space="preserve"> 1</w:t>
      </w:r>
      <w:r w:rsidRPr="00787196">
        <w:rPr>
          <w:b/>
          <w:noProof/>
        </w:rPr>
        <w:t>,</w:t>
      </w:r>
      <w:r w:rsidRPr="00787196">
        <w:rPr>
          <w:noProof/>
        </w:rPr>
        <w:t xml:space="preserve"> 40.</w:t>
      </w:r>
      <w:bookmarkEnd w:id="369"/>
    </w:p>
    <w:p w14:paraId="53B14D78" w14:textId="77777777" w:rsidR="00525DC8" w:rsidRPr="00787196" w:rsidRDefault="00525DC8" w:rsidP="00525DC8">
      <w:pPr>
        <w:pStyle w:val="EndNoteBibliography"/>
        <w:spacing w:after="240"/>
        <w:rPr>
          <w:noProof/>
        </w:rPr>
      </w:pPr>
      <w:bookmarkStart w:id="370" w:name="_ENREF_13"/>
      <w:r w:rsidRPr="00787196">
        <w:rPr>
          <w:noProof/>
        </w:rPr>
        <w:t xml:space="preserve">ALLEN, P. F. &amp; MCMILLAN, A. S. 1999. The impact of tooth loss in a denture wearing population: an assessment using the Oral Health Impact Profile. </w:t>
      </w:r>
      <w:r w:rsidRPr="00787196">
        <w:rPr>
          <w:i/>
          <w:noProof/>
        </w:rPr>
        <w:t>Community Dent Health,</w:t>
      </w:r>
      <w:r w:rsidRPr="00787196">
        <w:rPr>
          <w:noProof/>
        </w:rPr>
        <w:t xml:space="preserve"> 16</w:t>
      </w:r>
      <w:r w:rsidRPr="00787196">
        <w:rPr>
          <w:b/>
          <w:noProof/>
        </w:rPr>
        <w:t>,</w:t>
      </w:r>
      <w:r w:rsidRPr="00787196">
        <w:rPr>
          <w:noProof/>
        </w:rPr>
        <w:t xml:space="preserve"> 176-80.</w:t>
      </w:r>
      <w:bookmarkEnd w:id="370"/>
    </w:p>
    <w:p w14:paraId="04DE2FD3" w14:textId="77777777" w:rsidR="00525DC8" w:rsidRPr="00787196" w:rsidRDefault="00525DC8" w:rsidP="00525DC8">
      <w:pPr>
        <w:pStyle w:val="EndNoteBibliography"/>
        <w:spacing w:after="240"/>
        <w:rPr>
          <w:noProof/>
        </w:rPr>
      </w:pPr>
      <w:bookmarkStart w:id="371" w:name="_ENREF_14"/>
      <w:r w:rsidRPr="00787196">
        <w:rPr>
          <w:noProof/>
        </w:rPr>
        <w:t xml:space="preserve">ALLEN, P. F. &amp; MCMILLAN, A. S. 2003. A longitudinal study of quality of life outcomes in older adults requesting implant prostheses and complete removable dentures. </w:t>
      </w:r>
      <w:r w:rsidRPr="00787196">
        <w:rPr>
          <w:i/>
          <w:noProof/>
        </w:rPr>
        <w:t>Clin Oral Implants Res,</w:t>
      </w:r>
      <w:r w:rsidRPr="00787196">
        <w:rPr>
          <w:noProof/>
        </w:rPr>
        <w:t xml:space="preserve"> 14</w:t>
      </w:r>
      <w:r w:rsidRPr="00787196">
        <w:rPr>
          <w:b/>
          <w:noProof/>
        </w:rPr>
        <w:t>,</w:t>
      </w:r>
      <w:r w:rsidRPr="00787196">
        <w:rPr>
          <w:noProof/>
        </w:rPr>
        <w:t xml:space="preserve"> 173-9.</w:t>
      </w:r>
      <w:bookmarkEnd w:id="371"/>
    </w:p>
    <w:p w14:paraId="77EE1225" w14:textId="77777777" w:rsidR="00525DC8" w:rsidRPr="00787196" w:rsidRDefault="00525DC8" w:rsidP="00525DC8">
      <w:pPr>
        <w:pStyle w:val="EndNoteBibliography"/>
        <w:spacing w:after="240"/>
        <w:rPr>
          <w:noProof/>
        </w:rPr>
      </w:pPr>
      <w:bookmarkStart w:id="372" w:name="_ENREF_15"/>
      <w:r w:rsidRPr="00787196">
        <w:rPr>
          <w:noProof/>
        </w:rPr>
        <w:t xml:space="preserve">ALLEN, P. F., MCMILLAN, A. S. &amp; LOCKER, D. 2001. An assessment of sensitivity to change of the Oral Health Impact Profile in a clinical trial. </w:t>
      </w:r>
      <w:r w:rsidRPr="00787196">
        <w:rPr>
          <w:i/>
          <w:noProof/>
        </w:rPr>
        <w:t>Community Dentistry and Oral Epidemiology,</w:t>
      </w:r>
      <w:r w:rsidRPr="00787196">
        <w:rPr>
          <w:noProof/>
        </w:rPr>
        <w:t xml:space="preserve"> 29(3)</w:t>
      </w:r>
      <w:r w:rsidRPr="00787196">
        <w:rPr>
          <w:b/>
          <w:noProof/>
        </w:rPr>
        <w:t>,</w:t>
      </w:r>
      <w:r w:rsidRPr="00787196">
        <w:rPr>
          <w:noProof/>
        </w:rPr>
        <w:t xml:space="preserve"> 175-82.</w:t>
      </w:r>
      <w:bookmarkEnd w:id="372"/>
    </w:p>
    <w:p w14:paraId="48273562" w14:textId="77777777" w:rsidR="00525DC8" w:rsidRPr="00787196" w:rsidRDefault="00525DC8" w:rsidP="00525DC8">
      <w:pPr>
        <w:pStyle w:val="EndNoteBibliography"/>
        <w:spacing w:after="240"/>
        <w:rPr>
          <w:noProof/>
        </w:rPr>
      </w:pPr>
      <w:bookmarkStart w:id="373" w:name="_ENREF_16"/>
      <w:r w:rsidRPr="00787196">
        <w:rPr>
          <w:noProof/>
        </w:rPr>
        <w:t xml:space="preserve">ALLEN, P. F., MCMILLAN, A. S., WALSHAW, D. &amp; LOCKER, D. 1999. A comparison of the validity of generic- and disease-specific measures in the assessment of oral health-related quality of life. </w:t>
      </w:r>
      <w:r w:rsidRPr="00787196">
        <w:rPr>
          <w:i/>
          <w:noProof/>
        </w:rPr>
        <w:t>Community Dent Oral Epidemiol,</w:t>
      </w:r>
      <w:r w:rsidRPr="00787196">
        <w:rPr>
          <w:noProof/>
        </w:rPr>
        <w:t xml:space="preserve"> 27</w:t>
      </w:r>
      <w:r w:rsidRPr="00787196">
        <w:rPr>
          <w:b/>
          <w:noProof/>
        </w:rPr>
        <w:t>,</w:t>
      </w:r>
      <w:r w:rsidRPr="00787196">
        <w:rPr>
          <w:noProof/>
        </w:rPr>
        <w:t xml:space="preserve"> 344-52.</w:t>
      </w:r>
      <w:bookmarkEnd w:id="373"/>
    </w:p>
    <w:p w14:paraId="57209842" w14:textId="77777777" w:rsidR="00525DC8" w:rsidRPr="00787196" w:rsidRDefault="00525DC8" w:rsidP="00525DC8">
      <w:pPr>
        <w:pStyle w:val="EndNoteBibliography"/>
        <w:spacing w:after="240"/>
        <w:rPr>
          <w:noProof/>
        </w:rPr>
      </w:pPr>
      <w:bookmarkStart w:id="374" w:name="_ENREF_17"/>
      <w:r w:rsidRPr="00787196">
        <w:rPr>
          <w:noProof/>
        </w:rPr>
        <w:t xml:space="preserve">ALLEN, P. F., THOMASON, J. M., JEPSON, N. J., NOHL, F., SMITH, D. G. &amp; ELLIS, J. 2006. A randomized controlled trial of implant-retained mandibular overdentures. </w:t>
      </w:r>
      <w:r w:rsidRPr="00787196">
        <w:rPr>
          <w:i/>
          <w:noProof/>
        </w:rPr>
        <w:t>J Dent Res,</w:t>
      </w:r>
      <w:r w:rsidRPr="00787196">
        <w:rPr>
          <w:noProof/>
        </w:rPr>
        <w:t xml:space="preserve"> 85</w:t>
      </w:r>
      <w:r w:rsidRPr="00787196">
        <w:rPr>
          <w:b/>
          <w:noProof/>
        </w:rPr>
        <w:t>,</w:t>
      </w:r>
      <w:r w:rsidRPr="00787196">
        <w:rPr>
          <w:noProof/>
        </w:rPr>
        <w:t xml:space="preserve"> 547-51.</w:t>
      </w:r>
      <w:bookmarkEnd w:id="374"/>
    </w:p>
    <w:p w14:paraId="5375A30B" w14:textId="77777777" w:rsidR="00525DC8" w:rsidRPr="00787196" w:rsidRDefault="00525DC8" w:rsidP="00525DC8">
      <w:pPr>
        <w:pStyle w:val="EndNoteBibliography"/>
        <w:spacing w:after="240"/>
        <w:rPr>
          <w:noProof/>
        </w:rPr>
      </w:pPr>
      <w:bookmarkStart w:id="375" w:name="_ENREF_18"/>
      <w:r w:rsidRPr="00787196">
        <w:rPr>
          <w:noProof/>
        </w:rPr>
        <w:t xml:space="preserve">ALLISON, P. J., LOCKER, D. &amp; FEINE, J. S. 1997. Quality of life: a dynamic construct. </w:t>
      </w:r>
      <w:r w:rsidRPr="00787196">
        <w:rPr>
          <w:i/>
          <w:noProof/>
        </w:rPr>
        <w:t>Social Science &amp;amp; Medicine,</w:t>
      </w:r>
      <w:r w:rsidRPr="00787196">
        <w:rPr>
          <w:noProof/>
        </w:rPr>
        <w:t xml:space="preserve"> 45</w:t>
      </w:r>
      <w:r w:rsidRPr="00787196">
        <w:rPr>
          <w:b/>
          <w:noProof/>
        </w:rPr>
        <w:t>,</w:t>
      </w:r>
      <w:r w:rsidRPr="00787196">
        <w:rPr>
          <w:noProof/>
        </w:rPr>
        <w:t xml:space="preserve"> 221-230.</w:t>
      </w:r>
      <w:bookmarkEnd w:id="375"/>
    </w:p>
    <w:p w14:paraId="1726BD14" w14:textId="77777777" w:rsidR="00525DC8" w:rsidRPr="00787196" w:rsidRDefault="00525DC8" w:rsidP="00525DC8">
      <w:pPr>
        <w:pStyle w:val="EndNoteBibliography"/>
        <w:spacing w:after="240"/>
        <w:rPr>
          <w:noProof/>
        </w:rPr>
      </w:pPr>
      <w:bookmarkStart w:id="376" w:name="_ENREF_19"/>
      <w:r w:rsidRPr="00787196">
        <w:rPr>
          <w:noProof/>
        </w:rPr>
        <w:t xml:space="preserve">AMIN, A. A., VANKAR, J. R., NIMBALKAR, S. M. &amp; PHATAK, A. G. 2015. Perceived stress and professional quality of life in neonatal intensive care unit nurses in Gujarat, India. </w:t>
      </w:r>
      <w:r w:rsidRPr="00787196">
        <w:rPr>
          <w:i/>
          <w:noProof/>
        </w:rPr>
        <w:t>The Indian Journal of Pediatrics,</w:t>
      </w:r>
      <w:r w:rsidRPr="00787196">
        <w:rPr>
          <w:noProof/>
        </w:rPr>
        <w:t xml:space="preserve"> 82</w:t>
      </w:r>
      <w:r w:rsidRPr="00787196">
        <w:rPr>
          <w:b/>
          <w:noProof/>
        </w:rPr>
        <w:t>,</w:t>
      </w:r>
      <w:r w:rsidRPr="00787196">
        <w:rPr>
          <w:noProof/>
        </w:rPr>
        <w:t xml:space="preserve"> 1001-1005.</w:t>
      </w:r>
      <w:bookmarkEnd w:id="376"/>
    </w:p>
    <w:p w14:paraId="3A821419" w14:textId="77777777" w:rsidR="00525DC8" w:rsidRPr="00787196" w:rsidRDefault="00525DC8" w:rsidP="00525DC8">
      <w:pPr>
        <w:pStyle w:val="EndNoteBibliography"/>
        <w:spacing w:after="240"/>
        <w:rPr>
          <w:noProof/>
        </w:rPr>
      </w:pPr>
      <w:bookmarkStart w:id="377" w:name="_ENREF_20"/>
      <w:r w:rsidRPr="00787196">
        <w:rPr>
          <w:noProof/>
        </w:rPr>
        <w:t xml:space="preserve">ANASTASSIADOU, V. &amp; ROBIN HEATH, M. 2006. The effect of denture quality attributes on satisfaction and eating difficulties. </w:t>
      </w:r>
      <w:r w:rsidRPr="00787196">
        <w:rPr>
          <w:i/>
          <w:noProof/>
        </w:rPr>
        <w:t>Gerodontology,</w:t>
      </w:r>
      <w:r w:rsidRPr="00787196">
        <w:rPr>
          <w:noProof/>
        </w:rPr>
        <w:t xml:space="preserve"> 23</w:t>
      </w:r>
      <w:r w:rsidRPr="00787196">
        <w:rPr>
          <w:b/>
          <w:noProof/>
        </w:rPr>
        <w:t>,</w:t>
      </w:r>
      <w:r w:rsidRPr="00787196">
        <w:rPr>
          <w:noProof/>
        </w:rPr>
        <w:t xml:space="preserve"> 23-32.</w:t>
      </w:r>
      <w:bookmarkEnd w:id="377"/>
    </w:p>
    <w:p w14:paraId="0A4C065B" w14:textId="77777777" w:rsidR="00525DC8" w:rsidRPr="00787196" w:rsidRDefault="00525DC8" w:rsidP="00525DC8">
      <w:pPr>
        <w:pStyle w:val="EndNoteBibliography"/>
        <w:spacing w:after="240"/>
        <w:rPr>
          <w:noProof/>
        </w:rPr>
      </w:pPr>
      <w:bookmarkStart w:id="378" w:name="_ENREF_21"/>
      <w:r w:rsidRPr="00787196">
        <w:rPr>
          <w:noProof/>
        </w:rPr>
        <w:t xml:space="preserve">ARMELLINI, D. B., HEYDECKE, G., WITTER, D. J. &amp; CREUGERS, N. H. 2008. Effect of removable partial dentures on oral health-related quality of life in subjects with shortened dental arches: a 2-center cross-sectional study. </w:t>
      </w:r>
      <w:r w:rsidRPr="00787196">
        <w:rPr>
          <w:i/>
          <w:noProof/>
        </w:rPr>
        <w:t>Int J Prosthodont,</w:t>
      </w:r>
      <w:r w:rsidRPr="00787196">
        <w:rPr>
          <w:noProof/>
        </w:rPr>
        <w:t xml:space="preserve"> 21</w:t>
      </w:r>
      <w:r w:rsidRPr="00787196">
        <w:rPr>
          <w:b/>
          <w:noProof/>
        </w:rPr>
        <w:t>,</w:t>
      </w:r>
      <w:r w:rsidRPr="00787196">
        <w:rPr>
          <w:noProof/>
        </w:rPr>
        <w:t xml:space="preserve"> 524-30.</w:t>
      </w:r>
      <w:bookmarkEnd w:id="378"/>
    </w:p>
    <w:p w14:paraId="68441D55" w14:textId="77777777" w:rsidR="00525DC8" w:rsidRPr="00787196" w:rsidRDefault="00525DC8" w:rsidP="00525DC8">
      <w:pPr>
        <w:pStyle w:val="EndNoteBibliography"/>
        <w:spacing w:after="240"/>
        <w:rPr>
          <w:noProof/>
        </w:rPr>
      </w:pPr>
      <w:bookmarkStart w:id="379" w:name="_ENREF_22"/>
      <w:r w:rsidRPr="00787196">
        <w:rPr>
          <w:noProof/>
        </w:rPr>
        <w:lastRenderedPageBreak/>
        <w:t xml:space="preserve">ASSUNCAO, W. G., ZARDO, G. G., DELBEN, J. A. &amp; BARAO, V. A. 2007. Comparing the efficacy of mandibular implant-retained overdentures and conventional dentures among elderly edentulous patients: satisfaction and quality of life. </w:t>
      </w:r>
      <w:r w:rsidRPr="00787196">
        <w:rPr>
          <w:i/>
          <w:noProof/>
        </w:rPr>
        <w:t>Gerodontology,</w:t>
      </w:r>
      <w:r w:rsidRPr="00787196">
        <w:rPr>
          <w:noProof/>
        </w:rPr>
        <w:t xml:space="preserve"> 24</w:t>
      </w:r>
      <w:r w:rsidRPr="00787196">
        <w:rPr>
          <w:b/>
          <w:noProof/>
        </w:rPr>
        <w:t>,</w:t>
      </w:r>
      <w:r w:rsidRPr="00787196">
        <w:rPr>
          <w:noProof/>
        </w:rPr>
        <w:t xml:space="preserve"> 235-8.</w:t>
      </w:r>
      <w:bookmarkEnd w:id="379"/>
    </w:p>
    <w:p w14:paraId="0F1C2826" w14:textId="77777777" w:rsidR="00525DC8" w:rsidRPr="00787196" w:rsidRDefault="00525DC8" w:rsidP="00525DC8">
      <w:pPr>
        <w:pStyle w:val="EndNoteBibliography"/>
        <w:spacing w:after="240"/>
        <w:rPr>
          <w:noProof/>
        </w:rPr>
      </w:pPr>
      <w:bookmarkStart w:id="380" w:name="_ENREF_23"/>
      <w:r w:rsidRPr="00787196">
        <w:rPr>
          <w:noProof/>
        </w:rPr>
        <w:t xml:space="preserve">ATCHISON, K. A. &amp; DOLAN, T. A. 1990. Development of the Geriatric Oral Health Assessment Index. </w:t>
      </w:r>
      <w:r w:rsidRPr="00787196">
        <w:rPr>
          <w:i/>
          <w:noProof/>
        </w:rPr>
        <w:t>J Dent Educ,</w:t>
      </w:r>
      <w:r w:rsidRPr="00787196">
        <w:rPr>
          <w:noProof/>
        </w:rPr>
        <w:t xml:space="preserve"> 54</w:t>
      </w:r>
      <w:r w:rsidRPr="00787196">
        <w:rPr>
          <w:b/>
          <w:noProof/>
        </w:rPr>
        <w:t>,</w:t>
      </w:r>
      <w:r w:rsidRPr="00787196">
        <w:rPr>
          <w:noProof/>
        </w:rPr>
        <w:t xml:space="preserve"> 680-7.</w:t>
      </w:r>
      <w:bookmarkEnd w:id="380"/>
    </w:p>
    <w:p w14:paraId="711376B9" w14:textId="77777777" w:rsidR="00525DC8" w:rsidRPr="00787196" w:rsidRDefault="00525DC8" w:rsidP="00525DC8">
      <w:pPr>
        <w:pStyle w:val="EndNoteBibliography"/>
        <w:spacing w:after="240"/>
        <w:rPr>
          <w:noProof/>
        </w:rPr>
      </w:pPr>
      <w:bookmarkStart w:id="381" w:name="_ENREF_24"/>
      <w:r w:rsidRPr="00787196">
        <w:rPr>
          <w:noProof/>
        </w:rPr>
        <w:t xml:space="preserve">AWAD, A. G. &amp; VORUGANTI, L. N. P. 2000. Intervention Research in Psychosis: Issues Related to the Assessment of Quality of Life. </w:t>
      </w:r>
      <w:r w:rsidRPr="00787196">
        <w:rPr>
          <w:i/>
          <w:noProof/>
        </w:rPr>
        <w:t>Schizophrenia Bulletin,</w:t>
      </w:r>
      <w:r w:rsidRPr="00787196">
        <w:rPr>
          <w:noProof/>
        </w:rPr>
        <w:t xml:space="preserve"> 26</w:t>
      </w:r>
      <w:r w:rsidRPr="00787196">
        <w:rPr>
          <w:b/>
          <w:noProof/>
        </w:rPr>
        <w:t>,</w:t>
      </w:r>
      <w:r w:rsidRPr="00787196">
        <w:rPr>
          <w:noProof/>
        </w:rPr>
        <w:t xml:space="preserve"> 557-564.</w:t>
      </w:r>
      <w:bookmarkEnd w:id="381"/>
    </w:p>
    <w:p w14:paraId="18DB8BD3" w14:textId="77777777" w:rsidR="00525DC8" w:rsidRPr="00787196" w:rsidRDefault="00525DC8" w:rsidP="00525DC8">
      <w:pPr>
        <w:pStyle w:val="EndNoteBibliography"/>
        <w:spacing w:after="240"/>
        <w:rPr>
          <w:noProof/>
        </w:rPr>
      </w:pPr>
      <w:bookmarkStart w:id="382" w:name="_ENREF_25"/>
      <w:r w:rsidRPr="00787196">
        <w:rPr>
          <w:noProof/>
        </w:rPr>
        <w:t xml:space="preserve">AWAD, A. G., VORUGANTI, L. N. P. &amp; HESLEGRAVE, R. J. 1997. Measuring Quality of Life in Patients with Schizophrenia. </w:t>
      </w:r>
      <w:r w:rsidRPr="00787196">
        <w:rPr>
          <w:i/>
          <w:noProof/>
        </w:rPr>
        <w:t>PharmacoEconomics,</w:t>
      </w:r>
      <w:r w:rsidRPr="00787196">
        <w:rPr>
          <w:noProof/>
        </w:rPr>
        <w:t xml:space="preserve"> 11</w:t>
      </w:r>
      <w:r w:rsidRPr="00787196">
        <w:rPr>
          <w:b/>
          <w:noProof/>
        </w:rPr>
        <w:t>,</w:t>
      </w:r>
      <w:r w:rsidRPr="00787196">
        <w:rPr>
          <w:noProof/>
        </w:rPr>
        <w:t xml:space="preserve"> 32-47.</w:t>
      </w:r>
      <w:bookmarkEnd w:id="382"/>
    </w:p>
    <w:p w14:paraId="5D2E7278" w14:textId="77777777" w:rsidR="00525DC8" w:rsidRPr="00787196" w:rsidRDefault="00525DC8" w:rsidP="00525DC8">
      <w:pPr>
        <w:pStyle w:val="EndNoteBibliography"/>
        <w:spacing w:after="240"/>
        <w:rPr>
          <w:noProof/>
        </w:rPr>
      </w:pPr>
      <w:bookmarkStart w:id="383" w:name="_ENREF_26"/>
      <w:r w:rsidRPr="00787196">
        <w:rPr>
          <w:noProof/>
        </w:rPr>
        <w:t xml:space="preserve">AWAD, M. A. &amp; FEINE, J. S. 1998. Measuring patient satisfaction with mandibular prostheses. </w:t>
      </w:r>
      <w:r w:rsidRPr="00787196">
        <w:rPr>
          <w:i/>
          <w:noProof/>
        </w:rPr>
        <w:t>Community Dentistry and Oral Epidemiology,</w:t>
      </w:r>
      <w:r w:rsidRPr="00787196">
        <w:rPr>
          <w:noProof/>
        </w:rPr>
        <w:t xml:space="preserve"> 26</w:t>
      </w:r>
      <w:r w:rsidRPr="00787196">
        <w:rPr>
          <w:b/>
          <w:noProof/>
        </w:rPr>
        <w:t>,</w:t>
      </w:r>
      <w:r w:rsidRPr="00787196">
        <w:rPr>
          <w:noProof/>
        </w:rPr>
        <w:t xml:space="preserve"> 400-405.</w:t>
      </w:r>
      <w:bookmarkEnd w:id="383"/>
    </w:p>
    <w:p w14:paraId="6BB68A79" w14:textId="77777777" w:rsidR="00525DC8" w:rsidRPr="00787196" w:rsidRDefault="00525DC8" w:rsidP="00525DC8">
      <w:pPr>
        <w:pStyle w:val="EndNoteBibliography"/>
        <w:spacing w:after="240"/>
        <w:rPr>
          <w:noProof/>
        </w:rPr>
      </w:pPr>
      <w:bookmarkStart w:id="384" w:name="_ENREF_27"/>
      <w:r w:rsidRPr="00787196">
        <w:rPr>
          <w:noProof/>
        </w:rPr>
        <w:t xml:space="preserve">AWAD, M. A., LOCKER, D., KORNER-BITENSKY, N. &amp; FEINE, J. S. 2000. Measuring the effect of intra-oral implant rehabilitation on health-related quality of life in a randomized controlled clinical trial. </w:t>
      </w:r>
      <w:r w:rsidRPr="00787196">
        <w:rPr>
          <w:i/>
          <w:noProof/>
        </w:rPr>
        <w:t>J Dent Res,</w:t>
      </w:r>
      <w:r w:rsidRPr="00787196">
        <w:rPr>
          <w:noProof/>
        </w:rPr>
        <w:t xml:space="preserve"> 79</w:t>
      </w:r>
      <w:r w:rsidRPr="00787196">
        <w:rPr>
          <w:b/>
          <w:noProof/>
        </w:rPr>
        <w:t>,</w:t>
      </w:r>
      <w:r w:rsidRPr="00787196">
        <w:rPr>
          <w:noProof/>
        </w:rPr>
        <w:t xml:space="preserve"> 1659-63.</w:t>
      </w:r>
      <w:bookmarkEnd w:id="384"/>
    </w:p>
    <w:p w14:paraId="32EA0F31" w14:textId="77777777" w:rsidR="00525DC8" w:rsidRPr="00787196" w:rsidRDefault="00525DC8" w:rsidP="00525DC8">
      <w:pPr>
        <w:pStyle w:val="EndNoteBibliography"/>
        <w:spacing w:after="240"/>
        <w:rPr>
          <w:noProof/>
        </w:rPr>
      </w:pPr>
      <w:bookmarkStart w:id="385" w:name="_ENREF_28"/>
      <w:r w:rsidRPr="00787196">
        <w:rPr>
          <w:noProof/>
        </w:rPr>
        <w:t xml:space="preserve">AWAD, M. A., LUND, J. P., SHAPIRO, S. H., LOCKER, D., KLEMETTI, E., CHEHADE, A., SAVARD, A. &amp; FEINE, J. S. 2003. Oral health status and treatment satisfaction with mandibular implant overdentures and conventional dentures: a randomized clinical trial in a senior population. </w:t>
      </w:r>
      <w:r w:rsidRPr="00787196">
        <w:rPr>
          <w:i/>
          <w:noProof/>
        </w:rPr>
        <w:t>Int J Prosthodont,</w:t>
      </w:r>
      <w:r w:rsidRPr="00787196">
        <w:rPr>
          <w:noProof/>
        </w:rPr>
        <w:t xml:space="preserve"> 16</w:t>
      </w:r>
      <w:r w:rsidRPr="00787196">
        <w:rPr>
          <w:b/>
          <w:noProof/>
        </w:rPr>
        <w:t>,</w:t>
      </w:r>
      <w:r w:rsidRPr="00787196">
        <w:rPr>
          <w:noProof/>
        </w:rPr>
        <w:t xml:space="preserve"> 390-6.</w:t>
      </w:r>
      <w:bookmarkEnd w:id="385"/>
    </w:p>
    <w:p w14:paraId="19EB864A" w14:textId="77777777" w:rsidR="00525DC8" w:rsidRPr="00787196" w:rsidRDefault="00525DC8" w:rsidP="00525DC8">
      <w:pPr>
        <w:pStyle w:val="EndNoteBibliography"/>
        <w:spacing w:after="240"/>
        <w:rPr>
          <w:noProof/>
        </w:rPr>
      </w:pPr>
      <w:bookmarkStart w:id="386" w:name="_ENREF_29"/>
      <w:r w:rsidRPr="00787196">
        <w:rPr>
          <w:noProof/>
        </w:rPr>
        <w:t xml:space="preserve">BAE, K. H., KIM, C., PAIK, D. I. &amp; KIM, J. B. 2006. A comparison of oral health related quality of life between complete and partial removable denture-wearing older adults in Korea. </w:t>
      </w:r>
      <w:r w:rsidRPr="00787196">
        <w:rPr>
          <w:i/>
          <w:noProof/>
        </w:rPr>
        <w:t>J Oral Rehabil,</w:t>
      </w:r>
      <w:r w:rsidRPr="00787196">
        <w:rPr>
          <w:noProof/>
        </w:rPr>
        <w:t xml:space="preserve"> 33</w:t>
      </w:r>
      <w:r w:rsidRPr="00787196">
        <w:rPr>
          <w:b/>
          <w:noProof/>
        </w:rPr>
        <w:t>,</w:t>
      </w:r>
      <w:r w:rsidRPr="00787196">
        <w:rPr>
          <w:noProof/>
        </w:rPr>
        <w:t xml:space="preserve"> 317-22.</w:t>
      </w:r>
      <w:bookmarkEnd w:id="386"/>
    </w:p>
    <w:p w14:paraId="7C5D576B" w14:textId="77777777" w:rsidR="00525DC8" w:rsidRPr="00787196" w:rsidRDefault="00525DC8" w:rsidP="00525DC8">
      <w:pPr>
        <w:pStyle w:val="EndNoteBibliography"/>
        <w:spacing w:after="240"/>
        <w:rPr>
          <w:noProof/>
        </w:rPr>
      </w:pPr>
      <w:bookmarkStart w:id="387" w:name="_ENREF_30"/>
      <w:r w:rsidRPr="00787196">
        <w:rPr>
          <w:noProof/>
        </w:rPr>
        <w:t>BAJORIA, A. A., SALDANHA, S. &amp; SHENOY, V. K. 2012. Evaluation of satisfaction wi</w:t>
      </w:r>
      <w:r w:rsidRPr="00787196">
        <w:rPr>
          <w:rFonts w:hint="eastAsia"/>
          <w:noProof/>
        </w:rPr>
        <w:t>th masticatory efficiency of new conventional complete dentures in edentulous patients</w:t>
      </w:r>
      <w:r w:rsidRPr="00787196">
        <w:rPr>
          <w:rFonts w:hint="eastAsia"/>
          <w:noProof/>
        </w:rPr>
        <w:t>‐</w:t>
      </w:r>
      <w:r w:rsidRPr="00787196">
        <w:rPr>
          <w:rFonts w:hint="eastAsia"/>
          <w:noProof/>
        </w:rPr>
        <w:t xml:space="preserve">a survey. </w:t>
      </w:r>
      <w:r w:rsidRPr="00787196">
        <w:rPr>
          <w:rFonts w:hint="eastAsia"/>
          <w:i/>
          <w:noProof/>
        </w:rPr>
        <w:t>Gerodontology,</w:t>
      </w:r>
      <w:r w:rsidRPr="00787196">
        <w:rPr>
          <w:rFonts w:hint="eastAsia"/>
          <w:noProof/>
        </w:rPr>
        <w:t xml:space="preserve"> 29</w:t>
      </w:r>
      <w:r w:rsidRPr="00787196">
        <w:rPr>
          <w:rFonts w:hint="eastAsia"/>
          <w:b/>
          <w:noProof/>
        </w:rPr>
        <w:t>,</w:t>
      </w:r>
      <w:r w:rsidRPr="00787196">
        <w:rPr>
          <w:rFonts w:hint="eastAsia"/>
          <w:noProof/>
        </w:rPr>
        <w:t xml:space="preserve"> 231-238.</w:t>
      </w:r>
      <w:bookmarkEnd w:id="387"/>
    </w:p>
    <w:p w14:paraId="6C0ED0BC" w14:textId="77777777" w:rsidR="00525DC8" w:rsidRPr="00787196" w:rsidRDefault="00525DC8" w:rsidP="00525DC8">
      <w:pPr>
        <w:pStyle w:val="EndNoteBibliography"/>
        <w:spacing w:after="240"/>
        <w:rPr>
          <w:noProof/>
        </w:rPr>
      </w:pPr>
      <w:bookmarkStart w:id="388" w:name="_ENREF_31"/>
      <w:r w:rsidRPr="00787196">
        <w:rPr>
          <w:noProof/>
        </w:rPr>
        <w:t xml:space="preserve">BAKER, E. H. 2014. Socioeconomic Status, Definition. </w:t>
      </w:r>
      <w:r w:rsidRPr="00787196">
        <w:rPr>
          <w:i/>
          <w:noProof/>
        </w:rPr>
        <w:t>The Wiley Blackwell Encyclopedia of Health, Illness, Behavior, and Society.</w:t>
      </w:r>
      <w:r w:rsidRPr="00787196">
        <w:rPr>
          <w:noProof/>
        </w:rPr>
        <w:t xml:space="preserve"> John Wiley &amp; Sons, Ltd.</w:t>
      </w:r>
      <w:bookmarkEnd w:id="388"/>
    </w:p>
    <w:p w14:paraId="0A44A97A" w14:textId="77777777" w:rsidR="00525DC8" w:rsidRPr="00787196" w:rsidRDefault="00525DC8" w:rsidP="00525DC8">
      <w:pPr>
        <w:pStyle w:val="EndNoteBibliography"/>
        <w:spacing w:after="240"/>
        <w:rPr>
          <w:noProof/>
        </w:rPr>
      </w:pPr>
      <w:bookmarkStart w:id="389" w:name="_ENREF_32"/>
      <w:r w:rsidRPr="00787196">
        <w:rPr>
          <w:noProof/>
        </w:rPr>
        <w:t xml:space="preserve">BAKER, S. R. 2007. Testing a Conceptual Model of Oral Health: a Structural Equation Modeling Approach. </w:t>
      </w:r>
      <w:r w:rsidRPr="00787196">
        <w:rPr>
          <w:i/>
          <w:noProof/>
        </w:rPr>
        <w:t>Journal of Dental Research,</w:t>
      </w:r>
      <w:r w:rsidRPr="00787196">
        <w:rPr>
          <w:noProof/>
        </w:rPr>
        <w:t xml:space="preserve"> 86</w:t>
      </w:r>
      <w:r w:rsidRPr="00787196">
        <w:rPr>
          <w:b/>
          <w:noProof/>
        </w:rPr>
        <w:t>,</w:t>
      </w:r>
      <w:r w:rsidRPr="00787196">
        <w:rPr>
          <w:noProof/>
        </w:rPr>
        <w:t xml:space="preserve"> 708-712.</w:t>
      </w:r>
      <w:bookmarkEnd w:id="389"/>
    </w:p>
    <w:p w14:paraId="219DE202" w14:textId="77777777" w:rsidR="00525DC8" w:rsidRPr="00787196" w:rsidRDefault="00525DC8" w:rsidP="00525DC8">
      <w:pPr>
        <w:pStyle w:val="EndNoteBibliography"/>
        <w:spacing w:after="240"/>
        <w:rPr>
          <w:noProof/>
        </w:rPr>
      </w:pPr>
      <w:bookmarkStart w:id="390" w:name="_ENREF_33"/>
      <w:r w:rsidRPr="00787196">
        <w:rPr>
          <w:noProof/>
        </w:rPr>
        <w:lastRenderedPageBreak/>
        <w:t xml:space="preserve">BAKER, S. R., MAT, A. &amp; ROBINSON, P. G. 2010. What psychosocial factors influence adolescents' oral health? </w:t>
      </w:r>
      <w:r w:rsidRPr="00787196">
        <w:rPr>
          <w:i/>
          <w:noProof/>
        </w:rPr>
        <w:t>J Dent Res,</w:t>
      </w:r>
      <w:r w:rsidRPr="00787196">
        <w:rPr>
          <w:noProof/>
        </w:rPr>
        <w:t xml:space="preserve"> 89</w:t>
      </w:r>
      <w:r w:rsidRPr="00787196">
        <w:rPr>
          <w:b/>
          <w:noProof/>
        </w:rPr>
        <w:t>,</w:t>
      </w:r>
      <w:r w:rsidRPr="00787196">
        <w:rPr>
          <w:noProof/>
        </w:rPr>
        <w:t xml:space="preserve"> 1230-5.</w:t>
      </w:r>
      <w:bookmarkEnd w:id="390"/>
    </w:p>
    <w:p w14:paraId="74FC10BE" w14:textId="77777777" w:rsidR="00525DC8" w:rsidRPr="00787196" w:rsidRDefault="00525DC8" w:rsidP="00525DC8">
      <w:pPr>
        <w:pStyle w:val="EndNoteBibliography"/>
        <w:spacing w:after="240"/>
        <w:rPr>
          <w:noProof/>
        </w:rPr>
      </w:pPr>
      <w:bookmarkStart w:id="391" w:name="_ENREF_34"/>
      <w:r w:rsidRPr="00787196">
        <w:rPr>
          <w:noProof/>
        </w:rPr>
        <w:t xml:space="preserve">BAKER, S. R., PEARSON, N. K. &amp; ROBINSON, P. G. 2008. Testing the applicability of a conceptual model of oral health in housebound edentulous older people. </w:t>
      </w:r>
      <w:r w:rsidRPr="00787196">
        <w:rPr>
          <w:i/>
          <w:noProof/>
        </w:rPr>
        <w:t>Community Dentistry and Oral Epidemiology,</w:t>
      </w:r>
      <w:r w:rsidRPr="00787196">
        <w:rPr>
          <w:noProof/>
        </w:rPr>
        <w:t xml:space="preserve"> 36</w:t>
      </w:r>
      <w:r w:rsidRPr="00787196">
        <w:rPr>
          <w:b/>
          <w:noProof/>
        </w:rPr>
        <w:t>,</w:t>
      </w:r>
      <w:r w:rsidRPr="00787196">
        <w:rPr>
          <w:noProof/>
        </w:rPr>
        <w:t xml:space="preserve"> 237-248.</w:t>
      </w:r>
      <w:bookmarkEnd w:id="391"/>
    </w:p>
    <w:p w14:paraId="7EFDA166" w14:textId="77777777" w:rsidR="00525DC8" w:rsidRPr="00787196" w:rsidRDefault="00525DC8" w:rsidP="00525DC8">
      <w:pPr>
        <w:pStyle w:val="EndNoteBibliography"/>
        <w:spacing w:after="240"/>
        <w:rPr>
          <w:noProof/>
        </w:rPr>
      </w:pPr>
      <w:bookmarkStart w:id="392" w:name="_ENREF_35"/>
      <w:r w:rsidRPr="00787196">
        <w:rPr>
          <w:noProof/>
        </w:rPr>
        <w:t xml:space="preserve">BALDUCCI, C., MNICH, E., MCKEE, K. J., LAMURA, G., BECKMANN, A., KREVERS, B., WOJSZEL, Z. B., NOLAN, M., PROUSKAS, C., BIEN, B. &amp; OBERG, B. 2008. Negative impact and positive value in caregiving: validation of the COPE index in a six-country sample of carers. </w:t>
      </w:r>
      <w:r w:rsidRPr="00787196">
        <w:rPr>
          <w:i/>
          <w:noProof/>
        </w:rPr>
        <w:t>Gerontologist,</w:t>
      </w:r>
      <w:r w:rsidRPr="00787196">
        <w:rPr>
          <w:noProof/>
        </w:rPr>
        <w:t xml:space="preserve"> 48</w:t>
      </w:r>
      <w:r w:rsidRPr="00787196">
        <w:rPr>
          <w:b/>
          <w:noProof/>
        </w:rPr>
        <w:t>,</w:t>
      </w:r>
      <w:r w:rsidRPr="00787196">
        <w:rPr>
          <w:noProof/>
        </w:rPr>
        <w:t xml:space="preserve"> 276-86.</w:t>
      </w:r>
      <w:bookmarkEnd w:id="392"/>
    </w:p>
    <w:p w14:paraId="3A02FCD2" w14:textId="77777777" w:rsidR="00525DC8" w:rsidRPr="00787196" w:rsidRDefault="00525DC8" w:rsidP="00525DC8">
      <w:pPr>
        <w:pStyle w:val="EndNoteBibliography"/>
        <w:spacing w:after="240"/>
        <w:rPr>
          <w:noProof/>
        </w:rPr>
      </w:pPr>
      <w:bookmarkStart w:id="393" w:name="_ENREF_36"/>
      <w:r w:rsidRPr="00787196">
        <w:rPr>
          <w:noProof/>
        </w:rPr>
        <w:t xml:space="preserve">BALDWIN, D. C. 1980. Appearance and aesthetics in oral health. </w:t>
      </w:r>
      <w:r w:rsidRPr="00787196">
        <w:rPr>
          <w:i/>
          <w:noProof/>
        </w:rPr>
        <w:t>Community dentistry and oral epidemiology,</w:t>
      </w:r>
      <w:r w:rsidRPr="00787196">
        <w:rPr>
          <w:noProof/>
        </w:rPr>
        <w:t xml:space="preserve"> 8</w:t>
      </w:r>
      <w:r w:rsidRPr="00787196">
        <w:rPr>
          <w:b/>
          <w:noProof/>
        </w:rPr>
        <w:t>,</w:t>
      </w:r>
      <w:r w:rsidRPr="00787196">
        <w:rPr>
          <w:noProof/>
        </w:rPr>
        <w:t xml:space="preserve"> 244-256.</w:t>
      </w:r>
      <w:bookmarkEnd w:id="393"/>
    </w:p>
    <w:p w14:paraId="18327A7E" w14:textId="77777777" w:rsidR="00525DC8" w:rsidRPr="00787196" w:rsidRDefault="00525DC8" w:rsidP="00525DC8">
      <w:pPr>
        <w:pStyle w:val="EndNoteBibliography"/>
        <w:spacing w:after="240"/>
        <w:rPr>
          <w:noProof/>
        </w:rPr>
      </w:pPr>
      <w:bookmarkStart w:id="394" w:name="_ENREF_37"/>
      <w:r w:rsidRPr="00787196">
        <w:rPr>
          <w:noProof/>
        </w:rPr>
        <w:t xml:space="preserve">BANDURA, A. 2006. Adolescent development from an agentic perspective. </w:t>
      </w:r>
      <w:r w:rsidRPr="00787196">
        <w:rPr>
          <w:i/>
          <w:noProof/>
        </w:rPr>
        <w:t>In:</w:t>
      </w:r>
      <w:r w:rsidRPr="00787196">
        <w:rPr>
          <w:noProof/>
        </w:rPr>
        <w:t xml:space="preserve"> PAJARES, F. &amp; URDAN, T. C. (eds.) </w:t>
      </w:r>
      <w:r w:rsidRPr="00787196">
        <w:rPr>
          <w:i/>
          <w:noProof/>
        </w:rPr>
        <w:t>Self-efficacy beliefs of adolescents.</w:t>
      </w:r>
      <w:r w:rsidRPr="00787196">
        <w:rPr>
          <w:noProof/>
        </w:rPr>
        <w:t xml:space="preserve"> Greenwich, Conn.: IAP - Information Age Pub.</w:t>
      </w:r>
      <w:bookmarkEnd w:id="394"/>
    </w:p>
    <w:p w14:paraId="52210C9A" w14:textId="77777777" w:rsidR="00525DC8" w:rsidRPr="00787196" w:rsidRDefault="00525DC8" w:rsidP="00525DC8">
      <w:pPr>
        <w:pStyle w:val="EndNoteBibliography"/>
        <w:spacing w:after="240"/>
        <w:rPr>
          <w:noProof/>
        </w:rPr>
      </w:pPr>
      <w:bookmarkStart w:id="395" w:name="_ENREF_38"/>
      <w:r w:rsidRPr="00787196">
        <w:rPr>
          <w:noProof/>
        </w:rPr>
        <w:t xml:space="preserve">BANERJEE, B., VADIRAJ, H. S., RAM, A., RAO, R., JAYAPAL, M., GOPINATH, K. S., RAMESH, B. S., RAO, N., KUMAR, A., RAGHURAM, N., HEGDE, S., NAGENDRA, H. R. &amp; PRAKASH HANDE, M. 2007. Effects of an integrated yoga program in modulating psychological stress and radiation-induced genotoxic stress in breast cancer patients undergoing radiotherapy. </w:t>
      </w:r>
      <w:r w:rsidRPr="00787196">
        <w:rPr>
          <w:i/>
          <w:noProof/>
        </w:rPr>
        <w:t>Integrative Cancer Therapies,</w:t>
      </w:r>
      <w:r w:rsidRPr="00787196">
        <w:rPr>
          <w:noProof/>
        </w:rPr>
        <w:t xml:space="preserve"> 6</w:t>
      </w:r>
      <w:r w:rsidRPr="00787196">
        <w:rPr>
          <w:b/>
          <w:noProof/>
        </w:rPr>
        <w:t>,</w:t>
      </w:r>
      <w:r w:rsidRPr="00787196">
        <w:rPr>
          <w:noProof/>
        </w:rPr>
        <w:t xml:space="preserve"> 242-250.</w:t>
      </w:r>
      <w:bookmarkEnd w:id="395"/>
    </w:p>
    <w:p w14:paraId="68E305E2" w14:textId="77777777" w:rsidR="00525DC8" w:rsidRPr="00787196" w:rsidRDefault="00525DC8" w:rsidP="00525DC8">
      <w:pPr>
        <w:pStyle w:val="EndNoteBibliography"/>
        <w:spacing w:after="240"/>
        <w:rPr>
          <w:noProof/>
        </w:rPr>
      </w:pPr>
      <w:bookmarkStart w:id="396" w:name="_ENREF_39"/>
      <w:r w:rsidRPr="00787196">
        <w:rPr>
          <w:noProof/>
        </w:rPr>
        <w:t xml:space="preserve">BARAN, I., ERGUN, G. &amp; SEMIZ, M. 2007. Socio-demographic and economic factors affecting the acceptance of removable dentures. </w:t>
      </w:r>
      <w:r w:rsidRPr="00787196">
        <w:rPr>
          <w:i/>
          <w:noProof/>
        </w:rPr>
        <w:t>Eur J Dent,</w:t>
      </w:r>
      <w:r w:rsidRPr="00787196">
        <w:rPr>
          <w:noProof/>
        </w:rPr>
        <w:t xml:space="preserve"> 1</w:t>
      </w:r>
      <w:r w:rsidRPr="00787196">
        <w:rPr>
          <w:b/>
          <w:noProof/>
        </w:rPr>
        <w:t>,</w:t>
      </w:r>
      <w:r w:rsidRPr="00787196">
        <w:rPr>
          <w:noProof/>
        </w:rPr>
        <w:t xml:space="preserve"> 104-10.</w:t>
      </w:r>
      <w:bookmarkEnd w:id="396"/>
    </w:p>
    <w:p w14:paraId="478BD3FF" w14:textId="77777777" w:rsidR="00525DC8" w:rsidRPr="00787196" w:rsidRDefault="00525DC8" w:rsidP="00525DC8">
      <w:pPr>
        <w:pStyle w:val="EndNoteBibliography"/>
        <w:spacing w:after="240"/>
        <w:rPr>
          <w:noProof/>
        </w:rPr>
      </w:pPr>
      <w:bookmarkStart w:id="397" w:name="_ENREF_40"/>
      <w:r w:rsidRPr="00787196">
        <w:rPr>
          <w:noProof/>
        </w:rPr>
        <w:t xml:space="preserve">BARAN, I. &amp; NALCACI, R. 2011. Self-reported problems before and after prosthodontic treatments according to newly created Turkish version of oral health impact profile. </w:t>
      </w:r>
      <w:r w:rsidRPr="00787196">
        <w:rPr>
          <w:i/>
          <w:noProof/>
        </w:rPr>
        <w:t>Arch Gerontol Geriatr,</w:t>
      </w:r>
      <w:r w:rsidRPr="00787196">
        <w:rPr>
          <w:noProof/>
        </w:rPr>
        <w:t xml:space="preserve"> 53</w:t>
      </w:r>
      <w:r w:rsidRPr="00787196">
        <w:rPr>
          <w:b/>
          <w:noProof/>
        </w:rPr>
        <w:t>,</w:t>
      </w:r>
      <w:r w:rsidRPr="00787196">
        <w:rPr>
          <w:noProof/>
        </w:rPr>
        <w:t xml:space="preserve"> e99-105.</w:t>
      </w:r>
      <w:bookmarkEnd w:id="397"/>
    </w:p>
    <w:p w14:paraId="6DD3290F" w14:textId="77777777" w:rsidR="00525DC8" w:rsidRPr="00787196" w:rsidRDefault="00525DC8" w:rsidP="00525DC8">
      <w:pPr>
        <w:pStyle w:val="EndNoteBibliography"/>
        <w:spacing w:after="240"/>
        <w:rPr>
          <w:noProof/>
        </w:rPr>
      </w:pPr>
      <w:bookmarkStart w:id="398" w:name="_ENREF_41"/>
      <w:r w:rsidRPr="00787196">
        <w:rPr>
          <w:noProof/>
        </w:rPr>
        <w:t xml:space="preserve">BARROS, S. P., SURUKI, R., LOEWY, Z. G., BECK, J. D. &amp; OFFENBACHER, S. 2013. A Cohort Study of the Impact of Tooth Loss and Periodontal Disease on Respiratory Events among COPD Subjects: Modulatory Role of Systemic Biomarkers of Inflammation. </w:t>
      </w:r>
      <w:r w:rsidRPr="00787196">
        <w:rPr>
          <w:i/>
          <w:noProof/>
        </w:rPr>
        <w:t>PLOS ONE,</w:t>
      </w:r>
      <w:r w:rsidRPr="00787196">
        <w:rPr>
          <w:noProof/>
        </w:rPr>
        <w:t xml:space="preserve"> 8</w:t>
      </w:r>
      <w:r w:rsidRPr="00787196">
        <w:rPr>
          <w:b/>
          <w:noProof/>
        </w:rPr>
        <w:t>,</w:t>
      </w:r>
      <w:r w:rsidRPr="00787196">
        <w:rPr>
          <w:noProof/>
        </w:rPr>
        <w:t xml:space="preserve"> e68592.</w:t>
      </w:r>
      <w:bookmarkEnd w:id="398"/>
    </w:p>
    <w:p w14:paraId="67D82655" w14:textId="77777777" w:rsidR="00525DC8" w:rsidRPr="00787196" w:rsidRDefault="00525DC8" w:rsidP="00525DC8">
      <w:pPr>
        <w:pStyle w:val="EndNoteBibliography"/>
        <w:spacing w:after="240"/>
        <w:rPr>
          <w:noProof/>
        </w:rPr>
      </w:pPr>
      <w:bookmarkStart w:id="399" w:name="_ENREF_42"/>
      <w:r w:rsidRPr="00787196">
        <w:rPr>
          <w:noProof/>
        </w:rPr>
        <w:t xml:space="preserve">BARTLEY, M. 2004. </w:t>
      </w:r>
      <w:r w:rsidRPr="00787196">
        <w:rPr>
          <w:i/>
          <w:noProof/>
        </w:rPr>
        <w:t xml:space="preserve">Health inequality : an introduction to theories, concepts, and methods, </w:t>
      </w:r>
      <w:r w:rsidRPr="00787196">
        <w:rPr>
          <w:noProof/>
        </w:rPr>
        <w:t>Cambridge, UK, Polity Press.</w:t>
      </w:r>
      <w:bookmarkEnd w:id="399"/>
    </w:p>
    <w:p w14:paraId="331352DF" w14:textId="77777777" w:rsidR="00525DC8" w:rsidRPr="00787196" w:rsidRDefault="00525DC8" w:rsidP="00525DC8">
      <w:pPr>
        <w:pStyle w:val="EndNoteBibliography"/>
        <w:spacing w:after="240"/>
        <w:rPr>
          <w:noProof/>
        </w:rPr>
      </w:pPr>
      <w:bookmarkStart w:id="400" w:name="_ENREF_43"/>
      <w:r w:rsidRPr="00787196">
        <w:rPr>
          <w:noProof/>
        </w:rPr>
        <w:lastRenderedPageBreak/>
        <w:t xml:space="preserve">BELLINI, D., DOS SANTOS, M. B., DE PAULA PRISCO DA CUNHA, V. &amp; MARCHINI, L. 2009. Patients' expectations and satisfaction of complete denture therapy and correlation with locus of control. </w:t>
      </w:r>
      <w:r w:rsidRPr="00787196">
        <w:rPr>
          <w:i/>
          <w:noProof/>
        </w:rPr>
        <w:t>J Oral Rehabil,</w:t>
      </w:r>
      <w:r w:rsidRPr="00787196">
        <w:rPr>
          <w:noProof/>
        </w:rPr>
        <w:t xml:space="preserve"> 36</w:t>
      </w:r>
      <w:r w:rsidRPr="00787196">
        <w:rPr>
          <w:b/>
          <w:noProof/>
        </w:rPr>
        <w:t>,</w:t>
      </w:r>
      <w:r w:rsidRPr="00787196">
        <w:rPr>
          <w:noProof/>
        </w:rPr>
        <w:t xml:space="preserve"> 682-6.</w:t>
      </w:r>
      <w:bookmarkEnd w:id="400"/>
    </w:p>
    <w:p w14:paraId="676AF28F" w14:textId="77777777" w:rsidR="00525DC8" w:rsidRPr="00787196" w:rsidRDefault="00525DC8" w:rsidP="00525DC8">
      <w:pPr>
        <w:pStyle w:val="EndNoteBibliography"/>
        <w:spacing w:after="240"/>
        <w:rPr>
          <w:noProof/>
        </w:rPr>
      </w:pPr>
      <w:bookmarkStart w:id="401" w:name="_ENREF_44"/>
      <w:r w:rsidRPr="00787196">
        <w:rPr>
          <w:noProof/>
        </w:rPr>
        <w:t xml:space="preserve">BERG, E. 1984. The influence of some anamnestic, demographic, and clinical variables on patient acceptance of new complete dentures. </w:t>
      </w:r>
      <w:r w:rsidRPr="00787196">
        <w:rPr>
          <w:i/>
          <w:noProof/>
        </w:rPr>
        <w:t>Acta Odontol Scand,</w:t>
      </w:r>
      <w:r w:rsidRPr="00787196">
        <w:rPr>
          <w:noProof/>
        </w:rPr>
        <w:t xml:space="preserve"> 42</w:t>
      </w:r>
      <w:r w:rsidRPr="00787196">
        <w:rPr>
          <w:b/>
          <w:noProof/>
        </w:rPr>
        <w:t>,</w:t>
      </w:r>
      <w:r w:rsidRPr="00787196">
        <w:rPr>
          <w:noProof/>
        </w:rPr>
        <w:t xml:space="preserve"> 119-27.</w:t>
      </w:r>
      <w:bookmarkEnd w:id="401"/>
    </w:p>
    <w:p w14:paraId="46BBD6A9" w14:textId="77777777" w:rsidR="00525DC8" w:rsidRPr="00787196" w:rsidRDefault="00525DC8" w:rsidP="00525DC8">
      <w:pPr>
        <w:pStyle w:val="EndNoteBibliography"/>
        <w:spacing w:after="240"/>
        <w:rPr>
          <w:noProof/>
        </w:rPr>
      </w:pPr>
      <w:bookmarkStart w:id="402" w:name="_ENREF_45"/>
      <w:r w:rsidRPr="00787196">
        <w:rPr>
          <w:noProof/>
        </w:rPr>
        <w:t xml:space="preserve">BERG, E. 1988. A 2-year follow-up study of patient satisfaction with new complete dentures. </w:t>
      </w:r>
      <w:r w:rsidRPr="00787196">
        <w:rPr>
          <w:i/>
          <w:noProof/>
        </w:rPr>
        <w:t>Journal of Dentistry,</w:t>
      </w:r>
      <w:r w:rsidRPr="00787196">
        <w:rPr>
          <w:noProof/>
        </w:rPr>
        <w:t xml:space="preserve"> 16</w:t>
      </w:r>
      <w:r w:rsidRPr="00787196">
        <w:rPr>
          <w:b/>
          <w:noProof/>
        </w:rPr>
        <w:t>,</w:t>
      </w:r>
      <w:r w:rsidRPr="00787196">
        <w:rPr>
          <w:noProof/>
        </w:rPr>
        <w:t xml:space="preserve"> 160-165.</w:t>
      </w:r>
      <w:bookmarkEnd w:id="402"/>
    </w:p>
    <w:p w14:paraId="3AB48521" w14:textId="77777777" w:rsidR="00525DC8" w:rsidRPr="00787196" w:rsidRDefault="00525DC8" w:rsidP="00525DC8">
      <w:pPr>
        <w:pStyle w:val="EndNoteBibliography"/>
        <w:spacing w:after="240"/>
        <w:rPr>
          <w:noProof/>
        </w:rPr>
      </w:pPr>
      <w:bookmarkStart w:id="403" w:name="_ENREF_46"/>
      <w:r w:rsidRPr="00787196">
        <w:rPr>
          <w:noProof/>
        </w:rPr>
        <w:t xml:space="preserve">BERG, E. 1993. Acceptance of full dentures. </w:t>
      </w:r>
      <w:r w:rsidRPr="00787196">
        <w:rPr>
          <w:i/>
          <w:noProof/>
        </w:rPr>
        <w:t>International dental journal,</w:t>
      </w:r>
      <w:r w:rsidRPr="00787196">
        <w:rPr>
          <w:noProof/>
        </w:rPr>
        <w:t xml:space="preserve"> 43</w:t>
      </w:r>
      <w:r w:rsidRPr="00787196">
        <w:rPr>
          <w:b/>
          <w:noProof/>
        </w:rPr>
        <w:t>,</w:t>
      </w:r>
      <w:r w:rsidRPr="00787196">
        <w:rPr>
          <w:noProof/>
        </w:rPr>
        <w:t xml:space="preserve"> 299.</w:t>
      </w:r>
      <w:bookmarkEnd w:id="403"/>
    </w:p>
    <w:p w14:paraId="2E597B30" w14:textId="77777777" w:rsidR="00525DC8" w:rsidRPr="00787196" w:rsidRDefault="00525DC8" w:rsidP="00525DC8">
      <w:pPr>
        <w:pStyle w:val="EndNoteBibliography"/>
        <w:spacing w:after="240"/>
        <w:rPr>
          <w:noProof/>
        </w:rPr>
      </w:pPr>
      <w:bookmarkStart w:id="404" w:name="_ENREF_47"/>
      <w:r w:rsidRPr="00787196">
        <w:rPr>
          <w:noProof/>
        </w:rPr>
        <w:t xml:space="preserve">BERGENDAL, B. 1989. The relative importance of tooth loss and denture wearing in Swedish adults. </w:t>
      </w:r>
      <w:r w:rsidRPr="00787196">
        <w:rPr>
          <w:i/>
          <w:noProof/>
        </w:rPr>
        <w:t>Community dental health,</w:t>
      </w:r>
      <w:r w:rsidRPr="00787196">
        <w:rPr>
          <w:noProof/>
        </w:rPr>
        <w:t xml:space="preserve"> 6</w:t>
      </w:r>
      <w:r w:rsidRPr="00787196">
        <w:rPr>
          <w:b/>
          <w:noProof/>
        </w:rPr>
        <w:t>,</w:t>
      </w:r>
      <w:r w:rsidRPr="00787196">
        <w:rPr>
          <w:noProof/>
        </w:rPr>
        <w:t xml:space="preserve"> 103.</w:t>
      </w:r>
      <w:bookmarkEnd w:id="404"/>
    </w:p>
    <w:p w14:paraId="7899EF2D" w14:textId="77777777" w:rsidR="00525DC8" w:rsidRPr="00787196" w:rsidRDefault="00525DC8" w:rsidP="00525DC8">
      <w:pPr>
        <w:pStyle w:val="EndNoteBibliography"/>
        <w:spacing w:after="240"/>
        <w:rPr>
          <w:noProof/>
        </w:rPr>
      </w:pPr>
      <w:bookmarkStart w:id="405" w:name="_ENREF_48"/>
      <w:r w:rsidRPr="00787196">
        <w:rPr>
          <w:noProof/>
        </w:rPr>
        <w:t xml:space="preserve">BERGMAN, B. &amp; CARLSSON, G. E. 1972. Review of 54 complete denture wearers patients' opinions 1 year after treatment. </w:t>
      </w:r>
      <w:r w:rsidRPr="00787196">
        <w:rPr>
          <w:i/>
          <w:noProof/>
        </w:rPr>
        <w:t>Acta Odontologica,</w:t>
      </w:r>
      <w:r w:rsidRPr="00787196">
        <w:rPr>
          <w:noProof/>
        </w:rPr>
        <w:t xml:space="preserve"> 30</w:t>
      </w:r>
      <w:r w:rsidRPr="00787196">
        <w:rPr>
          <w:b/>
          <w:noProof/>
        </w:rPr>
        <w:t>,</w:t>
      </w:r>
      <w:r w:rsidRPr="00787196">
        <w:rPr>
          <w:noProof/>
        </w:rPr>
        <w:t xml:space="preserve"> 399-414.</w:t>
      </w:r>
      <w:bookmarkEnd w:id="405"/>
    </w:p>
    <w:p w14:paraId="03DDA1E9" w14:textId="77777777" w:rsidR="00525DC8" w:rsidRPr="00787196" w:rsidRDefault="00525DC8" w:rsidP="00525DC8">
      <w:pPr>
        <w:pStyle w:val="EndNoteBibliography"/>
        <w:spacing w:after="240"/>
        <w:rPr>
          <w:noProof/>
        </w:rPr>
      </w:pPr>
      <w:bookmarkStart w:id="406" w:name="_ENREF_49"/>
      <w:r w:rsidRPr="00787196">
        <w:rPr>
          <w:noProof/>
        </w:rPr>
        <w:t xml:space="preserve">BOORSE, C. 1977. Health as a Theoretical Concept. </w:t>
      </w:r>
      <w:r w:rsidRPr="00787196">
        <w:rPr>
          <w:i/>
          <w:noProof/>
        </w:rPr>
        <w:t>Philosophy of Science,</w:t>
      </w:r>
      <w:r w:rsidRPr="00787196">
        <w:rPr>
          <w:noProof/>
        </w:rPr>
        <w:t xml:space="preserve"> 44</w:t>
      </w:r>
      <w:r w:rsidRPr="00787196">
        <w:rPr>
          <w:b/>
          <w:noProof/>
        </w:rPr>
        <w:t>,</w:t>
      </w:r>
      <w:r w:rsidRPr="00787196">
        <w:rPr>
          <w:noProof/>
        </w:rPr>
        <w:t xml:space="preserve"> 542-573.</w:t>
      </w:r>
      <w:bookmarkEnd w:id="406"/>
    </w:p>
    <w:p w14:paraId="5613D607" w14:textId="77777777" w:rsidR="00525DC8" w:rsidRPr="00787196" w:rsidRDefault="00525DC8" w:rsidP="00525DC8">
      <w:pPr>
        <w:pStyle w:val="EndNoteBibliography"/>
        <w:spacing w:after="240"/>
        <w:rPr>
          <w:noProof/>
        </w:rPr>
      </w:pPr>
      <w:bookmarkStart w:id="407" w:name="_ENREF_50"/>
      <w:r w:rsidRPr="00787196">
        <w:rPr>
          <w:noProof/>
        </w:rPr>
        <w:t xml:space="preserve">BOORSE, C. 1997. A Rebuttal on Health. </w:t>
      </w:r>
      <w:r w:rsidRPr="00787196">
        <w:rPr>
          <w:i/>
          <w:noProof/>
        </w:rPr>
        <w:t>In:</w:t>
      </w:r>
      <w:r w:rsidRPr="00787196">
        <w:rPr>
          <w:noProof/>
        </w:rPr>
        <w:t xml:space="preserve"> HUMBER, J. M. &amp; ALMEDER, R. F. (eds.) </w:t>
      </w:r>
      <w:r w:rsidRPr="00787196">
        <w:rPr>
          <w:i/>
          <w:noProof/>
        </w:rPr>
        <w:t>What Is Disease?</w:t>
      </w:r>
      <w:r w:rsidRPr="00787196">
        <w:rPr>
          <w:noProof/>
        </w:rPr>
        <w:t xml:space="preserve"> Totowa, NJ: Humana Press.</w:t>
      </w:r>
      <w:bookmarkEnd w:id="407"/>
    </w:p>
    <w:p w14:paraId="29E46665" w14:textId="77777777" w:rsidR="00525DC8" w:rsidRPr="00787196" w:rsidRDefault="00525DC8" w:rsidP="00525DC8">
      <w:pPr>
        <w:pStyle w:val="EndNoteBibliography"/>
        <w:spacing w:after="240"/>
        <w:rPr>
          <w:noProof/>
        </w:rPr>
      </w:pPr>
      <w:bookmarkStart w:id="408" w:name="_ENREF_51"/>
      <w:r w:rsidRPr="00787196">
        <w:rPr>
          <w:noProof/>
        </w:rPr>
        <w:t xml:space="preserve">BOSMA, H., DIKE VAN DE MHEEN, H. &amp; MACKENBACH, J. P. 1999. Social class in childhood and general health in adulthood: questionnaire study of contribution of psychological attributes. </w:t>
      </w:r>
      <w:r w:rsidRPr="00787196">
        <w:rPr>
          <w:i/>
          <w:noProof/>
        </w:rPr>
        <w:t>BMJ : British medical journal /,</w:t>
      </w:r>
      <w:r w:rsidRPr="00787196">
        <w:rPr>
          <w:noProof/>
        </w:rPr>
        <w:t xml:space="preserve"> 318</w:t>
      </w:r>
      <w:r w:rsidRPr="00787196">
        <w:rPr>
          <w:b/>
          <w:noProof/>
        </w:rPr>
        <w:t>,</w:t>
      </w:r>
      <w:r w:rsidRPr="00787196">
        <w:rPr>
          <w:noProof/>
        </w:rPr>
        <w:t xml:space="preserve"> 18.</w:t>
      </w:r>
      <w:bookmarkEnd w:id="408"/>
    </w:p>
    <w:p w14:paraId="44E60D7E" w14:textId="77777777" w:rsidR="00525DC8" w:rsidRPr="00787196" w:rsidRDefault="00525DC8" w:rsidP="00525DC8">
      <w:pPr>
        <w:pStyle w:val="EndNoteBibliography"/>
        <w:spacing w:after="240"/>
        <w:rPr>
          <w:noProof/>
        </w:rPr>
      </w:pPr>
      <w:bookmarkStart w:id="409" w:name="_ENREF_52"/>
      <w:r w:rsidRPr="00787196">
        <w:rPr>
          <w:noProof/>
        </w:rPr>
        <w:t xml:space="preserve">BOUMA, J., BOERRIGTER, L. M., VAN OORT, R. P., VAN SONDEREN, E. &amp; BOERING, G. 1997. Psychosocial effects of implant-retained overdentures. </w:t>
      </w:r>
      <w:r w:rsidRPr="00787196">
        <w:rPr>
          <w:i/>
          <w:noProof/>
        </w:rPr>
        <w:t>The International journal of oral &amp;amp; maxillofacial implants,</w:t>
      </w:r>
      <w:r w:rsidRPr="00787196">
        <w:rPr>
          <w:noProof/>
        </w:rPr>
        <w:t xml:space="preserve"> 12</w:t>
      </w:r>
      <w:r w:rsidRPr="00787196">
        <w:rPr>
          <w:b/>
          <w:noProof/>
        </w:rPr>
        <w:t>,</w:t>
      </w:r>
      <w:r w:rsidRPr="00787196">
        <w:rPr>
          <w:noProof/>
        </w:rPr>
        <w:t xml:space="preserve"> 515-522.</w:t>
      </w:r>
      <w:bookmarkEnd w:id="409"/>
    </w:p>
    <w:p w14:paraId="4C2B394A" w14:textId="77777777" w:rsidR="00525DC8" w:rsidRPr="00787196" w:rsidRDefault="00525DC8" w:rsidP="00525DC8">
      <w:pPr>
        <w:pStyle w:val="EndNoteBibliography"/>
        <w:spacing w:after="240"/>
        <w:rPr>
          <w:noProof/>
        </w:rPr>
      </w:pPr>
      <w:bookmarkStart w:id="410" w:name="_ENREF_53"/>
      <w:r w:rsidRPr="00787196">
        <w:rPr>
          <w:noProof/>
        </w:rPr>
        <w:t xml:space="preserve">BOWLING, A. 2001. </w:t>
      </w:r>
      <w:r w:rsidRPr="00787196">
        <w:rPr>
          <w:i/>
          <w:noProof/>
        </w:rPr>
        <w:t xml:space="preserve">Measuring Disease, </w:t>
      </w:r>
      <w:r w:rsidRPr="00787196">
        <w:rPr>
          <w:noProof/>
        </w:rPr>
        <w:t>Philadelphia, Open University Press.</w:t>
      </w:r>
      <w:bookmarkEnd w:id="410"/>
    </w:p>
    <w:p w14:paraId="5B84C153" w14:textId="77777777" w:rsidR="00525DC8" w:rsidRPr="00787196" w:rsidRDefault="00525DC8" w:rsidP="00525DC8">
      <w:pPr>
        <w:pStyle w:val="EndNoteBibliography"/>
        <w:spacing w:after="240"/>
        <w:rPr>
          <w:noProof/>
        </w:rPr>
      </w:pPr>
      <w:bookmarkStart w:id="411" w:name="_ENREF_54"/>
      <w:r w:rsidRPr="00787196">
        <w:rPr>
          <w:noProof/>
        </w:rPr>
        <w:t xml:space="preserve">BOWLING, A. 2009. </w:t>
      </w:r>
      <w:r w:rsidRPr="00787196">
        <w:rPr>
          <w:i/>
          <w:noProof/>
        </w:rPr>
        <w:t>Research methods in health: investigating health and health services</w:t>
      </w:r>
      <w:r w:rsidRPr="00787196">
        <w:rPr>
          <w:noProof/>
        </w:rPr>
        <w:t>, McGraw-Hill International.</w:t>
      </w:r>
      <w:bookmarkEnd w:id="411"/>
    </w:p>
    <w:p w14:paraId="7A0DE947" w14:textId="77777777" w:rsidR="00525DC8" w:rsidRPr="00787196" w:rsidRDefault="00525DC8" w:rsidP="00525DC8">
      <w:pPr>
        <w:pStyle w:val="EndNoteBibliography"/>
        <w:spacing w:after="240"/>
        <w:rPr>
          <w:noProof/>
        </w:rPr>
      </w:pPr>
      <w:bookmarkStart w:id="412" w:name="_ENREF_55"/>
      <w:r w:rsidRPr="00787196">
        <w:rPr>
          <w:noProof/>
        </w:rPr>
        <w:t xml:space="preserve">BRADNOCK, G., WHITE, D., NUTTALL, N., MORRIS, A., TREASURE, E. &amp; PINE, C. 2001. Adult dental health survey: dental attitudes and behaviours in 1998 and implications for the future. </w:t>
      </w:r>
      <w:r w:rsidRPr="00787196">
        <w:rPr>
          <w:i/>
          <w:noProof/>
        </w:rPr>
        <w:t>British dental journal,</w:t>
      </w:r>
      <w:r w:rsidRPr="00787196">
        <w:rPr>
          <w:noProof/>
        </w:rPr>
        <w:t xml:space="preserve"> 190</w:t>
      </w:r>
      <w:r w:rsidRPr="00787196">
        <w:rPr>
          <w:b/>
          <w:noProof/>
        </w:rPr>
        <w:t>,</w:t>
      </w:r>
      <w:r w:rsidRPr="00787196">
        <w:rPr>
          <w:noProof/>
        </w:rPr>
        <w:t xml:space="preserve"> 228-232.</w:t>
      </w:r>
      <w:bookmarkEnd w:id="412"/>
    </w:p>
    <w:p w14:paraId="6273F845" w14:textId="77777777" w:rsidR="00525DC8" w:rsidRPr="00787196" w:rsidRDefault="00525DC8" w:rsidP="00525DC8">
      <w:pPr>
        <w:pStyle w:val="EndNoteBibliography"/>
        <w:spacing w:after="240"/>
        <w:rPr>
          <w:noProof/>
        </w:rPr>
      </w:pPr>
      <w:bookmarkStart w:id="413" w:name="_ENREF_56"/>
      <w:r w:rsidRPr="00787196">
        <w:rPr>
          <w:noProof/>
        </w:rPr>
        <w:lastRenderedPageBreak/>
        <w:t xml:space="preserve">BRENNAN, D. &amp; SPENCER, A. 2010. Social Support and Optimism in Relation to the Oral Health of Young Adults. </w:t>
      </w:r>
      <w:r w:rsidRPr="00787196">
        <w:rPr>
          <w:i/>
          <w:noProof/>
        </w:rPr>
        <w:t>International Journal of Behavioral Medicine</w:t>
      </w:r>
      <w:r w:rsidRPr="00787196">
        <w:rPr>
          <w:b/>
          <w:noProof/>
        </w:rPr>
        <w:t>,</w:t>
      </w:r>
      <w:r w:rsidRPr="00787196">
        <w:rPr>
          <w:noProof/>
        </w:rPr>
        <w:t xml:space="preserve"> 1-9.</w:t>
      </w:r>
      <w:bookmarkEnd w:id="413"/>
    </w:p>
    <w:p w14:paraId="40480329" w14:textId="77777777" w:rsidR="00525DC8" w:rsidRPr="00787196" w:rsidRDefault="00525DC8" w:rsidP="00525DC8">
      <w:pPr>
        <w:pStyle w:val="EndNoteBibliography"/>
        <w:spacing w:after="240"/>
        <w:rPr>
          <w:noProof/>
        </w:rPr>
      </w:pPr>
      <w:bookmarkStart w:id="414" w:name="_ENREF_57"/>
      <w:r w:rsidRPr="00787196">
        <w:rPr>
          <w:noProof/>
        </w:rPr>
        <w:t xml:space="preserve">BRENNAN, D. S., SPENCER, A. J. &amp; ROBERTS-THOMSON, K. F. 2008. Tooth loss, chewing ability and quality of life. </w:t>
      </w:r>
      <w:r w:rsidRPr="00787196">
        <w:rPr>
          <w:i/>
          <w:noProof/>
        </w:rPr>
        <w:t>Quality of Life Research,</w:t>
      </w:r>
      <w:r w:rsidRPr="00787196">
        <w:rPr>
          <w:noProof/>
        </w:rPr>
        <w:t xml:space="preserve"> 17</w:t>
      </w:r>
      <w:r w:rsidRPr="00787196">
        <w:rPr>
          <w:b/>
          <w:noProof/>
        </w:rPr>
        <w:t>,</w:t>
      </w:r>
      <w:r w:rsidRPr="00787196">
        <w:rPr>
          <w:noProof/>
        </w:rPr>
        <w:t xml:space="preserve"> 227-235.</w:t>
      </w:r>
      <w:bookmarkEnd w:id="414"/>
    </w:p>
    <w:p w14:paraId="205F97AC" w14:textId="77777777" w:rsidR="00525DC8" w:rsidRPr="00787196" w:rsidRDefault="00525DC8" w:rsidP="00525DC8">
      <w:pPr>
        <w:pStyle w:val="EndNoteBibliography"/>
        <w:spacing w:after="240"/>
        <w:rPr>
          <w:noProof/>
        </w:rPr>
      </w:pPr>
      <w:bookmarkStart w:id="415" w:name="_ENREF_58"/>
      <w:r w:rsidRPr="00787196">
        <w:rPr>
          <w:noProof/>
        </w:rPr>
        <w:t xml:space="preserve">BRISLIN, R. W. 1970. Back-translation for cross-cultural research. </w:t>
      </w:r>
      <w:r w:rsidRPr="00787196">
        <w:rPr>
          <w:i/>
          <w:noProof/>
        </w:rPr>
        <w:t>Journal of cross-cultural psychology,</w:t>
      </w:r>
      <w:r w:rsidRPr="00787196">
        <w:rPr>
          <w:noProof/>
        </w:rPr>
        <w:t xml:space="preserve"> 1</w:t>
      </w:r>
      <w:r w:rsidRPr="00787196">
        <w:rPr>
          <w:b/>
          <w:noProof/>
        </w:rPr>
        <w:t>,</w:t>
      </w:r>
      <w:r w:rsidRPr="00787196">
        <w:rPr>
          <w:noProof/>
        </w:rPr>
        <w:t xml:space="preserve"> 185-216.</w:t>
      </w:r>
      <w:bookmarkEnd w:id="415"/>
    </w:p>
    <w:p w14:paraId="31B201B5" w14:textId="77777777" w:rsidR="00525DC8" w:rsidRPr="00787196" w:rsidRDefault="00525DC8" w:rsidP="00525DC8">
      <w:pPr>
        <w:pStyle w:val="EndNoteBibliography"/>
        <w:spacing w:after="240"/>
        <w:rPr>
          <w:noProof/>
        </w:rPr>
      </w:pPr>
      <w:bookmarkStart w:id="416" w:name="_ENREF_59"/>
      <w:r w:rsidRPr="00787196">
        <w:rPr>
          <w:noProof/>
        </w:rPr>
        <w:t xml:space="preserve">BRONDANI, M. A. &amp; MACENTEE, M. I. 2007. The concept of validity in sociodental indicators and oral health-related quality-of-life measures. </w:t>
      </w:r>
      <w:r w:rsidRPr="00787196">
        <w:rPr>
          <w:i/>
          <w:noProof/>
        </w:rPr>
        <w:t>Community Dentistry and Oral Epidemiology,</w:t>
      </w:r>
      <w:r w:rsidRPr="00787196">
        <w:rPr>
          <w:noProof/>
        </w:rPr>
        <w:t xml:space="preserve"> 35</w:t>
      </w:r>
      <w:r w:rsidRPr="00787196">
        <w:rPr>
          <w:b/>
          <w:noProof/>
        </w:rPr>
        <w:t>,</w:t>
      </w:r>
      <w:r w:rsidRPr="00787196">
        <w:rPr>
          <w:noProof/>
        </w:rPr>
        <w:t xml:space="preserve"> 472-478.</w:t>
      </w:r>
      <w:bookmarkEnd w:id="416"/>
    </w:p>
    <w:p w14:paraId="233AF584" w14:textId="77777777" w:rsidR="00525DC8" w:rsidRPr="00787196" w:rsidRDefault="00525DC8" w:rsidP="00525DC8">
      <w:pPr>
        <w:pStyle w:val="EndNoteBibliography"/>
        <w:spacing w:after="240"/>
        <w:rPr>
          <w:noProof/>
        </w:rPr>
      </w:pPr>
      <w:bookmarkStart w:id="417" w:name="_ENREF_60"/>
      <w:r w:rsidRPr="00787196">
        <w:rPr>
          <w:noProof/>
        </w:rPr>
        <w:t xml:space="preserve">BURKE, M. &amp; JEAN, S. M. 1993. Coping strategies and health status of elderly arthritic women. </w:t>
      </w:r>
      <w:r w:rsidRPr="00787196">
        <w:rPr>
          <w:i/>
          <w:noProof/>
        </w:rPr>
        <w:t>Journal of Advanced Nursing,</w:t>
      </w:r>
      <w:r w:rsidRPr="00787196">
        <w:rPr>
          <w:noProof/>
        </w:rPr>
        <w:t xml:space="preserve"> 18</w:t>
      </w:r>
      <w:r w:rsidRPr="00787196">
        <w:rPr>
          <w:b/>
          <w:noProof/>
        </w:rPr>
        <w:t>,</w:t>
      </w:r>
      <w:r w:rsidRPr="00787196">
        <w:rPr>
          <w:noProof/>
        </w:rPr>
        <w:t xml:space="preserve"> 7-13.</w:t>
      </w:r>
      <w:bookmarkEnd w:id="417"/>
    </w:p>
    <w:p w14:paraId="1BFC40C6" w14:textId="77777777" w:rsidR="00525DC8" w:rsidRPr="00787196" w:rsidRDefault="00525DC8" w:rsidP="00525DC8">
      <w:pPr>
        <w:pStyle w:val="EndNoteBibliography"/>
        <w:spacing w:after="240"/>
        <w:rPr>
          <w:noProof/>
        </w:rPr>
      </w:pPr>
      <w:bookmarkStart w:id="418" w:name="_ENREF_61"/>
      <w:r w:rsidRPr="00787196">
        <w:rPr>
          <w:noProof/>
        </w:rPr>
        <w:t xml:space="preserve">BYUN, J. S., HUH, Y. H., CHO, L. R. &amp; PARK, C. J. 2016. A study of various factors related to satisfaction of complete denture wearers. </w:t>
      </w:r>
      <w:r w:rsidRPr="00787196">
        <w:rPr>
          <w:i/>
          <w:noProof/>
        </w:rPr>
        <w:t>Journal of Dental Rehabilitation and Applied Science,</w:t>
      </w:r>
      <w:r w:rsidRPr="00787196">
        <w:rPr>
          <w:noProof/>
        </w:rPr>
        <w:t xml:space="preserve"> 32</w:t>
      </w:r>
      <w:r w:rsidRPr="00787196">
        <w:rPr>
          <w:b/>
          <w:noProof/>
        </w:rPr>
        <w:t>,</w:t>
      </w:r>
      <w:r w:rsidRPr="00787196">
        <w:rPr>
          <w:noProof/>
        </w:rPr>
        <w:t xml:space="preserve"> 109-116.</w:t>
      </w:r>
      <w:bookmarkEnd w:id="418"/>
    </w:p>
    <w:p w14:paraId="7A6E0213" w14:textId="77777777" w:rsidR="00525DC8" w:rsidRPr="00787196" w:rsidRDefault="00525DC8" w:rsidP="00525DC8">
      <w:pPr>
        <w:pStyle w:val="EndNoteBibliography"/>
        <w:spacing w:after="240"/>
        <w:rPr>
          <w:noProof/>
        </w:rPr>
      </w:pPr>
      <w:bookmarkStart w:id="419" w:name="_ENREF_62"/>
      <w:r w:rsidRPr="00787196">
        <w:rPr>
          <w:noProof/>
        </w:rPr>
        <w:t xml:space="preserve">CAGLAYAN, F., ALTUN, O., MILOGLU, O., KAYA, M. D., YILMAZ, A. B., CAGLAYAN, F., ALTUN, O., MILOGLU, O., KAYA, M.-D. &amp; YILMAZ, A.-B. 2009. Correlation between oral health-related quality of life (OHQoL) and oral disorders in a Turkish patient population. </w:t>
      </w:r>
      <w:r w:rsidRPr="00787196">
        <w:rPr>
          <w:i/>
          <w:noProof/>
        </w:rPr>
        <w:t>Medicina Oral, Patologia Oral y Cirugia Bucal,</w:t>
      </w:r>
      <w:r w:rsidRPr="00787196">
        <w:rPr>
          <w:noProof/>
        </w:rPr>
        <w:t xml:space="preserve"> 14</w:t>
      </w:r>
      <w:r w:rsidRPr="00787196">
        <w:rPr>
          <w:b/>
          <w:noProof/>
        </w:rPr>
        <w:t>,</w:t>
      </w:r>
      <w:r w:rsidRPr="00787196">
        <w:rPr>
          <w:noProof/>
        </w:rPr>
        <w:t xml:space="preserve"> e573-8.</w:t>
      </w:r>
      <w:bookmarkEnd w:id="419"/>
    </w:p>
    <w:p w14:paraId="1F8368C0" w14:textId="77777777" w:rsidR="00525DC8" w:rsidRPr="00787196" w:rsidRDefault="00525DC8" w:rsidP="00525DC8">
      <w:pPr>
        <w:pStyle w:val="EndNoteBibliography"/>
        <w:spacing w:after="240"/>
        <w:rPr>
          <w:noProof/>
        </w:rPr>
      </w:pPr>
      <w:bookmarkStart w:id="420" w:name="_ENREF_63"/>
      <w:r w:rsidRPr="00787196">
        <w:rPr>
          <w:noProof/>
        </w:rPr>
        <w:t xml:space="preserve">CAMPBELL, A., CONVERSE, P. E. &amp; RODGERS, W. L. 1976. </w:t>
      </w:r>
      <w:r w:rsidRPr="00787196">
        <w:rPr>
          <w:i/>
          <w:noProof/>
        </w:rPr>
        <w:t xml:space="preserve">The Quality of American Life, </w:t>
      </w:r>
      <w:r w:rsidRPr="00787196">
        <w:rPr>
          <w:noProof/>
        </w:rPr>
        <w:t>New York, Russell Sage.</w:t>
      </w:r>
      <w:bookmarkEnd w:id="420"/>
    </w:p>
    <w:p w14:paraId="7E21DC6F" w14:textId="77777777" w:rsidR="00525DC8" w:rsidRPr="00787196" w:rsidRDefault="00525DC8" w:rsidP="00525DC8">
      <w:pPr>
        <w:pStyle w:val="EndNoteBibliography"/>
        <w:spacing w:after="240"/>
        <w:rPr>
          <w:noProof/>
        </w:rPr>
      </w:pPr>
      <w:bookmarkStart w:id="421" w:name="_ENREF_64"/>
      <w:r w:rsidRPr="00787196">
        <w:rPr>
          <w:noProof/>
        </w:rPr>
        <w:t xml:space="preserve">CANNON, W. B. 1939. The wisdom of the body. 1932. </w:t>
      </w:r>
      <w:r w:rsidRPr="00787196">
        <w:rPr>
          <w:i/>
          <w:noProof/>
        </w:rPr>
        <w:t>NY Norton</w:t>
      </w:r>
      <w:r w:rsidRPr="00787196">
        <w:rPr>
          <w:noProof/>
        </w:rPr>
        <w:t>.</w:t>
      </w:r>
      <w:bookmarkEnd w:id="421"/>
    </w:p>
    <w:p w14:paraId="1FC390DD" w14:textId="77777777" w:rsidR="00525DC8" w:rsidRPr="00787196" w:rsidRDefault="00525DC8" w:rsidP="00525DC8">
      <w:pPr>
        <w:pStyle w:val="EndNoteBibliography"/>
        <w:spacing w:after="240"/>
        <w:rPr>
          <w:noProof/>
        </w:rPr>
      </w:pPr>
      <w:bookmarkStart w:id="422" w:name="_ENREF_65"/>
      <w:r w:rsidRPr="00787196">
        <w:rPr>
          <w:noProof/>
        </w:rPr>
        <w:t xml:space="preserve">CARVER, C. S. 1997. You want to measure coping but your protocol’too long: Consider the brief cope. </w:t>
      </w:r>
      <w:r w:rsidRPr="00787196">
        <w:rPr>
          <w:i/>
          <w:noProof/>
        </w:rPr>
        <w:t>International journal of behavioral medicine,</w:t>
      </w:r>
      <w:r w:rsidRPr="00787196">
        <w:rPr>
          <w:noProof/>
        </w:rPr>
        <w:t xml:space="preserve"> 4</w:t>
      </w:r>
      <w:r w:rsidRPr="00787196">
        <w:rPr>
          <w:b/>
          <w:noProof/>
        </w:rPr>
        <w:t>,</w:t>
      </w:r>
      <w:r w:rsidRPr="00787196">
        <w:rPr>
          <w:noProof/>
        </w:rPr>
        <w:t xml:space="preserve"> 92-100.</w:t>
      </w:r>
      <w:bookmarkEnd w:id="422"/>
    </w:p>
    <w:p w14:paraId="30282560" w14:textId="77777777" w:rsidR="00525DC8" w:rsidRPr="00787196" w:rsidRDefault="00525DC8" w:rsidP="00525DC8">
      <w:pPr>
        <w:pStyle w:val="EndNoteBibliography"/>
        <w:spacing w:after="240"/>
        <w:rPr>
          <w:noProof/>
        </w:rPr>
      </w:pPr>
      <w:bookmarkStart w:id="423" w:name="_ENREF_66"/>
      <w:r w:rsidRPr="00787196">
        <w:rPr>
          <w:noProof/>
        </w:rPr>
        <w:t xml:space="preserve">CARVER, C. S. &amp; SCHEIER, M. 1981. </w:t>
      </w:r>
      <w:r w:rsidRPr="00787196">
        <w:rPr>
          <w:i/>
          <w:noProof/>
        </w:rPr>
        <w:t>Attention and self-regulation: a control-theory approach to human behavior</w:t>
      </w:r>
      <w:r w:rsidRPr="00787196">
        <w:rPr>
          <w:noProof/>
        </w:rPr>
        <w:t>, Springer-Verlag.</w:t>
      </w:r>
      <w:bookmarkEnd w:id="423"/>
    </w:p>
    <w:p w14:paraId="0ABFEEB1" w14:textId="77777777" w:rsidR="00525DC8" w:rsidRPr="00787196" w:rsidRDefault="00525DC8" w:rsidP="00525DC8">
      <w:pPr>
        <w:pStyle w:val="EndNoteBibliography"/>
        <w:spacing w:after="240"/>
        <w:rPr>
          <w:noProof/>
        </w:rPr>
      </w:pPr>
      <w:bookmarkStart w:id="424" w:name="_ENREF_67"/>
      <w:r w:rsidRPr="00787196">
        <w:rPr>
          <w:noProof/>
        </w:rPr>
        <w:t xml:space="preserve">CARVER, C. S., SCHEIER, M. F. &amp; WEINTRAUB, J. K. 1989. Assessing coping strategies: A theoretically based approach. </w:t>
      </w:r>
      <w:r w:rsidRPr="00787196">
        <w:rPr>
          <w:i/>
          <w:noProof/>
        </w:rPr>
        <w:t>Journal of personality and social psychology,</w:t>
      </w:r>
      <w:r w:rsidRPr="00787196">
        <w:rPr>
          <w:noProof/>
        </w:rPr>
        <w:t xml:space="preserve"> 56</w:t>
      </w:r>
      <w:r w:rsidRPr="00787196">
        <w:rPr>
          <w:b/>
          <w:noProof/>
        </w:rPr>
        <w:t>,</w:t>
      </w:r>
      <w:r w:rsidRPr="00787196">
        <w:rPr>
          <w:noProof/>
        </w:rPr>
        <w:t xml:space="preserve"> 267-283.</w:t>
      </w:r>
      <w:bookmarkEnd w:id="424"/>
    </w:p>
    <w:p w14:paraId="515BA4F2" w14:textId="77777777" w:rsidR="00525DC8" w:rsidRPr="00787196" w:rsidRDefault="00525DC8" w:rsidP="00525DC8">
      <w:pPr>
        <w:pStyle w:val="EndNoteBibliography"/>
        <w:spacing w:after="240"/>
        <w:rPr>
          <w:noProof/>
        </w:rPr>
      </w:pPr>
      <w:bookmarkStart w:id="425" w:name="_ENREF_68"/>
      <w:r w:rsidRPr="00787196">
        <w:rPr>
          <w:noProof/>
        </w:rPr>
        <w:lastRenderedPageBreak/>
        <w:t xml:space="preserve">CARVER, C. S. &amp; VARGAS, S. 2011. Stress, coping and health. </w:t>
      </w:r>
      <w:r w:rsidRPr="00787196">
        <w:rPr>
          <w:i/>
          <w:noProof/>
        </w:rPr>
        <w:t>The Oxford handbook of health psychology</w:t>
      </w:r>
      <w:r w:rsidRPr="00787196">
        <w:rPr>
          <w:b/>
          <w:noProof/>
        </w:rPr>
        <w:t>,</w:t>
      </w:r>
      <w:r w:rsidRPr="00787196">
        <w:rPr>
          <w:noProof/>
        </w:rPr>
        <w:t xml:space="preserve"> 162-188.</w:t>
      </w:r>
      <w:bookmarkEnd w:id="425"/>
    </w:p>
    <w:p w14:paraId="6DDE6F82" w14:textId="77777777" w:rsidR="00525DC8" w:rsidRPr="00787196" w:rsidRDefault="00525DC8" w:rsidP="00525DC8">
      <w:pPr>
        <w:pStyle w:val="EndNoteBibliography"/>
        <w:spacing w:after="240"/>
        <w:rPr>
          <w:noProof/>
        </w:rPr>
      </w:pPr>
      <w:bookmarkStart w:id="426" w:name="_ENREF_69"/>
      <w:r w:rsidRPr="00787196">
        <w:rPr>
          <w:noProof/>
        </w:rPr>
        <w:t xml:space="preserve">CHATTHA, R., RAGHURAM, N., VENKATRAM, P. &amp; HONGASANDRA, N. R. 2008. Treating the climacteric symptoms in Indian women with an integrated approach to yoga therapy: a randomized control study. </w:t>
      </w:r>
      <w:r w:rsidRPr="00787196">
        <w:rPr>
          <w:i/>
          <w:noProof/>
        </w:rPr>
        <w:t>Menopause,</w:t>
      </w:r>
      <w:r w:rsidRPr="00787196">
        <w:rPr>
          <w:noProof/>
        </w:rPr>
        <w:t xml:space="preserve"> 15</w:t>
      </w:r>
      <w:r w:rsidRPr="00787196">
        <w:rPr>
          <w:b/>
          <w:noProof/>
        </w:rPr>
        <w:t>,</w:t>
      </w:r>
      <w:r w:rsidRPr="00787196">
        <w:rPr>
          <w:noProof/>
        </w:rPr>
        <w:t xml:space="preserve"> 862-870.</w:t>
      </w:r>
      <w:bookmarkEnd w:id="426"/>
    </w:p>
    <w:p w14:paraId="10BC3210" w14:textId="77777777" w:rsidR="00525DC8" w:rsidRPr="00787196" w:rsidRDefault="00525DC8" w:rsidP="00525DC8">
      <w:pPr>
        <w:pStyle w:val="EndNoteBibliography"/>
        <w:spacing w:after="240"/>
        <w:rPr>
          <w:noProof/>
        </w:rPr>
      </w:pPr>
      <w:bookmarkStart w:id="427" w:name="_ENREF_70"/>
      <w:r w:rsidRPr="00787196">
        <w:rPr>
          <w:noProof/>
        </w:rPr>
        <w:t xml:space="preserve">CHERKIL, S., GARDENS, S. J. &amp; SOMAN, D. K. 2013. Coping styles and its association with sources of stress in undergraduate medical students. </w:t>
      </w:r>
      <w:r w:rsidRPr="00787196">
        <w:rPr>
          <w:i/>
          <w:noProof/>
        </w:rPr>
        <w:t>Indian journal of psychological medicine,</w:t>
      </w:r>
      <w:r w:rsidRPr="00787196">
        <w:rPr>
          <w:noProof/>
        </w:rPr>
        <w:t xml:space="preserve"> 35</w:t>
      </w:r>
      <w:r w:rsidRPr="00787196">
        <w:rPr>
          <w:b/>
          <w:noProof/>
        </w:rPr>
        <w:t>,</w:t>
      </w:r>
      <w:r w:rsidRPr="00787196">
        <w:rPr>
          <w:noProof/>
        </w:rPr>
        <w:t xml:space="preserve"> 389.</w:t>
      </w:r>
      <w:bookmarkEnd w:id="427"/>
    </w:p>
    <w:p w14:paraId="03251309" w14:textId="77777777" w:rsidR="00525DC8" w:rsidRPr="00787196" w:rsidRDefault="00525DC8" w:rsidP="00525DC8">
      <w:pPr>
        <w:pStyle w:val="EndNoteBibliography"/>
        <w:spacing w:after="240"/>
        <w:rPr>
          <w:noProof/>
        </w:rPr>
      </w:pPr>
      <w:bookmarkStart w:id="428" w:name="_ENREF_71"/>
      <w:r w:rsidRPr="00787196">
        <w:rPr>
          <w:noProof/>
        </w:rPr>
        <w:t xml:space="preserve">CHOK, N. S. 2010. </w:t>
      </w:r>
      <w:r w:rsidRPr="00787196">
        <w:rPr>
          <w:i/>
          <w:noProof/>
        </w:rPr>
        <w:t>Pearson's versus Spearman's and Kendall's correlation coefficients for continuous data.</w:t>
      </w:r>
      <w:r w:rsidRPr="00787196">
        <w:rPr>
          <w:noProof/>
        </w:rPr>
        <w:t xml:space="preserve"> University of Pittsburgh.</w:t>
      </w:r>
      <w:bookmarkEnd w:id="428"/>
    </w:p>
    <w:p w14:paraId="0941A60B" w14:textId="77777777" w:rsidR="00525DC8" w:rsidRPr="00787196" w:rsidRDefault="00525DC8" w:rsidP="00525DC8">
      <w:pPr>
        <w:pStyle w:val="EndNoteBibliography"/>
        <w:spacing w:after="240"/>
        <w:rPr>
          <w:noProof/>
        </w:rPr>
      </w:pPr>
      <w:bookmarkStart w:id="429" w:name="_ENREF_72"/>
      <w:r w:rsidRPr="00787196">
        <w:rPr>
          <w:noProof/>
        </w:rPr>
        <w:t xml:space="preserve">CLOUGH, H. E., KNODLE, J. M., LEEPER, S. H., PUDWILL, M. L. &amp; TAYLOR, D. T. 1983. A comparison of lingualized occlusion and monoplane occlusion in complete dentures. </w:t>
      </w:r>
      <w:r w:rsidRPr="00787196">
        <w:rPr>
          <w:i/>
          <w:noProof/>
        </w:rPr>
        <w:t>The Journal of Prosthetic Dentistry,</w:t>
      </w:r>
      <w:r w:rsidRPr="00787196">
        <w:rPr>
          <w:noProof/>
        </w:rPr>
        <w:t xml:space="preserve"> 50</w:t>
      </w:r>
      <w:r w:rsidRPr="00787196">
        <w:rPr>
          <w:b/>
          <w:noProof/>
        </w:rPr>
        <w:t>,</w:t>
      </w:r>
      <w:r w:rsidRPr="00787196">
        <w:rPr>
          <w:noProof/>
        </w:rPr>
        <w:t xml:space="preserve"> 176-179.</w:t>
      </w:r>
      <w:bookmarkEnd w:id="429"/>
    </w:p>
    <w:p w14:paraId="254BAE26" w14:textId="77777777" w:rsidR="00525DC8" w:rsidRPr="00787196" w:rsidRDefault="00525DC8" w:rsidP="00525DC8">
      <w:pPr>
        <w:pStyle w:val="EndNoteBibliography"/>
        <w:spacing w:after="240"/>
        <w:rPr>
          <w:noProof/>
        </w:rPr>
      </w:pPr>
      <w:bookmarkStart w:id="430" w:name="_ENREF_73"/>
      <w:r w:rsidRPr="00787196">
        <w:rPr>
          <w:noProof/>
        </w:rPr>
        <w:t xml:space="preserve">COHEN, L. K. &amp; JAGO, J. D. 1976. Toward the formulation of sociodental indicators. </w:t>
      </w:r>
      <w:r w:rsidRPr="00787196">
        <w:rPr>
          <w:i/>
          <w:noProof/>
        </w:rPr>
        <w:t>International journal of health services : planning, administration, evaluation,</w:t>
      </w:r>
      <w:r w:rsidRPr="00787196">
        <w:rPr>
          <w:noProof/>
        </w:rPr>
        <w:t xml:space="preserve"> 6</w:t>
      </w:r>
      <w:r w:rsidRPr="00787196">
        <w:rPr>
          <w:b/>
          <w:noProof/>
        </w:rPr>
        <w:t>,</w:t>
      </w:r>
      <w:r w:rsidRPr="00787196">
        <w:rPr>
          <w:noProof/>
        </w:rPr>
        <w:t xml:space="preserve"> 681-698.</w:t>
      </w:r>
      <w:bookmarkEnd w:id="430"/>
    </w:p>
    <w:p w14:paraId="40F4C334" w14:textId="77777777" w:rsidR="00525DC8" w:rsidRPr="00787196" w:rsidRDefault="00525DC8" w:rsidP="00525DC8">
      <w:pPr>
        <w:pStyle w:val="EndNoteBibliography"/>
        <w:spacing w:after="240"/>
        <w:rPr>
          <w:noProof/>
        </w:rPr>
      </w:pPr>
      <w:bookmarkStart w:id="431" w:name="_ENREF_74"/>
      <w:r w:rsidRPr="00787196">
        <w:rPr>
          <w:noProof/>
        </w:rPr>
        <w:t xml:space="preserve">COHEN, S., KAMARCK, T. &amp; MERMELSTEIN, R. 1983. A global measure of perceived stress. </w:t>
      </w:r>
      <w:r w:rsidRPr="00787196">
        <w:rPr>
          <w:i/>
          <w:noProof/>
        </w:rPr>
        <w:t>Journal of health and social behavior</w:t>
      </w:r>
      <w:r w:rsidRPr="00787196">
        <w:rPr>
          <w:b/>
          <w:noProof/>
        </w:rPr>
        <w:t>,</w:t>
      </w:r>
      <w:r w:rsidRPr="00787196">
        <w:rPr>
          <w:noProof/>
        </w:rPr>
        <w:t xml:space="preserve"> 385-396.</w:t>
      </w:r>
      <w:bookmarkEnd w:id="431"/>
    </w:p>
    <w:p w14:paraId="33ABA087" w14:textId="77777777" w:rsidR="00525DC8" w:rsidRPr="00787196" w:rsidRDefault="00525DC8" w:rsidP="00525DC8">
      <w:pPr>
        <w:pStyle w:val="EndNoteBibliography"/>
        <w:spacing w:after="240"/>
        <w:rPr>
          <w:noProof/>
        </w:rPr>
      </w:pPr>
      <w:bookmarkStart w:id="432" w:name="_ENREF_75"/>
      <w:r w:rsidRPr="00787196">
        <w:rPr>
          <w:noProof/>
        </w:rPr>
        <w:t xml:space="preserve">COHEN, S., KESSLER, R. C. &amp; GORDON, L. U. 1995. </w:t>
      </w:r>
      <w:r w:rsidRPr="00787196">
        <w:rPr>
          <w:i/>
          <w:noProof/>
        </w:rPr>
        <w:t xml:space="preserve">Measuring stress : a guide for health and social scientists, </w:t>
      </w:r>
      <w:r w:rsidRPr="00787196">
        <w:rPr>
          <w:noProof/>
        </w:rPr>
        <w:t>New York, Oxford University Press.</w:t>
      </w:r>
      <w:bookmarkEnd w:id="432"/>
    </w:p>
    <w:p w14:paraId="2AAA19B6" w14:textId="77777777" w:rsidR="00525DC8" w:rsidRPr="00787196" w:rsidRDefault="00525DC8" w:rsidP="00525DC8">
      <w:pPr>
        <w:pStyle w:val="EndNoteBibliography"/>
        <w:spacing w:after="240"/>
        <w:rPr>
          <w:noProof/>
        </w:rPr>
      </w:pPr>
      <w:bookmarkStart w:id="433" w:name="_ENREF_76"/>
      <w:r w:rsidRPr="00787196">
        <w:rPr>
          <w:noProof/>
        </w:rPr>
        <w:t xml:space="preserve">COHEN, S., SHERROD, D. R. &amp; CLARK, M. S. 1986. Social skills and the stress-protective role of social support. </w:t>
      </w:r>
      <w:r w:rsidRPr="00787196">
        <w:rPr>
          <w:i/>
          <w:noProof/>
        </w:rPr>
        <w:t>Journal of personality and social psychology,</w:t>
      </w:r>
      <w:r w:rsidRPr="00787196">
        <w:rPr>
          <w:noProof/>
        </w:rPr>
        <w:t xml:space="preserve"> 50</w:t>
      </w:r>
      <w:r w:rsidRPr="00787196">
        <w:rPr>
          <w:b/>
          <w:noProof/>
        </w:rPr>
        <w:t>,</w:t>
      </w:r>
      <w:r w:rsidRPr="00787196">
        <w:rPr>
          <w:noProof/>
        </w:rPr>
        <w:t xml:space="preserve"> 963.</w:t>
      </w:r>
      <w:bookmarkEnd w:id="433"/>
    </w:p>
    <w:p w14:paraId="334EC822" w14:textId="77777777" w:rsidR="00525DC8" w:rsidRPr="00787196" w:rsidRDefault="00525DC8" w:rsidP="00525DC8">
      <w:pPr>
        <w:pStyle w:val="EndNoteBibliography"/>
        <w:spacing w:after="240"/>
        <w:rPr>
          <w:noProof/>
        </w:rPr>
      </w:pPr>
      <w:bookmarkStart w:id="434" w:name="_ENREF_77"/>
      <w:r w:rsidRPr="00787196">
        <w:rPr>
          <w:noProof/>
        </w:rPr>
        <w:t xml:space="preserve">COHEN, S., TYRRELL, D. A. J. &amp; SMITH, A. P. 1991. Psychological Stress and Susceptibility to the Common Cold. </w:t>
      </w:r>
      <w:r w:rsidRPr="00787196">
        <w:rPr>
          <w:i/>
          <w:noProof/>
        </w:rPr>
        <w:t>New England Journal of Medicine,</w:t>
      </w:r>
      <w:r w:rsidRPr="00787196">
        <w:rPr>
          <w:noProof/>
        </w:rPr>
        <w:t xml:space="preserve"> 325</w:t>
      </w:r>
      <w:r w:rsidRPr="00787196">
        <w:rPr>
          <w:b/>
          <w:noProof/>
        </w:rPr>
        <w:t>,</w:t>
      </w:r>
      <w:r w:rsidRPr="00787196">
        <w:rPr>
          <w:noProof/>
        </w:rPr>
        <w:t xml:space="preserve"> 606-612.</w:t>
      </w:r>
      <w:bookmarkEnd w:id="434"/>
    </w:p>
    <w:p w14:paraId="43225154" w14:textId="77777777" w:rsidR="00525DC8" w:rsidRPr="00787196" w:rsidRDefault="00525DC8" w:rsidP="00525DC8">
      <w:pPr>
        <w:pStyle w:val="EndNoteBibliography"/>
        <w:spacing w:after="240"/>
        <w:rPr>
          <w:noProof/>
        </w:rPr>
      </w:pPr>
      <w:bookmarkStart w:id="435" w:name="_ENREF_78"/>
      <w:r w:rsidRPr="00787196">
        <w:rPr>
          <w:noProof/>
        </w:rPr>
        <w:t xml:space="preserve">COHEN, S. &amp; WILLIAMSON, G. 1988. Perceived stress in a probability sample of the United States. </w:t>
      </w:r>
      <w:r w:rsidRPr="00787196">
        <w:rPr>
          <w:i/>
          <w:noProof/>
        </w:rPr>
        <w:t>In:</w:t>
      </w:r>
      <w:r w:rsidRPr="00787196">
        <w:rPr>
          <w:noProof/>
        </w:rPr>
        <w:t xml:space="preserve"> SPACAPAN, S. &amp; OSKAMP, S. (eds.) </w:t>
      </w:r>
      <w:r w:rsidRPr="00787196">
        <w:rPr>
          <w:i/>
          <w:noProof/>
        </w:rPr>
        <w:t>The social psychology of health.</w:t>
      </w:r>
      <w:r w:rsidRPr="00787196">
        <w:rPr>
          <w:noProof/>
        </w:rPr>
        <w:t xml:space="preserve"> NewBury Park, Cal: Sage Publications.</w:t>
      </w:r>
      <w:bookmarkEnd w:id="435"/>
    </w:p>
    <w:p w14:paraId="41F4243B" w14:textId="77777777" w:rsidR="00525DC8" w:rsidRPr="00787196" w:rsidRDefault="00525DC8" w:rsidP="00525DC8">
      <w:pPr>
        <w:pStyle w:val="EndNoteBibliography"/>
        <w:spacing w:after="240"/>
        <w:rPr>
          <w:noProof/>
        </w:rPr>
      </w:pPr>
      <w:bookmarkStart w:id="436" w:name="_ENREF_79"/>
      <w:r w:rsidRPr="00787196">
        <w:rPr>
          <w:noProof/>
        </w:rPr>
        <w:t>CONLON, A. 2013. The influence of age expectations on the emotion and clinical judgment of social work practitioners in an oncology setting.</w:t>
      </w:r>
      <w:bookmarkEnd w:id="436"/>
    </w:p>
    <w:p w14:paraId="0DFF0D55" w14:textId="77777777" w:rsidR="00525DC8" w:rsidRPr="00787196" w:rsidRDefault="00525DC8" w:rsidP="00525DC8">
      <w:pPr>
        <w:pStyle w:val="EndNoteBibliography"/>
        <w:spacing w:after="240"/>
        <w:rPr>
          <w:noProof/>
        </w:rPr>
      </w:pPr>
      <w:bookmarkStart w:id="437" w:name="_ENREF_80"/>
      <w:r w:rsidRPr="00787196">
        <w:rPr>
          <w:noProof/>
        </w:rPr>
        <w:lastRenderedPageBreak/>
        <w:t xml:space="preserve">CONNOLLY, V., UNWIN, N., SHERRIFF, P., BILOUS, R. &amp; KELLY, W. 2000. Diabetes prevalence and socioeconomic status: a population based study showing increased prevalence of type 2 diabetes mellitus in deprived areas. </w:t>
      </w:r>
      <w:r w:rsidRPr="00787196">
        <w:rPr>
          <w:i/>
          <w:noProof/>
        </w:rPr>
        <w:t>Journal of Epidemiology and Community Health,</w:t>
      </w:r>
      <w:r w:rsidRPr="00787196">
        <w:rPr>
          <w:noProof/>
        </w:rPr>
        <w:t xml:space="preserve"> 54</w:t>
      </w:r>
      <w:r w:rsidRPr="00787196">
        <w:rPr>
          <w:b/>
          <w:noProof/>
        </w:rPr>
        <w:t>,</w:t>
      </w:r>
      <w:r w:rsidRPr="00787196">
        <w:rPr>
          <w:noProof/>
        </w:rPr>
        <w:t xml:space="preserve"> 173-177.</w:t>
      </w:r>
      <w:bookmarkEnd w:id="437"/>
    </w:p>
    <w:p w14:paraId="722E2FB1" w14:textId="77777777" w:rsidR="00525DC8" w:rsidRPr="00787196" w:rsidRDefault="00525DC8" w:rsidP="00525DC8">
      <w:pPr>
        <w:pStyle w:val="EndNoteBibliography"/>
        <w:spacing w:after="240"/>
        <w:rPr>
          <w:noProof/>
        </w:rPr>
      </w:pPr>
      <w:bookmarkStart w:id="438" w:name="_ENREF_81"/>
      <w:r w:rsidRPr="00787196">
        <w:rPr>
          <w:noProof/>
        </w:rPr>
        <w:t>CONWAY, D. I., PETTICREW, M., MARLBOROUGH, H., BERTHILLER, J., HASHIBE, M. &amp; MACPHERSON, L. 2008. S</w:t>
      </w:r>
      <w:r w:rsidRPr="00787196">
        <w:rPr>
          <w:rFonts w:hint="eastAsia"/>
          <w:noProof/>
        </w:rPr>
        <w:t>ocioeconomic inequalities and oral cancer risk: A systematic review and meta</w:t>
      </w:r>
      <w:r w:rsidRPr="00787196">
        <w:rPr>
          <w:rFonts w:hint="eastAsia"/>
          <w:noProof/>
        </w:rPr>
        <w:t>‐</w:t>
      </w:r>
      <w:r w:rsidRPr="00787196">
        <w:rPr>
          <w:rFonts w:hint="eastAsia"/>
          <w:noProof/>
        </w:rPr>
        <w:t>analysis of case</w:t>
      </w:r>
      <w:r w:rsidRPr="00787196">
        <w:rPr>
          <w:rFonts w:hint="eastAsia"/>
          <w:noProof/>
        </w:rPr>
        <w:t>‐</w:t>
      </w:r>
      <w:r w:rsidRPr="00787196">
        <w:rPr>
          <w:rFonts w:hint="eastAsia"/>
          <w:noProof/>
        </w:rPr>
        <w:t xml:space="preserve">control studies. </w:t>
      </w:r>
      <w:r w:rsidRPr="00787196">
        <w:rPr>
          <w:rFonts w:hint="eastAsia"/>
          <w:i/>
          <w:noProof/>
        </w:rPr>
        <w:t>International Journal of Cancer,</w:t>
      </w:r>
      <w:r w:rsidRPr="00787196">
        <w:rPr>
          <w:rFonts w:hint="eastAsia"/>
          <w:noProof/>
        </w:rPr>
        <w:t xml:space="preserve"> 122</w:t>
      </w:r>
      <w:r w:rsidRPr="00787196">
        <w:rPr>
          <w:rFonts w:hint="eastAsia"/>
          <w:b/>
          <w:noProof/>
        </w:rPr>
        <w:t>,</w:t>
      </w:r>
      <w:r w:rsidRPr="00787196">
        <w:rPr>
          <w:rFonts w:hint="eastAsia"/>
          <w:noProof/>
        </w:rPr>
        <w:t xml:space="preserve"> 2811-2819.</w:t>
      </w:r>
      <w:bookmarkEnd w:id="438"/>
    </w:p>
    <w:p w14:paraId="0B32E40F" w14:textId="77777777" w:rsidR="00525DC8" w:rsidRPr="00787196" w:rsidRDefault="00525DC8" w:rsidP="00525DC8">
      <w:pPr>
        <w:pStyle w:val="EndNoteBibliography"/>
        <w:spacing w:after="240"/>
        <w:rPr>
          <w:noProof/>
        </w:rPr>
      </w:pPr>
      <w:bookmarkStart w:id="439" w:name="_ENREF_82"/>
      <w:r w:rsidRPr="00787196">
        <w:rPr>
          <w:noProof/>
        </w:rPr>
        <w:t xml:space="preserve">COOPER, C., KATONA, C. &amp; LIVINGSTON, G. 2008. Validity and reliability of the brief COPE in carers of people with dementia: The LASER-AD study. </w:t>
      </w:r>
      <w:r w:rsidRPr="00787196">
        <w:rPr>
          <w:i/>
          <w:noProof/>
        </w:rPr>
        <w:t>The Journal of nervous and mental disease,</w:t>
      </w:r>
      <w:r w:rsidRPr="00787196">
        <w:rPr>
          <w:noProof/>
        </w:rPr>
        <w:t xml:space="preserve"> 196</w:t>
      </w:r>
      <w:r w:rsidRPr="00787196">
        <w:rPr>
          <w:b/>
          <w:noProof/>
        </w:rPr>
        <w:t>,</w:t>
      </w:r>
      <w:r w:rsidRPr="00787196">
        <w:rPr>
          <w:noProof/>
        </w:rPr>
        <w:t xml:space="preserve"> 838-843.</w:t>
      </w:r>
      <w:bookmarkEnd w:id="439"/>
    </w:p>
    <w:p w14:paraId="364A83E2" w14:textId="77777777" w:rsidR="00525DC8" w:rsidRPr="00787196" w:rsidRDefault="00525DC8" w:rsidP="00525DC8">
      <w:pPr>
        <w:pStyle w:val="EndNoteBibliography"/>
        <w:spacing w:after="240"/>
        <w:rPr>
          <w:noProof/>
        </w:rPr>
      </w:pPr>
      <w:bookmarkStart w:id="440" w:name="_ENREF_83"/>
      <w:r w:rsidRPr="00787196">
        <w:rPr>
          <w:noProof/>
        </w:rPr>
        <w:t xml:space="preserve">COSTA, S. M., MARTINS, C. C., BONFIM, M. D. L. C., ZINA, L. G., PAIVA, S. M., PORDEUS, I. A. &amp; ABREU, M. H. N. G. 2012. A Systematic Review of Socioeconomic Indicators and Dental Caries in Adults. </w:t>
      </w:r>
      <w:r w:rsidRPr="00787196">
        <w:rPr>
          <w:i/>
          <w:noProof/>
        </w:rPr>
        <w:t>International Journal of Environmental Research and Public Health,</w:t>
      </w:r>
      <w:r w:rsidRPr="00787196">
        <w:rPr>
          <w:noProof/>
        </w:rPr>
        <w:t xml:space="preserve"> 9</w:t>
      </w:r>
      <w:r w:rsidRPr="00787196">
        <w:rPr>
          <w:b/>
          <w:noProof/>
        </w:rPr>
        <w:t>,</w:t>
      </w:r>
      <w:r w:rsidRPr="00787196">
        <w:rPr>
          <w:noProof/>
        </w:rPr>
        <w:t xml:space="preserve"> 3540-3574.</w:t>
      </w:r>
      <w:bookmarkEnd w:id="440"/>
    </w:p>
    <w:p w14:paraId="269F95AA" w14:textId="590FC966" w:rsidR="00525DC8" w:rsidRPr="00787196" w:rsidRDefault="00525DC8" w:rsidP="00525DC8">
      <w:pPr>
        <w:pStyle w:val="EndNoteBibliography"/>
        <w:spacing w:after="240"/>
        <w:rPr>
          <w:noProof/>
        </w:rPr>
      </w:pPr>
      <w:bookmarkStart w:id="441" w:name="_ENREF_84"/>
      <w:r w:rsidRPr="00787196">
        <w:rPr>
          <w:noProof/>
        </w:rPr>
        <w:t xml:space="preserve">COSTELLO, A. B. &amp; OSBORNE, J. W. 2011. Best practices in exploratory factor analysis: four recommendations for getting the most from your analysis. Pract Assess Res Eval 2005; 10. </w:t>
      </w:r>
      <w:r w:rsidRPr="00787196">
        <w:rPr>
          <w:i/>
          <w:noProof/>
        </w:rPr>
        <w:t xml:space="preserve">URL </w:t>
      </w:r>
      <w:hyperlink r:id="rId34" w:history="1">
        <w:r w:rsidRPr="00787196">
          <w:rPr>
            <w:rStyle w:val="Hyperlink"/>
            <w:i/>
            <w:noProof/>
          </w:rPr>
          <w:t>http://pareonline</w:t>
        </w:r>
      </w:hyperlink>
      <w:r w:rsidRPr="00787196">
        <w:rPr>
          <w:i/>
          <w:noProof/>
        </w:rPr>
        <w:t>. net/getvn. asp,</w:t>
      </w:r>
      <w:r w:rsidRPr="00787196">
        <w:rPr>
          <w:noProof/>
        </w:rPr>
        <w:t xml:space="preserve"> 10</w:t>
      </w:r>
      <w:r w:rsidRPr="00787196">
        <w:rPr>
          <w:b/>
          <w:noProof/>
        </w:rPr>
        <w:t>,</w:t>
      </w:r>
      <w:r w:rsidRPr="00787196">
        <w:rPr>
          <w:noProof/>
        </w:rPr>
        <w:t xml:space="preserve"> 7.</w:t>
      </w:r>
      <w:bookmarkEnd w:id="441"/>
    </w:p>
    <w:p w14:paraId="7402ED8A" w14:textId="77777777" w:rsidR="00525DC8" w:rsidRPr="00787196" w:rsidRDefault="00525DC8" w:rsidP="00525DC8">
      <w:pPr>
        <w:pStyle w:val="EndNoteBibliography"/>
        <w:spacing w:after="240"/>
        <w:rPr>
          <w:noProof/>
        </w:rPr>
      </w:pPr>
      <w:bookmarkStart w:id="442" w:name="_ENREF_85"/>
      <w:r w:rsidRPr="00787196">
        <w:rPr>
          <w:noProof/>
        </w:rPr>
        <w:t xml:space="preserve">COX, T. 1978. </w:t>
      </w:r>
      <w:r w:rsidRPr="00787196">
        <w:rPr>
          <w:i/>
          <w:noProof/>
        </w:rPr>
        <w:t xml:space="preserve">Stress, </w:t>
      </w:r>
      <w:r w:rsidRPr="00787196">
        <w:rPr>
          <w:noProof/>
        </w:rPr>
        <w:t>Baltimore, University Park Press.</w:t>
      </w:r>
      <w:bookmarkEnd w:id="442"/>
    </w:p>
    <w:p w14:paraId="0F96F4F3" w14:textId="77777777" w:rsidR="00525DC8" w:rsidRPr="00787196" w:rsidRDefault="00525DC8" w:rsidP="00525DC8">
      <w:pPr>
        <w:pStyle w:val="EndNoteBibliography"/>
        <w:spacing w:after="240"/>
        <w:rPr>
          <w:noProof/>
        </w:rPr>
      </w:pPr>
      <w:bookmarkStart w:id="443" w:name="_ENREF_86"/>
      <w:r w:rsidRPr="00787196">
        <w:rPr>
          <w:noProof/>
        </w:rPr>
        <w:t xml:space="preserve">CRITCHLOW, S. B. &amp; ELLIS, J. S. 2010. Prognostic indicators for conventional complete denture therapy: A review of the literature. </w:t>
      </w:r>
      <w:r w:rsidRPr="00787196">
        <w:rPr>
          <w:i/>
          <w:noProof/>
        </w:rPr>
        <w:t>Journal of Dentistry,</w:t>
      </w:r>
      <w:r w:rsidRPr="00787196">
        <w:rPr>
          <w:noProof/>
        </w:rPr>
        <w:t xml:space="preserve"> 38(1)</w:t>
      </w:r>
      <w:r w:rsidRPr="00787196">
        <w:rPr>
          <w:b/>
          <w:noProof/>
        </w:rPr>
        <w:t>,</w:t>
      </w:r>
      <w:r w:rsidRPr="00787196">
        <w:rPr>
          <w:noProof/>
        </w:rPr>
        <w:t xml:space="preserve"> 2-9.</w:t>
      </w:r>
      <w:bookmarkEnd w:id="443"/>
    </w:p>
    <w:p w14:paraId="1170131B" w14:textId="77777777" w:rsidR="00525DC8" w:rsidRPr="00787196" w:rsidRDefault="00525DC8" w:rsidP="00525DC8">
      <w:pPr>
        <w:pStyle w:val="EndNoteBibliography"/>
        <w:spacing w:after="240"/>
        <w:rPr>
          <w:noProof/>
        </w:rPr>
      </w:pPr>
      <w:bookmarkStart w:id="444" w:name="_ENREF_87"/>
      <w:r w:rsidRPr="00787196">
        <w:rPr>
          <w:noProof/>
        </w:rPr>
        <w:t xml:space="preserve">CUNHA, T. R., DELLA VECCHIA, M. P., REGIS, R. R., RIBEIRO, A. B., MUGLIA, V. A., MESTRINER, W., JR. &amp; DE SOUZA, R. F. 2013. A randomised trial on simplified and conventional methods for complete denture fabrication: Masticatory performance and ability. </w:t>
      </w:r>
      <w:r w:rsidRPr="00787196">
        <w:rPr>
          <w:i/>
          <w:noProof/>
        </w:rPr>
        <w:t>Journal of Dentistry,</w:t>
      </w:r>
      <w:r w:rsidRPr="00787196">
        <w:rPr>
          <w:noProof/>
        </w:rPr>
        <w:t xml:space="preserve"> 41</w:t>
      </w:r>
      <w:r w:rsidRPr="00787196">
        <w:rPr>
          <w:b/>
          <w:noProof/>
        </w:rPr>
        <w:t>,</w:t>
      </w:r>
      <w:r w:rsidRPr="00787196">
        <w:rPr>
          <w:noProof/>
        </w:rPr>
        <w:t xml:space="preserve"> 133-142.</w:t>
      </w:r>
      <w:bookmarkEnd w:id="444"/>
    </w:p>
    <w:p w14:paraId="08EBEBED" w14:textId="77777777" w:rsidR="00525DC8" w:rsidRPr="00787196" w:rsidRDefault="00525DC8" w:rsidP="00525DC8">
      <w:pPr>
        <w:pStyle w:val="EndNoteBibliography"/>
        <w:spacing w:after="240"/>
        <w:rPr>
          <w:noProof/>
        </w:rPr>
      </w:pPr>
      <w:bookmarkStart w:id="445" w:name="_ENREF_88"/>
      <w:r w:rsidRPr="00787196">
        <w:rPr>
          <w:noProof/>
        </w:rPr>
        <w:t xml:space="preserve">CUSHING, A. M., SHEIHAM, A. &amp; MAIZELS, J. 1986. Developing socio-dental indicators--the social impact of dental disease. </w:t>
      </w:r>
      <w:r w:rsidRPr="00787196">
        <w:rPr>
          <w:i/>
          <w:noProof/>
        </w:rPr>
        <w:t>Community Dent Health,</w:t>
      </w:r>
      <w:r w:rsidRPr="00787196">
        <w:rPr>
          <w:noProof/>
        </w:rPr>
        <w:t xml:space="preserve"> 3</w:t>
      </w:r>
      <w:r w:rsidRPr="00787196">
        <w:rPr>
          <w:b/>
          <w:noProof/>
        </w:rPr>
        <w:t>,</w:t>
      </w:r>
      <w:r w:rsidRPr="00787196">
        <w:rPr>
          <w:noProof/>
        </w:rPr>
        <w:t xml:space="preserve"> 3-17.</w:t>
      </w:r>
      <w:bookmarkEnd w:id="445"/>
    </w:p>
    <w:p w14:paraId="1308327A" w14:textId="77777777" w:rsidR="00525DC8" w:rsidRPr="00787196" w:rsidRDefault="00525DC8" w:rsidP="00525DC8">
      <w:pPr>
        <w:pStyle w:val="EndNoteBibliography"/>
        <w:spacing w:after="240"/>
        <w:rPr>
          <w:noProof/>
        </w:rPr>
      </w:pPr>
      <w:bookmarkStart w:id="446" w:name="_ENREF_89"/>
      <w:r w:rsidRPr="00787196">
        <w:rPr>
          <w:noProof/>
        </w:rPr>
        <w:t xml:space="preserve">DALY, B., NEWTON, T., BATCHELOR, P. &amp; JONES, K. 2010. Oral health care needs and oral health-related quality of life (OHIP-14) in homeless people. </w:t>
      </w:r>
      <w:r w:rsidRPr="00787196">
        <w:rPr>
          <w:i/>
          <w:noProof/>
        </w:rPr>
        <w:t>Community Dentistry and Oral Epidemiology,</w:t>
      </w:r>
      <w:r w:rsidRPr="00787196">
        <w:rPr>
          <w:noProof/>
        </w:rPr>
        <w:t xml:space="preserve"> 38</w:t>
      </w:r>
      <w:r w:rsidRPr="00787196">
        <w:rPr>
          <w:b/>
          <w:noProof/>
        </w:rPr>
        <w:t>,</w:t>
      </w:r>
      <w:r w:rsidRPr="00787196">
        <w:rPr>
          <w:noProof/>
        </w:rPr>
        <w:t xml:space="preserve"> 136-144.</w:t>
      </w:r>
      <w:bookmarkEnd w:id="446"/>
    </w:p>
    <w:p w14:paraId="6260A2DB" w14:textId="77777777" w:rsidR="00525DC8" w:rsidRPr="00787196" w:rsidRDefault="00525DC8" w:rsidP="00525DC8">
      <w:pPr>
        <w:pStyle w:val="EndNoteBibliography"/>
        <w:spacing w:after="240"/>
        <w:rPr>
          <w:noProof/>
        </w:rPr>
      </w:pPr>
      <w:bookmarkStart w:id="447" w:name="_ENREF_90"/>
      <w:r w:rsidRPr="00787196">
        <w:rPr>
          <w:noProof/>
        </w:rPr>
        <w:lastRenderedPageBreak/>
        <w:t xml:space="preserve">DAMIANI, G., FEDERICO, B., BIANCHI, C. B. N. A., RONCONI, A., BASSO, D., FIORENZA, S. &amp; SASSI, F. 2011. Socio-economic status and prevention of cardiovascular disease in Italy: evidence from a national health survey. </w:t>
      </w:r>
      <w:r w:rsidRPr="00787196">
        <w:rPr>
          <w:i/>
          <w:noProof/>
        </w:rPr>
        <w:t>The European Journal of Public Health,</w:t>
      </w:r>
      <w:r w:rsidRPr="00787196">
        <w:rPr>
          <w:noProof/>
        </w:rPr>
        <w:t xml:space="preserve"> 21</w:t>
      </w:r>
      <w:r w:rsidRPr="00787196">
        <w:rPr>
          <w:b/>
          <w:noProof/>
        </w:rPr>
        <w:t>,</w:t>
      </w:r>
      <w:r w:rsidRPr="00787196">
        <w:rPr>
          <w:noProof/>
        </w:rPr>
        <w:t xml:space="preserve"> 591-596.</w:t>
      </w:r>
      <w:bookmarkEnd w:id="447"/>
    </w:p>
    <w:p w14:paraId="377642FB" w14:textId="77777777" w:rsidR="00525DC8" w:rsidRPr="00787196" w:rsidRDefault="00525DC8" w:rsidP="00525DC8">
      <w:pPr>
        <w:pStyle w:val="EndNoteBibliography"/>
        <w:spacing w:after="240"/>
        <w:rPr>
          <w:noProof/>
        </w:rPr>
      </w:pPr>
      <w:bookmarkStart w:id="448" w:name="_ENREF_91"/>
      <w:r w:rsidRPr="00787196">
        <w:rPr>
          <w:noProof/>
        </w:rPr>
        <w:t xml:space="preserve">DAVIS , D., FISKE, J. &amp; SCOTT, B. A. R. D. R. 2000a. The emotional effects of tooth loss: a preliminary quantitative study. </w:t>
      </w:r>
      <w:r w:rsidRPr="00787196">
        <w:rPr>
          <w:i/>
          <w:noProof/>
        </w:rPr>
        <w:t>British Dental Journal,</w:t>
      </w:r>
      <w:r w:rsidRPr="00787196">
        <w:rPr>
          <w:noProof/>
        </w:rPr>
        <w:t xml:space="preserve"> 188.</w:t>
      </w:r>
      <w:bookmarkEnd w:id="448"/>
    </w:p>
    <w:p w14:paraId="7DA02A9D" w14:textId="77777777" w:rsidR="00525DC8" w:rsidRPr="00787196" w:rsidRDefault="00525DC8" w:rsidP="00525DC8">
      <w:pPr>
        <w:pStyle w:val="EndNoteBibliography"/>
        <w:spacing w:after="240"/>
        <w:rPr>
          <w:noProof/>
        </w:rPr>
      </w:pPr>
      <w:bookmarkStart w:id="449" w:name="_ENREF_92"/>
      <w:r w:rsidRPr="00787196">
        <w:rPr>
          <w:noProof/>
        </w:rPr>
        <w:t xml:space="preserve">DAVIS , D., FISKE, J. &amp; SCOTT, B. R. D. R. 2000b. The emotional effects of tooth loss: a preliminary quantitative study. </w:t>
      </w:r>
      <w:r w:rsidRPr="00787196">
        <w:rPr>
          <w:i/>
          <w:noProof/>
        </w:rPr>
        <w:t>British Dental Journal,</w:t>
      </w:r>
      <w:r w:rsidRPr="00787196">
        <w:rPr>
          <w:noProof/>
        </w:rPr>
        <w:t xml:space="preserve"> 188.</w:t>
      </w:r>
      <w:bookmarkEnd w:id="449"/>
    </w:p>
    <w:p w14:paraId="67EDB3E0" w14:textId="77777777" w:rsidR="00525DC8" w:rsidRPr="00787196" w:rsidRDefault="00525DC8" w:rsidP="00525DC8">
      <w:pPr>
        <w:pStyle w:val="EndNoteBibliography"/>
        <w:spacing w:after="240"/>
        <w:rPr>
          <w:noProof/>
        </w:rPr>
      </w:pPr>
      <w:bookmarkStart w:id="450" w:name="_ENREF_93"/>
      <w:r w:rsidRPr="00787196">
        <w:rPr>
          <w:noProof/>
        </w:rPr>
        <w:t xml:space="preserve">DE LIZ POCZTARUK, R., DA FONTOURA FRASCA, L. C., RIVALDO, E. G., MATTIA, P. R. C., VIDAL, R. A., FERNANDES, E. &amp; GAVIÃO, M. B. D. 2006. Satisfaction level and masticatory capacity in edentulous patients with conventional dentures and implant-retained overdentures. </w:t>
      </w:r>
      <w:r w:rsidRPr="00787196">
        <w:rPr>
          <w:i/>
          <w:noProof/>
        </w:rPr>
        <w:t>Brazilian Journal of Oral Sciences,</w:t>
      </w:r>
      <w:r w:rsidRPr="00787196">
        <w:rPr>
          <w:noProof/>
        </w:rPr>
        <w:t xml:space="preserve"> 5</w:t>
      </w:r>
      <w:r w:rsidRPr="00787196">
        <w:rPr>
          <w:b/>
          <w:noProof/>
        </w:rPr>
        <w:t>,</w:t>
      </w:r>
      <w:r w:rsidRPr="00787196">
        <w:rPr>
          <w:noProof/>
        </w:rPr>
        <w:t xml:space="preserve"> 1232-1238.</w:t>
      </w:r>
      <w:bookmarkEnd w:id="450"/>
    </w:p>
    <w:p w14:paraId="02F87585" w14:textId="77777777" w:rsidR="00525DC8" w:rsidRPr="00787196" w:rsidRDefault="00525DC8" w:rsidP="00525DC8">
      <w:pPr>
        <w:pStyle w:val="EndNoteBibliography"/>
        <w:spacing w:after="240"/>
        <w:rPr>
          <w:noProof/>
        </w:rPr>
      </w:pPr>
      <w:bookmarkStart w:id="451" w:name="_ENREF_94"/>
      <w:r w:rsidRPr="00787196">
        <w:rPr>
          <w:noProof/>
        </w:rPr>
        <w:t>DEPARTMENT OF HEALTH 1994. An Oral Health Strategy for England. London: Department of Health.</w:t>
      </w:r>
      <w:bookmarkEnd w:id="451"/>
    </w:p>
    <w:p w14:paraId="6D5AB169" w14:textId="77777777" w:rsidR="00525DC8" w:rsidRPr="00787196" w:rsidRDefault="00525DC8" w:rsidP="00525DC8">
      <w:pPr>
        <w:pStyle w:val="EndNoteBibliography"/>
        <w:spacing w:after="240"/>
        <w:rPr>
          <w:noProof/>
        </w:rPr>
      </w:pPr>
      <w:bookmarkStart w:id="452" w:name="_ENREF_95"/>
      <w:r w:rsidRPr="00787196">
        <w:rPr>
          <w:noProof/>
        </w:rPr>
        <w:t xml:space="preserve">DESCARTES, R. 1969. </w:t>
      </w:r>
      <w:r w:rsidRPr="00787196">
        <w:rPr>
          <w:i/>
          <w:noProof/>
        </w:rPr>
        <w:t xml:space="preserve">Discourse on method. Meditations on the first philosophy. Principles of philosophy, </w:t>
      </w:r>
      <w:r w:rsidRPr="00787196">
        <w:rPr>
          <w:noProof/>
        </w:rPr>
        <w:t>London; New York, Dent; Dutton.</w:t>
      </w:r>
      <w:bookmarkEnd w:id="452"/>
    </w:p>
    <w:p w14:paraId="4F573094" w14:textId="77777777" w:rsidR="00525DC8" w:rsidRPr="00787196" w:rsidRDefault="00525DC8" w:rsidP="00525DC8">
      <w:pPr>
        <w:pStyle w:val="EndNoteBibliography"/>
        <w:spacing w:after="240"/>
        <w:rPr>
          <w:noProof/>
        </w:rPr>
      </w:pPr>
      <w:bookmarkStart w:id="453" w:name="_ENREF_96"/>
      <w:r w:rsidRPr="00787196">
        <w:rPr>
          <w:noProof/>
        </w:rPr>
        <w:t xml:space="preserve">DESVARIEUX, M., DEMMER, R. T., RUNDEK, T., BODEN-ALBALA, B., JACOBS, D. R., PAPAPANOU, P. N. &amp; SACCO, R. L. 2003. Relationship between periodontal disease, tooth loss, and carotid artery plaque The Oral Infections and Vascular Disease Epidemiology Study (INVEST). </w:t>
      </w:r>
      <w:r w:rsidRPr="00787196">
        <w:rPr>
          <w:i/>
          <w:noProof/>
        </w:rPr>
        <w:t>Stroke,</w:t>
      </w:r>
      <w:r w:rsidRPr="00787196">
        <w:rPr>
          <w:noProof/>
        </w:rPr>
        <w:t xml:space="preserve"> 34</w:t>
      </w:r>
      <w:r w:rsidRPr="00787196">
        <w:rPr>
          <w:b/>
          <w:noProof/>
        </w:rPr>
        <w:t>,</w:t>
      </w:r>
      <w:r w:rsidRPr="00787196">
        <w:rPr>
          <w:noProof/>
        </w:rPr>
        <w:t xml:space="preserve"> 2120-2125.</w:t>
      </w:r>
      <w:bookmarkEnd w:id="453"/>
    </w:p>
    <w:p w14:paraId="21DDDD3A" w14:textId="77777777" w:rsidR="00525DC8" w:rsidRPr="00787196" w:rsidRDefault="00525DC8" w:rsidP="00525DC8">
      <w:pPr>
        <w:pStyle w:val="EndNoteBibliography"/>
        <w:spacing w:after="240"/>
        <w:rPr>
          <w:noProof/>
        </w:rPr>
      </w:pPr>
      <w:bookmarkStart w:id="454" w:name="_ENREF_97"/>
      <w:r w:rsidRPr="00787196">
        <w:rPr>
          <w:noProof/>
        </w:rPr>
        <w:t xml:space="preserve">DIEHL, R. L., FOERSTER, U., SPOSETTI, V. J. &amp; DOLAN, T. A. 1996. Factors associated with successful denture therapy. </w:t>
      </w:r>
      <w:r w:rsidRPr="00787196">
        <w:rPr>
          <w:i/>
          <w:noProof/>
        </w:rPr>
        <w:t>Journal of Prosthodontics,</w:t>
      </w:r>
      <w:r w:rsidRPr="00787196">
        <w:rPr>
          <w:noProof/>
        </w:rPr>
        <w:t xml:space="preserve"> 5(2)</w:t>
      </w:r>
      <w:r w:rsidRPr="00787196">
        <w:rPr>
          <w:b/>
          <w:noProof/>
        </w:rPr>
        <w:t>,</w:t>
      </w:r>
      <w:r w:rsidRPr="00787196">
        <w:rPr>
          <w:noProof/>
        </w:rPr>
        <w:t xml:space="preserve"> 84-90.</w:t>
      </w:r>
      <w:bookmarkEnd w:id="454"/>
    </w:p>
    <w:p w14:paraId="4FC39DC6" w14:textId="77777777" w:rsidR="00525DC8" w:rsidRPr="00787196" w:rsidRDefault="00525DC8" w:rsidP="00525DC8">
      <w:pPr>
        <w:pStyle w:val="EndNoteBibliography"/>
        <w:spacing w:after="240"/>
        <w:rPr>
          <w:noProof/>
        </w:rPr>
      </w:pPr>
      <w:bookmarkStart w:id="455" w:name="_ENREF_98"/>
      <w:r w:rsidRPr="00787196">
        <w:rPr>
          <w:noProof/>
        </w:rPr>
        <w:t xml:space="preserve">DIMSDALE, J. E. 2008. Psychological Stress and Cardiovascular Disease. </w:t>
      </w:r>
      <w:r w:rsidRPr="00787196">
        <w:rPr>
          <w:i/>
          <w:noProof/>
        </w:rPr>
        <w:t>J Am Coll Cardiol,</w:t>
      </w:r>
      <w:r w:rsidRPr="00787196">
        <w:rPr>
          <w:noProof/>
        </w:rPr>
        <w:t xml:space="preserve"> 51</w:t>
      </w:r>
      <w:r w:rsidRPr="00787196">
        <w:rPr>
          <w:b/>
          <w:noProof/>
        </w:rPr>
        <w:t>,</w:t>
      </w:r>
      <w:r w:rsidRPr="00787196">
        <w:rPr>
          <w:noProof/>
        </w:rPr>
        <w:t xml:space="preserve"> 1237-1246.</w:t>
      </w:r>
      <w:bookmarkEnd w:id="455"/>
    </w:p>
    <w:p w14:paraId="77F98BD0" w14:textId="77777777" w:rsidR="00525DC8" w:rsidRPr="00787196" w:rsidRDefault="00525DC8" w:rsidP="00525DC8">
      <w:pPr>
        <w:pStyle w:val="EndNoteBibliography"/>
        <w:spacing w:after="240"/>
        <w:rPr>
          <w:noProof/>
        </w:rPr>
      </w:pPr>
      <w:bookmarkStart w:id="456" w:name="_ENREF_99"/>
      <w:r w:rsidRPr="00787196">
        <w:rPr>
          <w:noProof/>
        </w:rPr>
        <w:t xml:space="preserve">DIONIGI, R. A. 2015. Stereotypes of aging: their effects on the health of older adults. </w:t>
      </w:r>
      <w:r w:rsidRPr="00787196">
        <w:rPr>
          <w:i/>
          <w:noProof/>
        </w:rPr>
        <w:t>Journal of Geriatrics,</w:t>
      </w:r>
      <w:r w:rsidRPr="00787196">
        <w:rPr>
          <w:noProof/>
        </w:rPr>
        <w:t xml:space="preserve"> 2015.</w:t>
      </w:r>
      <w:bookmarkEnd w:id="456"/>
    </w:p>
    <w:p w14:paraId="7B4B6196" w14:textId="77777777" w:rsidR="00525DC8" w:rsidRPr="00787196" w:rsidRDefault="00525DC8" w:rsidP="00525DC8">
      <w:pPr>
        <w:pStyle w:val="EndNoteBibliography"/>
        <w:spacing w:after="240"/>
        <w:rPr>
          <w:noProof/>
        </w:rPr>
      </w:pPr>
      <w:bookmarkStart w:id="457" w:name="_ENREF_100"/>
      <w:r w:rsidRPr="00787196">
        <w:rPr>
          <w:noProof/>
        </w:rPr>
        <w:t xml:space="preserve">DOWNE-WAMBOLDT, B. L. &amp; MELANSON, P. M. 1998. A causal model of coping and well-being in elderly people with arthritis. </w:t>
      </w:r>
      <w:r w:rsidRPr="00787196">
        <w:rPr>
          <w:i/>
          <w:noProof/>
        </w:rPr>
        <w:t>J Adv Nurs,</w:t>
      </w:r>
      <w:r w:rsidRPr="00787196">
        <w:rPr>
          <w:noProof/>
        </w:rPr>
        <w:t xml:space="preserve"> 27</w:t>
      </w:r>
      <w:r w:rsidRPr="00787196">
        <w:rPr>
          <w:b/>
          <w:noProof/>
        </w:rPr>
        <w:t>,</w:t>
      </w:r>
      <w:r w:rsidRPr="00787196">
        <w:rPr>
          <w:noProof/>
        </w:rPr>
        <w:t xml:space="preserve"> 1109-16.</w:t>
      </w:r>
      <w:bookmarkEnd w:id="457"/>
    </w:p>
    <w:p w14:paraId="2861FC98" w14:textId="77777777" w:rsidR="00525DC8" w:rsidRPr="00787196" w:rsidRDefault="00525DC8" w:rsidP="00525DC8">
      <w:pPr>
        <w:pStyle w:val="EndNoteBibliography"/>
        <w:spacing w:after="240"/>
        <w:rPr>
          <w:noProof/>
        </w:rPr>
      </w:pPr>
      <w:bookmarkStart w:id="458" w:name="_ENREF_101"/>
      <w:r w:rsidRPr="00787196">
        <w:rPr>
          <w:noProof/>
        </w:rPr>
        <w:lastRenderedPageBreak/>
        <w:t xml:space="preserve">DRAGO, C. J. 2003. A retrospective comparison of two definitive impression techniques and their associated postinsertion adjustments in complete denture prosthodontics. </w:t>
      </w:r>
      <w:r w:rsidRPr="00787196">
        <w:rPr>
          <w:i/>
          <w:noProof/>
        </w:rPr>
        <w:t>Journal of Prosthodontics,</w:t>
      </w:r>
      <w:r w:rsidRPr="00787196">
        <w:rPr>
          <w:noProof/>
        </w:rPr>
        <w:t xml:space="preserve"> 12</w:t>
      </w:r>
      <w:r w:rsidRPr="00787196">
        <w:rPr>
          <w:b/>
          <w:noProof/>
        </w:rPr>
        <w:t>,</w:t>
      </w:r>
      <w:r w:rsidRPr="00787196">
        <w:rPr>
          <w:noProof/>
        </w:rPr>
        <w:t xml:space="preserve"> 192-197.</w:t>
      </w:r>
      <w:bookmarkEnd w:id="458"/>
    </w:p>
    <w:p w14:paraId="4C861C4D" w14:textId="77777777" w:rsidR="00525DC8" w:rsidRPr="00787196" w:rsidRDefault="00525DC8" w:rsidP="00525DC8">
      <w:pPr>
        <w:pStyle w:val="EndNoteBibliography"/>
        <w:spacing w:after="240"/>
        <w:rPr>
          <w:noProof/>
        </w:rPr>
      </w:pPr>
      <w:bookmarkStart w:id="459" w:name="_ENREF_102"/>
      <w:r w:rsidRPr="00787196">
        <w:rPr>
          <w:noProof/>
        </w:rPr>
        <w:t xml:space="preserve">DROSSMAN, D. A. 1999. Do psychosocial factors define symptom severity and patient status in irritable bowel syndrome? </w:t>
      </w:r>
      <w:r w:rsidRPr="00787196">
        <w:rPr>
          <w:i/>
          <w:noProof/>
        </w:rPr>
        <w:t>American journal of medicine,</w:t>
      </w:r>
      <w:r w:rsidRPr="00787196">
        <w:rPr>
          <w:noProof/>
        </w:rPr>
        <w:t xml:space="preserve"> 107</w:t>
      </w:r>
      <w:r w:rsidRPr="00787196">
        <w:rPr>
          <w:b/>
          <w:noProof/>
        </w:rPr>
        <w:t>,</w:t>
      </w:r>
      <w:r w:rsidRPr="00787196">
        <w:rPr>
          <w:noProof/>
        </w:rPr>
        <w:t xml:space="preserve"> 42-50.</w:t>
      </w:r>
      <w:bookmarkEnd w:id="459"/>
    </w:p>
    <w:p w14:paraId="4397B5C6" w14:textId="77777777" w:rsidR="00525DC8" w:rsidRPr="00787196" w:rsidRDefault="00525DC8" w:rsidP="00525DC8">
      <w:pPr>
        <w:pStyle w:val="EndNoteBibliography"/>
        <w:spacing w:after="240"/>
        <w:rPr>
          <w:noProof/>
        </w:rPr>
      </w:pPr>
      <w:bookmarkStart w:id="460" w:name="_ENREF_103"/>
      <w:r w:rsidRPr="00787196">
        <w:rPr>
          <w:noProof/>
        </w:rPr>
        <w:t xml:space="preserve">DROSSMAN, D. A., LESERMAN, J., LI, Z., KEEFE, F., HU, Y. J. B. &amp; TOOMEY, T. C. 2000. Effects of coping on health outcome among women with gastrointestinal disorders. </w:t>
      </w:r>
      <w:r w:rsidRPr="00787196">
        <w:rPr>
          <w:i/>
          <w:noProof/>
        </w:rPr>
        <w:t>Psychosomatic Medicine,</w:t>
      </w:r>
      <w:r w:rsidRPr="00787196">
        <w:rPr>
          <w:noProof/>
        </w:rPr>
        <w:t xml:space="preserve"> 62</w:t>
      </w:r>
      <w:r w:rsidRPr="00787196">
        <w:rPr>
          <w:b/>
          <w:noProof/>
        </w:rPr>
        <w:t>,</w:t>
      </w:r>
      <w:r w:rsidRPr="00787196">
        <w:rPr>
          <w:noProof/>
        </w:rPr>
        <w:t xml:space="preserve"> 309-317.</w:t>
      </w:r>
      <w:bookmarkEnd w:id="460"/>
    </w:p>
    <w:p w14:paraId="6B8D6A78" w14:textId="77777777" w:rsidR="00525DC8" w:rsidRPr="00787196" w:rsidRDefault="00525DC8" w:rsidP="00525DC8">
      <w:pPr>
        <w:pStyle w:val="EndNoteBibliography"/>
        <w:spacing w:after="240"/>
        <w:rPr>
          <w:noProof/>
        </w:rPr>
      </w:pPr>
      <w:bookmarkStart w:id="461" w:name="_ENREF_104"/>
      <w:r w:rsidRPr="00787196">
        <w:rPr>
          <w:noProof/>
        </w:rPr>
        <w:t xml:space="preserve">ELIAS, A. C. &amp; SHEIHAM, A. 1998. The relationship between satisfaction with mouth and number and position of teeth. </w:t>
      </w:r>
      <w:r w:rsidRPr="00787196">
        <w:rPr>
          <w:i/>
          <w:noProof/>
        </w:rPr>
        <w:t>Journal of Oral Rehabilitation,</w:t>
      </w:r>
      <w:r w:rsidRPr="00787196">
        <w:rPr>
          <w:noProof/>
        </w:rPr>
        <w:t xml:space="preserve"> 25</w:t>
      </w:r>
      <w:r w:rsidRPr="00787196">
        <w:rPr>
          <w:b/>
          <w:noProof/>
        </w:rPr>
        <w:t>,</w:t>
      </w:r>
      <w:r w:rsidRPr="00787196">
        <w:rPr>
          <w:noProof/>
        </w:rPr>
        <w:t xml:space="preserve"> 649-661.</w:t>
      </w:r>
      <w:bookmarkEnd w:id="461"/>
    </w:p>
    <w:p w14:paraId="7456FC79" w14:textId="77777777" w:rsidR="00525DC8" w:rsidRPr="00787196" w:rsidRDefault="00525DC8" w:rsidP="00525DC8">
      <w:pPr>
        <w:pStyle w:val="EndNoteBibliography"/>
        <w:spacing w:after="240"/>
        <w:rPr>
          <w:noProof/>
        </w:rPr>
      </w:pPr>
      <w:bookmarkStart w:id="462" w:name="_ENREF_105"/>
      <w:r w:rsidRPr="00787196">
        <w:rPr>
          <w:noProof/>
        </w:rPr>
        <w:t xml:space="preserve">ELLINGER, C. W., SOMES, G. W., NICOL, B. R., UNGER, J. W. &amp; WESLEY, R. C. 1979. Patient response to variations in denture technique. Part III: Five-year subjective evaluation. </w:t>
      </w:r>
      <w:r w:rsidRPr="00787196">
        <w:rPr>
          <w:i/>
          <w:noProof/>
        </w:rPr>
        <w:t>The Journal of Prosthetic Dentistry,</w:t>
      </w:r>
      <w:r w:rsidRPr="00787196">
        <w:rPr>
          <w:noProof/>
        </w:rPr>
        <w:t xml:space="preserve"> 42</w:t>
      </w:r>
      <w:r w:rsidRPr="00787196">
        <w:rPr>
          <w:b/>
          <w:noProof/>
        </w:rPr>
        <w:t>,</w:t>
      </w:r>
      <w:r w:rsidRPr="00787196">
        <w:rPr>
          <w:noProof/>
        </w:rPr>
        <w:t xml:space="preserve"> 127-130.</w:t>
      </w:r>
      <w:bookmarkEnd w:id="462"/>
    </w:p>
    <w:p w14:paraId="28CBEC62" w14:textId="77777777" w:rsidR="00525DC8" w:rsidRPr="00787196" w:rsidRDefault="00525DC8" w:rsidP="00525DC8">
      <w:pPr>
        <w:pStyle w:val="EndNoteBibliography"/>
        <w:spacing w:after="240"/>
        <w:rPr>
          <w:noProof/>
        </w:rPr>
      </w:pPr>
      <w:bookmarkStart w:id="463" w:name="_ENREF_106"/>
      <w:r w:rsidRPr="00787196">
        <w:rPr>
          <w:noProof/>
        </w:rPr>
        <w:t xml:space="preserve">ELLIS, J. S., PELEKIS, N. D. &amp; THOMASON, J. M. 2007. Conventional rehabilitation of edentulous patients: the impact on oral health-related quality of life and patient satisfaction. </w:t>
      </w:r>
      <w:r w:rsidRPr="00787196">
        <w:rPr>
          <w:i/>
          <w:noProof/>
        </w:rPr>
        <w:t>J Prosthodont,</w:t>
      </w:r>
      <w:r w:rsidRPr="00787196">
        <w:rPr>
          <w:noProof/>
        </w:rPr>
        <w:t xml:space="preserve"> 16</w:t>
      </w:r>
      <w:r w:rsidRPr="00787196">
        <w:rPr>
          <w:b/>
          <w:noProof/>
        </w:rPr>
        <w:t>,</w:t>
      </w:r>
      <w:r w:rsidRPr="00787196">
        <w:rPr>
          <w:noProof/>
        </w:rPr>
        <w:t xml:space="preserve"> 37-42.</w:t>
      </w:r>
      <w:bookmarkEnd w:id="463"/>
    </w:p>
    <w:p w14:paraId="6B42FC1C" w14:textId="77777777" w:rsidR="00525DC8" w:rsidRPr="00787196" w:rsidRDefault="00525DC8" w:rsidP="00525DC8">
      <w:pPr>
        <w:pStyle w:val="EndNoteBibliography"/>
        <w:spacing w:after="240"/>
        <w:rPr>
          <w:noProof/>
        </w:rPr>
      </w:pPr>
      <w:bookmarkStart w:id="464" w:name="_ENREF_107"/>
      <w:r w:rsidRPr="00787196">
        <w:rPr>
          <w:noProof/>
        </w:rPr>
        <w:t xml:space="preserve">EMAMI, E., ALLISON, P. J., DE GRANDMONT, P., ROMPRE, P. H. &amp; FEINE, J. S. 2010. Better oral health related quality of life: Type of prosthesis or psychological robustness? </w:t>
      </w:r>
      <w:r w:rsidRPr="00787196">
        <w:rPr>
          <w:i/>
          <w:noProof/>
        </w:rPr>
        <w:t>Journal of Dentistry,</w:t>
      </w:r>
      <w:r w:rsidRPr="00787196">
        <w:rPr>
          <w:noProof/>
        </w:rPr>
        <w:t xml:space="preserve"> 38</w:t>
      </w:r>
      <w:r w:rsidRPr="00787196">
        <w:rPr>
          <w:b/>
          <w:noProof/>
        </w:rPr>
        <w:t>,</w:t>
      </w:r>
      <w:r w:rsidRPr="00787196">
        <w:rPr>
          <w:noProof/>
        </w:rPr>
        <w:t xml:space="preserve"> 232-236.</w:t>
      </w:r>
      <w:bookmarkEnd w:id="464"/>
    </w:p>
    <w:p w14:paraId="111417A5" w14:textId="77777777" w:rsidR="00525DC8" w:rsidRPr="00787196" w:rsidRDefault="00525DC8" w:rsidP="00525DC8">
      <w:pPr>
        <w:pStyle w:val="EndNoteBibliography"/>
        <w:spacing w:after="240"/>
        <w:rPr>
          <w:noProof/>
        </w:rPr>
      </w:pPr>
      <w:bookmarkStart w:id="465" w:name="_ENREF_108"/>
      <w:r w:rsidRPr="00787196">
        <w:rPr>
          <w:noProof/>
        </w:rPr>
        <w:t xml:space="preserve">EMERSON, E. B. 1985. Evaluating the impact of deinstitutionalization on the lives of mentally retarded people. </w:t>
      </w:r>
      <w:r w:rsidRPr="00787196">
        <w:rPr>
          <w:i/>
          <w:noProof/>
        </w:rPr>
        <w:t>American Journal of Mental Deficiency</w:t>
      </w:r>
      <w:r w:rsidRPr="00787196">
        <w:rPr>
          <w:noProof/>
        </w:rPr>
        <w:t>.</w:t>
      </w:r>
      <w:bookmarkEnd w:id="465"/>
    </w:p>
    <w:p w14:paraId="6C5F85A5" w14:textId="77777777" w:rsidR="00525DC8" w:rsidRPr="00787196" w:rsidRDefault="00525DC8" w:rsidP="00525DC8">
      <w:pPr>
        <w:pStyle w:val="EndNoteBibliography"/>
        <w:spacing w:after="240"/>
        <w:rPr>
          <w:noProof/>
        </w:rPr>
      </w:pPr>
      <w:bookmarkStart w:id="466" w:name="_ENREF_109"/>
      <w:r w:rsidRPr="00787196">
        <w:rPr>
          <w:noProof/>
        </w:rPr>
        <w:t xml:space="preserve">ENDLER, N. S. &amp; PARKER, J. D. 1990. Multidimensional assessment of coping: a critical evaluation. </w:t>
      </w:r>
      <w:r w:rsidRPr="00787196">
        <w:rPr>
          <w:i/>
          <w:noProof/>
        </w:rPr>
        <w:t>Journal of personality and social psychology,</w:t>
      </w:r>
      <w:r w:rsidRPr="00787196">
        <w:rPr>
          <w:noProof/>
        </w:rPr>
        <w:t xml:space="preserve"> 58</w:t>
      </w:r>
      <w:r w:rsidRPr="00787196">
        <w:rPr>
          <w:b/>
          <w:noProof/>
        </w:rPr>
        <w:t>,</w:t>
      </w:r>
      <w:r w:rsidRPr="00787196">
        <w:rPr>
          <w:noProof/>
        </w:rPr>
        <w:t xml:space="preserve"> 844.</w:t>
      </w:r>
      <w:bookmarkEnd w:id="466"/>
    </w:p>
    <w:p w14:paraId="5734AA11" w14:textId="77777777" w:rsidR="00525DC8" w:rsidRPr="00787196" w:rsidRDefault="00525DC8" w:rsidP="00525DC8">
      <w:pPr>
        <w:pStyle w:val="EndNoteBibliography"/>
        <w:spacing w:after="240"/>
        <w:rPr>
          <w:noProof/>
        </w:rPr>
      </w:pPr>
      <w:bookmarkStart w:id="467" w:name="_ENREF_110"/>
      <w:r w:rsidRPr="00787196">
        <w:rPr>
          <w:noProof/>
        </w:rPr>
        <w:t xml:space="preserve">ENGEL, G. L. 1977. The need for a new medical model: a challenge for biomedicine. </w:t>
      </w:r>
      <w:r w:rsidRPr="00787196">
        <w:rPr>
          <w:i/>
          <w:noProof/>
        </w:rPr>
        <w:t>Science,</w:t>
      </w:r>
      <w:r w:rsidRPr="00787196">
        <w:rPr>
          <w:noProof/>
        </w:rPr>
        <w:t xml:space="preserve"> 196</w:t>
      </w:r>
      <w:r w:rsidRPr="00787196">
        <w:rPr>
          <w:b/>
          <w:noProof/>
        </w:rPr>
        <w:t>,</w:t>
      </w:r>
      <w:r w:rsidRPr="00787196">
        <w:rPr>
          <w:noProof/>
        </w:rPr>
        <w:t xml:space="preserve"> 129-136.</w:t>
      </w:r>
      <w:bookmarkEnd w:id="467"/>
    </w:p>
    <w:p w14:paraId="6B11D730" w14:textId="77777777" w:rsidR="00525DC8" w:rsidRPr="00787196" w:rsidRDefault="00525DC8" w:rsidP="00525DC8">
      <w:pPr>
        <w:pStyle w:val="EndNoteBibliography"/>
        <w:spacing w:after="240"/>
        <w:rPr>
          <w:noProof/>
        </w:rPr>
      </w:pPr>
      <w:bookmarkStart w:id="468" w:name="_ENREF_111"/>
      <w:r w:rsidRPr="00787196">
        <w:rPr>
          <w:noProof/>
        </w:rPr>
        <w:t xml:space="preserve">ENGEL, G. L. 1981. The Clinical Application of the Biopsychosocial Model. </w:t>
      </w:r>
      <w:r w:rsidRPr="00787196">
        <w:rPr>
          <w:i/>
          <w:noProof/>
        </w:rPr>
        <w:t>The Journal of Medicine and Philosophy,</w:t>
      </w:r>
      <w:r w:rsidRPr="00787196">
        <w:rPr>
          <w:noProof/>
        </w:rPr>
        <w:t xml:space="preserve"> 6 (2)</w:t>
      </w:r>
      <w:r w:rsidRPr="00787196">
        <w:rPr>
          <w:b/>
          <w:noProof/>
        </w:rPr>
        <w:t>,</w:t>
      </w:r>
      <w:r w:rsidRPr="00787196">
        <w:rPr>
          <w:noProof/>
        </w:rPr>
        <w:t xml:space="preserve"> 101-24.</w:t>
      </w:r>
      <w:bookmarkEnd w:id="468"/>
    </w:p>
    <w:p w14:paraId="18C42D8A" w14:textId="77777777" w:rsidR="00525DC8" w:rsidRPr="00787196" w:rsidRDefault="00525DC8" w:rsidP="00525DC8">
      <w:pPr>
        <w:pStyle w:val="EndNoteBibliography"/>
        <w:spacing w:after="240"/>
        <w:rPr>
          <w:noProof/>
        </w:rPr>
      </w:pPr>
      <w:bookmarkStart w:id="469" w:name="_ENREF_112"/>
      <w:r w:rsidRPr="00787196">
        <w:rPr>
          <w:noProof/>
        </w:rPr>
        <w:lastRenderedPageBreak/>
        <w:t xml:space="preserve">EVERSON, S. A., MATY, S. C., LYNCH, J. W. &amp; KAPLAN, G. A. 2002. Epidemiologic evidence for the relation between socioeconomic status and depression, obesity, and diabetes. </w:t>
      </w:r>
      <w:r w:rsidRPr="00787196">
        <w:rPr>
          <w:i/>
          <w:noProof/>
        </w:rPr>
        <w:t>Journal of Psychosomatic Research,</w:t>
      </w:r>
      <w:r w:rsidRPr="00787196">
        <w:rPr>
          <w:noProof/>
        </w:rPr>
        <w:t xml:space="preserve"> 53</w:t>
      </w:r>
      <w:r w:rsidRPr="00787196">
        <w:rPr>
          <w:b/>
          <w:noProof/>
        </w:rPr>
        <w:t>,</w:t>
      </w:r>
      <w:r w:rsidRPr="00787196">
        <w:rPr>
          <w:noProof/>
        </w:rPr>
        <w:t xml:space="preserve"> 891-895.</w:t>
      </w:r>
      <w:bookmarkEnd w:id="469"/>
    </w:p>
    <w:p w14:paraId="3618707F" w14:textId="77777777" w:rsidR="00525DC8" w:rsidRPr="00787196" w:rsidRDefault="00525DC8" w:rsidP="00525DC8">
      <w:pPr>
        <w:pStyle w:val="EndNoteBibliography"/>
        <w:spacing w:after="240"/>
        <w:rPr>
          <w:noProof/>
        </w:rPr>
      </w:pPr>
      <w:bookmarkStart w:id="470" w:name="_ENREF_113"/>
      <w:r w:rsidRPr="00787196">
        <w:rPr>
          <w:noProof/>
        </w:rPr>
        <w:t xml:space="preserve">EYLER, A. E., WILCOX, S., MATSON-KOFFMAN, D., EVENSON, K. R., SANDERSON, B., THOMPSON, J., WILBUR, J. &amp; ROHM-YOUNG, D. 2002. Correlates of physical activity among women from diverse racial/ethnic groups. </w:t>
      </w:r>
      <w:r w:rsidRPr="00787196">
        <w:rPr>
          <w:i/>
          <w:noProof/>
        </w:rPr>
        <w:t>Journal of women's health &amp; gender-based medicine,</w:t>
      </w:r>
      <w:r w:rsidRPr="00787196">
        <w:rPr>
          <w:noProof/>
        </w:rPr>
        <w:t xml:space="preserve"> 11</w:t>
      </w:r>
      <w:r w:rsidRPr="00787196">
        <w:rPr>
          <w:b/>
          <w:noProof/>
        </w:rPr>
        <w:t>,</w:t>
      </w:r>
      <w:r w:rsidRPr="00787196">
        <w:rPr>
          <w:noProof/>
        </w:rPr>
        <w:t xml:space="preserve"> 239-53.</w:t>
      </w:r>
      <w:bookmarkEnd w:id="470"/>
    </w:p>
    <w:p w14:paraId="4D2746BA" w14:textId="77777777" w:rsidR="00525DC8" w:rsidRPr="00787196" w:rsidRDefault="00525DC8" w:rsidP="00525DC8">
      <w:pPr>
        <w:pStyle w:val="EndNoteBibliography"/>
        <w:spacing w:after="240"/>
        <w:rPr>
          <w:noProof/>
        </w:rPr>
      </w:pPr>
      <w:bookmarkStart w:id="471" w:name="_ENREF_114"/>
      <w:r w:rsidRPr="00787196">
        <w:rPr>
          <w:noProof/>
        </w:rPr>
        <w:t xml:space="preserve">FAYERS, P. M. &amp; MACHIN, D. 2000. </w:t>
      </w:r>
      <w:r w:rsidRPr="00787196">
        <w:rPr>
          <w:i/>
          <w:noProof/>
        </w:rPr>
        <w:t xml:space="preserve">Quality of Life: Assessment, Analysis and Interpretation, </w:t>
      </w:r>
      <w:r w:rsidRPr="00787196">
        <w:rPr>
          <w:noProof/>
        </w:rPr>
        <w:t>Baffins Lane,Chichester, London, John Wiley &amp; Sons, Ltd.</w:t>
      </w:r>
      <w:bookmarkEnd w:id="471"/>
    </w:p>
    <w:p w14:paraId="5CEFBB29" w14:textId="77777777" w:rsidR="00525DC8" w:rsidRPr="00787196" w:rsidRDefault="00525DC8" w:rsidP="00525DC8">
      <w:pPr>
        <w:pStyle w:val="EndNoteBibliography"/>
        <w:spacing w:after="240"/>
        <w:rPr>
          <w:noProof/>
        </w:rPr>
      </w:pPr>
      <w:bookmarkStart w:id="472" w:name="_ENREF_115"/>
      <w:r w:rsidRPr="00787196">
        <w:rPr>
          <w:noProof/>
        </w:rPr>
        <w:t xml:space="preserve">FEINE, J. S. &amp; LUND, J. P. 2006. Measuring chewing ability in randomized controlled trials with edentulous populations wearing implant prostheses*. </w:t>
      </w:r>
      <w:r w:rsidRPr="00787196">
        <w:rPr>
          <w:i/>
          <w:noProof/>
        </w:rPr>
        <w:t>Journal of Oral Rehabilitation,</w:t>
      </w:r>
      <w:r w:rsidRPr="00787196">
        <w:rPr>
          <w:noProof/>
        </w:rPr>
        <w:t xml:space="preserve"> 33</w:t>
      </w:r>
      <w:r w:rsidRPr="00787196">
        <w:rPr>
          <w:b/>
          <w:noProof/>
        </w:rPr>
        <w:t>,</w:t>
      </w:r>
      <w:r w:rsidRPr="00787196">
        <w:rPr>
          <w:noProof/>
        </w:rPr>
        <w:t xml:space="preserve"> 301-308.</w:t>
      </w:r>
      <w:bookmarkEnd w:id="472"/>
    </w:p>
    <w:p w14:paraId="3D70B271" w14:textId="77777777" w:rsidR="00525DC8" w:rsidRPr="00787196" w:rsidRDefault="00525DC8" w:rsidP="00525DC8">
      <w:pPr>
        <w:pStyle w:val="EndNoteBibliography"/>
        <w:spacing w:after="240"/>
        <w:rPr>
          <w:noProof/>
        </w:rPr>
      </w:pPr>
      <w:bookmarkStart w:id="473" w:name="_ENREF_116"/>
      <w:r w:rsidRPr="00787196">
        <w:rPr>
          <w:noProof/>
        </w:rPr>
        <w:t xml:space="preserve">FEJERSKOV, O., ESCOBAR, G., JOSSING, M. &amp; BAELUM, V. 2013. A functional natural dentition for all--and for life? The oral healthcare system needs revision. </w:t>
      </w:r>
      <w:r w:rsidRPr="00787196">
        <w:rPr>
          <w:i/>
          <w:noProof/>
        </w:rPr>
        <w:t>J Oral Rehabil,</w:t>
      </w:r>
      <w:r w:rsidRPr="00787196">
        <w:rPr>
          <w:noProof/>
        </w:rPr>
        <w:t xml:space="preserve"> 40</w:t>
      </w:r>
      <w:r w:rsidRPr="00787196">
        <w:rPr>
          <w:b/>
          <w:noProof/>
        </w:rPr>
        <w:t>,</w:t>
      </w:r>
      <w:r w:rsidRPr="00787196">
        <w:rPr>
          <w:noProof/>
        </w:rPr>
        <w:t xml:space="preserve"> 707-22.</w:t>
      </w:r>
      <w:bookmarkEnd w:id="473"/>
    </w:p>
    <w:p w14:paraId="3C5BE4FD" w14:textId="77777777" w:rsidR="00525DC8" w:rsidRPr="00787196" w:rsidRDefault="00525DC8" w:rsidP="00525DC8">
      <w:pPr>
        <w:pStyle w:val="EndNoteBibliography"/>
        <w:spacing w:after="240"/>
        <w:rPr>
          <w:noProof/>
        </w:rPr>
      </w:pPr>
      <w:bookmarkStart w:id="474" w:name="_ENREF_117"/>
      <w:r w:rsidRPr="00787196">
        <w:rPr>
          <w:noProof/>
        </w:rPr>
        <w:t xml:space="preserve">FELCE, D. &amp; PERRY, J. 1995. Quality of life: Its definition and measurement. </w:t>
      </w:r>
      <w:r w:rsidRPr="00787196">
        <w:rPr>
          <w:i/>
          <w:noProof/>
        </w:rPr>
        <w:t>Research in Developmental Disabilities,</w:t>
      </w:r>
      <w:r w:rsidRPr="00787196">
        <w:rPr>
          <w:noProof/>
        </w:rPr>
        <w:t xml:space="preserve"> 16</w:t>
      </w:r>
      <w:r w:rsidRPr="00787196">
        <w:rPr>
          <w:b/>
          <w:noProof/>
        </w:rPr>
        <w:t>,</w:t>
      </w:r>
      <w:r w:rsidRPr="00787196">
        <w:rPr>
          <w:noProof/>
        </w:rPr>
        <w:t xml:space="preserve"> 51-74.</w:t>
      </w:r>
      <w:bookmarkEnd w:id="474"/>
    </w:p>
    <w:p w14:paraId="5C291C61" w14:textId="77777777" w:rsidR="00525DC8" w:rsidRPr="00787196" w:rsidRDefault="00525DC8" w:rsidP="00525DC8">
      <w:pPr>
        <w:pStyle w:val="EndNoteBibliography"/>
        <w:spacing w:after="240"/>
        <w:rPr>
          <w:noProof/>
        </w:rPr>
      </w:pPr>
      <w:bookmarkStart w:id="475" w:name="_ENREF_118"/>
      <w:r w:rsidRPr="00787196">
        <w:rPr>
          <w:noProof/>
        </w:rPr>
        <w:t xml:space="preserve">FENLON, M. R. &amp; SHERRIFF, M. 1999. Operator agreement in the use of a descriptive index of complete denture quality. </w:t>
      </w:r>
      <w:r w:rsidRPr="00787196">
        <w:rPr>
          <w:i/>
          <w:noProof/>
        </w:rPr>
        <w:t>Journal of the Irish Dental Association,</w:t>
      </w:r>
      <w:r w:rsidRPr="00787196">
        <w:rPr>
          <w:noProof/>
        </w:rPr>
        <w:t xml:space="preserve"> 45</w:t>
      </w:r>
      <w:r w:rsidRPr="00787196">
        <w:rPr>
          <w:b/>
          <w:noProof/>
        </w:rPr>
        <w:t>,</w:t>
      </w:r>
      <w:r w:rsidRPr="00787196">
        <w:rPr>
          <w:noProof/>
        </w:rPr>
        <w:t xml:space="preserve"> 115-118.</w:t>
      </w:r>
      <w:bookmarkEnd w:id="475"/>
    </w:p>
    <w:p w14:paraId="6FA9AB08" w14:textId="77777777" w:rsidR="00525DC8" w:rsidRPr="00787196" w:rsidRDefault="00525DC8" w:rsidP="00525DC8">
      <w:pPr>
        <w:pStyle w:val="EndNoteBibliography"/>
        <w:spacing w:after="240"/>
        <w:rPr>
          <w:noProof/>
        </w:rPr>
      </w:pPr>
      <w:bookmarkStart w:id="476" w:name="_ENREF_119"/>
      <w:r w:rsidRPr="00787196">
        <w:rPr>
          <w:noProof/>
        </w:rPr>
        <w:t xml:space="preserve">FENLON, M. R. &amp; SHERRIFF, M. 2004. Investigation of new complete denture quality and patients' satisfaction with and use of dentures after two years. </w:t>
      </w:r>
      <w:r w:rsidRPr="00787196">
        <w:rPr>
          <w:i/>
          <w:noProof/>
        </w:rPr>
        <w:t>Journal of Dentistry,</w:t>
      </w:r>
      <w:r w:rsidRPr="00787196">
        <w:rPr>
          <w:noProof/>
        </w:rPr>
        <w:t xml:space="preserve"> 32</w:t>
      </w:r>
      <w:r w:rsidRPr="00787196">
        <w:rPr>
          <w:b/>
          <w:noProof/>
        </w:rPr>
        <w:t>,</w:t>
      </w:r>
      <w:r w:rsidRPr="00787196">
        <w:rPr>
          <w:noProof/>
        </w:rPr>
        <w:t xml:space="preserve"> 327-333.</w:t>
      </w:r>
      <w:bookmarkEnd w:id="476"/>
    </w:p>
    <w:p w14:paraId="0DF8BCF3" w14:textId="77777777" w:rsidR="00525DC8" w:rsidRPr="00787196" w:rsidRDefault="00525DC8" w:rsidP="00525DC8">
      <w:pPr>
        <w:pStyle w:val="EndNoteBibliography"/>
        <w:spacing w:after="240"/>
        <w:rPr>
          <w:noProof/>
        </w:rPr>
      </w:pPr>
      <w:bookmarkStart w:id="477" w:name="_ENREF_120"/>
      <w:r w:rsidRPr="00787196">
        <w:rPr>
          <w:noProof/>
        </w:rPr>
        <w:t xml:space="preserve">FENLON, M. R. &amp; SHERRIFF, M. 2008. An investigation of factors influencing patients’ satisfaction with new complete dentures using structural equation modelling. </w:t>
      </w:r>
      <w:r w:rsidRPr="00787196">
        <w:rPr>
          <w:i/>
          <w:noProof/>
        </w:rPr>
        <w:t>Journal of Dentistry,</w:t>
      </w:r>
      <w:r w:rsidRPr="00787196">
        <w:rPr>
          <w:noProof/>
        </w:rPr>
        <w:t xml:space="preserve"> 36</w:t>
      </w:r>
      <w:r w:rsidRPr="00787196">
        <w:rPr>
          <w:b/>
          <w:noProof/>
        </w:rPr>
        <w:t>,</w:t>
      </w:r>
      <w:r w:rsidRPr="00787196">
        <w:rPr>
          <w:noProof/>
        </w:rPr>
        <w:t xml:space="preserve"> 427-434.</w:t>
      </w:r>
      <w:bookmarkEnd w:id="477"/>
    </w:p>
    <w:p w14:paraId="3F67DA7C" w14:textId="77777777" w:rsidR="00525DC8" w:rsidRPr="00787196" w:rsidRDefault="00525DC8" w:rsidP="00525DC8">
      <w:pPr>
        <w:pStyle w:val="EndNoteBibliography"/>
        <w:spacing w:after="240"/>
        <w:rPr>
          <w:noProof/>
        </w:rPr>
      </w:pPr>
      <w:bookmarkStart w:id="478" w:name="_ENREF_121"/>
      <w:r w:rsidRPr="00787196">
        <w:rPr>
          <w:noProof/>
        </w:rPr>
        <w:t xml:space="preserve">FENLON, M. R., SHERRIFF, M. &amp; NEWTON, J. T. 2007. The influence of personality on patients’ satisfaction with existing and new complete dentures. </w:t>
      </w:r>
      <w:r w:rsidRPr="00787196">
        <w:rPr>
          <w:i/>
          <w:noProof/>
        </w:rPr>
        <w:t>Journal of dentistry,</w:t>
      </w:r>
      <w:r w:rsidRPr="00787196">
        <w:rPr>
          <w:noProof/>
        </w:rPr>
        <w:t xml:space="preserve"> 35</w:t>
      </w:r>
      <w:r w:rsidRPr="00787196">
        <w:rPr>
          <w:b/>
          <w:noProof/>
        </w:rPr>
        <w:t>,</w:t>
      </w:r>
      <w:r w:rsidRPr="00787196">
        <w:rPr>
          <w:noProof/>
        </w:rPr>
        <w:t xml:space="preserve"> 744-748.</w:t>
      </w:r>
      <w:bookmarkEnd w:id="478"/>
    </w:p>
    <w:p w14:paraId="37D1F403" w14:textId="77777777" w:rsidR="00525DC8" w:rsidRPr="00787196" w:rsidRDefault="00525DC8" w:rsidP="00525DC8">
      <w:pPr>
        <w:pStyle w:val="EndNoteBibliography"/>
        <w:spacing w:after="240"/>
        <w:rPr>
          <w:noProof/>
        </w:rPr>
      </w:pPr>
      <w:bookmarkStart w:id="479" w:name="_ENREF_122"/>
      <w:r w:rsidRPr="00787196">
        <w:rPr>
          <w:noProof/>
        </w:rPr>
        <w:lastRenderedPageBreak/>
        <w:t xml:space="preserve">FENLON, M. R., SHERRIFF, M. &amp; WALTER, J. D. 1999. Association between the accuracy of intermaxillary relations and complete denture usage. </w:t>
      </w:r>
      <w:r w:rsidRPr="00787196">
        <w:rPr>
          <w:i/>
          <w:noProof/>
        </w:rPr>
        <w:t>The Journal of prosthetic dentistry,</w:t>
      </w:r>
      <w:r w:rsidRPr="00787196">
        <w:rPr>
          <w:noProof/>
        </w:rPr>
        <w:t xml:space="preserve"> 81</w:t>
      </w:r>
      <w:r w:rsidRPr="00787196">
        <w:rPr>
          <w:b/>
          <w:noProof/>
        </w:rPr>
        <w:t>,</w:t>
      </w:r>
      <w:r w:rsidRPr="00787196">
        <w:rPr>
          <w:noProof/>
        </w:rPr>
        <w:t xml:space="preserve"> 520-525.</w:t>
      </w:r>
      <w:bookmarkEnd w:id="479"/>
    </w:p>
    <w:p w14:paraId="2895A6C9" w14:textId="77777777" w:rsidR="00525DC8" w:rsidRPr="00787196" w:rsidRDefault="00525DC8" w:rsidP="00525DC8">
      <w:pPr>
        <w:pStyle w:val="EndNoteBibliography"/>
        <w:spacing w:after="240"/>
        <w:rPr>
          <w:noProof/>
        </w:rPr>
      </w:pPr>
      <w:bookmarkStart w:id="480" w:name="_ENREF_123"/>
      <w:r w:rsidRPr="00787196">
        <w:rPr>
          <w:noProof/>
        </w:rPr>
        <w:t xml:space="preserve">FINSET, A. &amp; ANDERSSON, S. 2000. Coping strategies in patients with acquired brain injury: relationships between coping, apathy, depression and lesion location. </w:t>
      </w:r>
      <w:r w:rsidRPr="00787196">
        <w:rPr>
          <w:i/>
          <w:noProof/>
        </w:rPr>
        <w:t>Brain Injury,</w:t>
      </w:r>
      <w:r w:rsidRPr="00787196">
        <w:rPr>
          <w:noProof/>
        </w:rPr>
        <w:t xml:space="preserve"> 14 (10)</w:t>
      </w:r>
      <w:r w:rsidRPr="00787196">
        <w:rPr>
          <w:b/>
          <w:noProof/>
        </w:rPr>
        <w:t>,</w:t>
      </w:r>
      <w:r w:rsidRPr="00787196">
        <w:rPr>
          <w:noProof/>
        </w:rPr>
        <w:t xml:space="preserve"> 887-905.</w:t>
      </w:r>
      <w:bookmarkEnd w:id="480"/>
    </w:p>
    <w:p w14:paraId="225763CB" w14:textId="77777777" w:rsidR="00525DC8" w:rsidRPr="00787196" w:rsidRDefault="00525DC8" w:rsidP="00525DC8">
      <w:pPr>
        <w:pStyle w:val="EndNoteBibliography"/>
        <w:spacing w:after="240"/>
        <w:rPr>
          <w:noProof/>
        </w:rPr>
      </w:pPr>
      <w:bookmarkStart w:id="481" w:name="_ENREF_124"/>
      <w:r w:rsidRPr="00787196">
        <w:rPr>
          <w:noProof/>
        </w:rPr>
        <w:t xml:space="preserve">FIRTELL, D. N. &amp; KOUMJIAN, J. H. 1992. Mandibular complete denture impressions with fluid wax or polysulfide rubber: A comparative study. </w:t>
      </w:r>
      <w:r w:rsidRPr="00787196">
        <w:rPr>
          <w:i/>
          <w:noProof/>
        </w:rPr>
        <w:t>The Journal of Prosthetic Dentistry,</w:t>
      </w:r>
      <w:r w:rsidRPr="00787196">
        <w:rPr>
          <w:noProof/>
        </w:rPr>
        <w:t xml:space="preserve"> 67</w:t>
      </w:r>
      <w:r w:rsidRPr="00787196">
        <w:rPr>
          <w:b/>
          <w:noProof/>
        </w:rPr>
        <w:t>,</w:t>
      </w:r>
      <w:r w:rsidRPr="00787196">
        <w:rPr>
          <w:noProof/>
        </w:rPr>
        <w:t xml:space="preserve"> 801-804.</w:t>
      </w:r>
      <w:bookmarkEnd w:id="481"/>
    </w:p>
    <w:p w14:paraId="398029B2" w14:textId="77777777" w:rsidR="00525DC8" w:rsidRPr="00787196" w:rsidRDefault="00525DC8" w:rsidP="00525DC8">
      <w:pPr>
        <w:pStyle w:val="EndNoteBibliography"/>
        <w:spacing w:after="240"/>
        <w:rPr>
          <w:noProof/>
        </w:rPr>
      </w:pPr>
      <w:bookmarkStart w:id="482" w:name="_ENREF_125"/>
      <w:r w:rsidRPr="00787196">
        <w:rPr>
          <w:noProof/>
        </w:rPr>
        <w:t xml:space="preserve">FISKE, J., DAVIS, D. M., FRANCES, C. &amp; GELBIER, S. 1998. The emotional effects of tooth loss in edentulous people. </w:t>
      </w:r>
      <w:r w:rsidRPr="00787196">
        <w:rPr>
          <w:i/>
          <w:noProof/>
        </w:rPr>
        <w:t>British Dental Journal,</w:t>
      </w:r>
      <w:r w:rsidRPr="00787196">
        <w:rPr>
          <w:noProof/>
        </w:rPr>
        <w:t xml:space="preserve"> 184</w:t>
      </w:r>
      <w:r w:rsidRPr="00787196">
        <w:rPr>
          <w:b/>
          <w:noProof/>
        </w:rPr>
        <w:t>,</w:t>
      </w:r>
      <w:r w:rsidRPr="00787196">
        <w:rPr>
          <w:noProof/>
        </w:rPr>
        <w:t xml:space="preserve"> 4.</w:t>
      </w:r>
      <w:bookmarkEnd w:id="482"/>
    </w:p>
    <w:p w14:paraId="26741AB5" w14:textId="77777777" w:rsidR="00525DC8" w:rsidRPr="00787196" w:rsidRDefault="00525DC8" w:rsidP="00525DC8">
      <w:pPr>
        <w:pStyle w:val="EndNoteBibliography"/>
        <w:spacing w:after="240"/>
        <w:rPr>
          <w:noProof/>
        </w:rPr>
      </w:pPr>
      <w:bookmarkStart w:id="483" w:name="_ENREF_126"/>
      <w:r w:rsidRPr="00787196">
        <w:rPr>
          <w:noProof/>
        </w:rPr>
        <w:t xml:space="preserve">FISKE, J., DAVIS, D. M., LEUNG, K. C. M., MCMILLAN, A. S. &amp; SCOTT, B. J. J. 2001. The emotional effects of tooth loss in partially dentate people attending prosthodontic clinics in dental schools in England, Scotland and Hong Kong: A preliminary investigation. </w:t>
      </w:r>
      <w:r w:rsidRPr="00787196">
        <w:rPr>
          <w:i/>
          <w:noProof/>
        </w:rPr>
        <w:t>International Dental Journal,</w:t>
      </w:r>
      <w:r w:rsidRPr="00787196">
        <w:rPr>
          <w:noProof/>
        </w:rPr>
        <w:t xml:space="preserve"> 51</w:t>
      </w:r>
      <w:r w:rsidRPr="00787196">
        <w:rPr>
          <w:b/>
          <w:noProof/>
        </w:rPr>
        <w:t>,</w:t>
      </w:r>
      <w:r w:rsidRPr="00787196">
        <w:rPr>
          <w:noProof/>
        </w:rPr>
        <w:t xml:space="preserve"> 457-462.</w:t>
      </w:r>
      <w:bookmarkEnd w:id="483"/>
    </w:p>
    <w:p w14:paraId="32FFBA2A" w14:textId="77777777" w:rsidR="00525DC8" w:rsidRPr="00787196" w:rsidRDefault="00525DC8" w:rsidP="00525DC8">
      <w:pPr>
        <w:pStyle w:val="EndNoteBibliography"/>
        <w:spacing w:after="240"/>
        <w:rPr>
          <w:noProof/>
        </w:rPr>
      </w:pPr>
      <w:bookmarkStart w:id="484" w:name="_ENREF_127"/>
      <w:r w:rsidRPr="00787196">
        <w:rPr>
          <w:noProof/>
        </w:rPr>
        <w:t xml:space="preserve">FITZPATRICK, R., FLETCHER, A., GORE, S., JONES, D., SPIEGELHALTER, D. &amp; COX, D. 1992. Quality of life measures in health care. I: Applications and issues in assessment. </w:t>
      </w:r>
      <w:r w:rsidRPr="00787196">
        <w:rPr>
          <w:i/>
          <w:noProof/>
        </w:rPr>
        <w:t>BMJ,</w:t>
      </w:r>
      <w:r w:rsidRPr="00787196">
        <w:rPr>
          <w:noProof/>
        </w:rPr>
        <w:t xml:space="preserve"> 305</w:t>
      </w:r>
      <w:r w:rsidRPr="00787196">
        <w:rPr>
          <w:b/>
          <w:noProof/>
        </w:rPr>
        <w:t>,</w:t>
      </w:r>
      <w:r w:rsidRPr="00787196">
        <w:rPr>
          <w:noProof/>
        </w:rPr>
        <w:t xml:space="preserve"> 1074-1077.</w:t>
      </w:r>
      <w:bookmarkEnd w:id="484"/>
    </w:p>
    <w:p w14:paraId="4C785D02" w14:textId="77777777" w:rsidR="00525DC8" w:rsidRPr="00787196" w:rsidRDefault="00525DC8" w:rsidP="00525DC8">
      <w:pPr>
        <w:pStyle w:val="EndNoteBibliography"/>
        <w:spacing w:after="240"/>
        <w:rPr>
          <w:noProof/>
        </w:rPr>
      </w:pPr>
      <w:bookmarkStart w:id="485" w:name="_ENREF_128"/>
      <w:r w:rsidRPr="00787196">
        <w:rPr>
          <w:noProof/>
        </w:rPr>
        <w:t xml:space="preserve">FLOYD, F. J. &amp; WIDAMAN, K. F. 1995. Factor analysis in the development and refinement of clinical assessment instruments. </w:t>
      </w:r>
      <w:r w:rsidRPr="00787196">
        <w:rPr>
          <w:i/>
          <w:noProof/>
        </w:rPr>
        <w:t>Psychological assessment,</w:t>
      </w:r>
      <w:r w:rsidRPr="00787196">
        <w:rPr>
          <w:noProof/>
        </w:rPr>
        <w:t xml:space="preserve"> 7</w:t>
      </w:r>
      <w:r w:rsidRPr="00787196">
        <w:rPr>
          <w:b/>
          <w:noProof/>
        </w:rPr>
        <w:t>,</w:t>
      </w:r>
      <w:r w:rsidRPr="00787196">
        <w:rPr>
          <w:noProof/>
        </w:rPr>
        <w:t xml:space="preserve"> 286-299.</w:t>
      </w:r>
      <w:bookmarkEnd w:id="485"/>
    </w:p>
    <w:p w14:paraId="09F7E841" w14:textId="77777777" w:rsidR="00525DC8" w:rsidRPr="00787196" w:rsidRDefault="00525DC8" w:rsidP="00525DC8">
      <w:pPr>
        <w:pStyle w:val="EndNoteBibliography"/>
        <w:spacing w:after="240"/>
        <w:rPr>
          <w:noProof/>
        </w:rPr>
      </w:pPr>
      <w:bookmarkStart w:id="486" w:name="_ENREF_129"/>
      <w:r w:rsidRPr="00787196">
        <w:rPr>
          <w:noProof/>
        </w:rPr>
        <w:t xml:space="preserve">FOGEL, J. 2004. Internet breast health information use and coping among women with breast cancer. </w:t>
      </w:r>
      <w:r w:rsidRPr="00787196">
        <w:rPr>
          <w:i/>
          <w:noProof/>
        </w:rPr>
        <w:t>CyberPsychology &amp; Behavior,</w:t>
      </w:r>
      <w:r w:rsidRPr="00787196">
        <w:rPr>
          <w:noProof/>
        </w:rPr>
        <w:t xml:space="preserve"> 7</w:t>
      </w:r>
      <w:r w:rsidRPr="00787196">
        <w:rPr>
          <w:b/>
          <w:noProof/>
        </w:rPr>
        <w:t>,</w:t>
      </w:r>
      <w:r w:rsidRPr="00787196">
        <w:rPr>
          <w:noProof/>
        </w:rPr>
        <w:t xml:space="preserve"> 59-63.</w:t>
      </w:r>
      <w:bookmarkEnd w:id="486"/>
    </w:p>
    <w:p w14:paraId="3C2373E9" w14:textId="77777777" w:rsidR="00525DC8" w:rsidRPr="00787196" w:rsidRDefault="00525DC8" w:rsidP="00525DC8">
      <w:pPr>
        <w:pStyle w:val="EndNoteBibliography"/>
        <w:spacing w:after="240"/>
        <w:rPr>
          <w:noProof/>
        </w:rPr>
      </w:pPr>
      <w:bookmarkStart w:id="487" w:name="_ENREF_130"/>
      <w:r w:rsidRPr="00787196">
        <w:rPr>
          <w:noProof/>
        </w:rPr>
        <w:t xml:space="preserve">FOLKMAN, S. &amp; LAZARUS, R. S. 1980. An analysis of coping in a middle-aged community sample. </w:t>
      </w:r>
      <w:r w:rsidRPr="00787196">
        <w:rPr>
          <w:i/>
          <w:noProof/>
        </w:rPr>
        <w:t>Journal of health and social behavior</w:t>
      </w:r>
      <w:r w:rsidRPr="00787196">
        <w:rPr>
          <w:b/>
          <w:noProof/>
        </w:rPr>
        <w:t>,</w:t>
      </w:r>
      <w:r w:rsidRPr="00787196">
        <w:rPr>
          <w:noProof/>
        </w:rPr>
        <w:t xml:space="preserve"> 219-239.</w:t>
      </w:r>
      <w:bookmarkEnd w:id="487"/>
    </w:p>
    <w:p w14:paraId="02BA1E62" w14:textId="77777777" w:rsidR="00525DC8" w:rsidRPr="00787196" w:rsidRDefault="00525DC8" w:rsidP="00525DC8">
      <w:pPr>
        <w:pStyle w:val="EndNoteBibliography"/>
        <w:spacing w:after="240"/>
        <w:rPr>
          <w:noProof/>
        </w:rPr>
      </w:pPr>
      <w:bookmarkStart w:id="488" w:name="_ENREF_131"/>
      <w:r w:rsidRPr="00787196">
        <w:rPr>
          <w:noProof/>
        </w:rPr>
        <w:t xml:space="preserve">FORGIE, A. H., SCOTT, B. J. &amp; DAVIS, D. M. 2005. A study to compare the oral health impact profile and satisfaction before and after having replacement complete dentures in England and Scotland. </w:t>
      </w:r>
      <w:r w:rsidRPr="00787196">
        <w:rPr>
          <w:i/>
          <w:noProof/>
        </w:rPr>
        <w:t>Gerodontology,</w:t>
      </w:r>
      <w:r w:rsidRPr="00787196">
        <w:rPr>
          <w:noProof/>
        </w:rPr>
        <w:t xml:space="preserve"> 22</w:t>
      </w:r>
      <w:r w:rsidRPr="00787196">
        <w:rPr>
          <w:b/>
          <w:noProof/>
        </w:rPr>
        <w:t>,</w:t>
      </w:r>
      <w:r w:rsidRPr="00787196">
        <w:rPr>
          <w:noProof/>
        </w:rPr>
        <w:t xml:space="preserve"> 137-42.</w:t>
      </w:r>
      <w:bookmarkEnd w:id="488"/>
    </w:p>
    <w:p w14:paraId="79696939" w14:textId="77777777" w:rsidR="00525DC8" w:rsidRPr="00787196" w:rsidRDefault="00525DC8" w:rsidP="00525DC8">
      <w:pPr>
        <w:pStyle w:val="EndNoteBibliography"/>
        <w:spacing w:after="240"/>
        <w:rPr>
          <w:noProof/>
        </w:rPr>
      </w:pPr>
      <w:bookmarkStart w:id="489" w:name="_ENREF_132"/>
      <w:r w:rsidRPr="00787196">
        <w:rPr>
          <w:noProof/>
        </w:rPr>
        <w:t xml:space="preserve">FRANK, A., AUSLANDER, G. K. &amp; WEISSGARTEN, J. 2004. Quality of Life of Patients with End-Stage Renal Disease at Various Stages of the Illness. </w:t>
      </w:r>
      <w:r w:rsidRPr="00787196">
        <w:rPr>
          <w:i/>
          <w:noProof/>
        </w:rPr>
        <w:t>Social Work in Health Care,</w:t>
      </w:r>
      <w:r w:rsidRPr="00787196">
        <w:rPr>
          <w:noProof/>
        </w:rPr>
        <w:t xml:space="preserve"> 38</w:t>
      </w:r>
      <w:r w:rsidRPr="00787196">
        <w:rPr>
          <w:b/>
          <w:noProof/>
        </w:rPr>
        <w:t>,</w:t>
      </w:r>
      <w:r w:rsidRPr="00787196">
        <w:rPr>
          <w:noProof/>
        </w:rPr>
        <w:t xml:space="preserve"> 1-27.</w:t>
      </w:r>
      <w:bookmarkEnd w:id="489"/>
    </w:p>
    <w:p w14:paraId="213795DC" w14:textId="77777777" w:rsidR="00525DC8" w:rsidRPr="00787196" w:rsidRDefault="00525DC8" w:rsidP="00525DC8">
      <w:pPr>
        <w:pStyle w:val="EndNoteBibliography"/>
        <w:spacing w:after="240"/>
        <w:rPr>
          <w:noProof/>
        </w:rPr>
      </w:pPr>
      <w:bookmarkStart w:id="490" w:name="_ENREF_133"/>
      <w:r w:rsidRPr="00787196">
        <w:rPr>
          <w:noProof/>
        </w:rPr>
        <w:lastRenderedPageBreak/>
        <w:t xml:space="preserve">FRANZINI, L. &amp; FERNANDEZ-ESQUER, M. E. 2006. The association of subjective social status and health in low-income Mexican-origin individuals in Texas. </w:t>
      </w:r>
      <w:r w:rsidRPr="00787196">
        <w:rPr>
          <w:i/>
          <w:noProof/>
        </w:rPr>
        <w:t>Soc Sci Med,</w:t>
      </w:r>
      <w:r w:rsidRPr="00787196">
        <w:rPr>
          <w:noProof/>
        </w:rPr>
        <w:t xml:space="preserve"> 63</w:t>
      </w:r>
      <w:r w:rsidRPr="00787196">
        <w:rPr>
          <w:b/>
          <w:noProof/>
        </w:rPr>
        <w:t>,</w:t>
      </w:r>
      <w:r w:rsidRPr="00787196">
        <w:rPr>
          <w:noProof/>
        </w:rPr>
        <w:t xml:space="preserve"> 788-804.</w:t>
      </w:r>
      <w:bookmarkEnd w:id="490"/>
    </w:p>
    <w:p w14:paraId="7702EABF" w14:textId="77777777" w:rsidR="00525DC8" w:rsidRPr="00787196" w:rsidRDefault="00525DC8" w:rsidP="00525DC8">
      <w:pPr>
        <w:pStyle w:val="EndNoteBibliography"/>
        <w:spacing w:after="240"/>
        <w:rPr>
          <w:noProof/>
        </w:rPr>
      </w:pPr>
      <w:bookmarkStart w:id="491" w:name="_ENREF_134"/>
      <w:r w:rsidRPr="00787196">
        <w:rPr>
          <w:noProof/>
        </w:rPr>
        <w:t xml:space="preserve">FUJISHIRO, K., XU, J. &amp; GONG, F. 2010. What does “occupation”  represent as an indicator of socioeconomic status?: Exploring occupational prestige and health. </w:t>
      </w:r>
      <w:r w:rsidRPr="00787196">
        <w:rPr>
          <w:i/>
          <w:noProof/>
        </w:rPr>
        <w:t>Social Science &amp;amp; Medicine,</w:t>
      </w:r>
      <w:r w:rsidRPr="00787196">
        <w:rPr>
          <w:noProof/>
        </w:rPr>
        <w:t xml:space="preserve"> 71</w:t>
      </w:r>
      <w:r w:rsidRPr="00787196">
        <w:rPr>
          <w:b/>
          <w:noProof/>
        </w:rPr>
        <w:t>,</w:t>
      </w:r>
      <w:r w:rsidRPr="00787196">
        <w:rPr>
          <w:noProof/>
        </w:rPr>
        <w:t xml:space="preserve"> 2100-2107.</w:t>
      </w:r>
      <w:bookmarkEnd w:id="491"/>
    </w:p>
    <w:p w14:paraId="2046CCB9" w14:textId="77777777" w:rsidR="00525DC8" w:rsidRPr="00787196" w:rsidRDefault="00525DC8" w:rsidP="00525DC8">
      <w:pPr>
        <w:pStyle w:val="EndNoteBibliography"/>
        <w:spacing w:after="240"/>
        <w:rPr>
          <w:noProof/>
        </w:rPr>
      </w:pPr>
      <w:bookmarkStart w:id="492" w:name="_ENREF_135"/>
      <w:r w:rsidRPr="00787196">
        <w:rPr>
          <w:noProof/>
        </w:rPr>
        <w:t>FUNKENSTEIN, D. H., KING, S. H. &amp; DROLETTE, M. E. 1957. Mastery of stress.</w:t>
      </w:r>
      <w:bookmarkEnd w:id="492"/>
    </w:p>
    <w:p w14:paraId="4C9CCA61" w14:textId="77777777" w:rsidR="00525DC8" w:rsidRPr="00787196" w:rsidRDefault="00525DC8" w:rsidP="00525DC8">
      <w:pPr>
        <w:pStyle w:val="EndNoteBibliography"/>
        <w:spacing w:after="240"/>
        <w:rPr>
          <w:noProof/>
        </w:rPr>
      </w:pPr>
      <w:bookmarkStart w:id="493" w:name="_ENREF_136"/>
      <w:r w:rsidRPr="00787196">
        <w:rPr>
          <w:noProof/>
        </w:rPr>
        <w:t xml:space="preserve">FURUYAMA, C., TAKABA, M., INUKAI, M., MULLIGAN, R., IGARASHI, Y. &amp; BABA, K. 2012. Oral health-related quality of life in patients treated by implant-supported fixed dentures and removable partial dentures. </w:t>
      </w:r>
      <w:r w:rsidRPr="00787196">
        <w:rPr>
          <w:i/>
          <w:noProof/>
        </w:rPr>
        <w:t>Clin Oral Implants Res,</w:t>
      </w:r>
      <w:r w:rsidRPr="00787196">
        <w:rPr>
          <w:noProof/>
        </w:rPr>
        <w:t xml:space="preserve"> 23</w:t>
      </w:r>
      <w:r w:rsidRPr="00787196">
        <w:rPr>
          <w:b/>
          <w:noProof/>
        </w:rPr>
        <w:t>,</w:t>
      </w:r>
      <w:r w:rsidRPr="00787196">
        <w:rPr>
          <w:noProof/>
        </w:rPr>
        <w:t xml:space="preserve"> 958-62.</w:t>
      </w:r>
      <w:bookmarkEnd w:id="493"/>
    </w:p>
    <w:p w14:paraId="1B54272D" w14:textId="77777777" w:rsidR="00525DC8" w:rsidRPr="00787196" w:rsidRDefault="00525DC8" w:rsidP="00525DC8">
      <w:pPr>
        <w:pStyle w:val="EndNoteBibliography"/>
        <w:spacing w:after="240"/>
        <w:rPr>
          <w:noProof/>
        </w:rPr>
      </w:pPr>
      <w:bookmarkStart w:id="494" w:name="_ENREF_137"/>
      <w:r w:rsidRPr="00787196">
        <w:rPr>
          <w:noProof/>
        </w:rPr>
        <w:t xml:space="preserve">GADE, S., CHARI, S. &amp; GUPTA, M. 2014. Perceived stress among medical students: To identify its sources and coping strategies. </w:t>
      </w:r>
      <w:r w:rsidRPr="00787196">
        <w:rPr>
          <w:i/>
          <w:noProof/>
        </w:rPr>
        <w:t>Archives of Medicine and Health Sciences,</w:t>
      </w:r>
      <w:r w:rsidRPr="00787196">
        <w:rPr>
          <w:noProof/>
        </w:rPr>
        <w:t xml:space="preserve"> 2</w:t>
      </w:r>
      <w:r w:rsidRPr="00787196">
        <w:rPr>
          <w:b/>
          <w:noProof/>
        </w:rPr>
        <w:t>,</w:t>
      </w:r>
      <w:r w:rsidRPr="00787196">
        <w:rPr>
          <w:noProof/>
        </w:rPr>
        <w:t xml:space="preserve"> 80.</w:t>
      </w:r>
      <w:bookmarkEnd w:id="494"/>
    </w:p>
    <w:p w14:paraId="084AD877" w14:textId="77777777" w:rsidR="00525DC8" w:rsidRPr="00787196" w:rsidRDefault="00525DC8" w:rsidP="00525DC8">
      <w:pPr>
        <w:pStyle w:val="EndNoteBibliography"/>
        <w:spacing w:after="240"/>
        <w:rPr>
          <w:noProof/>
        </w:rPr>
      </w:pPr>
      <w:bookmarkStart w:id="495" w:name="_ENREF_138"/>
      <w:r w:rsidRPr="00787196">
        <w:rPr>
          <w:noProof/>
        </w:rPr>
        <w:t xml:space="preserve">GARNEFSKI, N., LEGERSTEE, J., KRAAIJ, V., VAN DEN KOMMER, T. &amp; TEERDS, J. A. N. 2002. Cognitive coping strategies and symptoms of depression and anxiety: A comparison between adolescents and adults. </w:t>
      </w:r>
      <w:r w:rsidRPr="00787196">
        <w:rPr>
          <w:i/>
          <w:noProof/>
        </w:rPr>
        <w:t>Journal of adolescence,</w:t>
      </w:r>
      <w:r w:rsidRPr="00787196">
        <w:rPr>
          <w:noProof/>
        </w:rPr>
        <w:t xml:space="preserve"> 25</w:t>
      </w:r>
      <w:r w:rsidRPr="00787196">
        <w:rPr>
          <w:b/>
          <w:noProof/>
        </w:rPr>
        <w:t>,</w:t>
      </w:r>
      <w:r w:rsidRPr="00787196">
        <w:rPr>
          <w:noProof/>
        </w:rPr>
        <w:t xml:space="preserve"> 603-611.</w:t>
      </w:r>
      <w:bookmarkEnd w:id="495"/>
    </w:p>
    <w:p w14:paraId="3DBD71D7" w14:textId="77777777" w:rsidR="00525DC8" w:rsidRPr="00787196" w:rsidRDefault="00525DC8" w:rsidP="00525DC8">
      <w:pPr>
        <w:pStyle w:val="EndNoteBibliography"/>
        <w:spacing w:after="240"/>
        <w:rPr>
          <w:noProof/>
        </w:rPr>
      </w:pPr>
      <w:bookmarkStart w:id="496" w:name="_ENREF_139"/>
      <w:r w:rsidRPr="00787196">
        <w:rPr>
          <w:noProof/>
        </w:rPr>
        <w:t xml:space="preserve">GARRETT, N. R., KAPUR, K. K. &amp; PEREZ, P. 1996. Effects of improvements of poorly fitting dentures and new dentures on patient satisfaction. </w:t>
      </w:r>
      <w:r w:rsidRPr="00787196">
        <w:rPr>
          <w:i/>
          <w:noProof/>
        </w:rPr>
        <w:t>The Journal of Prosthetic Dentistry,</w:t>
      </w:r>
      <w:r w:rsidRPr="00787196">
        <w:rPr>
          <w:noProof/>
        </w:rPr>
        <w:t xml:space="preserve"> 76</w:t>
      </w:r>
      <w:r w:rsidRPr="00787196">
        <w:rPr>
          <w:b/>
          <w:noProof/>
        </w:rPr>
        <w:t>,</w:t>
      </w:r>
      <w:r w:rsidRPr="00787196">
        <w:rPr>
          <w:noProof/>
        </w:rPr>
        <w:t xml:space="preserve"> 403-413.</w:t>
      </w:r>
      <w:bookmarkEnd w:id="496"/>
    </w:p>
    <w:p w14:paraId="11669582" w14:textId="77777777" w:rsidR="00525DC8" w:rsidRPr="00787196" w:rsidRDefault="00525DC8" w:rsidP="00525DC8">
      <w:pPr>
        <w:pStyle w:val="EndNoteBibliography"/>
        <w:spacing w:after="240"/>
        <w:rPr>
          <w:noProof/>
        </w:rPr>
      </w:pPr>
      <w:bookmarkStart w:id="497" w:name="_ENREF_140"/>
      <w:r w:rsidRPr="00787196">
        <w:rPr>
          <w:noProof/>
        </w:rPr>
        <w:t xml:space="preserve">GECKILI, O., BILHAN, H. &amp; BILGIN, T. 2011. Impact of mandibular two-implant retained overdentures on life quality in a group of elderly Turkish edentulous patients. </w:t>
      </w:r>
      <w:r w:rsidRPr="00787196">
        <w:rPr>
          <w:i/>
          <w:noProof/>
        </w:rPr>
        <w:t>Arch Gerontol Geriatr,</w:t>
      </w:r>
      <w:r w:rsidRPr="00787196">
        <w:rPr>
          <w:noProof/>
        </w:rPr>
        <w:t xml:space="preserve"> 53</w:t>
      </w:r>
      <w:r w:rsidRPr="00787196">
        <w:rPr>
          <w:b/>
          <w:noProof/>
        </w:rPr>
        <w:t>,</w:t>
      </w:r>
      <w:r w:rsidRPr="00787196">
        <w:rPr>
          <w:noProof/>
        </w:rPr>
        <w:t xml:space="preserve"> 233-6.</w:t>
      </w:r>
      <w:bookmarkEnd w:id="497"/>
    </w:p>
    <w:p w14:paraId="4FE1BF69" w14:textId="77777777" w:rsidR="00525DC8" w:rsidRPr="00787196" w:rsidRDefault="00525DC8" w:rsidP="00525DC8">
      <w:pPr>
        <w:pStyle w:val="EndNoteBibliography"/>
        <w:spacing w:after="240"/>
        <w:rPr>
          <w:noProof/>
        </w:rPr>
      </w:pPr>
      <w:bookmarkStart w:id="498" w:name="_ENREF_141"/>
      <w:r w:rsidRPr="00787196">
        <w:rPr>
          <w:noProof/>
        </w:rPr>
        <w:t xml:space="preserve">GENCO, R. J., HO, A. W., GROSSI, S. G., DUNFORD, R. G. &amp; TEDESCO, L. A. 1999. Relationship of stress, distress and inadequate coping behaviors to periodontal disease. </w:t>
      </w:r>
      <w:r w:rsidRPr="00787196">
        <w:rPr>
          <w:i/>
          <w:noProof/>
        </w:rPr>
        <w:t>J Periodontol,</w:t>
      </w:r>
      <w:r w:rsidRPr="00787196">
        <w:rPr>
          <w:noProof/>
        </w:rPr>
        <w:t xml:space="preserve"> 70</w:t>
      </w:r>
      <w:r w:rsidRPr="00787196">
        <w:rPr>
          <w:b/>
          <w:noProof/>
        </w:rPr>
        <w:t>,</w:t>
      </w:r>
      <w:r w:rsidRPr="00787196">
        <w:rPr>
          <w:noProof/>
        </w:rPr>
        <w:t xml:space="preserve"> 711-23.</w:t>
      </w:r>
      <w:bookmarkEnd w:id="498"/>
    </w:p>
    <w:p w14:paraId="23302F1B" w14:textId="77777777" w:rsidR="00525DC8" w:rsidRPr="00787196" w:rsidRDefault="00525DC8" w:rsidP="00525DC8">
      <w:pPr>
        <w:pStyle w:val="EndNoteBibliography"/>
        <w:spacing w:after="240"/>
        <w:rPr>
          <w:noProof/>
        </w:rPr>
      </w:pPr>
      <w:bookmarkStart w:id="499" w:name="_ENREF_142"/>
      <w:r w:rsidRPr="00787196">
        <w:rPr>
          <w:noProof/>
        </w:rPr>
        <w:t>GERDIN, E. F.-E. S., EINARSON S FAU - JONSSON, M., JONSSON M FAU - ARONSSON, K., ARONSSON K FAU - JOHANSSON, I. &amp; JOHANSSON, I. 2005. Impact of dry mouth conditions on oral health-related quality of life in older people.</w:t>
      </w:r>
      <w:bookmarkEnd w:id="499"/>
    </w:p>
    <w:p w14:paraId="79BC59F2" w14:textId="77777777" w:rsidR="00525DC8" w:rsidRPr="00787196" w:rsidRDefault="00525DC8" w:rsidP="00525DC8">
      <w:pPr>
        <w:pStyle w:val="EndNoteBibliography"/>
        <w:spacing w:after="240"/>
        <w:rPr>
          <w:noProof/>
        </w:rPr>
      </w:pPr>
      <w:bookmarkStart w:id="500" w:name="_ENREF_143"/>
      <w:r w:rsidRPr="00787196">
        <w:rPr>
          <w:noProof/>
        </w:rPr>
        <w:lastRenderedPageBreak/>
        <w:t xml:space="preserve">GERRITSEN, A. E., ALLEN, P. F., WITTER, D. J., BRONKHORST, E. M. &amp; CREUGERS, N. H. 2010. Tooth loss and oral health-related quality of life: a systematic review and meta-analysis. </w:t>
      </w:r>
      <w:r w:rsidRPr="00787196">
        <w:rPr>
          <w:i/>
          <w:noProof/>
        </w:rPr>
        <w:t>Health Qual Life Outcomes,</w:t>
      </w:r>
      <w:r w:rsidRPr="00787196">
        <w:rPr>
          <w:noProof/>
        </w:rPr>
        <w:t xml:space="preserve"> 8</w:t>
      </w:r>
      <w:r w:rsidRPr="00787196">
        <w:rPr>
          <w:b/>
          <w:noProof/>
        </w:rPr>
        <w:t>,</w:t>
      </w:r>
      <w:r w:rsidRPr="00787196">
        <w:rPr>
          <w:noProof/>
        </w:rPr>
        <w:t xml:space="preserve"> 126.</w:t>
      </w:r>
      <w:bookmarkEnd w:id="500"/>
    </w:p>
    <w:p w14:paraId="0C273E20" w14:textId="77777777" w:rsidR="00525DC8" w:rsidRPr="00787196" w:rsidRDefault="00525DC8" w:rsidP="00525DC8">
      <w:pPr>
        <w:pStyle w:val="EndNoteBibliography"/>
        <w:spacing w:after="240"/>
        <w:rPr>
          <w:noProof/>
        </w:rPr>
      </w:pPr>
      <w:bookmarkStart w:id="501" w:name="_ENREF_144"/>
      <w:r w:rsidRPr="00787196">
        <w:rPr>
          <w:noProof/>
        </w:rPr>
        <w:t xml:space="preserve">GHERUNPONG, S., TSAKOS, G. &amp; SHEIHAM, A. 2006. A sociodental approach to assessing dental needs of children: concept and models. </w:t>
      </w:r>
      <w:r w:rsidRPr="00787196">
        <w:rPr>
          <w:i/>
          <w:noProof/>
        </w:rPr>
        <w:t>International Journal of Paediatric Dentistry,</w:t>
      </w:r>
      <w:r w:rsidRPr="00787196">
        <w:rPr>
          <w:noProof/>
        </w:rPr>
        <w:t xml:space="preserve"> 16</w:t>
      </w:r>
      <w:r w:rsidRPr="00787196">
        <w:rPr>
          <w:b/>
          <w:noProof/>
        </w:rPr>
        <w:t>,</w:t>
      </w:r>
      <w:r w:rsidRPr="00787196">
        <w:rPr>
          <w:noProof/>
        </w:rPr>
        <w:t xml:space="preserve"> 81-88.</w:t>
      </w:r>
      <w:bookmarkEnd w:id="501"/>
    </w:p>
    <w:p w14:paraId="3BA698C1" w14:textId="77777777" w:rsidR="00525DC8" w:rsidRPr="00787196" w:rsidRDefault="00525DC8" w:rsidP="00525DC8">
      <w:pPr>
        <w:pStyle w:val="EndNoteBibliography"/>
        <w:spacing w:after="240"/>
        <w:rPr>
          <w:noProof/>
        </w:rPr>
      </w:pPr>
      <w:bookmarkStart w:id="502" w:name="_ENREF_145"/>
      <w:r w:rsidRPr="00787196">
        <w:rPr>
          <w:noProof/>
        </w:rPr>
        <w:t xml:space="preserve">GIBSON, B., BOIKO, O. V., BAKER, S., ROBINSON, P., BARLOW, A., PLAYER, T. &amp; LOCKER, D. 2010. The everyday impact of dentine sensitivity: personal and functional aspects. </w:t>
      </w:r>
      <w:r w:rsidRPr="00787196">
        <w:rPr>
          <w:i/>
          <w:noProof/>
        </w:rPr>
        <w:t>Social Science &amp; Dentistry,</w:t>
      </w:r>
      <w:r w:rsidRPr="00787196">
        <w:rPr>
          <w:noProof/>
        </w:rPr>
        <w:t xml:space="preserve"> 1</w:t>
      </w:r>
      <w:r w:rsidRPr="00787196">
        <w:rPr>
          <w:b/>
          <w:noProof/>
        </w:rPr>
        <w:t>,</w:t>
      </w:r>
      <w:r w:rsidRPr="00787196">
        <w:rPr>
          <w:noProof/>
        </w:rPr>
        <w:t xml:space="preserve"> 11-20.</w:t>
      </w:r>
      <w:bookmarkEnd w:id="502"/>
    </w:p>
    <w:p w14:paraId="663D06DB" w14:textId="77777777" w:rsidR="00525DC8" w:rsidRPr="00787196" w:rsidRDefault="00525DC8" w:rsidP="00525DC8">
      <w:pPr>
        <w:pStyle w:val="EndNoteBibliography"/>
        <w:spacing w:after="240"/>
        <w:rPr>
          <w:noProof/>
        </w:rPr>
      </w:pPr>
      <w:bookmarkStart w:id="503" w:name="_ENREF_146"/>
      <w:r w:rsidRPr="00787196">
        <w:rPr>
          <w:noProof/>
        </w:rPr>
        <w:t xml:space="preserve">GIFT, H. C. &amp; ATCHISON, K. A. 1995. Oral Health, Health, and Health-Related Quality of Life. </w:t>
      </w:r>
      <w:r w:rsidRPr="00787196">
        <w:rPr>
          <w:i/>
          <w:noProof/>
        </w:rPr>
        <w:t>Medical Care,</w:t>
      </w:r>
      <w:r w:rsidRPr="00787196">
        <w:rPr>
          <w:noProof/>
        </w:rPr>
        <w:t xml:space="preserve"> 33</w:t>
      </w:r>
      <w:r w:rsidRPr="00787196">
        <w:rPr>
          <w:b/>
          <w:noProof/>
        </w:rPr>
        <w:t>,</w:t>
      </w:r>
      <w:r w:rsidRPr="00787196">
        <w:rPr>
          <w:noProof/>
        </w:rPr>
        <w:t xml:space="preserve"> NS57-NS77.</w:t>
      </w:r>
      <w:bookmarkEnd w:id="503"/>
    </w:p>
    <w:p w14:paraId="13536985" w14:textId="77777777" w:rsidR="00525DC8" w:rsidRPr="00787196" w:rsidRDefault="00525DC8" w:rsidP="00525DC8">
      <w:pPr>
        <w:pStyle w:val="EndNoteBibliography"/>
        <w:spacing w:after="240"/>
        <w:rPr>
          <w:noProof/>
        </w:rPr>
      </w:pPr>
      <w:bookmarkStart w:id="504" w:name="_ENREF_147"/>
      <w:r w:rsidRPr="00787196">
        <w:rPr>
          <w:noProof/>
        </w:rPr>
        <w:t xml:space="preserve">GILBERT, G. H., MENG, X., DUNCAN, R. P. &amp; SHELTON, B. J. 2004. Incidence of Tooth Loss and Prosthodontic Dental Care: Effect on Chewing Difficulty Onset, a Component of Oral Health–Related Quality of Life. </w:t>
      </w:r>
      <w:r w:rsidRPr="00787196">
        <w:rPr>
          <w:i/>
          <w:noProof/>
        </w:rPr>
        <w:t>Journal of the American Geriatrics Society,</w:t>
      </w:r>
      <w:r w:rsidRPr="00787196">
        <w:rPr>
          <w:noProof/>
        </w:rPr>
        <w:t xml:space="preserve"> 52</w:t>
      </w:r>
      <w:r w:rsidRPr="00787196">
        <w:rPr>
          <w:b/>
          <w:noProof/>
        </w:rPr>
        <w:t>,</w:t>
      </w:r>
      <w:r w:rsidRPr="00787196">
        <w:rPr>
          <w:noProof/>
        </w:rPr>
        <w:t xml:space="preserve"> 880-885.</w:t>
      </w:r>
      <w:bookmarkEnd w:id="504"/>
    </w:p>
    <w:p w14:paraId="748F2542" w14:textId="77777777" w:rsidR="00525DC8" w:rsidRPr="00787196" w:rsidRDefault="00525DC8" w:rsidP="00525DC8">
      <w:pPr>
        <w:pStyle w:val="EndNoteBibliography"/>
        <w:spacing w:after="240"/>
        <w:rPr>
          <w:noProof/>
        </w:rPr>
      </w:pPr>
      <w:bookmarkStart w:id="505" w:name="_ENREF_148"/>
      <w:r w:rsidRPr="00787196">
        <w:rPr>
          <w:noProof/>
        </w:rPr>
        <w:t xml:space="preserve">GJENGEDAL, H., BERG, E., BOE, O. &amp; TROVIK, T. A. 2011. Self-reported oral health and denture satisfaction in partially and completely edentulous patients. </w:t>
      </w:r>
      <w:r w:rsidRPr="00787196">
        <w:rPr>
          <w:i/>
          <w:noProof/>
        </w:rPr>
        <w:t>The International journal of prosthodontics,</w:t>
      </w:r>
      <w:r w:rsidRPr="00787196">
        <w:rPr>
          <w:noProof/>
        </w:rPr>
        <w:t xml:space="preserve"> 24</w:t>
      </w:r>
      <w:r w:rsidRPr="00787196">
        <w:rPr>
          <w:b/>
          <w:noProof/>
        </w:rPr>
        <w:t>,</w:t>
      </w:r>
      <w:r w:rsidRPr="00787196">
        <w:rPr>
          <w:noProof/>
        </w:rPr>
        <w:t xml:space="preserve"> 9.</w:t>
      </w:r>
      <w:bookmarkEnd w:id="505"/>
    </w:p>
    <w:p w14:paraId="5C7E5746" w14:textId="77777777" w:rsidR="00525DC8" w:rsidRPr="00787196" w:rsidRDefault="00525DC8" w:rsidP="00525DC8">
      <w:pPr>
        <w:pStyle w:val="EndNoteBibliography"/>
        <w:spacing w:after="240"/>
        <w:rPr>
          <w:noProof/>
        </w:rPr>
      </w:pPr>
      <w:bookmarkStart w:id="506" w:name="_ENREF_149"/>
      <w:r w:rsidRPr="00787196">
        <w:rPr>
          <w:noProof/>
        </w:rPr>
        <w:t xml:space="preserve">GOLDSTEIN, M. J. 1959. The relationship between coping and avoiding behavior and response to fear-arousing propaganda. </w:t>
      </w:r>
      <w:r w:rsidRPr="00787196">
        <w:rPr>
          <w:i/>
          <w:noProof/>
        </w:rPr>
        <w:t>The Journal of Abnormal and Social Psychology,</w:t>
      </w:r>
      <w:r w:rsidRPr="00787196">
        <w:rPr>
          <w:noProof/>
        </w:rPr>
        <w:t xml:space="preserve"> 58</w:t>
      </w:r>
      <w:r w:rsidRPr="00787196">
        <w:rPr>
          <w:b/>
          <w:noProof/>
        </w:rPr>
        <w:t>,</w:t>
      </w:r>
      <w:r w:rsidRPr="00787196">
        <w:rPr>
          <w:noProof/>
        </w:rPr>
        <w:t xml:space="preserve"> 247.</w:t>
      </w:r>
      <w:bookmarkEnd w:id="506"/>
    </w:p>
    <w:p w14:paraId="3A057A6D" w14:textId="77777777" w:rsidR="00525DC8" w:rsidRPr="00787196" w:rsidRDefault="00525DC8" w:rsidP="00525DC8">
      <w:pPr>
        <w:pStyle w:val="EndNoteBibliography"/>
        <w:spacing w:after="240"/>
        <w:rPr>
          <w:noProof/>
        </w:rPr>
      </w:pPr>
      <w:bookmarkStart w:id="507" w:name="_ENREF_150"/>
      <w:r w:rsidRPr="00787196">
        <w:rPr>
          <w:noProof/>
        </w:rPr>
        <w:t xml:space="preserve">GOLDSTEIN, M. J. 1973. Individual differences in response to stress. </w:t>
      </w:r>
      <w:r w:rsidRPr="00787196">
        <w:rPr>
          <w:i/>
          <w:noProof/>
        </w:rPr>
        <w:t>American Journal of Community Psychology,</w:t>
      </w:r>
      <w:r w:rsidRPr="00787196">
        <w:rPr>
          <w:noProof/>
        </w:rPr>
        <w:t xml:space="preserve"> 1</w:t>
      </w:r>
      <w:r w:rsidRPr="00787196">
        <w:rPr>
          <w:b/>
          <w:noProof/>
        </w:rPr>
        <w:t>,</w:t>
      </w:r>
      <w:r w:rsidRPr="00787196">
        <w:rPr>
          <w:noProof/>
        </w:rPr>
        <w:t xml:space="preserve"> 113-137.</w:t>
      </w:r>
      <w:bookmarkEnd w:id="507"/>
    </w:p>
    <w:p w14:paraId="0E980568" w14:textId="77777777" w:rsidR="00525DC8" w:rsidRPr="00787196" w:rsidRDefault="00525DC8" w:rsidP="00525DC8">
      <w:pPr>
        <w:pStyle w:val="EndNoteBibliography"/>
        <w:spacing w:after="240"/>
        <w:rPr>
          <w:noProof/>
        </w:rPr>
      </w:pPr>
      <w:bookmarkStart w:id="508" w:name="_ENREF_151"/>
      <w:r w:rsidRPr="00787196">
        <w:rPr>
          <w:noProof/>
        </w:rPr>
        <w:t xml:space="preserve">GOMES, A. S., ABEGG, C. &amp; GUIMARÃ£ES FACHEL, J. M. 2009. Relationship between oral clinical conditions and daily performances. </w:t>
      </w:r>
      <w:r w:rsidRPr="00787196">
        <w:rPr>
          <w:i/>
          <w:noProof/>
        </w:rPr>
        <w:t>Brazilian Oral Research,</w:t>
      </w:r>
      <w:r w:rsidRPr="00787196">
        <w:rPr>
          <w:noProof/>
        </w:rPr>
        <w:t xml:space="preserve"> 23</w:t>
      </w:r>
      <w:r w:rsidRPr="00787196">
        <w:rPr>
          <w:b/>
          <w:noProof/>
        </w:rPr>
        <w:t>,</w:t>
      </w:r>
      <w:r w:rsidRPr="00787196">
        <w:rPr>
          <w:noProof/>
        </w:rPr>
        <w:t xml:space="preserve"> 76-81.</w:t>
      </w:r>
      <w:bookmarkEnd w:id="508"/>
    </w:p>
    <w:p w14:paraId="19A855B0" w14:textId="77777777" w:rsidR="00525DC8" w:rsidRPr="00787196" w:rsidRDefault="00525DC8" w:rsidP="00525DC8">
      <w:pPr>
        <w:pStyle w:val="EndNoteBibliography"/>
        <w:spacing w:after="240"/>
        <w:rPr>
          <w:noProof/>
        </w:rPr>
      </w:pPr>
      <w:bookmarkStart w:id="509" w:name="_ENREF_152"/>
      <w:r w:rsidRPr="00787196">
        <w:rPr>
          <w:noProof/>
        </w:rPr>
        <w:t xml:space="preserve">GOODINSON, S. M. &amp; SINGLETON, J. 1989. Quality of life: a critical review of current concepts, measures and their clinical implications. </w:t>
      </w:r>
      <w:r w:rsidRPr="00787196">
        <w:rPr>
          <w:i/>
          <w:noProof/>
        </w:rPr>
        <w:t>International Journal of Nursing Studies,</w:t>
      </w:r>
      <w:r w:rsidRPr="00787196">
        <w:rPr>
          <w:noProof/>
        </w:rPr>
        <w:t xml:space="preserve"> 26</w:t>
      </w:r>
      <w:r w:rsidRPr="00787196">
        <w:rPr>
          <w:b/>
          <w:noProof/>
        </w:rPr>
        <w:t>,</w:t>
      </w:r>
      <w:r w:rsidRPr="00787196">
        <w:rPr>
          <w:noProof/>
        </w:rPr>
        <w:t xml:space="preserve"> 327-341.</w:t>
      </w:r>
      <w:bookmarkEnd w:id="509"/>
    </w:p>
    <w:p w14:paraId="1D232BA3" w14:textId="77777777" w:rsidR="00525DC8" w:rsidRPr="00787196" w:rsidRDefault="00525DC8" w:rsidP="00525DC8">
      <w:pPr>
        <w:pStyle w:val="EndNoteBibliography"/>
        <w:spacing w:after="240"/>
        <w:rPr>
          <w:noProof/>
        </w:rPr>
      </w:pPr>
      <w:bookmarkStart w:id="510" w:name="_ENREF_153"/>
      <w:r w:rsidRPr="00787196">
        <w:rPr>
          <w:noProof/>
        </w:rPr>
        <w:t xml:space="preserve">GORE, S. 1978. The Effect of Social Support in Moderating the Health Consequences of Unemployment. </w:t>
      </w:r>
      <w:r w:rsidRPr="00787196">
        <w:rPr>
          <w:i/>
          <w:noProof/>
        </w:rPr>
        <w:t>Journal of Health and Social Behavior,</w:t>
      </w:r>
      <w:r w:rsidRPr="00787196">
        <w:rPr>
          <w:noProof/>
        </w:rPr>
        <w:t xml:space="preserve"> 19</w:t>
      </w:r>
      <w:r w:rsidRPr="00787196">
        <w:rPr>
          <w:b/>
          <w:noProof/>
        </w:rPr>
        <w:t>,</w:t>
      </w:r>
      <w:r w:rsidRPr="00787196">
        <w:rPr>
          <w:noProof/>
        </w:rPr>
        <w:t xml:space="preserve"> 157-165.</w:t>
      </w:r>
      <w:bookmarkEnd w:id="510"/>
    </w:p>
    <w:p w14:paraId="6A043556" w14:textId="77777777" w:rsidR="00525DC8" w:rsidRPr="00787196" w:rsidRDefault="00525DC8" w:rsidP="00525DC8">
      <w:pPr>
        <w:pStyle w:val="EndNoteBibliography"/>
        <w:spacing w:after="240"/>
        <w:rPr>
          <w:noProof/>
        </w:rPr>
      </w:pPr>
      <w:bookmarkStart w:id="511" w:name="_ENREF_154"/>
      <w:r w:rsidRPr="00787196">
        <w:rPr>
          <w:noProof/>
        </w:rPr>
        <w:lastRenderedPageBreak/>
        <w:t xml:space="preserve">GORSUCH, R. 1983. Factor analysis, 2nd. </w:t>
      </w:r>
      <w:r w:rsidRPr="00787196">
        <w:rPr>
          <w:i/>
          <w:noProof/>
        </w:rPr>
        <w:t>Hillsdale, NJ: LEA</w:t>
      </w:r>
      <w:r w:rsidRPr="00787196">
        <w:rPr>
          <w:noProof/>
        </w:rPr>
        <w:t>.</w:t>
      </w:r>
      <w:bookmarkEnd w:id="511"/>
    </w:p>
    <w:p w14:paraId="5062D594" w14:textId="77777777" w:rsidR="00525DC8" w:rsidRPr="00787196" w:rsidRDefault="00525DC8" w:rsidP="00525DC8">
      <w:pPr>
        <w:pStyle w:val="EndNoteBibliography"/>
        <w:spacing w:after="240"/>
        <w:rPr>
          <w:noProof/>
        </w:rPr>
      </w:pPr>
      <w:bookmarkStart w:id="512" w:name="_ENREF_155"/>
      <w:r w:rsidRPr="00787196">
        <w:rPr>
          <w:noProof/>
        </w:rPr>
        <w:t xml:space="preserve">GREENE, J. C. 2007. </w:t>
      </w:r>
      <w:r w:rsidRPr="00787196">
        <w:rPr>
          <w:i/>
          <w:noProof/>
        </w:rPr>
        <w:t>Mixed methods in social inquiry</w:t>
      </w:r>
      <w:r w:rsidRPr="00787196">
        <w:rPr>
          <w:noProof/>
        </w:rPr>
        <w:t>, John Wiley &amp; Sons.</w:t>
      </w:r>
      <w:bookmarkEnd w:id="512"/>
    </w:p>
    <w:p w14:paraId="2BB5FD7B" w14:textId="77777777" w:rsidR="00525DC8" w:rsidRPr="00787196" w:rsidRDefault="00525DC8" w:rsidP="00525DC8">
      <w:pPr>
        <w:pStyle w:val="EndNoteBibliography"/>
        <w:spacing w:after="240"/>
        <w:rPr>
          <w:noProof/>
        </w:rPr>
      </w:pPr>
      <w:bookmarkStart w:id="513" w:name="_ENREF_156"/>
      <w:r w:rsidRPr="00787196">
        <w:rPr>
          <w:noProof/>
        </w:rPr>
        <w:t xml:space="preserve">GROGONO, A. L., LANCASTER, D. M. &amp; FINGER, I. M. 1989. Dental implants: a survey of patients' attitudes. </w:t>
      </w:r>
      <w:r w:rsidRPr="00787196">
        <w:rPr>
          <w:i/>
          <w:noProof/>
        </w:rPr>
        <w:t>The Journal of prosthetic dentistry,</w:t>
      </w:r>
      <w:r w:rsidRPr="00787196">
        <w:rPr>
          <w:noProof/>
        </w:rPr>
        <w:t xml:space="preserve"> 62</w:t>
      </w:r>
      <w:r w:rsidRPr="00787196">
        <w:rPr>
          <w:b/>
          <w:noProof/>
        </w:rPr>
        <w:t>,</w:t>
      </w:r>
      <w:r w:rsidRPr="00787196">
        <w:rPr>
          <w:noProof/>
        </w:rPr>
        <w:t xml:space="preserve"> 573-576.</w:t>
      </w:r>
      <w:bookmarkEnd w:id="513"/>
    </w:p>
    <w:p w14:paraId="701A7472" w14:textId="77777777" w:rsidR="00525DC8" w:rsidRPr="00787196" w:rsidRDefault="00525DC8" w:rsidP="00525DC8">
      <w:pPr>
        <w:pStyle w:val="EndNoteBibliography"/>
        <w:spacing w:after="240"/>
        <w:rPr>
          <w:noProof/>
        </w:rPr>
      </w:pPr>
      <w:bookmarkStart w:id="514" w:name="_ENREF_157"/>
      <w:r w:rsidRPr="00787196">
        <w:rPr>
          <w:noProof/>
        </w:rPr>
        <w:t xml:space="preserve">GRUTTADAURIA, S., GROSSO, G., MISTRETTA, A., PAGANO, D., SCIANNA, G., VIZZINI, G. B., CINTORINO, D., SPADA, M., BASILE, F. &amp; GRIDELLI, B. 2011. Impact of recipients' socio-economic status on patient and graft survival after liver transplantation: The IsMeTT experience. </w:t>
      </w:r>
      <w:r w:rsidRPr="00787196">
        <w:rPr>
          <w:i/>
          <w:noProof/>
        </w:rPr>
        <w:t>Digestive and Liver Disease,</w:t>
      </w:r>
      <w:r w:rsidRPr="00787196">
        <w:rPr>
          <w:noProof/>
        </w:rPr>
        <w:t xml:space="preserve"> 43</w:t>
      </w:r>
      <w:r w:rsidRPr="00787196">
        <w:rPr>
          <w:b/>
          <w:noProof/>
        </w:rPr>
        <w:t>,</w:t>
      </w:r>
      <w:r w:rsidRPr="00787196">
        <w:rPr>
          <w:noProof/>
        </w:rPr>
        <w:t xml:space="preserve"> 893-898.</w:t>
      </w:r>
      <w:bookmarkEnd w:id="514"/>
    </w:p>
    <w:p w14:paraId="07301FBF" w14:textId="77777777" w:rsidR="00525DC8" w:rsidRPr="00787196" w:rsidRDefault="00525DC8" w:rsidP="00525DC8">
      <w:pPr>
        <w:pStyle w:val="EndNoteBibliography"/>
        <w:spacing w:after="240"/>
        <w:rPr>
          <w:noProof/>
        </w:rPr>
      </w:pPr>
      <w:bookmarkStart w:id="515" w:name="_ENREF_158"/>
      <w:r w:rsidRPr="00787196">
        <w:rPr>
          <w:noProof/>
        </w:rPr>
        <w:t xml:space="preserve">GUCKES, A. D., SMITH, D. E. &amp; SWOOPE, C. C. 1978. Counseling and related factors influencing satisfaction with dentures. </w:t>
      </w:r>
      <w:r w:rsidRPr="00787196">
        <w:rPr>
          <w:i/>
          <w:noProof/>
        </w:rPr>
        <w:t>J Prosthet Dent,</w:t>
      </w:r>
      <w:r w:rsidRPr="00787196">
        <w:rPr>
          <w:noProof/>
        </w:rPr>
        <w:t xml:space="preserve"> 39</w:t>
      </w:r>
      <w:r w:rsidRPr="00787196">
        <w:rPr>
          <w:b/>
          <w:noProof/>
        </w:rPr>
        <w:t>,</w:t>
      </w:r>
      <w:r w:rsidRPr="00787196">
        <w:rPr>
          <w:noProof/>
        </w:rPr>
        <w:t xml:space="preserve"> 259-67.</w:t>
      </w:r>
      <w:bookmarkEnd w:id="515"/>
    </w:p>
    <w:p w14:paraId="14EFD27B" w14:textId="77777777" w:rsidR="00525DC8" w:rsidRPr="00787196" w:rsidRDefault="00525DC8" w:rsidP="00525DC8">
      <w:pPr>
        <w:pStyle w:val="EndNoteBibliography"/>
        <w:spacing w:after="240"/>
        <w:rPr>
          <w:noProof/>
        </w:rPr>
      </w:pPr>
      <w:bookmarkStart w:id="516" w:name="_ENREF_159"/>
      <w:r w:rsidRPr="00787196">
        <w:rPr>
          <w:noProof/>
        </w:rPr>
        <w:t xml:space="preserve">GUPTA, A., KOOLWAL, G. &amp; GEHLOT, S. 2014. Study of perceived stress and emotional intelligence among 1st year medical undergraduates in India. </w:t>
      </w:r>
      <w:r w:rsidRPr="00787196">
        <w:rPr>
          <w:i/>
          <w:noProof/>
        </w:rPr>
        <w:t>Journal of Contemporary Medical Education,</w:t>
      </w:r>
      <w:r w:rsidRPr="00787196">
        <w:rPr>
          <w:noProof/>
        </w:rPr>
        <w:t xml:space="preserve"> 2</w:t>
      </w:r>
      <w:r w:rsidRPr="00787196">
        <w:rPr>
          <w:b/>
          <w:noProof/>
        </w:rPr>
        <w:t>,</w:t>
      </w:r>
      <w:r w:rsidRPr="00787196">
        <w:rPr>
          <w:noProof/>
        </w:rPr>
        <w:t xml:space="preserve"> 63-67.</w:t>
      </w:r>
      <w:bookmarkEnd w:id="516"/>
    </w:p>
    <w:p w14:paraId="11E03381" w14:textId="77777777" w:rsidR="00525DC8" w:rsidRPr="00787196" w:rsidRDefault="00525DC8" w:rsidP="00525DC8">
      <w:pPr>
        <w:pStyle w:val="EndNoteBibliography"/>
        <w:spacing w:after="240"/>
        <w:rPr>
          <w:noProof/>
        </w:rPr>
      </w:pPr>
      <w:bookmarkStart w:id="517" w:name="_ENREF_160"/>
      <w:r w:rsidRPr="00787196">
        <w:rPr>
          <w:noProof/>
        </w:rPr>
        <w:t xml:space="preserve">GURURATANA, O., BAKER, S. R. &amp; ROBINSON, P. G. 2013. Determinants of children's oral-health-related quality of life over time. </w:t>
      </w:r>
      <w:r w:rsidRPr="00787196">
        <w:rPr>
          <w:i/>
          <w:noProof/>
        </w:rPr>
        <w:t>Community Dentistry and Oral Epidemiology,</w:t>
      </w:r>
      <w:r w:rsidRPr="00787196">
        <w:rPr>
          <w:noProof/>
        </w:rPr>
        <w:t xml:space="preserve"> 42</w:t>
      </w:r>
      <w:r w:rsidRPr="00787196">
        <w:rPr>
          <w:b/>
          <w:noProof/>
        </w:rPr>
        <w:t>,</w:t>
      </w:r>
      <w:r w:rsidRPr="00787196">
        <w:rPr>
          <w:noProof/>
        </w:rPr>
        <w:t xml:space="preserve"> 206-215.</w:t>
      </w:r>
      <w:bookmarkEnd w:id="517"/>
    </w:p>
    <w:p w14:paraId="54733911" w14:textId="77777777" w:rsidR="00525DC8" w:rsidRPr="00787196" w:rsidRDefault="00525DC8" w:rsidP="00525DC8">
      <w:pPr>
        <w:pStyle w:val="EndNoteBibliography"/>
        <w:spacing w:after="240"/>
        <w:rPr>
          <w:noProof/>
        </w:rPr>
      </w:pPr>
      <w:bookmarkStart w:id="518" w:name="_ENREF_161"/>
      <w:r w:rsidRPr="00787196">
        <w:rPr>
          <w:noProof/>
        </w:rPr>
        <w:t xml:space="preserve">GUYATT, G. H., FEENY, D. H. &amp; PATRICK, D. L. 1993. Measuring Health-Related Quality of Life. </w:t>
      </w:r>
      <w:r w:rsidRPr="00787196">
        <w:rPr>
          <w:i/>
          <w:noProof/>
        </w:rPr>
        <w:t>Annals of Internal Medicine,</w:t>
      </w:r>
      <w:r w:rsidRPr="00787196">
        <w:rPr>
          <w:noProof/>
        </w:rPr>
        <w:t xml:space="preserve"> 118</w:t>
      </w:r>
      <w:r w:rsidRPr="00787196">
        <w:rPr>
          <w:b/>
          <w:noProof/>
        </w:rPr>
        <w:t>,</w:t>
      </w:r>
      <w:r w:rsidRPr="00787196">
        <w:rPr>
          <w:noProof/>
        </w:rPr>
        <w:t xml:space="preserve"> 622-629.</w:t>
      </w:r>
      <w:bookmarkEnd w:id="518"/>
    </w:p>
    <w:p w14:paraId="22434E3E" w14:textId="77777777" w:rsidR="00525DC8" w:rsidRPr="00787196" w:rsidRDefault="00525DC8" w:rsidP="00525DC8">
      <w:pPr>
        <w:pStyle w:val="EndNoteBibliography"/>
        <w:spacing w:after="240"/>
        <w:rPr>
          <w:noProof/>
        </w:rPr>
      </w:pPr>
      <w:bookmarkStart w:id="519" w:name="_ENREF_162"/>
      <w:r w:rsidRPr="00787196">
        <w:rPr>
          <w:noProof/>
        </w:rPr>
        <w:t xml:space="preserve">GUZELDEMIR, E., TOYGAR, H. U., TASDELEN, B., TORUN, D., GUZELDEMIR, E., TOYGAR, H. U., TASDELEN, B. &amp; TORUN, D. 2009. Oral health-related quality of life and periodontal health status in patients undergoing hemodialysis. </w:t>
      </w:r>
      <w:r w:rsidRPr="00787196">
        <w:rPr>
          <w:i/>
          <w:noProof/>
        </w:rPr>
        <w:t>Journal of the American Dental Association,</w:t>
      </w:r>
      <w:r w:rsidRPr="00787196">
        <w:rPr>
          <w:noProof/>
        </w:rPr>
        <w:t xml:space="preserve"> 140</w:t>
      </w:r>
      <w:r w:rsidRPr="00787196">
        <w:rPr>
          <w:b/>
          <w:noProof/>
        </w:rPr>
        <w:t>,</w:t>
      </w:r>
      <w:r w:rsidRPr="00787196">
        <w:rPr>
          <w:noProof/>
        </w:rPr>
        <w:t xml:space="preserve"> 1283-93.</w:t>
      </w:r>
      <w:bookmarkEnd w:id="519"/>
    </w:p>
    <w:p w14:paraId="4AB68FEE" w14:textId="77777777" w:rsidR="00525DC8" w:rsidRPr="00787196" w:rsidRDefault="00525DC8" w:rsidP="00525DC8">
      <w:pPr>
        <w:pStyle w:val="EndNoteBibliography"/>
        <w:spacing w:after="240"/>
        <w:rPr>
          <w:noProof/>
        </w:rPr>
      </w:pPr>
      <w:bookmarkStart w:id="520" w:name="_ENREF_163"/>
      <w:r w:rsidRPr="00787196">
        <w:rPr>
          <w:noProof/>
        </w:rPr>
        <w:t xml:space="preserve">HA, J. E., HEO, Y. J., JIN, B. H., PAIK, D. I. &amp; BAE, K. H. 2012. The impact of the National Denture Service on oral health-related quality of life among poor elders. </w:t>
      </w:r>
      <w:r w:rsidRPr="00787196">
        <w:rPr>
          <w:i/>
          <w:noProof/>
        </w:rPr>
        <w:t>Journal of Oral Rehabilitation,</w:t>
      </w:r>
      <w:r w:rsidRPr="00787196">
        <w:rPr>
          <w:noProof/>
        </w:rPr>
        <w:t xml:space="preserve"> 39</w:t>
      </w:r>
      <w:r w:rsidRPr="00787196">
        <w:rPr>
          <w:b/>
          <w:noProof/>
        </w:rPr>
        <w:t>,</w:t>
      </w:r>
      <w:r w:rsidRPr="00787196">
        <w:rPr>
          <w:noProof/>
        </w:rPr>
        <w:t xml:space="preserve"> 600-607.</w:t>
      </w:r>
      <w:bookmarkEnd w:id="520"/>
    </w:p>
    <w:p w14:paraId="55B127D3" w14:textId="77777777" w:rsidR="00525DC8" w:rsidRPr="00787196" w:rsidRDefault="00525DC8" w:rsidP="00525DC8">
      <w:pPr>
        <w:pStyle w:val="EndNoteBibliography"/>
        <w:spacing w:after="240"/>
        <w:rPr>
          <w:noProof/>
        </w:rPr>
      </w:pPr>
      <w:bookmarkStart w:id="521" w:name="_ENREF_164"/>
      <w:r w:rsidRPr="00787196">
        <w:rPr>
          <w:noProof/>
        </w:rPr>
        <w:t xml:space="preserve">HARBURG, E., BLAKELOCK, E. H. &amp; ROEPER, P. R. 1979. Resentful and reflective coping with arbitrary authority and blood pressure: Detroit. </w:t>
      </w:r>
      <w:r w:rsidRPr="00787196">
        <w:rPr>
          <w:i/>
          <w:noProof/>
        </w:rPr>
        <w:t>Psychosomatic Medicine,</w:t>
      </w:r>
      <w:r w:rsidRPr="00787196">
        <w:rPr>
          <w:noProof/>
        </w:rPr>
        <w:t xml:space="preserve"> 41</w:t>
      </w:r>
      <w:r w:rsidRPr="00787196">
        <w:rPr>
          <w:b/>
          <w:noProof/>
        </w:rPr>
        <w:t>,</w:t>
      </w:r>
      <w:r w:rsidRPr="00787196">
        <w:rPr>
          <w:noProof/>
        </w:rPr>
        <w:t xml:space="preserve"> 189-202.</w:t>
      </w:r>
      <w:bookmarkEnd w:id="521"/>
    </w:p>
    <w:p w14:paraId="3F1C68E5" w14:textId="77777777" w:rsidR="00525DC8" w:rsidRPr="00787196" w:rsidRDefault="00525DC8" w:rsidP="00525DC8">
      <w:pPr>
        <w:pStyle w:val="EndNoteBibliography"/>
        <w:spacing w:after="240"/>
        <w:rPr>
          <w:noProof/>
        </w:rPr>
      </w:pPr>
      <w:bookmarkStart w:id="522" w:name="_ENREF_165"/>
      <w:r w:rsidRPr="00787196">
        <w:rPr>
          <w:noProof/>
        </w:rPr>
        <w:lastRenderedPageBreak/>
        <w:t xml:space="preserve">HARDER, S., WOLFART, S., EGERT, C. &amp; KERN, M. 2011. Three-year clinical outcome of single implant-retained mandibular overdentures--results of preliminary prospective study. </w:t>
      </w:r>
      <w:r w:rsidRPr="00787196">
        <w:rPr>
          <w:i/>
          <w:noProof/>
        </w:rPr>
        <w:t>J Dent,</w:t>
      </w:r>
      <w:r w:rsidRPr="00787196">
        <w:rPr>
          <w:noProof/>
        </w:rPr>
        <w:t xml:space="preserve"> 39</w:t>
      </w:r>
      <w:r w:rsidRPr="00787196">
        <w:rPr>
          <w:b/>
          <w:noProof/>
        </w:rPr>
        <w:t>,</w:t>
      </w:r>
      <w:r w:rsidRPr="00787196">
        <w:rPr>
          <w:noProof/>
        </w:rPr>
        <w:t xml:space="preserve"> 656-61.</w:t>
      </w:r>
      <w:bookmarkEnd w:id="522"/>
    </w:p>
    <w:p w14:paraId="120C92FF" w14:textId="77777777" w:rsidR="00525DC8" w:rsidRPr="00787196" w:rsidRDefault="00525DC8" w:rsidP="00525DC8">
      <w:pPr>
        <w:pStyle w:val="EndNoteBibliography"/>
        <w:spacing w:after="240"/>
        <w:rPr>
          <w:noProof/>
        </w:rPr>
      </w:pPr>
      <w:bookmarkStart w:id="523" w:name="_ENREF_166"/>
      <w:r w:rsidRPr="00787196">
        <w:rPr>
          <w:noProof/>
        </w:rPr>
        <w:t xml:space="preserve">HARIKIRAN, A., SRINAGESH, J., NAGESH, K. &amp; SAJUDEEN, N. 2012. Perceived sources of stress amongst final year dental under graduate students in a dental teaching institution at Bangalore, India: A cross sectional study. </w:t>
      </w:r>
      <w:r w:rsidRPr="00787196">
        <w:rPr>
          <w:i/>
          <w:noProof/>
        </w:rPr>
        <w:t>Indian Journal of Dental Research,</w:t>
      </w:r>
      <w:r w:rsidRPr="00787196">
        <w:rPr>
          <w:noProof/>
        </w:rPr>
        <w:t xml:space="preserve"> 23</w:t>
      </w:r>
      <w:r w:rsidRPr="00787196">
        <w:rPr>
          <w:b/>
          <w:noProof/>
        </w:rPr>
        <w:t>,</w:t>
      </w:r>
      <w:r w:rsidRPr="00787196">
        <w:rPr>
          <w:noProof/>
        </w:rPr>
        <w:t xml:space="preserve"> 331.</w:t>
      </w:r>
      <w:bookmarkEnd w:id="523"/>
    </w:p>
    <w:p w14:paraId="2BD293D2" w14:textId="77777777" w:rsidR="00525DC8" w:rsidRPr="00787196" w:rsidRDefault="00525DC8" w:rsidP="00525DC8">
      <w:pPr>
        <w:pStyle w:val="EndNoteBibliography"/>
        <w:spacing w:after="240"/>
        <w:rPr>
          <w:noProof/>
        </w:rPr>
      </w:pPr>
      <w:bookmarkStart w:id="524" w:name="_ENREF_167"/>
      <w:r w:rsidRPr="00787196">
        <w:rPr>
          <w:noProof/>
        </w:rPr>
        <w:t xml:space="preserve">HARRIS, R., NICOLL, A. D., ADAIR, P. M. &amp; PINE, C. M. 2004. Risk factors for dental caries in young children: a systematic review of the literature. </w:t>
      </w:r>
      <w:r w:rsidRPr="00787196">
        <w:rPr>
          <w:i/>
          <w:noProof/>
        </w:rPr>
        <w:t>Community dental health,</w:t>
      </w:r>
      <w:r w:rsidRPr="00787196">
        <w:rPr>
          <w:noProof/>
        </w:rPr>
        <w:t xml:space="preserve"> 21</w:t>
      </w:r>
      <w:r w:rsidRPr="00787196">
        <w:rPr>
          <w:b/>
          <w:noProof/>
        </w:rPr>
        <w:t>,</w:t>
      </w:r>
      <w:r w:rsidRPr="00787196">
        <w:rPr>
          <w:noProof/>
        </w:rPr>
        <w:t xml:space="preserve"> 71-85.</w:t>
      </w:r>
      <w:bookmarkEnd w:id="524"/>
    </w:p>
    <w:p w14:paraId="3F881F97" w14:textId="77777777" w:rsidR="00525DC8" w:rsidRPr="00787196" w:rsidRDefault="00525DC8" w:rsidP="00525DC8">
      <w:pPr>
        <w:pStyle w:val="EndNoteBibliography"/>
        <w:spacing w:after="240"/>
        <w:rPr>
          <w:noProof/>
        </w:rPr>
      </w:pPr>
      <w:bookmarkStart w:id="525" w:name="_ENREF_168"/>
      <w:r w:rsidRPr="00787196">
        <w:rPr>
          <w:noProof/>
        </w:rPr>
        <w:t xml:space="preserve">HASKING, P. A. &amp; OEI, T. P. S. 2002. Confirmatory factor analysis of the COPE questionnaire on community drinkers and an alcohol-dependent sample. </w:t>
      </w:r>
      <w:r w:rsidRPr="00787196">
        <w:rPr>
          <w:i/>
          <w:noProof/>
        </w:rPr>
        <w:t>Journal of studies on alcohol,</w:t>
      </w:r>
      <w:r w:rsidRPr="00787196">
        <w:rPr>
          <w:noProof/>
        </w:rPr>
        <w:t xml:space="preserve"> 63</w:t>
      </w:r>
      <w:r w:rsidRPr="00787196">
        <w:rPr>
          <w:b/>
          <w:noProof/>
        </w:rPr>
        <w:t>,</w:t>
      </w:r>
      <w:r w:rsidRPr="00787196">
        <w:rPr>
          <w:noProof/>
        </w:rPr>
        <w:t xml:space="preserve"> 631-640.</w:t>
      </w:r>
      <w:bookmarkEnd w:id="525"/>
    </w:p>
    <w:p w14:paraId="5E6DA0A5" w14:textId="77777777" w:rsidR="00525DC8" w:rsidRPr="00787196" w:rsidRDefault="00525DC8" w:rsidP="00525DC8">
      <w:pPr>
        <w:pStyle w:val="EndNoteBibliography"/>
        <w:spacing w:after="240"/>
        <w:rPr>
          <w:noProof/>
        </w:rPr>
      </w:pPr>
      <w:bookmarkStart w:id="526" w:name="_ENREF_169"/>
      <w:r w:rsidRPr="00787196">
        <w:rPr>
          <w:noProof/>
        </w:rPr>
        <w:t xml:space="preserve">HASSEL, A. J., KOKE, U., SCHMITTER, M., RAMMELSBERG, P., HASSEL, A. J., KOKE, U., SCHMITTER, M. &amp; RAMMELSBERG, P. 2006. Factors associated with oral health-related quality of life in institutionalized elderly. </w:t>
      </w:r>
      <w:r w:rsidRPr="00787196">
        <w:rPr>
          <w:i/>
          <w:noProof/>
        </w:rPr>
        <w:t>Acta Odontologica Scandinavica,</w:t>
      </w:r>
      <w:r w:rsidRPr="00787196">
        <w:rPr>
          <w:noProof/>
        </w:rPr>
        <w:t xml:space="preserve"> 64</w:t>
      </w:r>
      <w:r w:rsidRPr="00787196">
        <w:rPr>
          <w:b/>
          <w:noProof/>
        </w:rPr>
        <w:t>,</w:t>
      </w:r>
      <w:r w:rsidRPr="00787196">
        <w:rPr>
          <w:noProof/>
        </w:rPr>
        <w:t xml:space="preserve"> 9-15.</w:t>
      </w:r>
      <w:bookmarkEnd w:id="526"/>
    </w:p>
    <w:p w14:paraId="165EA4F4" w14:textId="77777777" w:rsidR="00525DC8" w:rsidRPr="00787196" w:rsidRDefault="00525DC8" w:rsidP="00525DC8">
      <w:pPr>
        <w:pStyle w:val="EndNoteBibliography"/>
        <w:spacing w:after="240"/>
        <w:rPr>
          <w:noProof/>
        </w:rPr>
      </w:pPr>
      <w:bookmarkStart w:id="527" w:name="_ENREF_170"/>
      <w:r w:rsidRPr="00787196">
        <w:rPr>
          <w:noProof/>
        </w:rPr>
        <w:t xml:space="preserve">HASSEL, A. J., ROLKO, C., GROSSMANN, A. C., OHLMANN, B., RAMMELSBERG, P., HASSEL, A. J., ROLKO, C., GROSSMANN, A.-C., OHLMANN, B. &amp; RAMMELSBERG, P. 2007. Correlations between self-ratings of denture function and oral health-related quality of life in different age groups. </w:t>
      </w:r>
      <w:r w:rsidRPr="00787196">
        <w:rPr>
          <w:i/>
          <w:noProof/>
        </w:rPr>
        <w:t>International Journal of Prosthodontics,</w:t>
      </w:r>
      <w:r w:rsidRPr="00787196">
        <w:rPr>
          <w:noProof/>
        </w:rPr>
        <w:t xml:space="preserve"> 20</w:t>
      </w:r>
      <w:r w:rsidRPr="00787196">
        <w:rPr>
          <w:b/>
          <w:noProof/>
        </w:rPr>
        <w:t>,</w:t>
      </w:r>
      <w:r w:rsidRPr="00787196">
        <w:rPr>
          <w:noProof/>
        </w:rPr>
        <w:t xml:space="preserve"> 242-4.</w:t>
      </w:r>
      <w:bookmarkEnd w:id="527"/>
    </w:p>
    <w:p w14:paraId="6CE6558C" w14:textId="77777777" w:rsidR="00525DC8" w:rsidRPr="00787196" w:rsidRDefault="00525DC8" w:rsidP="00525DC8">
      <w:pPr>
        <w:pStyle w:val="EndNoteBibliography"/>
        <w:spacing w:after="240"/>
        <w:rPr>
          <w:noProof/>
        </w:rPr>
      </w:pPr>
      <w:bookmarkStart w:id="528" w:name="_ENREF_171"/>
      <w:r w:rsidRPr="00787196">
        <w:rPr>
          <w:noProof/>
        </w:rPr>
        <w:t xml:space="preserve">HAUGEJORDEN, O., RISE, J. &amp; KLOCK, K. S. 1993. Norwegian adults' perceived need for coping skills to adjust to dental and non-dental life events. </w:t>
      </w:r>
      <w:r w:rsidRPr="00787196">
        <w:rPr>
          <w:i/>
          <w:noProof/>
        </w:rPr>
        <w:t>Community Dent Oral Epidemiol,</w:t>
      </w:r>
      <w:r w:rsidRPr="00787196">
        <w:rPr>
          <w:noProof/>
        </w:rPr>
        <w:t xml:space="preserve"> 21</w:t>
      </w:r>
      <w:r w:rsidRPr="00787196">
        <w:rPr>
          <w:b/>
          <w:noProof/>
        </w:rPr>
        <w:t>,</w:t>
      </w:r>
      <w:r w:rsidRPr="00787196">
        <w:rPr>
          <w:noProof/>
        </w:rPr>
        <w:t xml:space="preserve"> 57-61.</w:t>
      </w:r>
      <w:bookmarkEnd w:id="528"/>
    </w:p>
    <w:p w14:paraId="22504FCE" w14:textId="77777777" w:rsidR="00525DC8" w:rsidRPr="00787196" w:rsidRDefault="00525DC8" w:rsidP="00525DC8">
      <w:pPr>
        <w:pStyle w:val="EndNoteBibliography"/>
        <w:spacing w:after="240"/>
        <w:rPr>
          <w:noProof/>
        </w:rPr>
      </w:pPr>
      <w:bookmarkStart w:id="529" w:name="_ENREF_172"/>
      <w:r w:rsidRPr="00787196">
        <w:rPr>
          <w:noProof/>
        </w:rPr>
        <w:t xml:space="preserve">HAYNES, S. N., RICHARD, D. &amp; KUBANY, E. S. 1995. Content validity in psychological assessment: A functional approach to concepts and methods. </w:t>
      </w:r>
      <w:r w:rsidRPr="00787196">
        <w:rPr>
          <w:i/>
          <w:noProof/>
        </w:rPr>
        <w:t>Psychological assessment,</w:t>
      </w:r>
      <w:r w:rsidRPr="00787196">
        <w:rPr>
          <w:noProof/>
        </w:rPr>
        <w:t xml:space="preserve"> 7</w:t>
      </w:r>
      <w:r w:rsidRPr="00787196">
        <w:rPr>
          <w:b/>
          <w:noProof/>
        </w:rPr>
        <w:t>,</w:t>
      </w:r>
      <w:r w:rsidRPr="00787196">
        <w:rPr>
          <w:noProof/>
        </w:rPr>
        <w:t xml:space="preserve"> 238.</w:t>
      </w:r>
      <w:bookmarkEnd w:id="529"/>
    </w:p>
    <w:p w14:paraId="21B9F48B" w14:textId="77777777" w:rsidR="00525DC8" w:rsidRPr="00787196" w:rsidRDefault="00525DC8" w:rsidP="00525DC8">
      <w:pPr>
        <w:pStyle w:val="EndNoteBibliography"/>
        <w:spacing w:after="240"/>
        <w:rPr>
          <w:noProof/>
        </w:rPr>
      </w:pPr>
      <w:bookmarkStart w:id="530" w:name="_ENREF_173"/>
      <w:r w:rsidRPr="00787196">
        <w:rPr>
          <w:noProof/>
        </w:rPr>
        <w:t xml:space="preserve">HEINE, S. J. &amp; NORENZAYAN, A. 2006. Toward a Psychological Science for a Cultural Species. </w:t>
      </w:r>
      <w:r w:rsidRPr="00787196">
        <w:rPr>
          <w:i/>
          <w:noProof/>
        </w:rPr>
        <w:t>Perspectives on Psychological Science,</w:t>
      </w:r>
      <w:r w:rsidRPr="00787196">
        <w:rPr>
          <w:noProof/>
        </w:rPr>
        <w:t xml:space="preserve"> 1</w:t>
      </w:r>
      <w:r w:rsidRPr="00787196">
        <w:rPr>
          <w:b/>
          <w:noProof/>
        </w:rPr>
        <w:t>,</w:t>
      </w:r>
      <w:r w:rsidRPr="00787196">
        <w:rPr>
          <w:noProof/>
        </w:rPr>
        <w:t xml:space="preserve"> 251-269.</w:t>
      </w:r>
      <w:bookmarkEnd w:id="530"/>
    </w:p>
    <w:p w14:paraId="5EFB1241" w14:textId="77777777" w:rsidR="00525DC8" w:rsidRPr="00787196" w:rsidRDefault="00525DC8" w:rsidP="00525DC8">
      <w:pPr>
        <w:pStyle w:val="EndNoteBibliography"/>
        <w:spacing w:after="240"/>
        <w:rPr>
          <w:noProof/>
        </w:rPr>
      </w:pPr>
      <w:bookmarkStart w:id="531" w:name="_ENREF_174"/>
      <w:r w:rsidRPr="00787196">
        <w:rPr>
          <w:noProof/>
        </w:rPr>
        <w:lastRenderedPageBreak/>
        <w:t xml:space="preserve">HENSON, R. K. &amp; ROBERTS, J. K. 2006. Use of exploratory factor analysis in published research common errors and some comment on improved practice. </w:t>
      </w:r>
      <w:r w:rsidRPr="00787196">
        <w:rPr>
          <w:i/>
          <w:noProof/>
        </w:rPr>
        <w:t>Educational and Psychological measurement,</w:t>
      </w:r>
      <w:r w:rsidRPr="00787196">
        <w:rPr>
          <w:noProof/>
        </w:rPr>
        <w:t xml:space="preserve"> 66</w:t>
      </w:r>
      <w:r w:rsidRPr="00787196">
        <w:rPr>
          <w:b/>
          <w:noProof/>
        </w:rPr>
        <w:t>,</w:t>
      </w:r>
      <w:r w:rsidRPr="00787196">
        <w:rPr>
          <w:noProof/>
        </w:rPr>
        <w:t xml:space="preserve"> 393-416.</w:t>
      </w:r>
      <w:bookmarkEnd w:id="531"/>
    </w:p>
    <w:p w14:paraId="3B472949" w14:textId="77777777" w:rsidR="00525DC8" w:rsidRPr="00787196" w:rsidRDefault="00525DC8" w:rsidP="00525DC8">
      <w:pPr>
        <w:pStyle w:val="EndNoteBibliography"/>
        <w:spacing w:after="240"/>
        <w:rPr>
          <w:noProof/>
        </w:rPr>
      </w:pPr>
      <w:bookmarkStart w:id="532" w:name="_ENREF_175"/>
      <w:r w:rsidRPr="00787196">
        <w:rPr>
          <w:noProof/>
        </w:rPr>
        <w:t xml:space="preserve">HEPPNER, P. P. 2008. Expanding the conceptualization and measurement of applied problem solving and coping: From stages to dimensions to the almost forgotten cultural context. </w:t>
      </w:r>
      <w:r w:rsidRPr="00787196">
        <w:rPr>
          <w:i/>
          <w:noProof/>
        </w:rPr>
        <w:t>Am Psychol,</w:t>
      </w:r>
      <w:r w:rsidRPr="00787196">
        <w:rPr>
          <w:noProof/>
        </w:rPr>
        <w:t xml:space="preserve"> 63</w:t>
      </w:r>
      <w:r w:rsidRPr="00787196">
        <w:rPr>
          <w:b/>
          <w:noProof/>
        </w:rPr>
        <w:t>,</w:t>
      </w:r>
      <w:r w:rsidRPr="00787196">
        <w:rPr>
          <w:noProof/>
        </w:rPr>
        <w:t xml:space="preserve"> 805-16.</w:t>
      </w:r>
      <w:bookmarkEnd w:id="532"/>
    </w:p>
    <w:p w14:paraId="25667387" w14:textId="77777777" w:rsidR="00525DC8" w:rsidRPr="00787196" w:rsidRDefault="00525DC8" w:rsidP="00525DC8">
      <w:pPr>
        <w:pStyle w:val="EndNoteBibliography"/>
        <w:spacing w:after="240"/>
        <w:rPr>
          <w:noProof/>
        </w:rPr>
      </w:pPr>
      <w:bookmarkStart w:id="533" w:name="_ENREF_176"/>
      <w:r w:rsidRPr="00787196">
        <w:rPr>
          <w:noProof/>
        </w:rPr>
        <w:t xml:space="preserve">HEWA, S. &amp; HETHERINGTON, R. W. 1995. Specialists without spirit: Limitations of the mechanistic biomedical model. </w:t>
      </w:r>
      <w:r w:rsidRPr="00787196">
        <w:rPr>
          <w:i/>
          <w:noProof/>
        </w:rPr>
        <w:t>Theoretical Medicine and Bioethics,</w:t>
      </w:r>
      <w:r w:rsidRPr="00787196">
        <w:rPr>
          <w:noProof/>
        </w:rPr>
        <w:t xml:space="preserve"> 16</w:t>
      </w:r>
      <w:r w:rsidRPr="00787196">
        <w:rPr>
          <w:b/>
          <w:noProof/>
        </w:rPr>
        <w:t>,</w:t>
      </w:r>
      <w:r w:rsidRPr="00787196">
        <w:rPr>
          <w:noProof/>
        </w:rPr>
        <w:t xml:space="preserve"> 129-139.</w:t>
      </w:r>
      <w:bookmarkEnd w:id="533"/>
    </w:p>
    <w:p w14:paraId="5545274F" w14:textId="77777777" w:rsidR="00525DC8" w:rsidRPr="00787196" w:rsidRDefault="00525DC8" w:rsidP="00525DC8">
      <w:pPr>
        <w:pStyle w:val="EndNoteBibliography"/>
        <w:spacing w:after="240"/>
        <w:rPr>
          <w:noProof/>
        </w:rPr>
      </w:pPr>
      <w:bookmarkStart w:id="534" w:name="_ENREF_177"/>
      <w:r w:rsidRPr="00787196">
        <w:rPr>
          <w:noProof/>
        </w:rPr>
        <w:t xml:space="preserve">HEYDECKE, G., KLEMETTI, E., AWAD, M. A., LUND, J. P. &amp; FEINE, J. S. 2003a. Relationship between prosthodontic evaluation and patient ratings of mandibular conventional and implant prostheses. </w:t>
      </w:r>
      <w:r w:rsidRPr="00787196">
        <w:rPr>
          <w:i/>
          <w:noProof/>
        </w:rPr>
        <w:t>International Journal of Prosthodontics,</w:t>
      </w:r>
      <w:r w:rsidRPr="00787196">
        <w:rPr>
          <w:noProof/>
        </w:rPr>
        <w:t xml:space="preserve"> 16</w:t>
      </w:r>
      <w:r w:rsidRPr="00787196">
        <w:rPr>
          <w:b/>
          <w:noProof/>
        </w:rPr>
        <w:t>,</w:t>
      </w:r>
      <w:r w:rsidRPr="00787196">
        <w:rPr>
          <w:noProof/>
        </w:rPr>
        <w:t xml:space="preserve"> 307-312.</w:t>
      </w:r>
      <w:bookmarkEnd w:id="534"/>
    </w:p>
    <w:p w14:paraId="171C952F" w14:textId="77777777" w:rsidR="00525DC8" w:rsidRPr="00787196" w:rsidRDefault="00525DC8" w:rsidP="00525DC8">
      <w:pPr>
        <w:pStyle w:val="EndNoteBibliography"/>
        <w:spacing w:after="240"/>
        <w:rPr>
          <w:noProof/>
        </w:rPr>
      </w:pPr>
      <w:bookmarkStart w:id="535" w:name="_ENREF_178"/>
      <w:r w:rsidRPr="00787196">
        <w:rPr>
          <w:noProof/>
        </w:rPr>
        <w:t xml:space="preserve">HEYDECKE, G., LOCKER, D., AWAD, M. A., LUND, J. P. &amp; FEINE, J. S. 2003b. Oral and general health-related quality of life with conventional and implant dentures. </w:t>
      </w:r>
      <w:r w:rsidRPr="00787196">
        <w:rPr>
          <w:i/>
          <w:noProof/>
        </w:rPr>
        <w:t>Community Dent Oral Epidemiol,</w:t>
      </w:r>
      <w:r w:rsidRPr="00787196">
        <w:rPr>
          <w:noProof/>
        </w:rPr>
        <w:t xml:space="preserve"> 31</w:t>
      </w:r>
      <w:r w:rsidRPr="00787196">
        <w:rPr>
          <w:b/>
          <w:noProof/>
        </w:rPr>
        <w:t>,</w:t>
      </w:r>
      <w:r w:rsidRPr="00787196">
        <w:rPr>
          <w:noProof/>
        </w:rPr>
        <w:t xml:space="preserve"> 161-8.</w:t>
      </w:r>
      <w:bookmarkEnd w:id="535"/>
    </w:p>
    <w:p w14:paraId="7371F14F" w14:textId="77777777" w:rsidR="00525DC8" w:rsidRPr="00787196" w:rsidRDefault="00525DC8" w:rsidP="00525DC8">
      <w:pPr>
        <w:pStyle w:val="EndNoteBibliography"/>
        <w:spacing w:after="240"/>
        <w:rPr>
          <w:noProof/>
        </w:rPr>
      </w:pPr>
      <w:bookmarkStart w:id="536" w:name="_ENREF_179"/>
      <w:r w:rsidRPr="00787196">
        <w:rPr>
          <w:noProof/>
        </w:rPr>
        <w:t xml:space="preserve">HEYDECKE, G., PENROD, J. R., TAKANASHI, Y., LUND, J. P., FEINE, J. S. &amp; THOMASON, J. M. 2005a. Cost-effectiveness of mandibular two-implant overdentures and conventional dentures in the edentulous elderly. </w:t>
      </w:r>
      <w:r w:rsidRPr="00787196">
        <w:rPr>
          <w:i/>
          <w:noProof/>
        </w:rPr>
        <w:t>J Dent Res,</w:t>
      </w:r>
      <w:r w:rsidRPr="00787196">
        <w:rPr>
          <w:noProof/>
        </w:rPr>
        <w:t xml:space="preserve"> 84</w:t>
      </w:r>
      <w:r w:rsidRPr="00787196">
        <w:rPr>
          <w:b/>
          <w:noProof/>
        </w:rPr>
        <w:t>,</w:t>
      </w:r>
      <w:r w:rsidRPr="00787196">
        <w:rPr>
          <w:noProof/>
        </w:rPr>
        <w:t xml:space="preserve"> 794-9.</w:t>
      </w:r>
      <w:bookmarkEnd w:id="536"/>
    </w:p>
    <w:p w14:paraId="1F12EFDF" w14:textId="77777777" w:rsidR="00525DC8" w:rsidRPr="00787196" w:rsidRDefault="00525DC8" w:rsidP="00525DC8">
      <w:pPr>
        <w:pStyle w:val="EndNoteBibliography"/>
        <w:spacing w:after="240"/>
        <w:rPr>
          <w:noProof/>
        </w:rPr>
      </w:pPr>
      <w:bookmarkStart w:id="537" w:name="_ENREF_180"/>
      <w:r w:rsidRPr="00787196">
        <w:rPr>
          <w:noProof/>
        </w:rPr>
        <w:t xml:space="preserve">HEYDECKE, G., TEDESCO, L. A., KOWALSKI, C. &amp; INGLEHART, M. R. 2004. Complete dentures and oral health-related quality of life – do coping styles matter? </w:t>
      </w:r>
      <w:r w:rsidRPr="00787196">
        <w:rPr>
          <w:i/>
          <w:noProof/>
        </w:rPr>
        <w:t>Community Dentistry and Oral Epidemiology,</w:t>
      </w:r>
      <w:r w:rsidRPr="00787196">
        <w:rPr>
          <w:noProof/>
        </w:rPr>
        <w:t xml:space="preserve"> 32</w:t>
      </w:r>
      <w:r w:rsidRPr="00787196">
        <w:rPr>
          <w:b/>
          <w:noProof/>
        </w:rPr>
        <w:t>,</w:t>
      </w:r>
      <w:r w:rsidRPr="00787196">
        <w:rPr>
          <w:noProof/>
        </w:rPr>
        <w:t xml:space="preserve"> 297-306.</w:t>
      </w:r>
      <w:bookmarkEnd w:id="537"/>
    </w:p>
    <w:p w14:paraId="2AFCD18B" w14:textId="77777777" w:rsidR="00525DC8" w:rsidRPr="00787196" w:rsidRDefault="00525DC8" w:rsidP="00525DC8">
      <w:pPr>
        <w:pStyle w:val="EndNoteBibliography"/>
        <w:spacing w:after="240"/>
        <w:rPr>
          <w:noProof/>
        </w:rPr>
      </w:pPr>
      <w:bookmarkStart w:id="538" w:name="_ENREF_181"/>
      <w:r w:rsidRPr="00787196">
        <w:rPr>
          <w:noProof/>
        </w:rPr>
        <w:t xml:space="preserve">HEYDECKE, G., THOMASON, J. M., LUND, J. P. &amp; FEINE, J. S. 2005b. The impact of conventional and implant supported prostheses on social and sexual activities in edentulous adults Results from a randomized trial 2 months after treatment. </w:t>
      </w:r>
      <w:r w:rsidRPr="00787196">
        <w:rPr>
          <w:i/>
          <w:noProof/>
        </w:rPr>
        <w:t>J Dent,</w:t>
      </w:r>
      <w:r w:rsidRPr="00787196">
        <w:rPr>
          <w:noProof/>
        </w:rPr>
        <w:t xml:space="preserve"> 33</w:t>
      </w:r>
      <w:r w:rsidRPr="00787196">
        <w:rPr>
          <w:b/>
          <w:noProof/>
        </w:rPr>
        <w:t>,</w:t>
      </w:r>
      <w:r w:rsidRPr="00787196">
        <w:rPr>
          <w:noProof/>
        </w:rPr>
        <w:t xml:space="preserve"> 649-57.</w:t>
      </w:r>
      <w:bookmarkEnd w:id="538"/>
    </w:p>
    <w:p w14:paraId="568436ED" w14:textId="77777777" w:rsidR="00525DC8" w:rsidRPr="00787196" w:rsidRDefault="00525DC8" w:rsidP="00525DC8">
      <w:pPr>
        <w:pStyle w:val="EndNoteBibliography"/>
        <w:spacing w:after="240"/>
        <w:rPr>
          <w:noProof/>
        </w:rPr>
      </w:pPr>
      <w:bookmarkStart w:id="539" w:name="_ENREF_182"/>
      <w:r w:rsidRPr="00787196">
        <w:rPr>
          <w:noProof/>
        </w:rPr>
        <w:t xml:space="preserve">HEYDECKE, G., VOGELER, M., WOLKEWITZ, M., TURP, J. C. &amp; STRUB, J. R. 2008. Simplified versus comprehensive fabrication of complete dentures: patient ratings of denture satisfaction from a randomized crossover trial. </w:t>
      </w:r>
      <w:r w:rsidRPr="00787196">
        <w:rPr>
          <w:i/>
          <w:noProof/>
        </w:rPr>
        <w:t>Quintessence international</w:t>
      </w:r>
      <w:r w:rsidRPr="00787196">
        <w:rPr>
          <w:b/>
          <w:noProof/>
        </w:rPr>
        <w:t>,</w:t>
      </w:r>
      <w:r w:rsidRPr="00787196">
        <w:rPr>
          <w:noProof/>
        </w:rPr>
        <w:t xml:space="preserve"> 107.</w:t>
      </w:r>
      <w:bookmarkEnd w:id="539"/>
    </w:p>
    <w:p w14:paraId="47EE42EE" w14:textId="77777777" w:rsidR="00525DC8" w:rsidRPr="00787196" w:rsidRDefault="00525DC8" w:rsidP="00525DC8">
      <w:pPr>
        <w:pStyle w:val="EndNoteBibliography"/>
        <w:spacing w:after="240"/>
        <w:rPr>
          <w:noProof/>
        </w:rPr>
      </w:pPr>
      <w:bookmarkStart w:id="540" w:name="_ENREF_183"/>
      <w:r w:rsidRPr="00787196">
        <w:rPr>
          <w:noProof/>
        </w:rPr>
        <w:t xml:space="preserve">HOGENIUS, S., BERGGREN, U., BLOMBERG, S., JEMT, T. &amp; ÖHMAN, S.-C. 1992. Demographical, odontological, and psychological variables in individuals referred for </w:t>
      </w:r>
      <w:r w:rsidRPr="00787196">
        <w:rPr>
          <w:noProof/>
        </w:rPr>
        <w:lastRenderedPageBreak/>
        <w:t xml:space="preserve">osseointegrated dental implants. </w:t>
      </w:r>
      <w:r w:rsidRPr="00787196">
        <w:rPr>
          <w:i/>
          <w:noProof/>
        </w:rPr>
        <w:t>Community Dentistry and Oral Epidemiology,</w:t>
      </w:r>
      <w:r w:rsidRPr="00787196">
        <w:rPr>
          <w:noProof/>
        </w:rPr>
        <w:t xml:space="preserve"> 20</w:t>
      </w:r>
      <w:r w:rsidRPr="00787196">
        <w:rPr>
          <w:b/>
          <w:noProof/>
        </w:rPr>
        <w:t>,</w:t>
      </w:r>
      <w:r w:rsidRPr="00787196">
        <w:rPr>
          <w:noProof/>
        </w:rPr>
        <w:t xml:space="preserve"> 224-228.</w:t>
      </w:r>
      <w:bookmarkEnd w:id="540"/>
    </w:p>
    <w:p w14:paraId="7065408D" w14:textId="77777777" w:rsidR="00525DC8" w:rsidRPr="00787196" w:rsidRDefault="00525DC8" w:rsidP="00525DC8">
      <w:pPr>
        <w:pStyle w:val="EndNoteBibliography"/>
        <w:spacing w:after="240"/>
        <w:rPr>
          <w:noProof/>
        </w:rPr>
      </w:pPr>
      <w:bookmarkStart w:id="541" w:name="_ENREF_184"/>
      <w:r w:rsidRPr="00787196">
        <w:rPr>
          <w:noProof/>
        </w:rPr>
        <w:t xml:space="preserve">HOLAHAN, C. J., MOOS, R. H., HOLAHAN, C. K. &amp; BRENNAN, P. L. 1995. Social support, coping, and depressive symptoms in a late-middle-aged sample of patients reporting cardiac illness. </w:t>
      </w:r>
      <w:r w:rsidRPr="00787196">
        <w:rPr>
          <w:i/>
          <w:noProof/>
        </w:rPr>
        <w:t>Health Psychol,</w:t>
      </w:r>
      <w:r w:rsidRPr="00787196">
        <w:rPr>
          <w:noProof/>
        </w:rPr>
        <w:t xml:space="preserve"> 14</w:t>
      </w:r>
      <w:r w:rsidRPr="00787196">
        <w:rPr>
          <w:b/>
          <w:noProof/>
        </w:rPr>
        <w:t>,</w:t>
      </w:r>
      <w:r w:rsidRPr="00787196">
        <w:rPr>
          <w:noProof/>
        </w:rPr>
        <w:t xml:space="preserve"> 152-63.</w:t>
      </w:r>
      <w:bookmarkEnd w:id="541"/>
    </w:p>
    <w:p w14:paraId="45C9B41F" w14:textId="77777777" w:rsidR="00525DC8" w:rsidRPr="00787196" w:rsidRDefault="00525DC8" w:rsidP="00525DC8">
      <w:pPr>
        <w:pStyle w:val="EndNoteBibliography"/>
        <w:spacing w:after="240"/>
        <w:rPr>
          <w:noProof/>
        </w:rPr>
      </w:pPr>
      <w:bookmarkStart w:id="542" w:name="_ENREF_185"/>
      <w:r w:rsidRPr="00787196">
        <w:rPr>
          <w:noProof/>
        </w:rPr>
        <w:t xml:space="preserve">HOLMLUND, A., HOLM, G. &amp; LIND, L. 2010. Number of teeth as a predictor of cardiovascular mortality in a cohort of 7,674 subjects followed for 12 years. </w:t>
      </w:r>
      <w:r w:rsidRPr="00787196">
        <w:rPr>
          <w:i/>
          <w:noProof/>
        </w:rPr>
        <w:t>Journal of periodontology,</w:t>
      </w:r>
      <w:r w:rsidRPr="00787196">
        <w:rPr>
          <w:noProof/>
        </w:rPr>
        <w:t xml:space="preserve"> 81</w:t>
      </w:r>
      <w:r w:rsidRPr="00787196">
        <w:rPr>
          <w:b/>
          <w:noProof/>
        </w:rPr>
        <w:t>,</w:t>
      </w:r>
      <w:r w:rsidRPr="00787196">
        <w:rPr>
          <w:noProof/>
        </w:rPr>
        <w:t xml:space="preserve"> 870-876.</w:t>
      </w:r>
      <w:bookmarkEnd w:id="542"/>
    </w:p>
    <w:p w14:paraId="506CCAC3" w14:textId="77777777" w:rsidR="00525DC8" w:rsidRPr="00787196" w:rsidRDefault="00525DC8" w:rsidP="00525DC8">
      <w:pPr>
        <w:pStyle w:val="EndNoteBibliography"/>
        <w:spacing w:after="240"/>
        <w:rPr>
          <w:noProof/>
        </w:rPr>
      </w:pPr>
      <w:bookmarkStart w:id="543" w:name="_ENREF_186"/>
      <w:r w:rsidRPr="00787196">
        <w:rPr>
          <w:noProof/>
        </w:rPr>
        <w:t xml:space="preserve">HORNQUIST, J. O. 1990. Quality of Life. </w:t>
      </w:r>
      <w:r w:rsidRPr="00787196">
        <w:rPr>
          <w:i/>
          <w:noProof/>
        </w:rPr>
        <w:t>Scandinavian Journal of Public Health,</w:t>
      </w:r>
      <w:r w:rsidRPr="00787196">
        <w:rPr>
          <w:noProof/>
        </w:rPr>
        <w:t xml:space="preserve"> 18</w:t>
      </w:r>
      <w:r w:rsidRPr="00787196">
        <w:rPr>
          <w:b/>
          <w:noProof/>
        </w:rPr>
        <w:t>,</w:t>
      </w:r>
      <w:r w:rsidRPr="00787196">
        <w:rPr>
          <w:noProof/>
        </w:rPr>
        <w:t xml:space="preserve"> 69-79.</w:t>
      </w:r>
      <w:bookmarkEnd w:id="543"/>
    </w:p>
    <w:p w14:paraId="233D68DE" w14:textId="77777777" w:rsidR="00525DC8" w:rsidRPr="00787196" w:rsidRDefault="00525DC8" w:rsidP="00525DC8">
      <w:pPr>
        <w:pStyle w:val="EndNoteBibliography"/>
        <w:spacing w:after="240"/>
        <w:rPr>
          <w:noProof/>
        </w:rPr>
      </w:pPr>
      <w:bookmarkStart w:id="544" w:name="_ENREF_187"/>
      <w:r w:rsidRPr="00787196">
        <w:rPr>
          <w:noProof/>
        </w:rPr>
        <w:t xml:space="preserve">HU, P., ADLER, N. E., GOLDMAN, N., WEINSTEIN, M. &amp; SEEMAN, T. E. 2005. Relationship between subjective social status and measures of health in older Taiwanese persons. </w:t>
      </w:r>
      <w:r w:rsidRPr="00787196">
        <w:rPr>
          <w:i/>
          <w:noProof/>
        </w:rPr>
        <w:t>J Am Geriatr Soc,</w:t>
      </w:r>
      <w:r w:rsidRPr="00787196">
        <w:rPr>
          <w:noProof/>
        </w:rPr>
        <w:t xml:space="preserve"> 53</w:t>
      </w:r>
      <w:r w:rsidRPr="00787196">
        <w:rPr>
          <w:b/>
          <w:noProof/>
        </w:rPr>
        <w:t>,</w:t>
      </w:r>
      <w:r w:rsidRPr="00787196">
        <w:rPr>
          <w:noProof/>
        </w:rPr>
        <w:t xml:space="preserve"> 483-8.</w:t>
      </w:r>
      <w:bookmarkEnd w:id="544"/>
    </w:p>
    <w:p w14:paraId="684B2982" w14:textId="77777777" w:rsidR="00525DC8" w:rsidRPr="00787196" w:rsidRDefault="00525DC8" w:rsidP="00525DC8">
      <w:pPr>
        <w:pStyle w:val="EndNoteBibliography"/>
        <w:spacing w:after="240"/>
        <w:rPr>
          <w:noProof/>
        </w:rPr>
      </w:pPr>
      <w:bookmarkStart w:id="545" w:name="_ENREF_188"/>
      <w:r w:rsidRPr="00787196">
        <w:rPr>
          <w:noProof/>
        </w:rPr>
        <w:t xml:space="preserve">HWANG, S. J., PATTON, L. L., KIM, J. H. &amp; KIM, H. Y. 2012. Relationship between oral impacts on daily performance and chewing ability among independent elders residing in Daejeon City, Korea. </w:t>
      </w:r>
      <w:r w:rsidRPr="00787196">
        <w:rPr>
          <w:i/>
          <w:noProof/>
        </w:rPr>
        <w:t>Gerodontology,</w:t>
      </w:r>
      <w:r w:rsidRPr="00787196">
        <w:rPr>
          <w:noProof/>
        </w:rPr>
        <w:t xml:space="preserve"> 29</w:t>
      </w:r>
      <w:r w:rsidRPr="00787196">
        <w:rPr>
          <w:b/>
          <w:noProof/>
        </w:rPr>
        <w:t>,</w:t>
      </w:r>
      <w:r w:rsidRPr="00787196">
        <w:rPr>
          <w:noProof/>
        </w:rPr>
        <w:t xml:space="preserve"> e481-8.</w:t>
      </w:r>
      <w:bookmarkEnd w:id="545"/>
    </w:p>
    <w:p w14:paraId="317F4F51" w14:textId="77777777" w:rsidR="00525DC8" w:rsidRPr="00787196" w:rsidRDefault="00525DC8" w:rsidP="00525DC8">
      <w:pPr>
        <w:pStyle w:val="EndNoteBibliography"/>
        <w:spacing w:after="240"/>
        <w:rPr>
          <w:noProof/>
        </w:rPr>
      </w:pPr>
      <w:bookmarkStart w:id="546" w:name="_ENREF_189"/>
      <w:r w:rsidRPr="00787196">
        <w:rPr>
          <w:noProof/>
        </w:rPr>
        <w:t xml:space="preserve">IKEBE, K., HAZEYAMA, T., MORII, K., MATSUDA, K., MAEDA, Y., NOKUBI, T., IKEBE, K., HAZEYAMA, T., MORII, K., MATSUDA, K.-I., MAEDA, Y. &amp; NOKUBI, T. 2007. Impact of masticatory performance on oral health-related quality of life for elderly Japanese. </w:t>
      </w:r>
      <w:r w:rsidRPr="00787196">
        <w:rPr>
          <w:i/>
          <w:noProof/>
        </w:rPr>
        <w:t>International Journal of Prosthodontics,</w:t>
      </w:r>
      <w:r w:rsidRPr="00787196">
        <w:rPr>
          <w:noProof/>
        </w:rPr>
        <w:t xml:space="preserve"> 20</w:t>
      </w:r>
      <w:r w:rsidRPr="00787196">
        <w:rPr>
          <w:b/>
          <w:noProof/>
        </w:rPr>
        <w:t>,</w:t>
      </w:r>
      <w:r w:rsidRPr="00787196">
        <w:rPr>
          <w:noProof/>
        </w:rPr>
        <w:t xml:space="preserve"> 478-85.</w:t>
      </w:r>
      <w:bookmarkEnd w:id="546"/>
    </w:p>
    <w:p w14:paraId="24AFEFB2" w14:textId="77777777" w:rsidR="00525DC8" w:rsidRPr="00787196" w:rsidRDefault="00525DC8" w:rsidP="00525DC8">
      <w:pPr>
        <w:pStyle w:val="EndNoteBibliography"/>
        <w:spacing w:after="240"/>
        <w:rPr>
          <w:noProof/>
        </w:rPr>
      </w:pPr>
      <w:bookmarkStart w:id="547" w:name="_ENREF_190"/>
      <w:r w:rsidRPr="00787196">
        <w:rPr>
          <w:noProof/>
        </w:rPr>
        <w:t xml:space="preserve">IKEBE, K., WATKINS, C. A., ETTINGER, R. L., SAJIMA, H., NOKUBI, T., IKEBE, K., WATKINS, C. A., ETTINGER, R. L., SAJIMA, H. &amp; NOKUBI, T. 2004. Application of short-form oral health impact profile on elderly Japanese. </w:t>
      </w:r>
      <w:r w:rsidRPr="00787196">
        <w:rPr>
          <w:i/>
          <w:noProof/>
        </w:rPr>
        <w:t>Gerodontology,</w:t>
      </w:r>
      <w:r w:rsidRPr="00787196">
        <w:rPr>
          <w:noProof/>
        </w:rPr>
        <w:t xml:space="preserve"> 21</w:t>
      </w:r>
      <w:r w:rsidRPr="00787196">
        <w:rPr>
          <w:b/>
          <w:noProof/>
        </w:rPr>
        <w:t>,</w:t>
      </w:r>
      <w:r w:rsidRPr="00787196">
        <w:rPr>
          <w:noProof/>
        </w:rPr>
        <w:t xml:space="preserve"> 167-76.</w:t>
      </w:r>
      <w:bookmarkEnd w:id="547"/>
    </w:p>
    <w:p w14:paraId="5415F3A9" w14:textId="038FB587" w:rsidR="00525DC8" w:rsidRPr="00787196" w:rsidRDefault="00525DC8" w:rsidP="00525DC8">
      <w:pPr>
        <w:pStyle w:val="EndNoteBibliography"/>
        <w:spacing w:after="240"/>
        <w:rPr>
          <w:noProof/>
        </w:rPr>
      </w:pPr>
      <w:bookmarkStart w:id="548" w:name="_ENREF_191"/>
      <w:r w:rsidRPr="00787196">
        <w:rPr>
          <w:noProof/>
        </w:rPr>
        <w:t xml:space="preserve">INDIKOSH. 2011. </w:t>
      </w:r>
      <w:r w:rsidRPr="00787196">
        <w:rPr>
          <w:i/>
          <w:noProof/>
        </w:rPr>
        <w:t xml:space="preserve">Demographics -Chennai district </w:t>
      </w:r>
      <w:r w:rsidRPr="00787196">
        <w:rPr>
          <w:noProof/>
        </w:rPr>
        <w:t xml:space="preserve">[Online]. IndiKosh. Available: </w:t>
      </w:r>
      <w:hyperlink r:id="rId35" w:history="1">
        <w:r w:rsidRPr="00787196">
          <w:rPr>
            <w:rStyle w:val="Hyperlink"/>
            <w:noProof/>
          </w:rPr>
          <w:t>http://indikosh.com/dist/677073/chennai</w:t>
        </w:r>
      </w:hyperlink>
      <w:r w:rsidRPr="00787196">
        <w:rPr>
          <w:noProof/>
        </w:rPr>
        <w:t xml:space="preserve"> [Accessed 17-05-2016].</w:t>
      </w:r>
      <w:bookmarkEnd w:id="548"/>
    </w:p>
    <w:p w14:paraId="3B0E29DF" w14:textId="77777777" w:rsidR="00525DC8" w:rsidRPr="00787196" w:rsidRDefault="00525DC8" w:rsidP="00525DC8">
      <w:pPr>
        <w:pStyle w:val="EndNoteBibliography"/>
        <w:spacing w:after="240"/>
        <w:rPr>
          <w:noProof/>
        </w:rPr>
      </w:pPr>
      <w:bookmarkStart w:id="549" w:name="_ENREF_192"/>
      <w:r w:rsidRPr="00787196">
        <w:rPr>
          <w:noProof/>
        </w:rPr>
        <w:t xml:space="preserve">INGLEHART, M. &amp; BAGRAMIAN, R. 2002. Oral health related quality of life: an introduction. </w:t>
      </w:r>
      <w:r w:rsidRPr="00787196">
        <w:rPr>
          <w:i/>
          <w:noProof/>
        </w:rPr>
        <w:t>In:</w:t>
      </w:r>
      <w:r w:rsidRPr="00787196">
        <w:rPr>
          <w:noProof/>
        </w:rPr>
        <w:t xml:space="preserve"> INGLEHART M &amp; BAGRAMIAN R (eds.) </w:t>
      </w:r>
      <w:r w:rsidRPr="00787196">
        <w:rPr>
          <w:i/>
          <w:noProof/>
        </w:rPr>
        <w:t>Oral health related quality of life.</w:t>
      </w:r>
      <w:r w:rsidRPr="00787196">
        <w:rPr>
          <w:noProof/>
        </w:rPr>
        <w:t xml:space="preserve"> Chicago,IL Quintessence.</w:t>
      </w:r>
      <w:bookmarkEnd w:id="549"/>
    </w:p>
    <w:p w14:paraId="40FED2CF" w14:textId="77777777" w:rsidR="00525DC8" w:rsidRPr="00787196" w:rsidRDefault="00525DC8" w:rsidP="00525DC8">
      <w:pPr>
        <w:pStyle w:val="EndNoteBibliography"/>
        <w:spacing w:after="240"/>
        <w:rPr>
          <w:noProof/>
        </w:rPr>
      </w:pPr>
      <w:bookmarkStart w:id="550" w:name="_ENREF_193"/>
      <w:r w:rsidRPr="00787196">
        <w:rPr>
          <w:noProof/>
        </w:rPr>
        <w:t xml:space="preserve">INOKOSHI, M., KANAZAWA, M. &amp; MINAKUCHI, S. 2012. Evaluation of a complete denture trial method applying rapid prototyping. </w:t>
      </w:r>
      <w:r w:rsidRPr="00787196">
        <w:rPr>
          <w:i/>
          <w:noProof/>
        </w:rPr>
        <w:t>Dental Materials Journal,</w:t>
      </w:r>
      <w:r w:rsidRPr="00787196">
        <w:rPr>
          <w:noProof/>
        </w:rPr>
        <w:t xml:space="preserve"> 31</w:t>
      </w:r>
      <w:r w:rsidRPr="00787196">
        <w:rPr>
          <w:b/>
          <w:noProof/>
        </w:rPr>
        <w:t>,</w:t>
      </w:r>
      <w:r w:rsidRPr="00787196">
        <w:rPr>
          <w:noProof/>
        </w:rPr>
        <w:t xml:space="preserve"> 40-46.</w:t>
      </w:r>
      <w:bookmarkEnd w:id="550"/>
    </w:p>
    <w:p w14:paraId="72F7FA55" w14:textId="77777777" w:rsidR="00525DC8" w:rsidRPr="00787196" w:rsidRDefault="00525DC8" w:rsidP="00525DC8">
      <w:pPr>
        <w:pStyle w:val="EndNoteBibliography"/>
        <w:spacing w:after="240"/>
        <w:rPr>
          <w:noProof/>
        </w:rPr>
      </w:pPr>
      <w:bookmarkStart w:id="551" w:name="_ENREF_194"/>
      <w:r w:rsidRPr="00787196">
        <w:rPr>
          <w:noProof/>
        </w:rPr>
        <w:lastRenderedPageBreak/>
        <w:t xml:space="preserve">JABBOUR, Z., EMAMI, E., DE GRANDMONT, P., ROMPRE, P. H. &amp; FEINE, J. S. 2012. Is oral health-related quality of life stable following rehabilitation with mandibular two-implant overdentures? </w:t>
      </w:r>
      <w:r w:rsidRPr="00787196">
        <w:rPr>
          <w:i/>
          <w:noProof/>
        </w:rPr>
        <w:t>Clin Oral Implants Res,</w:t>
      </w:r>
      <w:r w:rsidRPr="00787196">
        <w:rPr>
          <w:noProof/>
        </w:rPr>
        <w:t xml:space="preserve"> 23</w:t>
      </w:r>
      <w:r w:rsidRPr="00787196">
        <w:rPr>
          <w:b/>
          <w:noProof/>
        </w:rPr>
        <w:t>,</w:t>
      </w:r>
      <w:r w:rsidRPr="00787196">
        <w:rPr>
          <w:noProof/>
        </w:rPr>
        <w:t xml:space="preserve"> 1205-9.</w:t>
      </w:r>
      <w:bookmarkEnd w:id="551"/>
    </w:p>
    <w:p w14:paraId="2178453C" w14:textId="77777777" w:rsidR="00525DC8" w:rsidRPr="00787196" w:rsidRDefault="00525DC8" w:rsidP="00525DC8">
      <w:pPr>
        <w:pStyle w:val="EndNoteBibliography"/>
        <w:spacing w:after="240"/>
        <w:rPr>
          <w:noProof/>
        </w:rPr>
      </w:pPr>
      <w:bookmarkStart w:id="552" w:name="_ENREF_195"/>
      <w:r w:rsidRPr="00787196">
        <w:rPr>
          <w:noProof/>
        </w:rPr>
        <w:t xml:space="preserve">JACKMAN, M. R. &amp; JACKMAN, R. W. 1973. An interpretation of the relation between objective and subjective social status. </w:t>
      </w:r>
      <w:r w:rsidRPr="00787196">
        <w:rPr>
          <w:i/>
          <w:noProof/>
        </w:rPr>
        <w:t>Am Sociol Rev,</w:t>
      </w:r>
      <w:r w:rsidRPr="00787196">
        <w:rPr>
          <w:noProof/>
        </w:rPr>
        <w:t xml:space="preserve"> 38</w:t>
      </w:r>
      <w:r w:rsidRPr="00787196">
        <w:rPr>
          <w:b/>
          <w:noProof/>
        </w:rPr>
        <w:t>,</w:t>
      </w:r>
      <w:r w:rsidRPr="00787196">
        <w:rPr>
          <w:noProof/>
        </w:rPr>
        <w:t xml:space="preserve"> 569-82.</w:t>
      </w:r>
      <w:bookmarkEnd w:id="552"/>
    </w:p>
    <w:p w14:paraId="5249AED0" w14:textId="77777777" w:rsidR="00525DC8" w:rsidRPr="00787196" w:rsidRDefault="00525DC8" w:rsidP="00525DC8">
      <w:pPr>
        <w:pStyle w:val="EndNoteBibliography"/>
        <w:spacing w:after="240"/>
        <w:rPr>
          <w:noProof/>
        </w:rPr>
      </w:pPr>
      <w:bookmarkStart w:id="553" w:name="_ENREF_196"/>
      <w:r w:rsidRPr="00787196">
        <w:rPr>
          <w:noProof/>
        </w:rPr>
        <w:t xml:space="preserve">JANKET, S. J., QVARNSTROM, M., MEURMAN, J. H., BAIRD, A. E., NUUTINEN, P. &amp; JONES, J. A. 2004. Asymptotic dental score and prevalent coronary heart disease. </w:t>
      </w:r>
      <w:r w:rsidRPr="00787196">
        <w:rPr>
          <w:i/>
          <w:noProof/>
        </w:rPr>
        <w:t>Circulation,</w:t>
      </w:r>
      <w:r w:rsidRPr="00787196">
        <w:rPr>
          <w:noProof/>
        </w:rPr>
        <w:t xml:space="preserve"> 109</w:t>
      </w:r>
      <w:r w:rsidRPr="00787196">
        <w:rPr>
          <w:b/>
          <w:noProof/>
        </w:rPr>
        <w:t>,</w:t>
      </w:r>
      <w:r w:rsidRPr="00787196">
        <w:rPr>
          <w:noProof/>
        </w:rPr>
        <w:t xml:space="preserve"> 1095-100.</w:t>
      </w:r>
      <w:bookmarkEnd w:id="553"/>
    </w:p>
    <w:p w14:paraId="59DF2548" w14:textId="77777777" w:rsidR="00525DC8" w:rsidRPr="00787196" w:rsidRDefault="00525DC8" w:rsidP="00525DC8">
      <w:pPr>
        <w:pStyle w:val="EndNoteBibliography"/>
        <w:spacing w:after="240"/>
        <w:rPr>
          <w:noProof/>
        </w:rPr>
      </w:pPr>
      <w:bookmarkStart w:id="554" w:name="_ENREF_197"/>
      <w:r w:rsidRPr="00787196">
        <w:rPr>
          <w:noProof/>
        </w:rPr>
        <w:t xml:space="preserve">JANZ, N. K., JANEVIC, M. R., DODGE, J. A., FINGERLIN, T. E., SCHORK, M. A., MOSCA, L. J. &amp; CLARK, N. M. 2001. Factors Influencing Quality of Life in Older Women with Heart Disease. </w:t>
      </w:r>
      <w:r w:rsidRPr="00787196">
        <w:rPr>
          <w:i/>
          <w:noProof/>
        </w:rPr>
        <w:t>Medical Care,</w:t>
      </w:r>
      <w:r w:rsidRPr="00787196">
        <w:rPr>
          <w:noProof/>
        </w:rPr>
        <w:t xml:space="preserve"> 39</w:t>
      </w:r>
      <w:r w:rsidRPr="00787196">
        <w:rPr>
          <w:b/>
          <w:noProof/>
        </w:rPr>
        <w:t>,</w:t>
      </w:r>
      <w:r w:rsidRPr="00787196">
        <w:rPr>
          <w:noProof/>
        </w:rPr>
        <w:t xml:space="preserve"> 588-598.</w:t>
      </w:r>
      <w:bookmarkEnd w:id="554"/>
    </w:p>
    <w:p w14:paraId="1C0C1FD2" w14:textId="77777777" w:rsidR="00525DC8" w:rsidRPr="00787196" w:rsidRDefault="00525DC8" w:rsidP="00525DC8">
      <w:pPr>
        <w:pStyle w:val="EndNoteBibliography"/>
        <w:spacing w:after="240"/>
        <w:rPr>
          <w:noProof/>
        </w:rPr>
      </w:pPr>
      <w:bookmarkStart w:id="555" w:name="_ENREF_198"/>
      <w:r w:rsidRPr="00787196">
        <w:rPr>
          <w:noProof/>
        </w:rPr>
        <w:t xml:space="preserve">JOHN, M. T., SLADE, G. D., SZENTPETERY, A. &amp; SETZ, J. M. 2004. Oral health-related quality of life in patients treated with fixed, removable, and complete dentures 1 month and 6 to 12 months after treatment. </w:t>
      </w:r>
      <w:r w:rsidRPr="00787196">
        <w:rPr>
          <w:i/>
          <w:noProof/>
        </w:rPr>
        <w:t>Int J Prosthodont,</w:t>
      </w:r>
      <w:r w:rsidRPr="00787196">
        <w:rPr>
          <w:noProof/>
        </w:rPr>
        <w:t xml:space="preserve"> 17</w:t>
      </w:r>
      <w:r w:rsidRPr="00787196">
        <w:rPr>
          <w:b/>
          <w:noProof/>
        </w:rPr>
        <w:t>,</w:t>
      </w:r>
      <w:r w:rsidRPr="00787196">
        <w:rPr>
          <w:noProof/>
        </w:rPr>
        <w:t xml:space="preserve"> 503-11.</w:t>
      </w:r>
      <w:bookmarkEnd w:id="555"/>
    </w:p>
    <w:p w14:paraId="1B88AE50" w14:textId="77777777" w:rsidR="00525DC8" w:rsidRPr="00787196" w:rsidRDefault="00525DC8" w:rsidP="00525DC8">
      <w:pPr>
        <w:pStyle w:val="EndNoteBibliography"/>
        <w:spacing w:after="240"/>
        <w:rPr>
          <w:noProof/>
        </w:rPr>
      </w:pPr>
      <w:bookmarkStart w:id="556" w:name="_ENREF_199"/>
      <w:r w:rsidRPr="00787196">
        <w:rPr>
          <w:noProof/>
        </w:rPr>
        <w:t xml:space="preserve">JOSEPH, N., JOSEPH, N., PANICKER, V., NELLIYANIL, M., JINDAL, A. &amp; VIVEKI, R. 2015. Assessment and determinants of emotional intelligence and perceived stress among students of a medical college in south India. </w:t>
      </w:r>
      <w:r w:rsidRPr="00787196">
        <w:rPr>
          <w:i/>
          <w:noProof/>
        </w:rPr>
        <w:t>Indian journal of public health,</w:t>
      </w:r>
      <w:r w:rsidRPr="00787196">
        <w:rPr>
          <w:noProof/>
        </w:rPr>
        <w:t xml:space="preserve"> 59</w:t>
      </w:r>
      <w:r w:rsidRPr="00787196">
        <w:rPr>
          <w:b/>
          <w:noProof/>
        </w:rPr>
        <w:t>,</w:t>
      </w:r>
      <w:r w:rsidRPr="00787196">
        <w:rPr>
          <w:noProof/>
        </w:rPr>
        <w:t xml:space="preserve"> 310.</w:t>
      </w:r>
      <w:bookmarkEnd w:id="556"/>
    </w:p>
    <w:p w14:paraId="266B67EA" w14:textId="77777777" w:rsidR="00525DC8" w:rsidRPr="00787196" w:rsidRDefault="00525DC8" w:rsidP="00525DC8">
      <w:pPr>
        <w:pStyle w:val="EndNoteBibliography"/>
        <w:spacing w:after="240"/>
        <w:rPr>
          <w:noProof/>
        </w:rPr>
      </w:pPr>
      <w:bookmarkStart w:id="557" w:name="_ENREF_200"/>
      <w:r w:rsidRPr="00787196">
        <w:rPr>
          <w:noProof/>
        </w:rPr>
        <w:t xml:space="preserve">JOSHI, V. D., MALHOTRA, R., LIM, J., OSTBYE, T. &amp; WONG, M. 2010. Validity and reliability of the expectations regarding aging (ERA-12) instrument among middle-aged Singaporeans. </w:t>
      </w:r>
      <w:r w:rsidRPr="00787196">
        <w:rPr>
          <w:i/>
          <w:noProof/>
        </w:rPr>
        <w:t>Annals of Academic Medicine Singapore,</w:t>
      </w:r>
      <w:r w:rsidRPr="00787196">
        <w:rPr>
          <w:noProof/>
        </w:rPr>
        <w:t xml:space="preserve"> 39</w:t>
      </w:r>
      <w:r w:rsidRPr="00787196">
        <w:rPr>
          <w:b/>
          <w:noProof/>
        </w:rPr>
        <w:t>,</w:t>
      </w:r>
      <w:r w:rsidRPr="00787196">
        <w:rPr>
          <w:noProof/>
        </w:rPr>
        <w:t xml:space="preserve"> 394-398.</w:t>
      </w:r>
      <w:bookmarkEnd w:id="557"/>
    </w:p>
    <w:p w14:paraId="13734789" w14:textId="77777777" w:rsidR="00525DC8" w:rsidRPr="00787196" w:rsidRDefault="00525DC8" w:rsidP="00525DC8">
      <w:pPr>
        <w:pStyle w:val="EndNoteBibliography"/>
        <w:spacing w:after="240"/>
        <w:rPr>
          <w:noProof/>
        </w:rPr>
      </w:pPr>
      <w:bookmarkStart w:id="558" w:name="_ENREF_201"/>
      <w:r w:rsidRPr="00787196">
        <w:rPr>
          <w:noProof/>
        </w:rPr>
        <w:t xml:space="preserve">JÖRESKOG, K. G. &amp; SÖRBOM, D. 1989. </w:t>
      </w:r>
      <w:r w:rsidRPr="00787196">
        <w:rPr>
          <w:i/>
          <w:noProof/>
        </w:rPr>
        <w:t>LISREL 7: A guide to the program and applications</w:t>
      </w:r>
      <w:r w:rsidRPr="00787196">
        <w:rPr>
          <w:noProof/>
        </w:rPr>
        <w:t>, Spss Chicago.</w:t>
      </w:r>
      <w:bookmarkEnd w:id="558"/>
    </w:p>
    <w:p w14:paraId="3F4B6B63" w14:textId="77777777" w:rsidR="00525DC8" w:rsidRPr="00787196" w:rsidRDefault="00525DC8" w:rsidP="00525DC8">
      <w:pPr>
        <w:pStyle w:val="EndNoteBibliography"/>
        <w:spacing w:after="240"/>
        <w:rPr>
          <w:noProof/>
        </w:rPr>
      </w:pPr>
      <w:bookmarkStart w:id="559" w:name="_ENREF_202"/>
      <w:r w:rsidRPr="00787196">
        <w:rPr>
          <w:noProof/>
        </w:rPr>
        <w:t xml:space="preserve">KAMALAKIDIS, S. N., ANASTASSIADOU, V., SOFOU, A. &amp; PISSIOTIS, A. L. 2016. Comparative Study of Acceptance and Adaptation to New Complete Dentures, Using Two Construction Protocols. </w:t>
      </w:r>
      <w:r w:rsidRPr="00787196">
        <w:rPr>
          <w:i/>
          <w:noProof/>
        </w:rPr>
        <w:t>Journal of Prosthodontics</w:t>
      </w:r>
      <w:r w:rsidRPr="00787196">
        <w:rPr>
          <w:noProof/>
        </w:rPr>
        <w:t>.</w:t>
      </w:r>
      <w:bookmarkEnd w:id="559"/>
    </w:p>
    <w:p w14:paraId="09AA67E5" w14:textId="77777777" w:rsidR="00525DC8" w:rsidRPr="00787196" w:rsidRDefault="00525DC8" w:rsidP="00525DC8">
      <w:pPr>
        <w:pStyle w:val="EndNoteBibliography"/>
        <w:spacing w:after="240"/>
        <w:rPr>
          <w:noProof/>
        </w:rPr>
      </w:pPr>
      <w:bookmarkStart w:id="560" w:name="_ENREF_203"/>
      <w:r w:rsidRPr="00787196">
        <w:rPr>
          <w:noProof/>
        </w:rPr>
        <w:t xml:space="preserve">KAPLAN, R. &amp; SACCUZZO, D. 2012. </w:t>
      </w:r>
      <w:r w:rsidRPr="00787196">
        <w:rPr>
          <w:i/>
          <w:noProof/>
        </w:rPr>
        <w:t>Psychological testing: Principles, applications, and issues</w:t>
      </w:r>
      <w:r w:rsidRPr="00787196">
        <w:rPr>
          <w:noProof/>
        </w:rPr>
        <w:t>, Cengage Learning.</w:t>
      </w:r>
      <w:bookmarkEnd w:id="560"/>
    </w:p>
    <w:p w14:paraId="744D267F" w14:textId="77777777" w:rsidR="00525DC8" w:rsidRPr="00787196" w:rsidRDefault="00525DC8" w:rsidP="00525DC8">
      <w:pPr>
        <w:pStyle w:val="EndNoteBibliography"/>
        <w:spacing w:after="240"/>
        <w:rPr>
          <w:noProof/>
        </w:rPr>
      </w:pPr>
      <w:bookmarkStart w:id="561" w:name="_ENREF_204"/>
      <w:r w:rsidRPr="00787196">
        <w:rPr>
          <w:noProof/>
        </w:rPr>
        <w:lastRenderedPageBreak/>
        <w:t xml:space="preserve">KAPP, J. M., BOREN, S. A., YUN, S. &amp; LEMASTER, J. 2007. Diabetes and tooth loss in a national sample of dentate adults reporting annual dental visits. </w:t>
      </w:r>
      <w:r w:rsidRPr="00787196">
        <w:rPr>
          <w:i/>
          <w:noProof/>
        </w:rPr>
        <w:t>Prev Chronic Dis,</w:t>
      </w:r>
      <w:r w:rsidRPr="00787196">
        <w:rPr>
          <w:noProof/>
        </w:rPr>
        <w:t xml:space="preserve"> 4</w:t>
      </w:r>
      <w:r w:rsidRPr="00787196">
        <w:rPr>
          <w:b/>
          <w:noProof/>
        </w:rPr>
        <w:t>,</w:t>
      </w:r>
      <w:r w:rsidRPr="00787196">
        <w:rPr>
          <w:noProof/>
        </w:rPr>
        <w:t xml:space="preserve"> A59.</w:t>
      </w:r>
      <w:bookmarkEnd w:id="561"/>
    </w:p>
    <w:p w14:paraId="66706FCA" w14:textId="77777777" w:rsidR="00525DC8" w:rsidRPr="00787196" w:rsidRDefault="00525DC8" w:rsidP="00525DC8">
      <w:pPr>
        <w:pStyle w:val="EndNoteBibliography"/>
        <w:spacing w:after="240"/>
        <w:rPr>
          <w:noProof/>
        </w:rPr>
      </w:pPr>
      <w:bookmarkStart w:id="562" w:name="_ENREF_205"/>
      <w:r w:rsidRPr="00787196">
        <w:rPr>
          <w:noProof/>
        </w:rPr>
        <w:t xml:space="preserve">KAPUR, K. K., GARRETT, N. R., HAMADA, M. O., ROUMANAS, E. D., FREYMILLER, E., HAN, T., DIENER, R. M., LEVIN, S. &amp; WONG, W. K. 1999. Randomized clinical trial comparing the efficacy of mandibular implant-supported overdentures and conventional dentures in diabetic patients. Part III: comparisons of patient satisfaction. </w:t>
      </w:r>
      <w:r w:rsidRPr="00787196">
        <w:rPr>
          <w:i/>
          <w:noProof/>
        </w:rPr>
        <w:t>The Journal of prosthetic dentistry,</w:t>
      </w:r>
      <w:r w:rsidRPr="00787196">
        <w:rPr>
          <w:noProof/>
        </w:rPr>
        <w:t xml:space="preserve"> 82</w:t>
      </w:r>
      <w:r w:rsidRPr="00787196">
        <w:rPr>
          <w:b/>
          <w:noProof/>
        </w:rPr>
        <w:t>,</w:t>
      </w:r>
      <w:r w:rsidRPr="00787196">
        <w:rPr>
          <w:noProof/>
        </w:rPr>
        <w:t xml:space="preserve"> 416-427.</w:t>
      </w:r>
      <w:bookmarkEnd w:id="562"/>
    </w:p>
    <w:p w14:paraId="24A8085E" w14:textId="77777777" w:rsidR="00525DC8" w:rsidRPr="00787196" w:rsidRDefault="00525DC8" w:rsidP="00525DC8">
      <w:pPr>
        <w:pStyle w:val="EndNoteBibliography"/>
        <w:spacing w:after="240"/>
        <w:rPr>
          <w:noProof/>
        </w:rPr>
      </w:pPr>
      <w:bookmarkStart w:id="563" w:name="_ENREF_206"/>
      <w:r w:rsidRPr="00787196">
        <w:rPr>
          <w:noProof/>
        </w:rPr>
        <w:t xml:space="preserve">KAWACHI, I., SUBRAMANIAN, S. V. &amp; ALMEIDA-FILHO, N. 2002. A glossary for health inequalities. </w:t>
      </w:r>
      <w:r w:rsidRPr="00787196">
        <w:rPr>
          <w:i/>
          <w:noProof/>
        </w:rPr>
        <w:t>Journal of Epidemiology and Community Health,</w:t>
      </w:r>
      <w:r w:rsidRPr="00787196">
        <w:rPr>
          <w:noProof/>
        </w:rPr>
        <w:t xml:space="preserve"> 56</w:t>
      </w:r>
      <w:r w:rsidRPr="00787196">
        <w:rPr>
          <w:b/>
          <w:noProof/>
        </w:rPr>
        <w:t>,</w:t>
      </w:r>
      <w:r w:rsidRPr="00787196">
        <w:rPr>
          <w:noProof/>
        </w:rPr>
        <w:t xml:space="preserve"> 647-652.</w:t>
      </w:r>
      <w:bookmarkEnd w:id="563"/>
    </w:p>
    <w:p w14:paraId="5480797C" w14:textId="77777777" w:rsidR="00525DC8" w:rsidRPr="00787196" w:rsidRDefault="00525DC8" w:rsidP="00525DC8">
      <w:pPr>
        <w:pStyle w:val="EndNoteBibliography"/>
        <w:spacing w:after="240"/>
        <w:rPr>
          <w:noProof/>
        </w:rPr>
      </w:pPr>
      <w:bookmarkStart w:id="564" w:name="_ENREF_207"/>
      <w:r w:rsidRPr="00787196">
        <w:rPr>
          <w:noProof/>
        </w:rPr>
        <w:t xml:space="preserve">KAWAI, Y., MURAKAMI, H., SHARIATI, B., KLEMETTI, E., BLOMFIELD, J. V., BILLETTE, L., LUND, J. P. &amp; FEINE, J. S. 2005. Do traditional techniques produce better conventional complete dentures than simplified techniques? </w:t>
      </w:r>
      <w:r w:rsidRPr="00787196">
        <w:rPr>
          <w:i/>
          <w:noProof/>
        </w:rPr>
        <w:t>J Dent,</w:t>
      </w:r>
      <w:r w:rsidRPr="00787196">
        <w:rPr>
          <w:noProof/>
        </w:rPr>
        <w:t xml:space="preserve"> 33</w:t>
      </w:r>
      <w:r w:rsidRPr="00787196">
        <w:rPr>
          <w:b/>
          <w:noProof/>
        </w:rPr>
        <w:t>,</w:t>
      </w:r>
      <w:r w:rsidRPr="00787196">
        <w:rPr>
          <w:noProof/>
        </w:rPr>
        <w:t xml:space="preserve"> 659-68.</w:t>
      </w:r>
      <w:bookmarkEnd w:id="564"/>
    </w:p>
    <w:p w14:paraId="1C214A9C" w14:textId="77777777" w:rsidR="00525DC8" w:rsidRPr="00787196" w:rsidRDefault="00525DC8" w:rsidP="00525DC8">
      <w:pPr>
        <w:pStyle w:val="EndNoteBibliography"/>
        <w:spacing w:after="240"/>
        <w:rPr>
          <w:noProof/>
        </w:rPr>
      </w:pPr>
      <w:bookmarkStart w:id="565" w:name="_ENREF_208"/>
      <w:r w:rsidRPr="00787196">
        <w:rPr>
          <w:noProof/>
        </w:rPr>
        <w:t xml:space="preserve">KAWAI, Y., MURAKAMI, H., TAKANASHI, Y., LUND, J. P. &amp; FEINE, J. S. 2010. Efficient resource use in simplified complete denture fabrication. </w:t>
      </w:r>
      <w:r w:rsidRPr="00787196">
        <w:rPr>
          <w:i/>
          <w:noProof/>
        </w:rPr>
        <w:t>J Prosthodont,</w:t>
      </w:r>
      <w:r w:rsidRPr="00787196">
        <w:rPr>
          <w:noProof/>
        </w:rPr>
        <w:t xml:space="preserve"> 19</w:t>
      </w:r>
      <w:r w:rsidRPr="00787196">
        <w:rPr>
          <w:b/>
          <w:noProof/>
        </w:rPr>
        <w:t>,</w:t>
      </w:r>
      <w:r w:rsidRPr="00787196">
        <w:rPr>
          <w:noProof/>
        </w:rPr>
        <w:t xml:space="preserve"> 512-6.</w:t>
      </w:r>
      <w:bookmarkEnd w:id="565"/>
    </w:p>
    <w:p w14:paraId="3C07CF8B" w14:textId="77777777" w:rsidR="00525DC8" w:rsidRPr="00787196" w:rsidRDefault="00525DC8" w:rsidP="00525DC8">
      <w:pPr>
        <w:pStyle w:val="EndNoteBibliography"/>
        <w:spacing w:after="240"/>
        <w:rPr>
          <w:noProof/>
        </w:rPr>
      </w:pPr>
      <w:bookmarkStart w:id="566" w:name="_ENREF_209"/>
      <w:r w:rsidRPr="00787196">
        <w:rPr>
          <w:noProof/>
        </w:rPr>
        <w:t xml:space="preserve">KEEPPANASSERRIL, A., MATTHEW, A. &amp; MUDDAPPA, S. 2011. Effectiveness of Tele-guided Interceptive Prosthodontic treatment in rural India: A comparative pilot study. </w:t>
      </w:r>
      <w:r w:rsidRPr="00787196">
        <w:rPr>
          <w:i/>
          <w:noProof/>
        </w:rPr>
        <w:t>Online Journal of Public Health Informatics,</w:t>
      </w:r>
      <w:r w:rsidRPr="00787196">
        <w:rPr>
          <w:noProof/>
        </w:rPr>
        <w:t xml:space="preserve"> 3</w:t>
      </w:r>
      <w:r w:rsidRPr="00787196">
        <w:rPr>
          <w:b/>
          <w:noProof/>
        </w:rPr>
        <w:t>,</w:t>
      </w:r>
      <w:r w:rsidRPr="00787196">
        <w:rPr>
          <w:noProof/>
        </w:rPr>
        <w:t xml:space="preserve"> 1-8.</w:t>
      </w:r>
      <w:bookmarkEnd w:id="566"/>
    </w:p>
    <w:p w14:paraId="7879C67E" w14:textId="77777777" w:rsidR="00525DC8" w:rsidRPr="00787196" w:rsidRDefault="00525DC8" w:rsidP="00525DC8">
      <w:pPr>
        <w:pStyle w:val="EndNoteBibliography"/>
        <w:spacing w:after="240"/>
        <w:rPr>
          <w:noProof/>
        </w:rPr>
      </w:pPr>
      <w:bookmarkStart w:id="567" w:name="_ENREF_210"/>
      <w:r w:rsidRPr="00787196">
        <w:rPr>
          <w:noProof/>
        </w:rPr>
        <w:t xml:space="preserve">KELLY, M. P. &amp; BONNEFOY, J. 2007. </w:t>
      </w:r>
      <w:r w:rsidRPr="00787196">
        <w:rPr>
          <w:i/>
          <w:noProof/>
        </w:rPr>
        <w:t>The social determinants of health developing an evidence base for political action</w:t>
      </w:r>
      <w:r w:rsidRPr="00787196">
        <w:rPr>
          <w:noProof/>
        </w:rPr>
        <w:t>.</w:t>
      </w:r>
      <w:bookmarkEnd w:id="567"/>
    </w:p>
    <w:p w14:paraId="691A2573" w14:textId="77777777" w:rsidR="00525DC8" w:rsidRPr="00787196" w:rsidRDefault="00525DC8" w:rsidP="00525DC8">
      <w:pPr>
        <w:pStyle w:val="EndNoteBibliography"/>
        <w:spacing w:after="240"/>
        <w:rPr>
          <w:noProof/>
        </w:rPr>
      </w:pPr>
      <w:bookmarkStart w:id="568" w:name="_ENREF_211"/>
      <w:r w:rsidRPr="00787196">
        <w:rPr>
          <w:noProof/>
        </w:rPr>
        <w:t xml:space="preserve">KERSHAW, T., NORTHOUSE, L., KRITPRACHA, C., SCHAFENACKER, A. &amp; MOOD, D. 2004. Coping strategies and quality of life in women with advanced breast cancer and their family caregivers. </w:t>
      </w:r>
      <w:r w:rsidRPr="00787196">
        <w:rPr>
          <w:i/>
          <w:noProof/>
        </w:rPr>
        <w:t>Psychology &amp; Health,</w:t>
      </w:r>
      <w:r w:rsidRPr="00787196">
        <w:rPr>
          <w:noProof/>
        </w:rPr>
        <w:t xml:space="preserve"> 19</w:t>
      </w:r>
      <w:r w:rsidRPr="00787196">
        <w:rPr>
          <w:b/>
          <w:noProof/>
        </w:rPr>
        <w:t>,</w:t>
      </w:r>
      <w:r w:rsidRPr="00787196">
        <w:rPr>
          <w:noProof/>
        </w:rPr>
        <w:t xml:space="preserve"> 139-155.</w:t>
      </w:r>
      <w:bookmarkEnd w:id="568"/>
    </w:p>
    <w:p w14:paraId="3F915247" w14:textId="77777777" w:rsidR="00525DC8" w:rsidRPr="00787196" w:rsidRDefault="00525DC8" w:rsidP="00525DC8">
      <w:pPr>
        <w:pStyle w:val="EndNoteBibliography"/>
        <w:spacing w:after="240"/>
        <w:rPr>
          <w:noProof/>
        </w:rPr>
      </w:pPr>
      <w:bookmarkStart w:id="569" w:name="_ENREF_212"/>
      <w:r w:rsidRPr="00787196">
        <w:rPr>
          <w:noProof/>
        </w:rPr>
        <w:t xml:space="preserve">KHALSA, S. B. S., KHALSA, G. S., KHALSA, H. K. &amp; KHALSA, M. K. 2008. Evaluation of a residential Kundalini yoga lifestyle pilot program for addiction in India. </w:t>
      </w:r>
      <w:r w:rsidRPr="00787196">
        <w:rPr>
          <w:i/>
          <w:noProof/>
        </w:rPr>
        <w:t>Journal of ethnicity in substance abuse,</w:t>
      </w:r>
      <w:r w:rsidRPr="00787196">
        <w:rPr>
          <w:noProof/>
        </w:rPr>
        <w:t xml:space="preserve"> 7</w:t>
      </w:r>
      <w:r w:rsidRPr="00787196">
        <w:rPr>
          <w:b/>
          <w:noProof/>
        </w:rPr>
        <w:t>,</w:t>
      </w:r>
      <w:r w:rsidRPr="00787196">
        <w:rPr>
          <w:noProof/>
        </w:rPr>
        <w:t xml:space="preserve"> 67-79.</w:t>
      </w:r>
      <w:bookmarkEnd w:id="569"/>
    </w:p>
    <w:p w14:paraId="7F9EA2BD" w14:textId="77777777" w:rsidR="00525DC8" w:rsidRPr="00787196" w:rsidRDefault="00525DC8" w:rsidP="00525DC8">
      <w:pPr>
        <w:pStyle w:val="EndNoteBibliography"/>
        <w:spacing w:after="240"/>
        <w:rPr>
          <w:noProof/>
        </w:rPr>
      </w:pPr>
      <w:bookmarkStart w:id="570" w:name="_ENREF_213"/>
      <w:r w:rsidRPr="00787196">
        <w:rPr>
          <w:noProof/>
        </w:rPr>
        <w:t xml:space="preserve">KHANNA, D. &amp; TSEVAT, J. 2007. Health-related quality of life--an introduction. </w:t>
      </w:r>
      <w:r w:rsidRPr="00787196">
        <w:rPr>
          <w:i/>
          <w:noProof/>
        </w:rPr>
        <w:t>The American journal of managed care,</w:t>
      </w:r>
      <w:r w:rsidRPr="00787196">
        <w:rPr>
          <w:noProof/>
        </w:rPr>
        <w:t xml:space="preserve"> 13 Suppl 9</w:t>
      </w:r>
      <w:r w:rsidRPr="00787196">
        <w:rPr>
          <w:b/>
          <w:noProof/>
        </w:rPr>
        <w:t>,</w:t>
      </w:r>
      <w:r w:rsidRPr="00787196">
        <w:rPr>
          <w:noProof/>
        </w:rPr>
        <w:t xml:space="preserve"> S218-23.</w:t>
      </w:r>
      <w:bookmarkEnd w:id="570"/>
    </w:p>
    <w:p w14:paraId="7380E692" w14:textId="77777777" w:rsidR="00525DC8" w:rsidRPr="00787196" w:rsidRDefault="00525DC8" w:rsidP="00525DC8">
      <w:pPr>
        <w:pStyle w:val="EndNoteBibliography"/>
        <w:spacing w:after="240"/>
        <w:rPr>
          <w:noProof/>
        </w:rPr>
      </w:pPr>
      <w:bookmarkStart w:id="571" w:name="_ENREF_214"/>
      <w:r w:rsidRPr="00787196">
        <w:rPr>
          <w:noProof/>
        </w:rPr>
        <w:t xml:space="preserve">KIM, H. Y., JANG, M. S., CHUNG, C. P., PAIK, D. I., PARK, Y. D., PATTON, L. L., KU, Y., KIM, H.-Y., JANG, M.-S., CHUNG, C.-P., PAIK, D.-I., PARK, Y.-D., PATTON, L. L. &amp; </w:t>
      </w:r>
      <w:r w:rsidRPr="00787196">
        <w:rPr>
          <w:noProof/>
        </w:rPr>
        <w:lastRenderedPageBreak/>
        <w:t xml:space="preserve">KU, Y. 2009. Chewing function impacts oral health-related quality of life among institutionalized and community-dwelling Korean elders. </w:t>
      </w:r>
      <w:r w:rsidRPr="00787196">
        <w:rPr>
          <w:i/>
          <w:noProof/>
        </w:rPr>
        <w:t>Community Dentistry &amp; Oral Epidemiology,</w:t>
      </w:r>
      <w:r w:rsidRPr="00787196">
        <w:rPr>
          <w:noProof/>
        </w:rPr>
        <w:t xml:space="preserve"> 37</w:t>
      </w:r>
      <w:r w:rsidRPr="00787196">
        <w:rPr>
          <w:b/>
          <w:noProof/>
        </w:rPr>
        <w:t>,</w:t>
      </w:r>
      <w:r w:rsidRPr="00787196">
        <w:rPr>
          <w:noProof/>
        </w:rPr>
        <w:t xml:space="preserve"> 468-76.</w:t>
      </w:r>
      <w:bookmarkEnd w:id="571"/>
    </w:p>
    <w:p w14:paraId="3D82E9F1" w14:textId="77777777" w:rsidR="00525DC8" w:rsidRPr="00787196" w:rsidRDefault="00525DC8" w:rsidP="00525DC8">
      <w:pPr>
        <w:pStyle w:val="EndNoteBibliography"/>
        <w:spacing w:after="240"/>
        <w:rPr>
          <w:noProof/>
        </w:rPr>
      </w:pPr>
      <w:bookmarkStart w:id="572" w:name="_ENREF_215"/>
      <w:r w:rsidRPr="00787196">
        <w:rPr>
          <w:noProof/>
        </w:rPr>
        <w:t xml:space="preserve">KIM, S. H. 2009. Older people’s expectations regarding ageing, health-promoting behaviour and health status. </w:t>
      </w:r>
      <w:r w:rsidRPr="00787196">
        <w:rPr>
          <w:i/>
          <w:noProof/>
        </w:rPr>
        <w:t>Journal of Advanced Nursing,</w:t>
      </w:r>
      <w:r w:rsidRPr="00787196">
        <w:rPr>
          <w:noProof/>
        </w:rPr>
        <w:t xml:space="preserve"> 65</w:t>
      </w:r>
      <w:r w:rsidRPr="00787196">
        <w:rPr>
          <w:b/>
          <w:noProof/>
        </w:rPr>
        <w:t>,</w:t>
      </w:r>
      <w:r w:rsidRPr="00787196">
        <w:rPr>
          <w:noProof/>
        </w:rPr>
        <w:t xml:space="preserve"> 84-91.</w:t>
      </w:r>
      <w:bookmarkEnd w:id="572"/>
    </w:p>
    <w:p w14:paraId="684F4C02" w14:textId="77777777" w:rsidR="00525DC8" w:rsidRPr="00787196" w:rsidRDefault="00525DC8" w:rsidP="00525DC8">
      <w:pPr>
        <w:pStyle w:val="EndNoteBibliography"/>
        <w:spacing w:after="240"/>
        <w:rPr>
          <w:noProof/>
        </w:rPr>
      </w:pPr>
      <w:bookmarkStart w:id="573" w:name="_ENREF_216"/>
      <w:r w:rsidRPr="00787196">
        <w:rPr>
          <w:noProof/>
        </w:rPr>
        <w:t xml:space="preserve">KIMEMIA, M., ASNER-SELF, K. K. &amp; DAIRE, A. P. 2011. An Exploratory Factor Analysis of the Brief COPE with a Sample of Kenyan Caregivers. </w:t>
      </w:r>
      <w:r w:rsidRPr="00787196">
        <w:rPr>
          <w:i/>
          <w:noProof/>
        </w:rPr>
        <w:t>International Journal for the Advancement of Counselling,</w:t>
      </w:r>
      <w:r w:rsidRPr="00787196">
        <w:rPr>
          <w:noProof/>
        </w:rPr>
        <w:t xml:space="preserve"> 33</w:t>
      </w:r>
      <w:r w:rsidRPr="00787196">
        <w:rPr>
          <w:b/>
          <w:noProof/>
        </w:rPr>
        <w:t>,</w:t>
      </w:r>
      <w:r w:rsidRPr="00787196">
        <w:rPr>
          <w:noProof/>
        </w:rPr>
        <w:t xml:space="preserve"> 149-160.</w:t>
      </w:r>
      <w:bookmarkEnd w:id="573"/>
    </w:p>
    <w:p w14:paraId="78B773CD" w14:textId="77777777" w:rsidR="00525DC8" w:rsidRPr="00787196" w:rsidRDefault="00525DC8" w:rsidP="00525DC8">
      <w:pPr>
        <w:pStyle w:val="EndNoteBibliography"/>
        <w:spacing w:after="240"/>
        <w:rPr>
          <w:noProof/>
        </w:rPr>
      </w:pPr>
      <w:bookmarkStart w:id="574" w:name="_ENREF_217"/>
      <w:r w:rsidRPr="00787196">
        <w:rPr>
          <w:noProof/>
        </w:rPr>
        <w:t xml:space="preserve">KIMOTO, S., GUNJI, A., YAMAKAWA, A., AJIRO, H., KANNO, K., SHINOMIYA, M., KAWAI, Y., KAWARA, M. &amp; KOBAYASHI, K. 2006. Prospective clinical trial comparing lingualized occlusion to bilateral balanced occlusion in complete dentures: a pilot study. </w:t>
      </w:r>
      <w:r w:rsidRPr="00787196">
        <w:rPr>
          <w:i/>
          <w:noProof/>
        </w:rPr>
        <w:t>The International journal of prosthodontics,</w:t>
      </w:r>
      <w:r w:rsidRPr="00787196">
        <w:rPr>
          <w:noProof/>
        </w:rPr>
        <w:t xml:space="preserve"> 19</w:t>
      </w:r>
      <w:r w:rsidRPr="00787196">
        <w:rPr>
          <w:b/>
          <w:noProof/>
        </w:rPr>
        <w:t>,</w:t>
      </w:r>
      <w:r w:rsidRPr="00787196">
        <w:rPr>
          <w:noProof/>
        </w:rPr>
        <w:t xml:space="preserve"> 103.</w:t>
      </w:r>
      <w:bookmarkEnd w:id="574"/>
    </w:p>
    <w:p w14:paraId="0574EDEB" w14:textId="77777777" w:rsidR="00525DC8" w:rsidRPr="00787196" w:rsidRDefault="00525DC8" w:rsidP="00525DC8">
      <w:pPr>
        <w:pStyle w:val="EndNoteBibliography"/>
        <w:spacing w:after="240"/>
        <w:rPr>
          <w:noProof/>
        </w:rPr>
      </w:pPr>
      <w:bookmarkStart w:id="575" w:name="_ENREF_218"/>
      <w:r w:rsidRPr="00787196">
        <w:rPr>
          <w:noProof/>
        </w:rPr>
        <w:t xml:space="preserve">KIMOTO, S., YAMAMOTO, S., SHINOMIYA, M. &amp; KAWAI, Y. 2010. Randomized controlled trial to investigate how acrylic-based resilient liner affects on masticatory ability of complete denture wearers. </w:t>
      </w:r>
      <w:r w:rsidRPr="00787196">
        <w:rPr>
          <w:i/>
          <w:noProof/>
        </w:rPr>
        <w:t>Journal of Oral Rehabilitation,</w:t>
      </w:r>
      <w:r w:rsidRPr="00787196">
        <w:rPr>
          <w:noProof/>
        </w:rPr>
        <w:t xml:space="preserve"> 37</w:t>
      </w:r>
      <w:r w:rsidRPr="00787196">
        <w:rPr>
          <w:b/>
          <w:noProof/>
        </w:rPr>
        <w:t>,</w:t>
      </w:r>
      <w:r w:rsidRPr="00787196">
        <w:rPr>
          <w:noProof/>
        </w:rPr>
        <w:t xml:space="preserve"> 553-559.</w:t>
      </w:r>
      <w:bookmarkEnd w:id="575"/>
    </w:p>
    <w:p w14:paraId="2F4A28F3" w14:textId="77777777" w:rsidR="00525DC8" w:rsidRPr="00787196" w:rsidRDefault="00525DC8" w:rsidP="00525DC8">
      <w:pPr>
        <w:pStyle w:val="EndNoteBibliography"/>
        <w:spacing w:after="240"/>
        <w:rPr>
          <w:noProof/>
        </w:rPr>
      </w:pPr>
      <w:bookmarkStart w:id="576" w:name="_ENREF_219"/>
      <w:r w:rsidRPr="00787196">
        <w:rPr>
          <w:noProof/>
        </w:rPr>
        <w:t xml:space="preserve">KLAGES, U., ESCH, M., WEHRBEIN, H., KLAGES, U., ESCH, M. &amp; WEHRBEIN, H. 2005. Oral health impact in patients wearing removable prostheses: relations to somatization, pain sensitivity, and body consciousness. </w:t>
      </w:r>
      <w:r w:rsidRPr="00787196">
        <w:rPr>
          <w:i/>
          <w:noProof/>
        </w:rPr>
        <w:t>International Journal of Prosthodontics,</w:t>
      </w:r>
      <w:r w:rsidRPr="00787196">
        <w:rPr>
          <w:noProof/>
        </w:rPr>
        <w:t xml:space="preserve"> 18</w:t>
      </w:r>
      <w:r w:rsidRPr="00787196">
        <w:rPr>
          <w:b/>
          <w:noProof/>
        </w:rPr>
        <w:t>,</w:t>
      </w:r>
      <w:r w:rsidRPr="00787196">
        <w:rPr>
          <w:noProof/>
        </w:rPr>
        <w:t xml:space="preserve"> 106-11.</w:t>
      </w:r>
      <w:bookmarkEnd w:id="576"/>
    </w:p>
    <w:p w14:paraId="03076123" w14:textId="77777777" w:rsidR="00525DC8" w:rsidRPr="00787196" w:rsidRDefault="00525DC8" w:rsidP="00525DC8">
      <w:pPr>
        <w:pStyle w:val="EndNoteBibliography"/>
        <w:spacing w:after="240"/>
        <w:rPr>
          <w:noProof/>
        </w:rPr>
      </w:pPr>
      <w:bookmarkStart w:id="577" w:name="_ENREF_220"/>
      <w:r w:rsidRPr="00787196">
        <w:rPr>
          <w:rFonts w:hint="eastAsia"/>
          <w:noProof/>
        </w:rPr>
        <w:t>KLINGE, B. &amp; NORLUND, A. 2005. A socio</w:t>
      </w:r>
      <w:r w:rsidRPr="00787196">
        <w:rPr>
          <w:rFonts w:hint="eastAsia"/>
          <w:noProof/>
        </w:rPr>
        <w:t>‐</w:t>
      </w:r>
      <w:r w:rsidRPr="00787196">
        <w:rPr>
          <w:rFonts w:hint="eastAsia"/>
          <w:noProof/>
        </w:rPr>
        <w:t xml:space="preserve">economic perspective on periodontal diseases: a systematic review. </w:t>
      </w:r>
      <w:r w:rsidRPr="00787196">
        <w:rPr>
          <w:rFonts w:hint="eastAsia"/>
          <w:i/>
          <w:noProof/>
        </w:rPr>
        <w:t>Journal of clinical periodontology,</w:t>
      </w:r>
      <w:r w:rsidRPr="00787196">
        <w:rPr>
          <w:rFonts w:hint="eastAsia"/>
          <w:noProof/>
        </w:rPr>
        <w:t xml:space="preserve"> 32</w:t>
      </w:r>
      <w:r w:rsidRPr="00787196">
        <w:rPr>
          <w:rFonts w:hint="eastAsia"/>
          <w:b/>
          <w:noProof/>
        </w:rPr>
        <w:t>,</w:t>
      </w:r>
      <w:r w:rsidRPr="00787196">
        <w:rPr>
          <w:rFonts w:hint="eastAsia"/>
          <w:noProof/>
        </w:rPr>
        <w:t xml:space="preserve"> 314-325.</w:t>
      </w:r>
      <w:bookmarkEnd w:id="577"/>
    </w:p>
    <w:p w14:paraId="57D65886" w14:textId="77777777" w:rsidR="00525DC8" w:rsidRPr="00787196" w:rsidRDefault="00525DC8" w:rsidP="00525DC8">
      <w:pPr>
        <w:pStyle w:val="EndNoteBibliography"/>
        <w:spacing w:after="240"/>
        <w:rPr>
          <w:noProof/>
        </w:rPr>
      </w:pPr>
      <w:bookmarkStart w:id="578" w:name="_ENREF_221"/>
      <w:r w:rsidRPr="00787196">
        <w:rPr>
          <w:noProof/>
        </w:rPr>
        <w:t xml:space="preserve">KLOCK, K. S. &amp; HAUGEJORDEN, O. 2002. Measurement and predictors of young adults' perceived ability to cope with dental life events. </w:t>
      </w:r>
      <w:r w:rsidRPr="00787196">
        <w:rPr>
          <w:i/>
          <w:noProof/>
        </w:rPr>
        <w:t>Acta Odontol Scand,</w:t>
      </w:r>
      <w:r w:rsidRPr="00787196">
        <w:rPr>
          <w:noProof/>
        </w:rPr>
        <w:t xml:space="preserve"> 60</w:t>
      </w:r>
      <w:r w:rsidRPr="00787196">
        <w:rPr>
          <w:b/>
          <w:noProof/>
        </w:rPr>
        <w:t>,</w:t>
      </w:r>
      <w:r w:rsidRPr="00787196">
        <w:rPr>
          <w:noProof/>
        </w:rPr>
        <w:t xml:space="preserve"> 129-35.</w:t>
      </w:r>
      <w:bookmarkEnd w:id="578"/>
    </w:p>
    <w:p w14:paraId="332AF558" w14:textId="77777777" w:rsidR="00525DC8" w:rsidRPr="00787196" w:rsidRDefault="00525DC8" w:rsidP="00525DC8">
      <w:pPr>
        <w:pStyle w:val="EndNoteBibliography"/>
        <w:spacing w:after="240"/>
        <w:rPr>
          <w:noProof/>
        </w:rPr>
      </w:pPr>
      <w:bookmarkStart w:id="579" w:name="_ENREF_222"/>
      <w:r w:rsidRPr="00787196">
        <w:rPr>
          <w:noProof/>
        </w:rPr>
        <w:t xml:space="preserve">KROHNE, H. W. &amp; ROGNER, J. 1982. Repression–sensitization as a central construct in coping research. </w:t>
      </w:r>
      <w:r w:rsidRPr="00787196">
        <w:rPr>
          <w:i/>
          <w:noProof/>
        </w:rPr>
        <w:t>Series in Clinical &amp; Community Psychology: Achievement, Stress, &amp; Anxiety</w:t>
      </w:r>
      <w:r w:rsidRPr="00787196">
        <w:rPr>
          <w:noProof/>
        </w:rPr>
        <w:t>.</w:t>
      </w:r>
      <w:bookmarkEnd w:id="579"/>
    </w:p>
    <w:p w14:paraId="707EA495" w14:textId="77777777" w:rsidR="00525DC8" w:rsidRPr="00787196" w:rsidRDefault="00525DC8" w:rsidP="00525DC8">
      <w:pPr>
        <w:pStyle w:val="EndNoteBibliography"/>
        <w:spacing w:after="240"/>
        <w:rPr>
          <w:noProof/>
        </w:rPr>
      </w:pPr>
      <w:bookmarkStart w:id="580" w:name="_ENREF_223"/>
      <w:r w:rsidRPr="00787196">
        <w:rPr>
          <w:noProof/>
        </w:rPr>
        <w:t xml:space="preserve">KUBOKI, T., ICHIKAWA, T., BABA, K., HIDESHIMA, M., SATO, Y., WAKE, H., NAGAO, K., KODAIRA-UEDA, Y., KIMURA-ONO, A., TAMAKI, K., TSUGA, K., SAKURAI, K., SATO, H., ISHIBASHI, K., YATANI, H., OHYAMA, T., AKAGAWA, Y., HIRAI, T., SASAKI, K. &amp; KOYANO, K. 2012. A multi-centered epidemiological study evaluating the reliability </w:t>
      </w:r>
      <w:r w:rsidRPr="00787196">
        <w:rPr>
          <w:noProof/>
        </w:rPr>
        <w:lastRenderedPageBreak/>
        <w:t xml:space="preserve">of the treatment difficulty indices developed by the Japan Prosthodontic Society. </w:t>
      </w:r>
      <w:r w:rsidRPr="00787196">
        <w:rPr>
          <w:i/>
          <w:noProof/>
        </w:rPr>
        <w:t>J Prosthodont Res,</w:t>
      </w:r>
      <w:r w:rsidRPr="00787196">
        <w:rPr>
          <w:noProof/>
        </w:rPr>
        <w:t xml:space="preserve"> 56</w:t>
      </w:r>
      <w:r w:rsidRPr="00787196">
        <w:rPr>
          <w:b/>
          <w:noProof/>
        </w:rPr>
        <w:t>,</w:t>
      </w:r>
      <w:r w:rsidRPr="00787196">
        <w:rPr>
          <w:noProof/>
        </w:rPr>
        <w:t xml:space="preserve"> 71-86.</w:t>
      </w:r>
      <w:bookmarkEnd w:id="580"/>
    </w:p>
    <w:p w14:paraId="0FC99641" w14:textId="77777777" w:rsidR="00525DC8" w:rsidRPr="00787196" w:rsidRDefault="00525DC8" w:rsidP="00525DC8">
      <w:pPr>
        <w:pStyle w:val="EndNoteBibliography"/>
        <w:spacing w:after="240"/>
        <w:rPr>
          <w:noProof/>
        </w:rPr>
      </w:pPr>
      <w:bookmarkStart w:id="581" w:name="_ENREF_224"/>
      <w:r w:rsidRPr="00787196">
        <w:rPr>
          <w:noProof/>
        </w:rPr>
        <w:t xml:space="preserve">KUMAR, S., DAGLI, R., MATHUR, A., JAIN, M., PRABU, D. &amp; KULKARNI, S. 2009. Perceived sources of stress amongst Indian dental students. </w:t>
      </w:r>
      <w:r w:rsidRPr="00787196">
        <w:rPr>
          <w:i/>
          <w:noProof/>
        </w:rPr>
        <w:t>European journal of dental education,</w:t>
      </w:r>
      <w:r w:rsidRPr="00787196">
        <w:rPr>
          <w:noProof/>
        </w:rPr>
        <w:t xml:space="preserve"> 13</w:t>
      </w:r>
      <w:r w:rsidRPr="00787196">
        <w:rPr>
          <w:b/>
          <w:noProof/>
        </w:rPr>
        <w:t>,</w:t>
      </w:r>
      <w:r w:rsidRPr="00787196">
        <w:rPr>
          <w:noProof/>
        </w:rPr>
        <w:t xml:space="preserve"> 39-45.</w:t>
      </w:r>
      <w:bookmarkEnd w:id="581"/>
    </w:p>
    <w:p w14:paraId="696C78CD" w14:textId="77777777" w:rsidR="00525DC8" w:rsidRPr="00787196" w:rsidRDefault="00525DC8" w:rsidP="00525DC8">
      <w:pPr>
        <w:pStyle w:val="EndNoteBibliography"/>
        <w:spacing w:after="240"/>
        <w:rPr>
          <w:noProof/>
        </w:rPr>
      </w:pPr>
      <w:bookmarkStart w:id="582" w:name="_ENREF_225"/>
      <w:r w:rsidRPr="00787196">
        <w:rPr>
          <w:noProof/>
        </w:rPr>
        <w:t xml:space="preserve">KUSHNIR, D., ZUSMAN, S. P., ROBINSON, P. G., KUSHNIR, D., ZUSMAN, S. P. &amp; ROBINSON, P. G. 2004. Validation of a Hebrew version of the Oral Health Impact Profile 14. </w:t>
      </w:r>
      <w:r w:rsidRPr="00787196">
        <w:rPr>
          <w:i/>
          <w:noProof/>
        </w:rPr>
        <w:t>Journal of Public Health Dentistry,</w:t>
      </w:r>
      <w:r w:rsidRPr="00787196">
        <w:rPr>
          <w:noProof/>
        </w:rPr>
        <w:t xml:space="preserve"> 64</w:t>
      </w:r>
      <w:r w:rsidRPr="00787196">
        <w:rPr>
          <w:b/>
          <w:noProof/>
        </w:rPr>
        <w:t>,</w:t>
      </w:r>
      <w:r w:rsidRPr="00787196">
        <w:rPr>
          <w:noProof/>
        </w:rPr>
        <w:t xml:space="preserve"> 71-5.</w:t>
      </w:r>
      <w:bookmarkEnd w:id="582"/>
    </w:p>
    <w:p w14:paraId="069E600A" w14:textId="77777777" w:rsidR="00525DC8" w:rsidRPr="00787196" w:rsidRDefault="00525DC8" w:rsidP="00525DC8">
      <w:pPr>
        <w:pStyle w:val="EndNoteBibliography"/>
        <w:spacing w:after="240"/>
        <w:rPr>
          <w:noProof/>
        </w:rPr>
      </w:pPr>
      <w:bookmarkStart w:id="583" w:name="_ENREF_226"/>
      <w:r w:rsidRPr="00787196">
        <w:rPr>
          <w:noProof/>
        </w:rPr>
        <w:t xml:space="preserve">LAHTI, S., SUOMINEN-TAIPALE, L., HAUSEN, H., LAHTI, S., SUOMINEN-TAIPALE, L. &amp; HAUSEN, H. 2008. Oral health impacts among adults in Finland: competing effects of age, number of teeth, and removable dentures. </w:t>
      </w:r>
      <w:r w:rsidRPr="00787196">
        <w:rPr>
          <w:i/>
          <w:noProof/>
        </w:rPr>
        <w:t>European Journal of Oral Sciences,</w:t>
      </w:r>
      <w:r w:rsidRPr="00787196">
        <w:rPr>
          <w:noProof/>
        </w:rPr>
        <w:t xml:space="preserve"> 116</w:t>
      </w:r>
      <w:r w:rsidRPr="00787196">
        <w:rPr>
          <w:b/>
          <w:noProof/>
        </w:rPr>
        <w:t>,</w:t>
      </w:r>
      <w:r w:rsidRPr="00787196">
        <w:rPr>
          <w:noProof/>
        </w:rPr>
        <w:t xml:space="preserve"> 260-6.</w:t>
      </w:r>
      <w:bookmarkEnd w:id="583"/>
    </w:p>
    <w:p w14:paraId="670531B7" w14:textId="77777777" w:rsidR="00525DC8" w:rsidRPr="00787196" w:rsidRDefault="00525DC8" w:rsidP="00525DC8">
      <w:pPr>
        <w:pStyle w:val="EndNoteBibliography"/>
        <w:spacing w:after="240"/>
        <w:rPr>
          <w:noProof/>
        </w:rPr>
      </w:pPr>
      <w:bookmarkStart w:id="584" w:name="_ENREF_227"/>
      <w:r w:rsidRPr="00787196">
        <w:rPr>
          <w:noProof/>
        </w:rPr>
        <w:t xml:space="preserve">LANE, J. D., SESKEVICH, J. E. &amp; PIEPER, C. F. 2007. Brief meditation training can improve perceived stress and negative mood. </w:t>
      </w:r>
      <w:r w:rsidRPr="00787196">
        <w:rPr>
          <w:i/>
          <w:noProof/>
        </w:rPr>
        <w:t>Alternative Therapies in Health and Medicine,</w:t>
      </w:r>
      <w:r w:rsidRPr="00787196">
        <w:rPr>
          <w:noProof/>
        </w:rPr>
        <w:t xml:space="preserve"> 13</w:t>
      </w:r>
      <w:r w:rsidRPr="00787196">
        <w:rPr>
          <w:b/>
          <w:noProof/>
        </w:rPr>
        <w:t>,</w:t>
      </w:r>
      <w:r w:rsidRPr="00787196">
        <w:rPr>
          <w:noProof/>
        </w:rPr>
        <w:t xml:space="preserve"> 38.</w:t>
      </w:r>
      <w:bookmarkEnd w:id="584"/>
    </w:p>
    <w:p w14:paraId="3D6CDF49" w14:textId="77777777" w:rsidR="00525DC8" w:rsidRPr="00787196" w:rsidRDefault="00525DC8" w:rsidP="00525DC8">
      <w:pPr>
        <w:pStyle w:val="EndNoteBibliography"/>
        <w:spacing w:after="240"/>
        <w:rPr>
          <w:noProof/>
        </w:rPr>
      </w:pPr>
      <w:bookmarkStart w:id="585" w:name="_ENREF_228"/>
      <w:r w:rsidRPr="00787196">
        <w:rPr>
          <w:noProof/>
        </w:rPr>
        <w:t xml:space="preserve">LANGER, A., MICHMAN, J. &amp; SEIFERT, I. 1961. Factors influencing satisfaction with complete dentures in geriatric patients. </w:t>
      </w:r>
      <w:r w:rsidRPr="00787196">
        <w:rPr>
          <w:i/>
          <w:noProof/>
        </w:rPr>
        <w:t>The Journal of Prosthetic Dentistry,</w:t>
      </w:r>
      <w:r w:rsidRPr="00787196">
        <w:rPr>
          <w:noProof/>
        </w:rPr>
        <w:t xml:space="preserve"> 11</w:t>
      </w:r>
      <w:r w:rsidRPr="00787196">
        <w:rPr>
          <w:b/>
          <w:noProof/>
        </w:rPr>
        <w:t>,</w:t>
      </w:r>
      <w:r w:rsidRPr="00787196">
        <w:rPr>
          <w:noProof/>
        </w:rPr>
        <w:t xml:space="preserve"> 1019-1031.</w:t>
      </w:r>
      <w:bookmarkEnd w:id="585"/>
    </w:p>
    <w:p w14:paraId="2C6FE703" w14:textId="77777777" w:rsidR="00525DC8" w:rsidRPr="00787196" w:rsidRDefault="00525DC8" w:rsidP="00525DC8">
      <w:pPr>
        <w:pStyle w:val="EndNoteBibliography"/>
        <w:spacing w:after="240"/>
        <w:rPr>
          <w:noProof/>
        </w:rPr>
      </w:pPr>
      <w:bookmarkStart w:id="586" w:name="_ENREF_229"/>
      <w:r w:rsidRPr="00787196">
        <w:rPr>
          <w:noProof/>
        </w:rPr>
        <w:t xml:space="preserve">LAWRENCE, H. P., THOMSON, W. M., BROADBENT, J. M. &amp; POULTON, R. 2008. Oral health-related quality of life in a birth cohort of 32-year olds. </w:t>
      </w:r>
      <w:r w:rsidRPr="00787196">
        <w:rPr>
          <w:i/>
          <w:noProof/>
        </w:rPr>
        <w:t>Community Dentistry and Oral Epidemiology,</w:t>
      </w:r>
      <w:r w:rsidRPr="00787196">
        <w:rPr>
          <w:noProof/>
        </w:rPr>
        <w:t xml:space="preserve"> 36</w:t>
      </w:r>
      <w:r w:rsidRPr="00787196">
        <w:rPr>
          <w:b/>
          <w:noProof/>
        </w:rPr>
        <w:t>,</w:t>
      </w:r>
      <w:r w:rsidRPr="00787196">
        <w:rPr>
          <w:noProof/>
        </w:rPr>
        <w:t xml:space="preserve"> 305-316.</w:t>
      </w:r>
      <w:bookmarkEnd w:id="586"/>
    </w:p>
    <w:p w14:paraId="40199523" w14:textId="77777777" w:rsidR="00525DC8" w:rsidRPr="00787196" w:rsidRDefault="00525DC8" w:rsidP="00525DC8">
      <w:pPr>
        <w:pStyle w:val="EndNoteBibliography"/>
        <w:spacing w:after="240"/>
        <w:rPr>
          <w:noProof/>
        </w:rPr>
      </w:pPr>
      <w:bookmarkStart w:id="587" w:name="_ENREF_230"/>
      <w:r w:rsidRPr="00787196">
        <w:rPr>
          <w:noProof/>
        </w:rPr>
        <w:t>LAZARUS, R. S. 1966. Psychological stress and the coping process.</w:t>
      </w:r>
      <w:bookmarkEnd w:id="587"/>
    </w:p>
    <w:p w14:paraId="465D8C65" w14:textId="77777777" w:rsidR="00525DC8" w:rsidRPr="00787196" w:rsidRDefault="00525DC8" w:rsidP="00525DC8">
      <w:pPr>
        <w:pStyle w:val="EndNoteBibliography"/>
        <w:spacing w:after="240"/>
        <w:rPr>
          <w:noProof/>
        </w:rPr>
      </w:pPr>
      <w:bookmarkStart w:id="588" w:name="_ENREF_231"/>
      <w:r w:rsidRPr="00787196">
        <w:rPr>
          <w:noProof/>
        </w:rPr>
        <w:t xml:space="preserve">LAZARUS, R. S. 1993. Coping theory and research: past, present, and future. </w:t>
      </w:r>
      <w:r w:rsidRPr="00787196">
        <w:rPr>
          <w:i/>
          <w:noProof/>
        </w:rPr>
        <w:t>Psychosom Med,</w:t>
      </w:r>
      <w:r w:rsidRPr="00787196">
        <w:rPr>
          <w:noProof/>
        </w:rPr>
        <w:t xml:space="preserve"> 55</w:t>
      </w:r>
      <w:r w:rsidRPr="00787196">
        <w:rPr>
          <w:b/>
          <w:noProof/>
        </w:rPr>
        <w:t>,</w:t>
      </w:r>
      <w:r w:rsidRPr="00787196">
        <w:rPr>
          <w:noProof/>
        </w:rPr>
        <w:t xml:space="preserve"> 234-47.</w:t>
      </w:r>
      <w:bookmarkEnd w:id="588"/>
    </w:p>
    <w:p w14:paraId="60EFD1A8" w14:textId="77777777" w:rsidR="00525DC8" w:rsidRPr="00787196" w:rsidRDefault="00525DC8" w:rsidP="00525DC8">
      <w:pPr>
        <w:pStyle w:val="EndNoteBibliography"/>
        <w:spacing w:after="240"/>
        <w:rPr>
          <w:noProof/>
        </w:rPr>
      </w:pPr>
      <w:bookmarkStart w:id="589" w:name="_ENREF_232"/>
      <w:r w:rsidRPr="00787196">
        <w:rPr>
          <w:noProof/>
        </w:rPr>
        <w:t xml:space="preserve">LAZARUS, R. S. &amp; FOLKMAN, S. 1984. </w:t>
      </w:r>
      <w:r w:rsidRPr="00787196">
        <w:rPr>
          <w:i/>
          <w:noProof/>
        </w:rPr>
        <w:t>Stress, appraisal, and coping</w:t>
      </w:r>
      <w:r w:rsidRPr="00787196">
        <w:rPr>
          <w:noProof/>
        </w:rPr>
        <w:t>, Springer Publishing Company.</w:t>
      </w:r>
      <w:bookmarkEnd w:id="589"/>
    </w:p>
    <w:p w14:paraId="5781D3D7" w14:textId="77777777" w:rsidR="00525DC8" w:rsidRPr="00787196" w:rsidRDefault="00525DC8" w:rsidP="00525DC8">
      <w:pPr>
        <w:pStyle w:val="EndNoteBibliography"/>
        <w:spacing w:after="240"/>
        <w:rPr>
          <w:noProof/>
        </w:rPr>
      </w:pPr>
      <w:bookmarkStart w:id="590" w:name="_ENREF_233"/>
      <w:r w:rsidRPr="00787196">
        <w:rPr>
          <w:noProof/>
        </w:rPr>
        <w:t xml:space="preserve">LAZARUS, R. S. &amp; FOLKMAN, S. 1987. Transactional theory and research on emotions and coping. </w:t>
      </w:r>
      <w:r w:rsidRPr="00787196">
        <w:rPr>
          <w:i/>
          <w:noProof/>
        </w:rPr>
        <w:t>European Journal of personality,</w:t>
      </w:r>
      <w:r w:rsidRPr="00787196">
        <w:rPr>
          <w:noProof/>
        </w:rPr>
        <w:t xml:space="preserve"> 1</w:t>
      </w:r>
      <w:r w:rsidRPr="00787196">
        <w:rPr>
          <w:b/>
          <w:noProof/>
        </w:rPr>
        <w:t>,</w:t>
      </w:r>
      <w:r w:rsidRPr="00787196">
        <w:rPr>
          <w:noProof/>
        </w:rPr>
        <w:t xml:space="preserve"> 141-169.</w:t>
      </w:r>
      <w:bookmarkEnd w:id="590"/>
    </w:p>
    <w:p w14:paraId="27333D6C" w14:textId="77777777" w:rsidR="00525DC8" w:rsidRPr="00787196" w:rsidRDefault="00525DC8" w:rsidP="00525DC8">
      <w:pPr>
        <w:pStyle w:val="EndNoteBibliography"/>
        <w:spacing w:after="240"/>
        <w:rPr>
          <w:noProof/>
        </w:rPr>
      </w:pPr>
      <w:bookmarkStart w:id="591" w:name="_ENREF_234"/>
      <w:r w:rsidRPr="00787196">
        <w:rPr>
          <w:noProof/>
        </w:rPr>
        <w:lastRenderedPageBreak/>
        <w:t xml:space="preserve">LAZARUS, R. S. &amp; LAUNIER, R. 1978. Stress-related transactions between person and environment. </w:t>
      </w:r>
      <w:r w:rsidRPr="00787196">
        <w:rPr>
          <w:i/>
          <w:noProof/>
        </w:rPr>
        <w:t>Perspectives in interactional psychology,</w:t>
      </w:r>
      <w:r w:rsidRPr="00787196">
        <w:rPr>
          <w:noProof/>
        </w:rPr>
        <w:t xml:space="preserve"> 287</w:t>
      </w:r>
      <w:r w:rsidRPr="00787196">
        <w:rPr>
          <w:b/>
          <w:noProof/>
        </w:rPr>
        <w:t>,</w:t>
      </w:r>
      <w:r w:rsidRPr="00787196">
        <w:rPr>
          <w:noProof/>
        </w:rPr>
        <w:t xml:space="preserve"> 327.</w:t>
      </w:r>
      <w:bookmarkEnd w:id="591"/>
    </w:p>
    <w:p w14:paraId="5A45D377" w14:textId="77777777" w:rsidR="00525DC8" w:rsidRPr="00787196" w:rsidRDefault="00525DC8" w:rsidP="00525DC8">
      <w:pPr>
        <w:pStyle w:val="EndNoteBibliography"/>
        <w:spacing w:after="240"/>
        <w:rPr>
          <w:noProof/>
        </w:rPr>
      </w:pPr>
      <w:bookmarkStart w:id="592" w:name="_ENREF_235"/>
      <w:r w:rsidRPr="00787196">
        <w:rPr>
          <w:noProof/>
        </w:rPr>
        <w:t xml:space="preserve">LEAKE, J. L. 1990. An index of chewing ability. </w:t>
      </w:r>
      <w:r w:rsidRPr="00787196">
        <w:rPr>
          <w:i/>
          <w:noProof/>
        </w:rPr>
        <w:t>Journal of public health dentistry,</w:t>
      </w:r>
      <w:r w:rsidRPr="00787196">
        <w:rPr>
          <w:noProof/>
        </w:rPr>
        <w:t xml:space="preserve"> 50</w:t>
      </w:r>
      <w:r w:rsidRPr="00787196">
        <w:rPr>
          <w:b/>
          <w:noProof/>
        </w:rPr>
        <w:t>,</w:t>
      </w:r>
      <w:r w:rsidRPr="00787196">
        <w:rPr>
          <w:noProof/>
        </w:rPr>
        <w:t xml:space="preserve"> 262-267.</w:t>
      </w:r>
      <w:bookmarkEnd w:id="592"/>
    </w:p>
    <w:p w14:paraId="61B3F513" w14:textId="77777777" w:rsidR="00525DC8" w:rsidRPr="00787196" w:rsidRDefault="00525DC8" w:rsidP="00525DC8">
      <w:pPr>
        <w:pStyle w:val="EndNoteBibliography"/>
        <w:spacing w:after="240"/>
        <w:rPr>
          <w:noProof/>
        </w:rPr>
      </w:pPr>
      <w:bookmarkStart w:id="593" w:name="_ENREF_236"/>
      <w:r w:rsidRPr="00787196">
        <w:rPr>
          <w:noProof/>
        </w:rPr>
        <w:t xml:space="preserve">LEE, I. C., YANG, Y. H. &amp; HO, P. S. 2012. Exploring the quality of life after denture-wearing within elders in Kaohsiung. </w:t>
      </w:r>
      <w:r w:rsidRPr="00787196">
        <w:rPr>
          <w:i/>
          <w:noProof/>
        </w:rPr>
        <w:t>Gerodontology,</w:t>
      </w:r>
      <w:r w:rsidRPr="00787196">
        <w:rPr>
          <w:noProof/>
        </w:rPr>
        <w:t xml:space="preserve"> 29</w:t>
      </w:r>
      <w:r w:rsidRPr="00787196">
        <w:rPr>
          <w:b/>
          <w:noProof/>
        </w:rPr>
        <w:t>,</w:t>
      </w:r>
      <w:r w:rsidRPr="00787196">
        <w:rPr>
          <w:noProof/>
        </w:rPr>
        <w:t xml:space="preserve"> e1067-77.</w:t>
      </w:r>
      <w:bookmarkEnd w:id="593"/>
    </w:p>
    <w:p w14:paraId="04EF6D2D" w14:textId="77777777" w:rsidR="00525DC8" w:rsidRPr="00787196" w:rsidRDefault="00525DC8" w:rsidP="00525DC8">
      <w:pPr>
        <w:pStyle w:val="EndNoteBibliography"/>
        <w:spacing w:after="240"/>
        <w:rPr>
          <w:noProof/>
        </w:rPr>
      </w:pPr>
      <w:bookmarkStart w:id="594" w:name="_ENREF_237"/>
      <w:r w:rsidRPr="00787196">
        <w:rPr>
          <w:noProof/>
        </w:rPr>
        <w:t xml:space="preserve">LEUNG, D. Y. P., LAM, T.-H. &amp; CHAN, S. S. C. 2010. Three versions of Perceived Stress Scale: validation in a sample of Chinese cardiac patients who smoke. </w:t>
      </w:r>
      <w:r w:rsidRPr="00787196">
        <w:rPr>
          <w:i/>
          <w:noProof/>
        </w:rPr>
        <w:t>BMC public health,</w:t>
      </w:r>
      <w:r w:rsidRPr="00787196">
        <w:rPr>
          <w:noProof/>
        </w:rPr>
        <w:t xml:space="preserve"> 10</w:t>
      </w:r>
      <w:r w:rsidRPr="00787196">
        <w:rPr>
          <w:b/>
          <w:noProof/>
        </w:rPr>
        <w:t>,</w:t>
      </w:r>
      <w:r w:rsidRPr="00787196">
        <w:rPr>
          <w:noProof/>
        </w:rPr>
        <w:t xml:space="preserve"> 513.</w:t>
      </w:r>
      <w:bookmarkEnd w:id="594"/>
    </w:p>
    <w:p w14:paraId="4B8C05E9" w14:textId="77777777" w:rsidR="00525DC8" w:rsidRPr="00787196" w:rsidRDefault="00525DC8" w:rsidP="00525DC8">
      <w:pPr>
        <w:pStyle w:val="EndNoteBibliography"/>
        <w:spacing w:after="240"/>
        <w:rPr>
          <w:noProof/>
        </w:rPr>
      </w:pPr>
      <w:bookmarkStart w:id="595" w:name="_ENREF_238"/>
      <w:r w:rsidRPr="00787196">
        <w:rPr>
          <w:noProof/>
        </w:rPr>
        <w:t xml:space="preserve">LEVENTHAL, E. A. &amp; PROHASKA, T. R. 1986. Age, symptom interpretation, and health behavior. </w:t>
      </w:r>
      <w:r w:rsidRPr="00787196">
        <w:rPr>
          <w:i/>
          <w:noProof/>
        </w:rPr>
        <w:t>Journal of the American Geriatrics Society</w:t>
      </w:r>
      <w:r w:rsidRPr="00787196">
        <w:rPr>
          <w:noProof/>
        </w:rPr>
        <w:t>.</w:t>
      </w:r>
      <w:bookmarkEnd w:id="595"/>
    </w:p>
    <w:p w14:paraId="71E4CD61" w14:textId="77777777" w:rsidR="00525DC8" w:rsidRPr="00787196" w:rsidRDefault="00525DC8" w:rsidP="00525DC8">
      <w:pPr>
        <w:pStyle w:val="EndNoteBibliography"/>
        <w:spacing w:after="240"/>
        <w:rPr>
          <w:noProof/>
        </w:rPr>
      </w:pPr>
      <w:bookmarkStart w:id="596" w:name="_ENREF_239"/>
      <w:r w:rsidRPr="00787196">
        <w:rPr>
          <w:noProof/>
        </w:rPr>
        <w:t xml:space="preserve">LEVIN, B. &amp; LANDESMAN, H. M. 1976. A practical questionnaire for predicting denture success or failure. </w:t>
      </w:r>
      <w:r w:rsidRPr="00787196">
        <w:rPr>
          <w:i/>
          <w:noProof/>
        </w:rPr>
        <w:t>The Journal of prosthetic dentistry,</w:t>
      </w:r>
      <w:r w:rsidRPr="00787196">
        <w:rPr>
          <w:noProof/>
        </w:rPr>
        <w:t xml:space="preserve"> 35</w:t>
      </w:r>
      <w:r w:rsidRPr="00787196">
        <w:rPr>
          <w:b/>
          <w:noProof/>
        </w:rPr>
        <w:t>,</w:t>
      </w:r>
      <w:r w:rsidRPr="00787196">
        <w:rPr>
          <w:noProof/>
        </w:rPr>
        <w:t xml:space="preserve"> 124.</w:t>
      </w:r>
      <w:bookmarkEnd w:id="596"/>
    </w:p>
    <w:p w14:paraId="55E575A0" w14:textId="77777777" w:rsidR="00525DC8" w:rsidRPr="00787196" w:rsidRDefault="00525DC8" w:rsidP="00525DC8">
      <w:pPr>
        <w:pStyle w:val="EndNoteBibliography"/>
        <w:spacing w:after="240"/>
        <w:rPr>
          <w:noProof/>
        </w:rPr>
      </w:pPr>
      <w:bookmarkStart w:id="597" w:name="_ENREF_240"/>
      <w:r w:rsidRPr="00787196">
        <w:rPr>
          <w:noProof/>
        </w:rPr>
        <w:t xml:space="preserve">LOCKER, D. 1988. Measuring oral health: a conceptual framework. </w:t>
      </w:r>
      <w:r w:rsidRPr="00787196">
        <w:rPr>
          <w:i/>
          <w:noProof/>
        </w:rPr>
        <w:t>Community Dent Health,</w:t>
      </w:r>
      <w:r w:rsidRPr="00787196">
        <w:rPr>
          <w:noProof/>
        </w:rPr>
        <w:t xml:space="preserve"> 5</w:t>
      </w:r>
      <w:r w:rsidRPr="00787196">
        <w:rPr>
          <w:b/>
          <w:noProof/>
        </w:rPr>
        <w:t>,</w:t>
      </w:r>
      <w:r w:rsidRPr="00787196">
        <w:rPr>
          <w:noProof/>
        </w:rPr>
        <w:t xml:space="preserve"> 3-18.</w:t>
      </w:r>
      <w:bookmarkEnd w:id="597"/>
    </w:p>
    <w:p w14:paraId="1CCE24CF" w14:textId="77777777" w:rsidR="00525DC8" w:rsidRPr="00787196" w:rsidRDefault="00525DC8" w:rsidP="00525DC8">
      <w:pPr>
        <w:pStyle w:val="EndNoteBibliography"/>
        <w:spacing w:after="240"/>
        <w:rPr>
          <w:noProof/>
        </w:rPr>
      </w:pPr>
      <w:bookmarkStart w:id="598" w:name="_ENREF_241"/>
      <w:r w:rsidRPr="00787196">
        <w:rPr>
          <w:noProof/>
        </w:rPr>
        <w:t xml:space="preserve">LOCKER, D. 1989. </w:t>
      </w:r>
      <w:r w:rsidRPr="00787196">
        <w:rPr>
          <w:i/>
          <w:noProof/>
        </w:rPr>
        <w:t xml:space="preserve">An introduction to behavioural science &amp; dentistry, </w:t>
      </w:r>
      <w:r w:rsidRPr="00787196">
        <w:rPr>
          <w:noProof/>
        </w:rPr>
        <w:t>London ; New York, Tavistock/Routledge.</w:t>
      </w:r>
      <w:bookmarkEnd w:id="598"/>
    </w:p>
    <w:p w14:paraId="223135BD" w14:textId="77777777" w:rsidR="00525DC8" w:rsidRPr="00787196" w:rsidRDefault="00525DC8" w:rsidP="00525DC8">
      <w:pPr>
        <w:pStyle w:val="EndNoteBibliography"/>
        <w:spacing w:after="240"/>
        <w:rPr>
          <w:noProof/>
        </w:rPr>
      </w:pPr>
      <w:bookmarkStart w:id="599" w:name="_ENREF_242"/>
      <w:r w:rsidRPr="00787196">
        <w:rPr>
          <w:noProof/>
        </w:rPr>
        <w:t xml:space="preserve">LOCKER, D. 1992. The burden of oral disorders in a population of older adults. </w:t>
      </w:r>
      <w:r w:rsidRPr="00787196">
        <w:rPr>
          <w:i/>
          <w:noProof/>
        </w:rPr>
        <w:t>Community dental health,</w:t>
      </w:r>
      <w:r w:rsidRPr="00787196">
        <w:rPr>
          <w:noProof/>
        </w:rPr>
        <w:t xml:space="preserve"> 9</w:t>
      </w:r>
      <w:r w:rsidRPr="00787196">
        <w:rPr>
          <w:b/>
          <w:noProof/>
        </w:rPr>
        <w:t>,</w:t>
      </w:r>
      <w:r w:rsidRPr="00787196">
        <w:rPr>
          <w:noProof/>
        </w:rPr>
        <w:t xml:space="preserve"> 109-24.</w:t>
      </w:r>
      <w:bookmarkEnd w:id="599"/>
    </w:p>
    <w:p w14:paraId="04FA2398" w14:textId="77777777" w:rsidR="00525DC8" w:rsidRPr="00787196" w:rsidRDefault="00525DC8" w:rsidP="00525DC8">
      <w:pPr>
        <w:pStyle w:val="EndNoteBibliography"/>
        <w:spacing w:after="240"/>
        <w:rPr>
          <w:noProof/>
        </w:rPr>
      </w:pPr>
      <w:bookmarkStart w:id="600" w:name="_ENREF_243"/>
      <w:r w:rsidRPr="00787196">
        <w:rPr>
          <w:noProof/>
        </w:rPr>
        <w:t xml:space="preserve">LOCKER, D. 1996. Applications of self-reported assessments of oral health outcomes. </w:t>
      </w:r>
      <w:r w:rsidRPr="00787196">
        <w:rPr>
          <w:i/>
          <w:noProof/>
        </w:rPr>
        <w:t>Journal of dental education,</w:t>
      </w:r>
      <w:r w:rsidRPr="00787196">
        <w:rPr>
          <w:noProof/>
        </w:rPr>
        <w:t xml:space="preserve"> 60</w:t>
      </w:r>
      <w:r w:rsidRPr="00787196">
        <w:rPr>
          <w:b/>
          <w:noProof/>
        </w:rPr>
        <w:t>,</w:t>
      </w:r>
      <w:r w:rsidRPr="00787196">
        <w:rPr>
          <w:noProof/>
        </w:rPr>
        <w:t xml:space="preserve"> 494-500.</w:t>
      </w:r>
      <w:bookmarkEnd w:id="600"/>
    </w:p>
    <w:p w14:paraId="074C58C1" w14:textId="77777777" w:rsidR="00525DC8" w:rsidRPr="00787196" w:rsidRDefault="00525DC8" w:rsidP="00525DC8">
      <w:pPr>
        <w:pStyle w:val="EndNoteBibliography"/>
        <w:spacing w:after="240"/>
        <w:rPr>
          <w:noProof/>
        </w:rPr>
      </w:pPr>
      <w:bookmarkStart w:id="601" w:name="_ENREF_244"/>
      <w:r w:rsidRPr="00787196">
        <w:rPr>
          <w:noProof/>
        </w:rPr>
        <w:t xml:space="preserve">LOCKER, D. 1997. Concepts of oral health. Disease and the quality of life. </w:t>
      </w:r>
      <w:r w:rsidRPr="00787196">
        <w:rPr>
          <w:i/>
          <w:noProof/>
        </w:rPr>
        <w:t>In:</w:t>
      </w:r>
      <w:r w:rsidRPr="00787196">
        <w:rPr>
          <w:noProof/>
        </w:rPr>
        <w:t xml:space="preserve"> SLADE, G. D. (ed.) </w:t>
      </w:r>
      <w:r w:rsidRPr="00787196">
        <w:rPr>
          <w:i/>
          <w:noProof/>
        </w:rPr>
        <w:t>Measuring oral health and quality of life.</w:t>
      </w:r>
      <w:r w:rsidRPr="00787196">
        <w:rPr>
          <w:noProof/>
        </w:rPr>
        <w:t xml:space="preserve"> Chapel Hill, NC: Dept. of Dental Ecology, School of Dentistry, University of North Carolina.</w:t>
      </w:r>
      <w:bookmarkEnd w:id="601"/>
    </w:p>
    <w:p w14:paraId="69CD6A9B" w14:textId="77777777" w:rsidR="00525DC8" w:rsidRPr="00787196" w:rsidRDefault="00525DC8" w:rsidP="00525DC8">
      <w:pPr>
        <w:pStyle w:val="EndNoteBibliography"/>
        <w:spacing w:after="240"/>
        <w:rPr>
          <w:noProof/>
        </w:rPr>
      </w:pPr>
      <w:bookmarkStart w:id="602" w:name="_ENREF_245"/>
      <w:r w:rsidRPr="00787196">
        <w:rPr>
          <w:noProof/>
        </w:rPr>
        <w:t xml:space="preserve">LOCKER, D. 2000. Deprivation and oral health: a review. </w:t>
      </w:r>
      <w:r w:rsidRPr="00787196">
        <w:rPr>
          <w:i/>
          <w:noProof/>
        </w:rPr>
        <w:t>Community Dentistry and Oral Epidemiology,</w:t>
      </w:r>
      <w:r w:rsidRPr="00787196">
        <w:rPr>
          <w:noProof/>
        </w:rPr>
        <w:t xml:space="preserve"> 28</w:t>
      </w:r>
      <w:r w:rsidRPr="00787196">
        <w:rPr>
          <w:b/>
          <w:noProof/>
        </w:rPr>
        <w:t>,</w:t>
      </w:r>
      <w:r w:rsidRPr="00787196">
        <w:rPr>
          <w:noProof/>
        </w:rPr>
        <w:t xml:space="preserve"> 161-169.</w:t>
      </w:r>
      <w:bookmarkEnd w:id="602"/>
    </w:p>
    <w:p w14:paraId="12D5F79B" w14:textId="77777777" w:rsidR="00525DC8" w:rsidRPr="00787196" w:rsidRDefault="00525DC8" w:rsidP="00525DC8">
      <w:pPr>
        <w:pStyle w:val="EndNoteBibliography"/>
        <w:spacing w:after="240"/>
        <w:rPr>
          <w:noProof/>
        </w:rPr>
      </w:pPr>
      <w:bookmarkStart w:id="603" w:name="_ENREF_246"/>
      <w:r w:rsidRPr="00787196">
        <w:rPr>
          <w:noProof/>
        </w:rPr>
        <w:t xml:space="preserve">LOCKER, D. 2004. Oral health and quality of life. </w:t>
      </w:r>
      <w:r w:rsidRPr="00787196">
        <w:rPr>
          <w:i/>
          <w:noProof/>
        </w:rPr>
        <w:t>Oral Health &amp; Preventive Dentistry,</w:t>
      </w:r>
      <w:r w:rsidRPr="00787196">
        <w:rPr>
          <w:noProof/>
        </w:rPr>
        <w:t xml:space="preserve"> 2(1)</w:t>
      </w:r>
      <w:r w:rsidRPr="00787196">
        <w:rPr>
          <w:b/>
          <w:noProof/>
        </w:rPr>
        <w:t>,</w:t>
      </w:r>
      <w:r w:rsidRPr="00787196">
        <w:rPr>
          <w:noProof/>
        </w:rPr>
        <w:t xml:space="preserve"> 247-53.</w:t>
      </w:r>
      <w:bookmarkEnd w:id="603"/>
    </w:p>
    <w:p w14:paraId="5A4F2FB2" w14:textId="77777777" w:rsidR="00525DC8" w:rsidRPr="00787196" w:rsidRDefault="00525DC8" w:rsidP="00525DC8">
      <w:pPr>
        <w:pStyle w:val="EndNoteBibliography"/>
        <w:spacing w:after="240"/>
        <w:rPr>
          <w:noProof/>
        </w:rPr>
      </w:pPr>
      <w:bookmarkStart w:id="604" w:name="_ENREF_247"/>
      <w:r w:rsidRPr="00787196">
        <w:rPr>
          <w:noProof/>
        </w:rPr>
        <w:lastRenderedPageBreak/>
        <w:t xml:space="preserve">LOCKER, D. &amp; ALLEN, F. 2007. What do measures of 'oral health-related quality of life' measure? </w:t>
      </w:r>
      <w:r w:rsidRPr="00787196">
        <w:rPr>
          <w:i/>
          <w:noProof/>
        </w:rPr>
        <w:t>Community Dentistry and Oral Epidemiology,</w:t>
      </w:r>
      <w:r w:rsidRPr="00787196">
        <w:rPr>
          <w:noProof/>
        </w:rPr>
        <w:t xml:space="preserve"> 35(6)</w:t>
      </w:r>
      <w:r w:rsidRPr="00787196">
        <w:rPr>
          <w:b/>
          <w:noProof/>
        </w:rPr>
        <w:t>,</w:t>
      </w:r>
      <w:r w:rsidRPr="00787196">
        <w:rPr>
          <w:noProof/>
        </w:rPr>
        <w:t xml:space="preserve"> 401-11.</w:t>
      </w:r>
      <w:bookmarkEnd w:id="604"/>
    </w:p>
    <w:p w14:paraId="5B99A9C4" w14:textId="77777777" w:rsidR="00525DC8" w:rsidRPr="00787196" w:rsidRDefault="00525DC8" w:rsidP="00525DC8">
      <w:pPr>
        <w:pStyle w:val="EndNoteBibliography"/>
        <w:spacing w:after="240"/>
        <w:rPr>
          <w:noProof/>
        </w:rPr>
      </w:pPr>
      <w:bookmarkStart w:id="605" w:name="_ENREF_248"/>
      <w:r w:rsidRPr="00787196">
        <w:rPr>
          <w:noProof/>
        </w:rPr>
        <w:t xml:space="preserve">LOCKER, D. &amp; ALLEN, P. F. 2002. Developing short-form measures of oral health-related quality of life. </w:t>
      </w:r>
      <w:r w:rsidRPr="00787196">
        <w:rPr>
          <w:i/>
          <w:noProof/>
        </w:rPr>
        <w:t>J Public Health Dent,</w:t>
      </w:r>
      <w:r w:rsidRPr="00787196">
        <w:rPr>
          <w:noProof/>
        </w:rPr>
        <w:t xml:space="preserve"> 62</w:t>
      </w:r>
      <w:r w:rsidRPr="00787196">
        <w:rPr>
          <w:b/>
          <w:noProof/>
        </w:rPr>
        <w:t>,</w:t>
      </w:r>
      <w:r w:rsidRPr="00787196">
        <w:rPr>
          <w:noProof/>
        </w:rPr>
        <w:t xml:space="preserve"> 13-20.</w:t>
      </w:r>
      <w:bookmarkEnd w:id="605"/>
    </w:p>
    <w:p w14:paraId="72252D84" w14:textId="77777777" w:rsidR="00525DC8" w:rsidRPr="00787196" w:rsidRDefault="00525DC8" w:rsidP="00525DC8">
      <w:pPr>
        <w:pStyle w:val="EndNoteBibliography"/>
        <w:spacing w:after="240"/>
        <w:rPr>
          <w:noProof/>
        </w:rPr>
      </w:pPr>
      <w:bookmarkStart w:id="606" w:name="_ENREF_249"/>
      <w:r w:rsidRPr="00787196">
        <w:rPr>
          <w:noProof/>
        </w:rPr>
        <w:t xml:space="preserve">LOCKER, D., MATEAR, D., STEPHENS, M., LAWRENCE, H. &amp; PAYNE, B. 2001. Comparison of the GOHAI and OHIP-14 as measures of the oral health-related quality of life of the elderly. </w:t>
      </w:r>
      <w:r w:rsidRPr="00787196">
        <w:rPr>
          <w:i/>
          <w:noProof/>
        </w:rPr>
        <w:t>Community Dent Oral Epidemiol,</w:t>
      </w:r>
      <w:r w:rsidRPr="00787196">
        <w:rPr>
          <w:noProof/>
        </w:rPr>
        <w:t xml:space="preserve"> 29</w:t>
      </w:r>
      <w:r w:rsidRPr="00787196">
        <w:rPr>
          <w:b/>
          <w:noProof/>
        </w:rPr>
        <w:t>,</w:t>
      </w:r>
      <w:r w:rsidRPr="00787196">
        <w:rPr>
          <w:noProof/>
        </w:rPr>
        <w:t xml:space="preserve"> 373-81.</w:t>
      </w:r>
      <w:bookmarkEnd w:id="606"/>
    </w:p>
    <w:p w14:paraId="759F4986" w14:textId="77777777" w:rsidR="00525DC8" w:rsidRPr="00787196" w:rsidRDefault="00525DC8" w:rsidP="00525DC8">
      <w:pPr>
        <w:pStyle w:val="EndNoteBibliography"/>
        <w:spacing w:after="240"/>
        <w:rPr>
          <w:noProof/>
        </w:rPr>
      </w:pPr>
      <w:bookmarkStart w:id="607" w:name="_ENREF_250"/>
      <w:r w:rsidRPr="00787196">
        <w:rPr>
          <w:noProof/>
        </w:rPr>
        <w:t xml:space="preserve">LOCKER, D., QUINONEZ, C., LOCKER, D. &amp; QUINONEZ, C. 2009. Functional and psychosocial impacts of oral disorders in Canadian adults: a national population survey. </w:t>
      </w:r>
      <w:r w:rsidRPr="00787196">
        <w:rPr>
          <w:i/>
          <w:noProof/>
        </w:rPr>
        <w:t>Journal (Canadian Dental Association),</w:t>
      </w:r>
      <w:r w:rsidRPr="00787196">
        <w:rPr>
          <w:noProof/>
        </w:rPr>
        <w:t xml:space="preserve"> 75</w:t>
      </w:r>
      <w:r w:rsidRPr="00787196">
        <w:rPr>
          <w:b/>
          <w:noProof/>
        </w:rPr>
        <w:t>,</w:t>
      </w:r>
      <w:r w:rsidRPr="00787196">
        <w:rPr>
          <w:noProof/>
        </w:rPr>
        <w:t xml:space="preserve"> 521.</w:t>
      </w:r>
      <w:bookmarkEnd w:id="607"/>
    </w:p>
    <w:p w14:paraId="337E3A9F" w14:textId="77777777" w:rsidR="00525DC8" w:rsidRPr="00787196" w:rsidRDefault="00525DC8" w:rsidP="00525DC8">
      <w:pPr>
        <w:pStyle w:val="EndNoteBibliography"/>
        <w:spacing w:after="240"/>
        <w:rPr>
          <w:noProof/>
        </w:rPr>
      </w:pPr>
      <w:bookmarkStart w:id="608" w:name="_ENREF_251"/>
      <w:r w:rsidRPr="00787196">
        <w:rPr>
          <w:noProof/>
        </w:rPr>
        <w:t xml:space="preserve">LOCKER, D. &amp; SLADE, G. 1994. Association between clinical and subjective indicators of oral health status in an older adult population. </w:t>
      </w:r>
      <w:r w:rsidRPr="00787196">
        <w:rPr>
          <w:i/>
          <w:noProof/>
        </w:rPr>
        <w:t>Gerodontology,</w:t>
      </w:r>
      <w:r w:rsidRPr="00787196">
        <w:rPr>
          <w:noProof/>
        </w:rPr>
        <w:t xml:space="preserve"> 11</w:t>
      </w:r>
      <w:r w:rsidRPr="00787196">
        <w:rPr>
          <w:b/>
          <w:noProof/>
        </w:rPr>
        <w:t>,</w:t>
      </w:r>
      <w:r w:rsidRPr="00787196">
        <w:rPr>
          <w:noProof/>
        </w:rPr>
        <w:t xml:space="preserve"> 108-114.</w:t>
      </w:r>
      <w:bookmarkEnd w:id="608"/>
    </w:p>
    <w:p w14:paraId="46A19FBB" w14:textId="77777777" w:rsidR="00525DC8" w:rsidRPr="00787196" w:rsidRDefault="00525DC8" w:rsidP="00525DC8">
      <w:pPr>
        <w:pStyle w:val="EndNoteBibliography"/>
        <w:spacing w:after="240"/>
        <w:rPr>
          <w:noProof/>
        </w:rPr>
      </w:pPr>
      <w:bookmarkStart w:id="609" w:name="_ENREF_252"/>
      <w:r w:rsidRPr="00787196">
        <w:rPr>
          <w:noProof/>
        </w:rPr>
        <w:t xml:space="preserve">LOCKER, D., SLADE, G., LOCKER, D. &amp; SLADE, G. 1994. Association between clinical and subjective indicators of oral health status in an older adult population. </w:t>
      </w:r>
      <w:r w:rsidRPr="00787196">
        <w:rPr>
          <w:i/>
          <w:noProof/>
        </w:rPr>
        <w:t>Gerodontology,</w:t>
      </w:r>
      <w:r w:rsidRPr="00787196">
        <w:rPr>
          <w:noProof/>
        </w:rPr>
        <w:t xml:space="preserve"> 11</w:t>
      </w:r>
      <w:r w:rsidRPr="00787196">
        <w:rPr>
          <w:b/>
          <w:noProof/>
        </w:rPr>
        <w:t>,</w:t>
      </w:r>
      <w:r w:rsidRPr="00787196">
        <w:rPr>
          <w:noProof/>
        </w:rPr>
        <w:t xml:space="preserve"> 108-14.</w:t>
      </w:r>
      <w:bookmarkEnd w:id="609"/>
    </w:p>
    <w:p w14:paraId="35E1780E" w14:textId="77777777" w:rsidR="00525DC8" w:rsidRPr="00787196" w:rsidRDefault="00525DC8" w:rsidP="00525DC8">
      <w:pPr>
        <w:pStyle w:val="EndNoteBibliography"/>
        <w:spacing w:after="240"/>
        <w:rPr>
          <w:noProof/>
        </w:rPr>
      </w:pPr>
      <w:bookmarkStart w:id="610" w:name="_ENREF_253"/>
      <w:r w:rsidRPr="00787196">
        <w:rPr>
          <w:noProof/>
        </w:rPr>
        <w:t xml:space="preserve">LOW, G., MOLZAHN, A. E. &amp; SCHOPFLOCHER, D. 2013. Attitudes to aging mediate the relationship between older peoples' subjective health and quality of life in 20 countries. </w:t>
      </w:r>
      <w:r w:rsidRPr="00787196">
        <w:rPr>
          <w:i/>
          <w:noProof/>
        </w:rPr>
        <w:t>Health Qual Life Outcomes,</w:t>
      </w:r>
      <w:r w:rsidRPr="00787196">
        <w:rPr>
          <w:noProof/>
        </w:rPr>
        <w:t xml:space="preserve"> 11</w:t>
      </w:r>
      <w:r w:rsidRPr="00787196">
        <w:rPr>
          <w:b/>
          <w:noProof/>
        </w:rPr>
        <w:t>,</w:t>
      </w:r>
      <w:r w:rsidRPr="00787196">
        <w:rPr>
          <w:noProof/>
        </w:rPr>
        <w:t xml:space="preserve"> 146.</w:t>
      </w:r>
      <w:bookmarkEnd w:id="610"/>
    </w:p>
    <w:p w14:paraId="6F8621AB" w14:textId="77777777" w:rsidR="00525DC8" w:rsidRPr="00787196" w:rsidRDefault="00525DC8" w:rsidP="00525DC8">
      <w:pPr>
        <w:pStyle w:val="EndNoteBibliography"/>
        <w:spacing w:after="240"/>
        <w:rPr>
          <w:noProof/>
        </w:rPr>
      </w:pPr>
      <w:bookmarkStart w:id="611" w:name="_ENREF_254"/>
      <w:r w:rsidRPr="00787196">
        <w:rPr>
          <w:noProof/>
        </w:rPr>
        <w:t xml:space="preserve">LÓPEZ, R., FERNÁNDEZ, O. &amp; BAELUM, V. 2006. Social gradients in periodontal diseases among adolescents. </w:t>
      </w:r>
      <w:r w:rsidRPr="00787196">
        <w:rPr>
          <w:i/>
          <w:noProof/>
        </w:rPr>
        <w:t>Community Dentistry and Oral Epidemiology,</w:t>
      </w:r>
      <w:r w:rsidRPr="00787196">
        <w:rPr>
          <w:noProof/>
        </w:rPr>
        <w:t xml:space="preserve"> 34</w:t>
      </w:r>
      <w:r w:rsidRPr="00787196">
        <w:rPr>
          <w:b/>
          <w:noProof/>
        </w:rPr>
        <w:t>,</w:t>
      </w:r>
      <w:r w:rsidRPr="00787196">
        <w:rPr>
          <w:noProof/>
        </w:rPr>
        <w:t xml:space="preserve"> 184-196.</w:t>
      </w:r>
      <w:bookmarkEnd w:id="611"/>
    </w:p>
    <w:p w14:paraId="69B46180" w14:textId="77777777" w:rsidR="00525DC8" w:rsidRPr="00787196" w:rsidRDefault="00525DC8" w:rsidP="00525DC8">
      <w:pPr>
        <w:pStyle w:val="EndNoteBibliography"/>
        <w:spacing w:after="240"/>
        <w:rPr>
          <w:noProof/>
        </w:rPr>
      </w:pPr>
      <w:bookmarkStart w:id="612" w:name="_ENREF_255"/>
      <w:r w:rsidRPr="00787196">
        <w:rPr>
          <w:noProof/>
        </w:rPr>
        <w:t xml:space="preserve">MAKHIJA, S. K., GILBERT, G. H., BOYKIN, M. J., LITAKER, M. S., ALLMAN, R. M., BAKER, P. S., LOCHER, J. L. &amp; RITCHIE, C. S. 2006. The Relationship Between Sociodemographic Factors and Oral Health–Related Quality of Life in Dentate and Edentulous Community-Dwelling Older Adults. </w:t>
      </w:r>
      <w:r w:rsidRPr="00787196">
        <w:rPr>
          <w:i/>
          <w:noProof/>
        </w:rPr>
        <w:t>Journal of the American Geriatrics Society,</w:t>
      </w:r>
      <w:r w:rsidRPr="00787196">
        <w:rPr>
          <w:noProof/>
        </w:rPr>
        <w:t xml:space="preserve"> 54</w:t>
      </w:r>
      <w:r w:rsidRPr="00787196">
        <w:rPr>
          <w:b/>
          <w:noProof/>
        </w:rPr>
        <w:t>,</w:t>
      </w:r>
      <w:r w:rsidRPr="00787196">
        <w:rPr>
          <w:noProof/>
        </w:rPr>
        <w:t xml:space="preserve"> 1701-1712.</w:t>
      </w:r>
      <w:bookmarkEnd w:id="612"/>
    </w:p>
    <w:p w14:paraId="7977B221" w14:textId="77777777" w:rsidR="00525DC8" w:rsidRPr="00787196" w:rsidRDefault="00525DC8" w:rsidP="00525DC8">
      <w:pPr>
        <w:pStyle w:val="EndNoteBibliography"/>
        <w:spacing w:after="240"/>
        <w:rPr>
          <w:noProof/>
        </w:rPr>
      </w:pPr>
      <w:bookmarkStart w:id="613" w:name="_ENREF_256"/>
      <w:r w:rsidRPr="00787196">
        <w:rPr>
          <w:noProof/>
        </w:rPr>
        <w:t xml:space="preserve">MARCENES, W. &amp; SHEIHAM, A. 1992. The relationship between work stress and oral health status. </w:t>
      </w:r>
      <w:r w:rsidRPr="00787196">
        <w:rPr>
          <w:i/>
          <w:noProof/>
        </w:rPr>
        <w:t>Social Science &amp; Medicine,</w:t>
      </w:r>
      <w:r w:rsidRPr="00787196">
        <w:rPr>
          <w:noProof/>
        </w:rPr>
        <w:t xml:space="preserve"> 35</w:t>
      </w:r>
      <w:r w:rsidRPr="00787196">
        <w:rPr>
          <w:b/>
          <w:noProof/>
        </w:rPr>
        <w:t>,</w:t>
      </w:r>
      <w:r w:rsidRPr="00787196">
        <w:rPr>
          <w:noProof/>
        </w:rPr>
        <w:t xml:space="preserve"> 1511-1520.</w:t>
      </w:r>
      <w:bookmarkEnd w:id="613"/>
    </w:p>
    <w:p w14:paraId="5A25440D" w14:textId="77777777" w:rsidR="00525DC8" w:rsidRPr="00787196" w:rsidRDefault="00525DC8" w:rsidP="00525DC8">
      <w:pPr>
        <w:pStyle w:val="EndNoteBibliography"/>
        <w:spacing w:after="240"/>
        <w:rPr>
          <w:noProof/>
        </w:rPr>
      </w:pPr>
      <w:bookmarkStart w:id="614" w:name="_ENREF_257"/>
      <w:r w:rsidRPr="00787196">
        <w:rPr>
          <w:noProof/>
        </w:rPr>
        <w:t xml:space="preserve">MARINO, R., SCHOFIELD, M., WRIGHT, C., CALACHE, H., MINICHIELLO, V., MARINO, R., SCHOFIELD, M., WRIGHT, C., CALACHE, H. &amp; MINICHIELLO, V. 2008. </w:t>
      </w:r>
      <w:r w:rsidRPr="00787196">
        <w:rPr>
          <w:noProof/>
        </w:rPr>
        <w:lastRenderedPageBreak/>
        <w:t xml:space="preserve">Self-reported and clinically determined oral health status predictors for quality of life in dentate older migrant adults. </w:t>
      </w:r>
      <w:r w:rsidRPr="00787196">
        <w:rPr>
          <w:i/>
          <w:noProof/>
        </w:rPr>
        <w:t>Community Dentistry &amp; Oral Epidemiology,</w:t>
      </w:r>
      <w:r w:rsidRPr="00787196">
        <w:rPr>
          <w:noProof/>
        </w:rPr>
        <w:t xml:space="preserve"> 36</w:t>
      </w:r>
      <w:r w:rsidRPr="00787196">
        <w:rPr>
          <w:b/>
          <w:noProof/>
        </w:rPr>
        <w:t>,</w:t>
      </w:r>
      <w:r w:rsidRPr="00787196">
        <w:rPr>
          <w:noProof/>
        </w:rPr>
        <w:t xml:space="preserve"> 85-94.</w:t>
      </w:r>
      <w:bookmarkEnd w:id="614"/>
    </w:p>
    <w:p w14:paraId="1F7F06ED" w14:textId="77777777" w:rsidR="00525DC8" w:rsidRPr="00787196" w:rsidRDefault="00525DC8" w:rsidP="00525DC8">
      <w:pPr>
        <w:pStyle w:val="EndNoteBibliography"/>
        <w:spacing w:after="240"/>
        <w:rPr>
          <w:noProof/>
        </w:rPr>
      </w:pPr>
      <w:bookmarkStart w:id="615" w:name="_ENREF_258"/>
      <w:r w:rsidRPr="00787196">
        <w:rPr>
          <w:noProof/>
        </w:rPr>
        <w:t xml:space="preserve">MARMOT, M., FRIEL, S., BELL, R., HOUWELING, T. A. J. &amp; TAYLOR, S. 2007. Closing the gap in a generation: health equity through action on the social determinants of health. </w:t>
      </w:r>
      <w:r w:rsidRPr="00787196">
        <w:rPr>
          <w:i/>
          <w:noProof/>
        </w:rPr>
        <w:t>The Lancet,</w:t>
      </w:r>
      <w:r w:rsidRPr="00787196">
        <w:rPr>
          <w:noProof/>
        </w:rPr>
        <w:t xml:space="preserve"> 372</w:t>
      </w:r>
      <w:r w:rsidRPr="00787196">
        <w:rPr>
          <w:b/>
          <w:noProof/>
        </w:rPr>
        <w:t>,</w:t>
      </w:r>
      <w:r w:rsidRPr="00787196">
        <w:rPr>
          <w:noProof/>
        </w:rPr>
        <w:t xml:space="preserve"> 1661-1669.</w:t>
      </w:r>
      <w:bookmarkEnd w:id="615"/>
    </w:p>
    <w:p w14:paraId="7295D42E" w14:textId="77777777" w:rsidR="00525DC8" w:rsidRPr="00787196" w:rsidRDefault="00525DC8" w:rsidP="00525DC8">
      <w:pPr>
        <w:pStyle w:val="EndNoteBibliography"/>
        <w:spacing w:after="240"/>
        <w:rPr>
          <w:noProof/>
        </w:rPr>
      </w:pPr>
      <w:bookmarkStart w:id="616" w:name="_ENREF_259"/>
      <w:r w:rsidRPr="00787196">
        <w:rPr>
          <w:noProof/>
        </w:rPr>
        <w:t xml:space="preserve">MARMOT, M. &amp; WILKINSON, R. G. 2001. Psychosocial and material pathways in the relation between income and health: a response to Lynch et al. </w:t>
      </w:r>
      <w:r w:rsidRPr="00787196">
        <w:rPr>
          <w:i/>
          <w:noProof/>
        </w:rPr>
        <w:t>BMJ: British Medical Journal,</w:t>
      </w:r>
      <w:r w:rsidRPr="00787196">
        <w:rPr>
          <w:noProof/>
        </w:rPr>
        <w:t xml:space="preserve"> 322</w:t>
      </w:r>
      <w:r w:rsidRPr="00787196">
        <w:rPr>
          <w:b/>
          <w:noProof/>
        </w:rPr>
        <w:t>,</w:t>
      </w:r>
      <w:r w:rsidRPr="00787196">
        <w:rPr>
          <w:noProof/>
        </w:rPr>
        <w:t xml:space="preserve"> 1233.</w:t>
      </w:r>
      <w:bookmarkEnd w:id="616"/>
    </w:p>
    <w:p w14:paraId="60C3F100" w14:textId="77777777" w:rsidR="00525DC8" w:rsidRPr="00787196" w:rsidRDefault="00525DC8" w:rsidP="00525DC8">
      <w:pPr>
        <w:pStyle w:val="EndNoteBibliography"/>
        <w:spacing w:after="240"/>
        <w:rPr>
          <w:noProof/>
        </w:rPr>
      </w:pPr>
      <w:bookmarkStart w:id="617" w:name="_ENREF_260"/>
      <w:r w:rsidRPr="00787196">
        <w:rPr>
          <w:noProof/>
        </w:rPr>
        <w:t xml:space="preserve">MARMOT, M. G., STANSFELD, S., PATEL, C., NORTH, F., HEAD, J., WHITE, I., BRUNNER, E., FEENEY, A., MARMOT, M. G. &amp; SMITH, G. D. 1991. Health inequalities among British civil servants: the Whitehall II study. </w:t>
      </w:r>
      <w:r w:rsidRPr="00787196">
        <w:rPr>
          <w:i/>
          <w:noProof/>
        </w:rPr>
        <w:t>The Lancet,</w:t>
      </w:r>
      <w:r w:rsidRPr="00787196">
        <w:rPr>
          <w:noProof/>
        </w:rPr>
        <w:t xml:space="preserve"> 337</w:t>
      </w:r>
      <w:r w:rsidRPr="00787196">
        <w:rPr>
          <w:b/>
          <w:noProof/>
        </w:rPr>
        <w:t>,</w:t>
      </w:r>
      <w:r w:rsidRPr="00787196">
        <w:rPr>
          <w:noProof/>
        </w:rPr>
        <w:t xml:space="preserve"> 1387-1393.</w:t>
      </w:r>
      <w:bookmarkEnd w:id="617"/>
    </w:p>
    <w:p w14:paraId="4DB57F85" w14:textId="77777777" w:rsidR="00525DC8" w:rsidRPr="00787196" w:rsidRDefault="00525DC8" w:rsidP="00525DC8">
      <w:pPr>
        <w:pStyle w:val="EndNoteBibliography"/>
        <w:spacing w:after="240"/>
        <w:rPr>
          <w:noProof/>
        </w:rPr>
      </w:pPr>
      <w:bookmarkStart w:id="618" w:name="_ENREF_261"/>
      <w:r w:rsidRPr="00787196">
        <w:rPr>
          <w:noProof/>
        </w:rPr>
        <w:t xml:space="preserve">MARSHMAN, Z., BAKER, S. R. &amp; ROBINSON, P. G. 2014. Does dental indifference influence the oral health-related quality of life of prisoners? </w:t>
      </w:r>
      <w:r w:rsidRPr="00787196">
        <w:rPr>
          <w:i/>
          <w:noProof/>
        </w:rPr>
        <w:t>Community Dentistry and Oral Epidemiology,</w:t>
      </w:r>
      <w:r w:rsidRPr="00787196">
        <w:rPr>
          <w:noProof/>
        </w:rPr>
        <w:t xml:space="preserve"> 42</w:t>
      </w:r>
      <w:r w:rsidRPr="00787196">
        <w:rPr>
          <w:b/>
          <w:noProof/>
        </w:rPr>
        <w:t>,</w:t>
      </w:r>
      <w:r w:rsidRPr="00787196">
        <w:rPr>
          <w:noProof/>
        </w:rPr>
        <w:t xml:space="preserve"> 470-480.</w:t>
      </w:r>
      <w:bookmarkEnd w:id="618"/>
    </w:p>
    <w:p w14:paraId="3B87BABD" w14:textId="77777777" w:rsidR="00525DC8" w:rsidRPr="00787196" w:rsidRDefault="00525DC8" w:rsidP="00525DC8">
      <w:pPr>
        <w:pStyle w:val="EndNoteBibliography"/>
        <w:spacing w:after="240"/>
        <w:rPr>
          <w:noProof/>
        </w:rPr>
      </w:pPr>
      <w:bookmarkStart w:id="619" w:name="_ENREF_262"/>
      <w:r w:rsidRPr="00787196">
        <w:rPr>
          <w:noProof/>
        </w:rPr>
        <w:t xml:space="preserve">MARSHMAN, Z. &amp; ROBINSON, P. G. 2007. Child and adolescent oral health-related quality of life. </w:t>
      </w:r>
      <w:r w:rsidRPr="00787196">
        <w:rPr>
          <w:i/>
          <w:noProof/>
        </w:rPr>
        <w:t>Seminars in Orthodontics,</w:t>
      </w:r>
      <w:r w:rsidRPr="00787196">
        <w:rPr>
          <w:noProof/>
        </w:rPr>
        <w:t xml:space="preserve"> 13(2)</w:t>
      </w:r>
      <w:r w:rsidRPr="00787196">
        <w:rPr>
          <w:b/>
          <w:noProof/>
        </w:rPr>
        <w:t>,</w:t>
      </w:r>
      <w:r w:rsidRPr="00787196">
        <w:rPr>
          <w:noProof/>
        </w:rPr>
        <w:t xml:space="preserve"> 88-95.</w:t>
      </w:r>
      <w:bookmarkEnd w:id="619"/>
    </w:p>
    <w:p w14:paraId="66ECCB97" w14:textId="77777777" w:rsidR="00525DC8" w:rsidRPr="00787196" w:rsidRDefault="00525DC8" w:rsidP="00525DC8">
      <w:pPr>
        <w:pStyle w:val="EndNoteBibliography"/>
        <w:spacing w:after="240"/>
        <w:rPr>
          <w:noProof/>
        </w:rPr>
      </w:pPr>
      <w:bookmarkStart w:id="620" w:name="_ENREF_263"/>
      <w:r w:rsidRPr="00787196">
        <w:rPr>
          <w:noProof/>
        </w:rPr>
        <w:t xml:space="preserve">MARÍN, N. P., RODRÍGUEZ, J. P. L., SOLIS, C. E. M., LOYOLA, A. P. P., MACÍAS, J. F. R., ROSADO, J. C. O. &amp; GARCÍA, C. A. 2008. Caries, periodontal disease and tooth loss in patients with diabetes mellitus types 1 and 2. </w:t>
      </w:r>
      <w:r w:rsidRPr="00787196">
        <w:rPr>
          <w:i/>
          <w:noProof/>
        </w:rPr>
        <w:t>Acta odontol. latinoam,</w:t>
      </w:r>
      <w:r w:rsidRPr="00787196">
        <w:rPr>
          <w:noProof/>
        </w:rPr>
        <w:t xml:space="preserve"> 21</w:t>
      </w:r>
      <w:r w:rsidRPr="00787196">
        <w:rPr>
          <w:b/>
          <w:noProof/>
        </w:rPr>
        <w:t>,</w:t>
      </w:r>
      <w:r w:rsidRPr="00787196">
        <w:rPr>
          <w:noProof/>
        </w:rPr>
        <w:t xml:space="preserve"> 127-133.</w:t>
      </w:r>
      <w:bookmarkEnd w:id="620"/>
    </w:p>
    <w:p w14:paraId="55D6A675" w14:textId="77777777" w:rsidR="00525DC8" w:rsidRPr="00787196" w:rsidRDefault="00525DC8" w:rsidP="00525DC8">
      <w:pPr>
        <w:pStyle w:val="EndNoteBibliography"/>
        <w:spacing w:after="240"/>
        <w:rPr>
          <w:noProof/>
        </w:rPr>
      </w:pPr>
      <w:bookmarkStart w:id="621" w:name="_ENREF_264"/>
      <w:r w:rsidRPr="00787196">
        <w:rPr>
          <w:noProof/>
        </w:rPr>
        <w:t>MASLOW, A. H. 1943. A theory of human motivation.</w:t>
      </w:r>
      <w:r w:rsidRPr="00787196">
        <w:rPr>
          <w:i/>
          <w:noProof/>
        </w:rPr>
        <w:t> Psychological Review,</w:t>
      </w:r>
      <w:r w:rsidRPr="00787196">
        <w:rPr>
          <w:noProof/>
        </w:rPr>
        <w:t xml:space="preserve"> </w:t>
      </w:r>
      <w:r w:rsidRPr="00787196">
        <w:rPr>
          <w:i/>
          <w:noProof/>
        </w:rPr>
        <w:t>50</w:t>
      </w:r>
      <w:r w:rsidRPr="00787196">
        <w:rPr>
          <w:b/>
          <w:noProof/>
        </w:rPr>
        <w:t>,</w:t>
      </w:r>
      <w:r w:rsidRPr="00787196">
        <w:rPr>
          <w:noProof/>
        </w:rPr>
        <w:t xml:space="preserve"> 370-396.</w:t>
      </w:r>
      <w:bookmarkEnd w:id="621"/>
    </w:p>
    <w:p w14:paraId="1238F410" w14:textId="77777777" w:rsidR="00525DC8" w:rsidRPr="00787196" w:rsidRDefault="00525DC8" w:rsidP="00525DC8">
      <w:pPr>
        <w:pStyle w:val="EndNoteBibliography"/>
        <w:spacing w:after="240"/>
        <w:rPr>
          <w:noProof/>
        </w:rPr>
      </w:pPr>
      <w:bookmarkStart w:id="622" w:name="_ENREF_265"/>
      <w:r w:rsidRPr="00787196">
        <w:rPr>
          <w:noProof/>
        </w:rPr>
        <w:t xml:space="preserve">MASSAD, J., DAVIS, W. J., LOBEL, W., JUNE, R. &amp; THORNTON, J. 2005. Improving the stability of maxillaiy dentures: the use of polyvinyl siloxane impression materials for edentulous impressions. </w:t>
      </w:r>
      <w:r w:rsidRPr="00787196">
        <w:rPr>
          <w:i/>
          <w:noProof/>
        </w:rPr>
        <w:t>Dent Today,</w:t>
      </w:r>
      <w:r w:rsidRPr="00787196">
        <w:rPr>
          <w:noProof/>
        </w:rPr>
        <w:t xml:space="preserve"> 24</w:t>
      </w:r>
      <w:r w:rsidRPr="00787196">
        <w:rPr>
          <w:b/>
          <w:noProof/>
        </w:rPr>
        <w:t>,</w:t>
      </w:r>
      <w:r w:rsidRPr="00787196">
        <w:rPr>
          <w:noProof/>
        </w:rPr>
        <w:t xml:space="preserve"> 118, 120-3; quiz 123, 140.</w:t>
      </w:r>
      <w:bookmarkEnd w:id="622"/>
    </w:p>
    <w:p w14:paraId="39293B53" w14:textId="77777777" w:rsidR="00525DC8" w:rsidRPr="00787196" w:rsidRDefault="00525DC8" w:rsidP="00525DC8">
      <w:pPr>
        <w:pStyle w:val="EndNoteBibliography"/>
        <w:spacing w:after="240"/>
        <w:rPr>
          <w:noProof/>
        </w:rPr>
      </w:pPr>
      <w:bookmarkStart w:id="623" w:name="_ENREF_266"/>
      <w:r w:rsidRPr="00787196">
        <w:rPr>
          <w:noProof/>
        </w:rPr>
        <w:t>MCALINDON, P. D. P., THOMAS, D. &amp; TIMOTHY, E. 2008. Association of periodontal disease and tooth loss with rheumatoid arthritis in the US population.</w:t>
      </w:r>
      <w:bookmarkEnd w:id="623"/>
    </w:p>
    <w:p w14:paraId="0B2F5990" w14:textId="77777777" w:rsidR="00525DC8" w:rsidRPr="00787196" w:rsidRDefault="00525DC8" w:rsidP="00525DC8">
      <w:pPr>
        <w:pStyle w:val="EndNoteBibliography"/>
        <w:spacing w:after="240"/>
        <w:rPr>
          <w:noProof/>
        </w:rPr>
      </w:pPr>
      <w:bookmarkStart w:id="624" w:name="_ENREF_267"/>
      <w:r w:rsidRPr="00787196">
        <w:rPr>
          <w:noProof/>
        </w:rPr>
        <w:t xml:space="preserve">MCCRAE, R. R. 1984. Situational determinants of coping responses: Loss, threat, and challenge. </w:t>
      </w:r>
      <w:r w:rsidRPr="00787196">
        <w:rPr>
          <w:i/>
          <w:noProof/>
        </w:rPr>
        <w:t>Journal of Personality and Social psychology,</w:t>
      </w:r>
      <w:r w:rsidRPr="00787196">
        <w:rPr>
          <w:noProof/>
        </w:rPr>
        <w:t xml:space="preserve"> 46</w:t>
      </w:r>
      <w:r w:rsidRPr="00787196">
        <w:rPr>
          <w:b/>
          <w:noProof/>
        </w:rPr>
        <w:t>,</w:t>
      </w:r>
      <w:r w:rsidRPr="00787196">
        <w:rPr>
          <w:noProof/>
        </w:rPr>
        <w:t xml:space="preserve"> 919.</w:t>
      </w:r>
      <w:bookmarkEnd w:id="624"/>
    </w:p>
    <w:p w14:paraId="4A277810" w14:textId="77777777" w:rsidR="00525DC8" w:rsidRPr="00787196" w:rsidRDefault="00525DC8" w:rsidP="00525DC8">
      <w:pPr>
        <w:pStyle w:val="EndNoteBibliography"/>
        <w:spacing w:after="240"/>
        <w:rPr>
          <w:noProof/>
        </w:rPr>
      </w:pPr>
      <w:bookmarkStart w:id="625" w:name="_ENREF_268"/>
      <w:r w:rsidRPr="00787196">
        <w:rPr>
          <w:noProof/>
        </w:rPr>
        <w:t xml:space="preserve">MCHUGH, M. L. 2008. Power analysis in research. </w:t>
      </w:r>
      <w:r w:rsidRPr="00787196">
        <w:rPr>
          <w:i/>
          <w:noProof/>
        </w:rPr>
        <w:t>Biochemia Medica,</w:t>
      </w:r>
      <w:r w:rsidRPr="00787196">
        <w:rPr>
          <w:noProof/>
        </w:rPr>
        <w:t xml:space="preserve"> 18</w:t>
      </w:r>
      <w:r w:rsidRPr="00787196">
        <w:rPr>
          <w:b/>
          <w:noProof/>
        </w:rPr>
        <w:t>,</w:t>
      </w:r>
      <w:r w:rsidRPr="00787196">
        <w:rPr>
          <w:noProof/>
        </w:rPr>
        <w:t xml:space="preserve"> 263-274.</w:t>
      </w:r>
      <w:bookmarkEnd w:id="625"/>
    </w:p>
    <w:p w14:paraId="17D590E3" w14:textId="77777777" w:rsidR="00525DC8" w:rsidRPr="00787196" w:rsidRDefault="00525DC8" w:rsidP="00525DC8">
      <w:pPr>
        <w:pStyle w:val="EndNoteBibliography"/>
        <w:spacing w:after="240"/>
        <w:rPr>
          <w:noProof/>
        </w:rPr>
      </w:pPr>
      <w:bookmarkStart w:id="626" w:name="_ENREF_269"/>
      <w:r w:rsidRPr="00787196">
        <w:rPr>
          <w:noProof/>
        </w:rPr>
        <w:lastRenderedPageBreak/>
        <w:t xml:space="preserve">MCLAREN, N. 1998. A critical review of the biopsychosocial model. </w:t>
      </w:r>
      <w:r w:rsidRPr="00787196">
        <w:rPr>
          <w:i/>
          <w:noProof/>
        </w:rPr>
        <w:t>Aust N Z J Psychiatry,</w:t>
      </w:r>
      <w:r w:rsidRPr="00787196">
        <w:rPr>
          <w:noProof/>
        </w:rPr>
        <w:t xml:space="preserve"> 32</w:t>
      </w:r>
      <w:r w:rsidRPr="00787196">
        <w:rPr>
          <w:b/>
          <w:noProof/>
        </w:rPr>
        <w:t>,</w:t>
      </w:r>
      <w:r w:rsidRPr="00787196">
        <w:rPr>
          <w:noProof/>
        </w:rPr>
        <w:t xml:space="preserve"> 86-92; discussion 93-6.</w:t>
      </w:r>
      <w:bookmarkEnd w:id="626"/>
    </w:p>
    <w:p w14:paraId="7B5D8B1F" w14:textId="77777777" w:rsidR="00525DC8" w:rsidRPr="00787196" w:rsidRDefault="00525DC8" w:rsidP="00525DC8">
      <w:pPr>
        <w:pStyle w:val="EndNoteBibliography"/>
        <w:spacing w:after="240"/>
        <w:rPr>
          <w:noProof/>
        </w:rPr>
      </w:pPr>
      <w:bookmarkStart w:id="627" w:name="_ENREF_270"/>
      <w:r w:rsidRPr="00787196">
        <w:rPr>
          <w:noProof/>
        </w:rPr>
        <w:t xml:space="preserve">MCLEROY, K. R., BIBEAU, D., STECKLER, A. &amp; GLANZ, K. 1988. An Ecological Perspective on Health Promotion Programs. </w:t>
      </w:r>
      <w:r w:rsidRPr="00787196">
        <w:rPr>
          <w:i/>
          <w:noProof/>
        </w:rPr>
        <w:t>Health Education &amp; Behavior,</w:t>
      </w:r>
      <w:r w:rsidRPr="00787196">
        <w:rPr>
          <w:noProof/>
        </w:rPr>
        <w:t xml:space="preserve"> 15</w:t>
      </w:r>
      <w:r w:rsidRPr="00787196">
        <w:rPr>
          <w:b/>
          <w:noProof/>
        </w:rPr>
        <w:t>,</w:t>
      </w:r>
      <w:r w:rsidRPr="00787196">
        <w:rPr>
          <w:noProof/>
        </w:rPr>
        <w:t xml:space="preserve"> 351-377.</w:t>
      </w:r>
      <w:bookmarkEnd w:id="627"/>
    </w:p>
    <w:p w14:paraId="16DD8CDA" w14:textId="77777777" w:rsidR="00525DC8" w:rsidRPr="00787196" w:rsidRDefault="00525DC8" w:rsidP="00525DC8">
      <w:pPr>
        <w:pStyle w:val="EndNoteBibliography"/>
        <w:spacing w:after="240"/>
        <w:rPr>
          <w:noProof/>
        </w:rPr>
      </w:pPr>
      <w:bookmarkStart w:id="628" w:name="_ENREF_271"/>
      <w:r w:rsidRPr="00787196">
        <w:rPr>
          <w:noProof/>
        </w:rPr>
        <w:t xml:space="preserve">MEI NA, T., NAIR, R., DI YING, J. N. &amp; YEE, R. 2014. Oral health status and complete denture status of independent-living Singaporean elderly residing in a community home. </w:t>
      </w:r>
      <w:r w:rsidRPr="00787196">
        <w:rPr>
          <w:i/>
          <w:noProof/>
        </w:rPr>
        <w:t>Singapore Dental Journal,</w:t>
      </w:r>
      <w:r w:rsidRPr="00787196">
        <w:rPr>
          <w:noProof/>
        </w:rPr>
        <w:t xml:space="preserve"> 35</w:t>
      </w:r>
      <w:r w:rsidRPr="00787196">
        <w:rPr>
          <w:b/>
          <w:noProof/>
        </w:rPr>
        <w:t>,</w:t>
      </w:r>
      <w:r w:rsidRPr="00787196">
        <w:rPr>
          <w:noProof/>
        </w:rPr>
        <w:t xml:space="preserve"> 9-15.</w:t>
      </w:r>
      <w:bookmarkEnd w:id="628"/>
    </w:p>
    <w:p w14:paraId="2D973929" w14:textId="77777777" w:rsidR="00525DC8" w:rsidRPr="00787196" w:rsidRDefault="00525DC8" w:rsidP="00525DC8">
      <w:pPr>
        <w:pStyle w:val="EndNoteBibliography"/>
        <w:spacing w:after="240"/>
        <w:rPr>
          <w:noProof/>
        </w:rPr>
      </w:pPr>
      <w:bookmarkStart w:id="629" w:name="_ENREF_272"/>
      <w:r w:rsidRPr="00787196">
        <w:rPr>
          <w:noProof/>
        </w:rPr>
        <w:t xml:space="preserve">MEYER, B. 2001. Coping with severe mental illness: Relations of the Brief COPE with symptoms, functioning, and well-being. </w:t>
      </w:r>
      <w:r w:rsidRPr="00787196">
        <w:rPr>
          <w:i/>
          <w:noProof/>
        </w:rPr>
        <w:t>Journal of Psychopathology and Behavioral Assessment,</w:t>
      </w:r>
      <w:r w:rsidRPr="00787196">
        <w:rPr>
          <w:noProof/>
        </w:rPr>
        <w:t xml:space="preserve"> 23</w:t>
      </w:r>
      <w:r w:rsidRPr="00787196">
        <w:rPr>
          <w:b/>
          <w:noProof/>
        </w:rPr>
        <w:t>,</w:t>
      </w:r>
      <w:r w:rsidRPr="00787196">
        <w:rPr>
          <w:noProof/>
        </w:rPr>
        <w:t xml:space="preserve"> 265-277.</w:t>
      </w:r>
      <w:bookmarkEnd w:id="629"/>
    </w:p>
    <w:p w14:paraId="61FED250" w14:textId="77777777" w:rsidR="00525DC8" w:rsidRPr="00787196" w:rsidRDefault="00525DC8" w:rsidP="00525DC8">
      <w:pPr>
        <w:pStyle w:val="EndNoteBibliography"/>
        <w:spacing w:after="240"/>
        <w:rPr>
          <w:noProof/>
        </w:rPr>
      </w:pPr>
      <w:bookmarkStart w:id="630" w:name="_ENREF_273"/>
      <w:r w:rsidRPr="00787196">
        <w:rPr>
          <w:noProof/>
        </w:rPr>
        <w:t xml:space="preserve">MEYER, M. S., JOSHIPURA, K., GIOVANNUCCI, E. &amp; MICHAUD, D. S. 2008. A review of the relationship between tooth loss, periodontal disease, and cancer. </w:t>
      </w:r>
      <w:r w:rsidRPr="00787196">
        <w:rPr>
          <w:i/>
          <w:noProof/>
        </w:rPr>
        <w:t>Cancer Causes &amp; Control,</w:t>
      </w:r>
      <w:r w:rsidRPr="00787196">
        <w:rPr>
          <w:noProof/>
        </w:rPr>
        <w:t xml:space="preserve"> 19</w:t>
      </w:r>
      <w:r w:rsidRPr="00787196">
        <w:rPr>
          <w:b/>
          <w:noProof/>
        </w:rPr>
        <w:t>,</w:t>
      </w:r>
      <w:r w:rsidRPr="00787196">
        <w:rPr>
          <w:noProof/>
        </w:rPr>
        <w:t xml:space="preserve"> 895-907.</w:t>
      </w:r>
      <w:bookmarkEnd w:id="630"/>
    </w:p>
    <w:p w14:paraId="6F3AB66F" w14:textId="77777777" w:rsidR="00525DC8" w:rsidRPr="00787196" w:rsidRDefault="00525DC8" w:rsidP="00525DC8">
      <w:pPr>
        <w:pStyle w:val="EndNoteBibliography"/>
        <w:spacing w:after="240"/>
        <w:rPr>
          <w:noProof/>
        </w:rPr>
      </w:pPr>
      <w:bookmarkStart w:id="631" w:name="_ENREF_274"/>
      <w:r w:rsidRPr="00787196">
        <w:rPr>
          <w:noProof/>
        </w:rPr>
        <w:t xml:space="preserve">MICHAUD, D. S., LIU, Y., MEYER, M., GIOVANNUCCI, E. &amp; JOSHIPURA, K. 2008. Periodontal disease, tooth loss, and cancer risk in male health professionals: a prospective cohort study. </w:t>
      </w:r>
      <w:r w:rsidRPr="00787196">
        <w:rPr>
          <w:i/>
          <w:noProof/>
        </w:rPr>
        <w:t>The lancet oncology,</w:t>
      </w:r>
      <w:r w:rsidRPr="00787196">
        <w:rPr>
          <w:noProof/>
        </w:rPr>
        <w:t xml:space="preserve"> 9</w:t>
      </w:r>
      <w:r w:rsidRPr="00787196">
        <w:rPr>
          <w:b/>
          <w:noProof/>
        </w:rPr>
        <w:t>,</w:t>
      </w:r>
      <w:r w:rsidRPr="00787196">
        <w:rPr>
          <w:noProof/>
        </w:rPr>
        <w:t xml:space="preserve"> 550-558.</w:t>
      </w:r>
      <w:bookmarkEnd w:id="631"/>
    </w:p>
    <w:p w14:paraId="38A42A8B" w14:textId="77777777" w:rsidR="00525DC8" w:rsidRPr="00787196" w:rsidRDefault="00525DC8" w:rsidP="00525DC8">
      <w:pPr>
        <w:pStyle w:val="EndNoteBibliography"/>
        <w:spacing w:after="240"/>
        <w:rPr>
          <w:noProof/>
        </w:rPr>
      </w:pPr>
      <w:bookmarkStart w:id="632" w:name="_ENREF_275"/>
      <w:r w:rsidRPr="00787196">
        <w:rPr>
          <w:noProof/>
        </w:rPr>
        <w:t xml:space="preserve">MICHAUD, P. L., DE GRANDMONT, P., FEINE, J. S. &amp; EMAMI, E. 2012. Measuring patient-based outcomes: is treatment satisfaction associated with oral health-related quality of life? </w:t>
      </w:r>
      <w:r w:rsidRPr="00787196">
        <w:rPr>
          <w:i/>
          <w:noProof/>
        </w:rPr>
        <w:t>J Dent,</w:t>
      </w:r>
      <w:r w:rsidRPr="00787196">
        <w:rPr>
          <w:noProof/>
        </w:rPr>
        <w:t xml:space="preserve"> 40</w:t>
      </w:r>
      <w:r w:rsidRPr="00787196">
        <w:rPr>
          <w:b/>
          <w:noProof/>
        </w:rPr>
        <w:t>,</w:t>
      </w:r>
      <w:r w:rsidRPr="00787196">
        <w:rPr>
          <w:noProof/>
        </w:rPr>
        <w:t xml:space="preserve"> 624-31.</w:t>
      </w:r>
      <w:bookmarkEnd w:id="632"/>
    </w:p>
    <w:p w14:paraId="761CBB6A" w14:textId="77777777" w:rsidR="00525DC8" w:rsidRPr="00787196" w:rsidRDefault="00525DC8" w:rsidP="00525DC8">
      <w:pPr>
        <w:pStyle w:val="EndNoteBibliography"/>
        <w:spacing w:after="240"/>
        <w:rPr>
          <w:noProof/>
        </w:rPr>
      </w:pPr>
      <w:bookmarkStart w:id="633" w:name="_ENREF_276"/>
      <w:r w:rsidRPr="00787196">
        <w:rPr>
          <w:noProof/>
        </w:rPr>
        <w:t xml:space="preserve">MILLER, N. E. 1980a. A perspective on the effects of stress and coping on disease and health. </w:t>
      </w:r>
      <w:r w:rsidRPr="00787196">
        <w:rPr>
          <w:i/>
          <w:noProof/>
        </w:rPr>
        <w:t>Coping and health.</w:t>
      </w:r>
      <w:r w:rsidRPr="00787196">
        <w:rPr>
          <w:noProof/>
        </w:rPr>
        <w:t xml:space="preserve"> Springer.</w:t>
      </w:r>
      <w:bookmarkEnd w:id="633"/>
    </w:p>
    <w:p w14:paraId="633B9C93" w14:textId="77777777" w:rsidR="00525DC8" w:rsidRPr="00787196" w:rsidRDefault="00525DC8" w:rsidP="00525DC8">
      <w:pPr>
        <w:pStyle w:val="EndNoteBibliography"/>
        <w:spacing w:after="240"/>
        <w:rPr>
          <w:noProof/>
        </w:rPr>
      </w:pPr>
      <w:bookmarkStart w:id="634" w:name="_ENREF_277"/>
      <w:r w:rsidRPr="00787196">
        <w:rPr>
          <w:noProof/>
        </w:rPr>
        <w:t xml:space="preserve">MILLER, S. M. 1980b. When is a little information a dangerous thing? Coping with stressful events by monitoring versus blunting. </w:t>
      </w:r>
      <w:r w:rsidRPr="00787196">
        <w:rPr>
          <w:i/>
          <w:noProof/>
        </w:rPr>
        <w:t>Coping and health.</w:t>
      </w:r>
      <w:r w:rsidRPr="00787196">
        <w:rPr>
          <w:noProof/>
        </w:rPr>
        <w:t xml:space="preserve"> Springer.</w:t>
      </w:r>
      <w:bookmarkEnd w:id="634"/>
    </w:p>
    <w:p w14:paraId="2827BD36" w14:textId="77777777" w:rsidR="00525DC8" w:rsidRPr="00787196" w:rsidRDefault="00525DC8" w:rsidP="00525DC8">
      <w:pPr>
        <w:pStyle w:val="EndNoteBibliography"/>
        <w:spacing w:after="240"/>
        <w:rPr>
          <w:noProof/>
        </w:rPr>
      </w:pPr>
      <w:bookmarkStart w:id="635" w:name="_ENREF_278"/>
      <w:r w:rsidRPr="00787196">
        <w:rPr>
          <w:noProof/>
        </w:rPr>
        <w:t xml:space="preserve">MILLER, S. M. 1987. Monitoring and blunting: validation of a questionnaire to assess styles of information seeking under threat. </w:t>
      </w:r>
      <w:r w:rsidRPr="00787196">
        <w:rPr>
          <w:i/>
          <w:noProof/>
        </w:rPr>
        <w:t>Journal of personality and social psychology,</w:t>
      </w:r>
      <w:r w:rsidRPr="00787196">
        <w:rPr>
          <w:noProof/>
        </w:rPr>
        <w:t xml:space="preserve"> 52</w:t>
      </w:r>
      <w:r w:rsidRPr="00787196">
        <w:rPr>
          <w:b/>
          <w:noProof/>
        </w:rPr>
        <w:t>,</w:t>
      </w:r>
      <w:r w:rsidRPr="00787196">
        <w:rPr>
          <w:noProof/>
        </w:rPr>
        <w:t xml:space="preserve"> 345.</w:t>
      </w:r>
      <w:bookmarkEnd w:id="635"/>
    </w:p>
    <w:p w14:paraId="6DE05050" w14:textId="77777777" w:rsidR="00525DC8" w:rsidRPr="00787196" w:rsidRDefault="00525DC8" w:rsidP="00525DC8">
      <w:pPr>
        <w:pStyle w:val="EndNoteBibliography"/>
        <w:spacing w:after="240"/>
        <w:rPr>
          <w:noProof/>
        </w:rPr>
      </w:pPr>
      <w:bookmarkStart w:id="636" w:name="_ENREF_279"/>
      <w:r w:rsidRPr="00787196">
        <w:rPr>
          <w:noProof/>
        </w:rPr>
        <w:t xml:space="preserve">MISHRA, D. &amp; SINGH, H. P. 2003. Kuppuswamy’s socioeconomic status scale — A revision. </w:t>
      </w:r>
      <w:r w:rsidRPr="00787196">
        <w:rPr>
          <w:i/>
          <w:noProof/>
        </w:rPr>
        <w:t>The Indian Journal of Pediatrics,</w:t>
      </w:r>
      <w:r w:rsidRPr="00787196">
        <w:rPr>
          <w:noProof/>
        </w:rPr>
        <w:t xml:space="preserve"> 70</w:t>
      </w:r>
      <w:r w:rsidRPr="00787196">
        <w:rPr>
          <w:b/>
          <w:noProof/>
        </w:rPr>
        <w:t>,</w:t>
      </w:r>
      <w:r w:rsidRPr="00787196">
        <w:rPr>
          <w:noProof/>
        </w:rPr>
        <w:t xml:space="preserve"> 273-274.</w:t>
      </w:r>
      <w:bookmarkEnd w:id="636"/>
    </w:p>
    <w:p w14:paraId="08316F49" w14:textId="77777777" w:rsidR="00525DC8" w:rsidRPr="00787196" w:rsidRDefault="00525DC8" w:rsidP="00525DC8">
      <w:pPr>
        <w:pStyle w:val="EndNoteBibliography"/>
        <w:spacing w:after="240"/>
        <w:rPr>
          <w:noProof/>
        </w:rPr>
      </w:pPr>
      <w:bookmarkStart w:id="637" w:name="_ENREF_280"/>
      <w:r w:rsidRPr="00787196">
        <w:rPr>
          <w:noProof/>
        </w:rPr>
        <w:lastRenderedPageBreak/>
        <w:t xml:space="preserve">MITCHELL, A. M., CRANE, P. A. &amp; KIM, Y. 2008. Perceived stress in survivors of suicide: Psychometric properties of the Perceived Stress Scale. </w:t>
      </w:r>
      <w:r w:rsidRPr="00787196">
        <w:rPr>
          <w:i/>
          <w:noProof/>
        </w:rPr>
        <w:t>Research in nursing &amp; health,</w:t>
      </w:r>
      <w:r w:rsidRPr="00787196">
        <w:rPr>
          <w:noProof/>
        </w:rPr>
        <w:t xml:space="preserve"> 31</w:t>
      </w:r>
      <w:r w:rsidRPr="00787196">
        <w:rPr>
          <w:b/>
          <w:noProof/>
        </w:rPr>
        <w:t>,</w:t>
      </w:r>
      <w:r w:rsidRPr="00787196">
        <w:rPr>
          <w:noProof/>
        </w:rPr>
        <w:t xml:space="preserve"> 576-585.</w:t>
      </w:r>
      <w:bookmarkEnd w:id="637"/>
    </w:p>
    <w:p w14:paraId="22CC2DD6" w14:textId="77777777" w:rsidR="00525DC8" w:rsidRPr="00787196" w:rsidRDefault="00525DC8" w:rsidP="00525DC8">
      <w:pPr>
        <w:pStyle w:val="EndNoteBibliography"/>
        <w:spacing w:after="240"/>
        <w:rPr>
          <w:noProof/>
        </w:rPr>
      </w:pPr>
      <w:bookmarkStart w:id="638" w:name="_ENREF_281"/>
      <w:r w:rsidRPr="00787196">
        <w:rPr>
          <w:noProof/>
        </w:rPr>
        <w:t xml:space="preserve">MOHANRAJ, R., JEYASEELAN, V., KUMAR, S., MANI, T., RAO, D., MURRAY, K. R. &amp; MANHART, L. E. 2015. Cultural adaptation of the Brief COPE for persons living with HIV/AIDS in southern India. </w:t>
      </w:r>
      <w:r w:rsidRPr="00787196">
        <w:rPr>
          <w:i/>
          <w:noProof/>
        </w:rPr>
        <w:t>AIDS Behav,</w:t>
      </w:r>
      <w:r w:rsidRPr="00787196">
        <w:rPr>
          <w:noProof/>
        </w:rPr>
        <w:t xml:space="preserve"> 19</w:t>
      </w:r>
      <w:r w:rsidRPr="00787196">
        <w:rPr>
          <w:b/>
          <w:noProof/>
        </w:rPr>
        <w:t>,</w:t>
      </w:r>
      <w:r w:rsidRPr="00787196">
        <w:rPr>
          <w:noProof/>
        </w:rPr>
        <w:t xml:space="preserve"> 341-51.</w:t>
      </w:r>
      <w:bookmarkEnd w:id="638"/>
    </w:p>
    <w:p w14:paraId="43CB68BF" w14:textId="77777777" w:rsidR="00525DC8" w:rsidRPr="00787196" w:rsidRDefault="00525DC8" w:rsidP="00525DC8">
      <w:pPr>
        <w:pStyle w:val="EndNoteBibliography"/>
        <w:spacing w:after="240"/>
        <w:rPr>
          <w:noProof/>
        </w:rPr>
      </w:pPr>
      <w:bookmarkStart w:id="639" w:name="_ENREF_282"/>
      <w:r w:rsidRPr="00787196">
        <w:rPr>
          <w:noProof/>
        </w:rPr>
        <w:t xml:space="preserve">MONTERO, J., LOPEZ, J. F., GALINDO, M. P., VICENTE, P. &amp; BRAVO, M. 2009. Impact of prosthodontic status on oral wellbeing: a cross-sectional cohort study. </w:t>
      </w:r>
      <w:r w:rsidRPr="00787196">
        <w:rPr>
          <w:i/>
          <w:noProof/>
        </w:rPr>
        <w:t>J Oral Rehabil,</w:t>
      </w:r>
      <w:r w:rsidRPr="00787196">
        <w:rPr>
          <w:noProof/>
        </w:rPr>
        <w:t xml:space="preserve"> 36</w:t>
      </w:r>
      <w:r w:rsidRPr="00787196">
        <w:rPr>
          <w:b/>
          <w:noProof/>
        </w:rPr>
        <w:t>,</w:t>
      </w:r>
      <w:r w:rsidRPr="00787196">
        <w:rPr>
          <w:noProof/>
        </w:rPr>
        <w:t xml:space="preserve"> 592-600.</w:t>
      </w:r>
      <w:bookmarkEnd w:id="639"/>
    </w:p>
    <w:p w14:paraId="6FE9DC78" w14:textId="77777777" w:rsidR="00525DC8" w:rsidRPr="00787196" w:rsidRDefault="00525DC8" w:rsidP="00525DC8">
      <w:pPr>
        <w:pStyle w:val="EndNoteBibliography"/>
        <w:spacing w:after="240"/>
        <w:rPr>
          <w:noProof/>
        </w:rPr>
      </w:pPr>
      <w:bookmarkStart w:id="640" w:name="_ENREF_283"/>
      <w:r w:rsidRPr="00787196">
        <w:rPr>
          <w:noProof/>
        </w:rPr>
        <w:t xml:space="preserve">MORAIS, J. A., HEYDECKE, G., PAWLIUK, J., LUND, J. P. &amp; FEINE, J. S. 2003. The effects of mandibular two-implant overdentures on nutrition in elderly edentulous individuals. </w:t>
      </w:r>
      <w:r w:rsidRPr="00787196">
        <w:rPr>
          <w:i/>
          <w:noProof/>
        </w:rPr>
        <w:t>J Dent Res,</w:t>
      </w:r>
      <w:r w:rsidRPr="00787196">
        <w:rPr>
          <w:noProof/>
        </w:rPr>
        <w:t xml:space="preserve"> 82</w:t>
      </w:r>
      <w:r w:rsidRPr="00787196">
        <w:rPr>
          <w:b/>
          <w:noProof/>
        </w:rPr>
        <w:t>,</w:t>
      </w:r>
      <w:r w:rsidRPr="00787196">
        <w:rPr>
          <w:noProof/>
        </w:rPr>
        <w:t xml:space="preserve"> 53-8.</w:t>
      </w:r>
      <w:bookmarkEnd w:id="640"/>
    </w:p>
    <w:p w14:paraId="7A44E5D1" w14:textId="77777777" w:rsidR="00525DC8" w:rsidRPr="00787196" w:rsidRDefault="00525DC8" w:rsidP="00525DC8">
      <w:pPr>
        <w:pStyle w:val="EndNoteBibliography"/>
        <w:spacing w:after="240"/>
        <w:rPr>
          <w:noProof/>
        </w:rPr>
      </w:pPr>
      <w:bookmarkStart w:id="641" w:name="_ENREF_284"/>
      <w:r w:rsidRPr="00787196">
        <w:rPr>
          <w:noProof/>
        </w:rPr>
        <w:t xml:space="preserve">MOULTON, R. 1946. Psychologic problems associated with complete denture service. </w:t>
      </w:r>
      <w:r w:rsidRPr="00787196">
        <w:rPr>
          <w:i/>
          <w:noProof/>
        </w:rPr>
        <w:t>J Am Dent Assoc,</w:t>
      </w:r>
      <w:r w:rsidRPr="00787196">
        <w:rPr>
          <w:noProof/>
        </w:rPr>
        <w:t xml:space="preserve"> 33</w:t>
      </w:r>
      <w:r w:rsidRPr="00787196">
        <w:rPr>
          <w:b/>
          <w:noProof/>
        </w:rPr>
        <w:t>,</w:t>
      </w:r>
      <w:r w:rsidRPr="00787196">
        <w:rPr>
          <w:noProof/>
        </w:rPr>
        <w:t xml:space="preserve"> 476-85.</w:t>
      </w:r>
      <w:bookmarkEnd w:id="641"/>
    </w:p>
    <w:p w14:paraId="458C05A7" w14:textId="77777777" w:rsidR="00525DC8" w:rsidRPr="00787196" w:rsidRDefault="00525DC8" w:rsidP="00525DC8">
      <w:pPr>
        <w:pStyle w:val="EndNoteBibliography"/>
        <w:spacing w:after="240"/>
        <w:rPr>
          <w:noProof/>
        </w:rPr>
      </w:pPr>
      <w:bookmarkStart w:id="642" w:name="_ENREF_285"/>
      <w:r w:rsidRPr="00787196">
        <w:rPr>
          <w:noProof/>
        </w:rPr>
        <w:t xml:space="preserve">MULLER, L. &amp; SPITZ, E. 2003. Multidimensional assessment of coping: validation of the Brief COPE among French population]. </w:t>
      </w:r>
      <w:r w:rsidRPr="00787196">
        <w:rPr>
          <w:i/>
          <w:noProof/>
        </w:rPr>
        <w:t>L'encéphale,</w:t>
      </w:r>
      <w:r w:rsidRPr="00787196">
        <w:rPr>
          <w:noProof/>
        </w:rPr>
        <w:t xml:space="preserve"> 29</w:t>
      </w:r>
      <w:r w:rsidRPr="00787196">
        <w:rPr>
          <w:b/>
          <w:noProof/>
        </w:rPr>
        <w:t>,</w:t>
      </w:r>
      <w:r w:rsidRPr="00787196">
        <w:rPr>
          <w:noProof/>
        </w:rPr>
        <w:t xml:space="preserve"> 507.</w:t>
      </w:r>
      <w:bookmarkEnd w:id="642"/>
    </w:p>
    <w:p w14:paraId="4DBB2146" w14:textId="77777777" w:rsidR="00525DC8" w:rsidRPr="00787196" w:rsidRDefault="00525DC8" w:rsidP="00525DC8">
      <w:pPr>
        <w:pStyle w:val="EndNoteBibliography"/>
        <w:spacing w:after="240"/>
        <w:rPr>
          <w:noProof/>
        </w:rPr>
      </w:pPr>
      <w:bookmarkStart w:id="643" w:name="_ENREF_286"/>
      <w:r w:rsidRPr="00787196">
        <w:rPr>
          <w:noProof/>
        </w:rPr>
        <w:t xml:space="preserve">MUNDY-BOSSE, B. L., THORNTON, L. M., YANG, H.-C., ANDERSEN, B. L. &amp; CARSON, W. E. 2011. Psychological stress is associated with altered levels of myeloid-derived suppressor cells in breast cancer patients. </w:t>
      </w:r>
      <w:r w:rsidRPr="00787196">
        <w:rPr>
          <w:i/>
          <w:noProof/>
        </w:rPr>
        <w:t>Cellular Immunology,</w:t>
      </w:r>
      <w:r w:rsidRPr="00787196">
        <w:rPr>
          <w:noProof/>
        </w:rPr>
        <w:t xml:space="preserve"> 270</w:t>
      </w:r>
      <w:r w:rsidRPr="00787196">
        <w:rPr>
          <w:b/>
          <w:noProof/>
        </w:rPr>
        <w:t>,</w:t>
      </w:r>
      <w:r w:rsidRPr="00787196">
        <w:rPr>
          <w:noProof/>
        </w:rPr>
        <w:t xml:space="preserve"> 80-87.</w:t>
      </w:r>
      <w:bookmarkEnd w:id="643"/>
    </w:p>
    <w:p w14:paraId="52C2B3A6" w14:textId="77777777" w:rsidR="00525DC8" w:rsidRPr="00787196" w:rsidRDefault="00525DC8" w:rsidP="00525DC8">
      <w:pPr>
        <w:pStyle w:val="EndNoteBibliography"/>
        <w:spacing w:after="240"/>
        <w:rPr>
          <w:noProof/>
        </w:rPr>
      </w:pPr>
      <w:bookmarkStart w:id="644" w:name="_ENREF_287"/>
      <w:r w:rsidRPr="00787196">
        <w:rPr>
          <w:rFonts w:hint="eastAsia"/>
          <w:noProof/>
        </w:rPr>
        <w:t>MÜLLER, F. &amp; HASSE</w:t>
      </w:r>
      <w:r w:rsidRPr="00787196">
        <w:rPr>
          <w:rFonts w:hint="eastAsia"/>
          <w:noProof/>
        </w:rPr>
        <w:t>‐</w:t>
      </w:r>
      <w:r w:rsidRPr="00787196">
        <w:rPr>
          <w:rFonts w:hint="eastAsia"/>
          <w:noProof/>
        </w:rPr>
        <w:t xml:space="preserve">SANDER, I. 1993. Experimental studies of adaptation to complete dentures related to ageing. </w:t>
      </w:r>
      <w:r w:rsidRPr="00787196">
        <w:rPr>
          <w:i/>
          <w:noProof/>
        </w:rPr>
        <w:t>Gerodontology,</w:t>
      </w:r>
      <w:r w:rsidRPr="00787196">
        <w:rPr>
          <w:noProof/>
        </w:rPr>
        <w:t xml:space="preserve"> 10</w:t>
      </w:r>
      <w:r w:rsidRPr="00787196">
        <w:rPr>
          <w:b/>
          <w:noProof/>
        </w:rPr>
        <w:t>,</w:t>
      </w:r>
      <w:r w:rsidRPr="00787196">
        <w:rPr>
          <w:noProof/>
        </w:rPr>
        <w:t xml:space="preserve"> 23-27.</w:t>
      </w:r>
      <w:bookmarkEnd w:id="644"/>
    </w:p>
    <w:p w14:paraId="58570F61" w14:textId="77777777" w:rsidR="00525DC8" w:rsidRPr="00787196" w:rsidRDefault="00525DC8" w:rsidP="00525DC8">
      <w:pPr>
        <w:pStyle w:val="EndNoteBibliography"/>
        <w:spacing w:after="240"/>
        <w:rPr>
          <w:noProof/>
        </w:rPr>
      </w:pPr>
      <w:bookmarkStart w:id="645" w:name="_ENREF_288"/>
      <w:r w:rsidRPr="00787196">
        <w:rPr>
          <w:noProof/>
        </w:rPr>
        <w:t>NAMMONTRI, O. 2012. The effect of an intervention to enhance sense of coherence on oral health related quality of life: A cluster randomised controlled trial.</w:t>
      </w:r>
      <w:bookmarkEnd w:id="645"/>
    </w:p>
    <w:p w14:paraId="30FFB488" w14:textId="77777777" w:rsidR="00525DC8" w:rsidRPr="00787196" w:rsidRDefault="00525DC8" w:rsidP="00525DC8">
      <w:pPr>
        <w:pStyle w:val="EndNoteBibliography"/>
        <w:spacing w:after="240"/>
        <w:rPr>
          <w:noProof/>
        </w:rPr>
      </w:pPr>
      <w:bookmarkStart w:id="646" w:name="_ENREF_289"/>
      <w:r w:rsidRPr="00787196">
        <w:rPr>
          <w:noProof/>
        </w:rPr>
        <w:t xml:space="preserve">NAMMONTRI, O., ROBINSON, P. G. &amp; BAKER, S. R. 2013. Enhancing Oral Health via Sense of Coherence: A Cluster-randomized Trial. </w:t>
      </w:r>
      <w:r w:rsidRPr="00787196">
        <w:rPr>
          <w:i/>
          <w:noProof/>
        </w:rPr>
        <w:t>Journal of Dental Research,</w:t>
      </w:r>
      <w:r w:rsidRPr="00787196">
        <w:rPr>
          <w:noProof/>
        </w:rPr>
        <w:t xml:space="preserve"> 92</w:t>
      </w:r>
      <w:r w:rsidRPr="00787196">
        <w:rPr>
          <w:b/>
          <w:noProof/>
        </w:rPr>
        <w:t>,</w:t>
      </w:r>
      <w:r w:rsidRPr="00787196">
        <w:rPr>
          <w:noProof/>
        </w:rPr>
        <w:t xml:space="preserve"> 26-31.</w:t>
      </w:r>
      <w:bookmarkEnd w:id="646"/>
    </w:p>
    <w:p w14:paraId="1C898110" w14:textId="77777777" w:rsidR="00525DC8" w:rsidRPr="00787196" w:rsidRDefault="00525DC8" w:rsidP="00525DC8">
      <w:pPr>
        <w:pStyle w:val="EndNoteBibliography"/>
        <w:spacing w:after="240"/>
        <w:rPr>
          <w:noProof/>
        </w:rPr>
      </w:pPr>
      <w:bookmarkStart w:id="647" w:name="_ENREF_290"/>
      <w:r w:rsidRPr="00787196">
        <w:rPr>
          <w:noProof/>
        </w:rPr>
        <w:t>NASCIMENTO, D. F. F., PATTO, R. B. L., MARCHINI, L. &amp; CUNHA, V. D. P. P. D. 2004. Double-blind study for evaluation of complete dentures made by two techniques with and without face-bow.</w:t>
      </w:r>
      <w:bookmarkEnd w:id="647"/>
    </w:p>
    <w:p w14:paraId="5871C712" w14:textId="77777777" w:rsidR="00525DC8" w:rsidRPr="00787196" w:rsidRDefault="00525DC8" w:rsidP="00525DC8">
      <w:pPr>
        <w:pStyle w:val="EndNoteBibliography"/>
        <w:spacing w:after="240"/>
        <w:rPr>
          <w:noProof/>
        </w:rPr>
      </w:pPr>
      <w:bookmarkStart w:id="648" w:name="_ENREF_291"/>
      <w:r w:rsidRPr="00787196">
        <w:rPr>
          <w:noProof/>
        </w:rPr>
        <w:lastRenderedPageBreak/>
        <w:t xml:space="preserve">NEUGARTEN, B. L. 1969. Continuities and discontinuities of psychological issues into adult life. </w:t>
      </w:r>
      <w:r w:rsidRPr="00787196">
        <w:rPr>
          <w:i/>
          <w:noProof/>
        </w:rPr>
        <w:t>Human Development,</w:t>
      </w:r>
      <w:r w:rsidRPr="00787196">
        <w:rPr>
          <w:noProof/>
        </w:rPr>
        <w:t xml:space="preserve"> 12</w:t>
      </w:r>
      <w:r w:rsidRPr="00787196">
        <w:rPr>
          <w:b/>
          <w:noProof/>
        </w:rPr>
        <w:t>,</w:t>
      </w:r>
      <w:r w:rsidRPr="00787196">
        <w:rPr>
          <w:noProof/>
        </w:rPr>
        <w:t xml:space="preserve"> 121-130.</w:t>
      </w:r>
      <w:bookmarkEnd w:id="648"/>
    </w:p>
    <w:p w14:paraId="0299C9A4" w14:textId="77777777" w:rsidR="00525DC8" w:rsidRPr="00787196" w:rsidRDefault="00525DC8" w:rsidP="00525DC8">
      <w:pPr>
        <w:pStyle w:val="EndNoteBibliography"/>
        <w:spacing w:after="240"/>
        <w:rPr>
          <w:noProof/>
        </w:rPr>
      </w:pPr>
      <w:bookmarkStart w:id="649" w:name="_ENREF_292"/>
      <w:r w:rsidRPr="00787196">
        <w:rPr>
          <w:noProof/>
        </w:rPr>
        <w:t xml:space="preserve">NEWTON, J. T. &amp; BOWER, E. J. 2005. The social determinants of oral health: new approaches to conceptualizing and researching complex causal networks. </w:t>
      </w:r>
      <w:r w:rsidRPr="00787196">
        <w:rPr>
          <w:i/>
          <w:noProof/>
        </w:rPr>
        <w:t>Community Dentistry and Oral Epidemiology,</w:t>
      </w:r>
      <w:r w:rsidRPr="00787196">
        <w:rPr>
          <w:noProof/>
        </w:rPr>
        <w:t xml:space="preserve"> 33</w:t>
      </w:r>
      <w:r w:rsidRPr="00787196">
        <w:rPr>
          <w:b/>
          <w:noProof/>
        </w:rPr>
        <w:t>,</w:t>
      </w:r>
      <w:r w:rsidRPr="00787196">
        <w:rPr>
          <w:noProof/>
        </w:rPr>
        <w:t xml:space="preserve"> 25-34.</w:t>
      </w:r>
      <w:bookmarkEnd w:id="649"/>
    </w:p>
    <w:p w14:paraId="5E0E9AC9" w14:textId="77777777" w:rsidR="00525DC8" w:rsidRPr="00787196" w:rsidRDefault="00525DC8" w:rsidP="00525DC8">
      <w:pPr>
        <w:pStyle w:val="EndNoteBibliography"/>
        <w:spacing w:after="240"/>
        <w:rPr>
          <w:noProof/>
        </w:rPr>
      </w:pPr>
      <w:bookmarkStart w:id="650" w:name="_ENREF_293"/>
      <w:r w:rsidRPr="00787196">
        <w:rPr>
          <w:noProof/>
        </w:rPr>
        <w:t xml:space="preserve">NGUYEN, T., WITTER, D., BRONKHORST, E., TRUONG, N. &amp; CREUGERS, N. 2010. Oral health status of adults in Southern Vietnam - a cross-sectional epidemiological study. </w:t>
      </w:r>
      <w:r w:rsidRPr="00787196">
        <w:rPr>
          <w:i/>
          <w:noProof/>
        </w:rPr>
        <w:t>BMC Oral Health,</w:t>
      </w:r>
      <w:r w:rsidRPr="00787196">
        <w:rPr>
          <w:noProof/>
        </w:rPr>
        <w:t xml:space="preserve"> 10</w:t>
      </w:r>
      <w:r w:rsidRPr="00787196">
        <w:rPr>
          <w:b/>
          <w:noProof/>
        </w:rPr>
        <w:t>,</w:t>
      </w:r>
      <w:r w:rsidRPr="00787196">
        <w:rPr>
          <w:noProof/>
        </w:rPr>
        <w:t xml:space="preserve"> 2.</w:t>
      </w:r>
      <w:bookmarkEnd w:id="650"/>
    </w:p>
    <w:p w14:paraId="640A5157" w14:textId="77777777" w:rsidR="00525DC8" w:rsidRPr="00787196" w:rsidRDefault="00525DC8" w:rsidP="00525DC8">
      <w:pPr>
        <w:pStyle w:val="EndNoteBibliography"/>
        <w:spacing w:after="240"/>
        <w:rPr>
          <w:noProof/>
        </w:rPr>
      </w:pPr>
      <w:bookmarkStart w:id="651" w:name="_ENREF_294"/>
      <w:r w:rsidRPr="00787196">
        <w:rPr>
          <w:noProof/>
        </w:rPr>
        <w:t xml:space="preserve">NIKIAS, M. K., SOLLECITO, W. A. &amp; FINK, R. 1979. AN ORAL HEALTH INDEX BASED ON RANKING OF ORAL STATUS PROFILES BY PANELS OF DENTAL PROFESSIONALS*. </w:t>
      </w:r>
      <w:r w:rsidRPr="00787196">
        <w:rPr>
          <w:i/>
          <w:noProof/>
        </w:rPr>
        <w:t>Journal of Public Health Dentistry,</w:t>
      </w:r>
      <w:r w:rsidRPr="00787196">
        <w:rPr>
          <w:noProof/>
        </w:rPr>
        <w:t xml:space="preserve"> 39</w:t>
      </w:r>
      <w:r w:rsidRPr="00787196">
        <w:rPr>
          <w:b/>
          <w:noProof/>
        </w:rPr>
        <w:t>,</w:t>
      </w:r>
      <w:r w:rsidRPr="00787196">
        <w:rPr>
          <w:noProof/>
        </w:rPr>
        <w:t xml:space="preserve"> 16-26.</w:t>
      </w:r>
      <w:bookmarkEnd w:id="651"/>
    </w:p>
    <w:p w14:paraId="6A77C21A" w14:textId="77777777" w:rsidR="00525DC8" w:rsidRPr="00787196" w:rsidRDefault="00525DC8" w:rsidP="00525DC8">
      <w:pPr>
        <w:pStyle w:val="EndNoteBibliography"/>
        <w:spacing w:after="240"/>
        <w:rPr>
          <w:noProof/>
        </w:rPr>
      </w:pPr>
      <w:bookmarkStart w:id="652" w:name="_ENREF_295"/>
      <w:r w:rsidRPr="00787196">
        <w:rPr>
          <w:noProof/>
        </w:rPr>
        <w:t xml:space="preserve">NUTTALL, N. M. 1996. Initial development of a scale to measure dental indifference. </w:t>
      </w:r>
      <w:r w:rsidRPr="00787196">
        <w:rPr>
          <w:i/>
          <w:noProof/>
        </w:rPr>
        <w:t>Community Dent Oral Epidemiol,</w:t>
      </w:r>
      <w:r w:rsidRPr="00787196">
        <w:rPr>
          <w:noProof/>
        </w:rPr>
        <w:t xml:space="preserve"> 24</w:t>
      </w:r>
      <w:r w:rsidRPr="00787196">
        <w:rPr>
          <w:b/>
          <w:noProof/>
        </w:rPr>
        <w:t>,</w:t>
      </w:r>
      <w:r w:rsidRPr="00787196">
        <w:rPr>
          <w:noProof/>
        </w:rPr>
        <w:t xml:space="preserve"> 112-6.</w:t>
      </w:r>
      <w:bookmarkEnd w:id="652"/>
    </w:p>
    <w:p w14:paraId="3051EE74" w14:textId="77777777" w:rsidR="00525DC8" w:rsidRPr="00787196" w:rsidRDefault="00525DC8" w:rsidP="00525DC8">
      <w:pPr>
        <w:pStyle w:val="EndNoteBibliography"/>
        <w:spacing w:after="240"/>
        <w:rPr>
          <w:noProof/>
        </w:rPr>
      </w:pPr>
      <w:bookmarkStart w:id="653" w:name="_ENREF_296"/>
      <w:r w:rsidRPr="00787196">
        <w:rPr>
          <w:noProof/>
        </w:rPr>
        <w:t xml:space="preserve">OGDEN, J. 2012. </w:t>
      </w:r>
      <w:r w:rsidRPr="00787196">
        <w:rPr>
          <w:i/>
          <w:noProof/>
        </w:rPr>
        <w:t>Health psychology</w:t>
      </w:r>
      <w:r w:rsidRPr="00787196">
        <w:rPr>
          <w:noProof/>
        </w:rPr>
        <w:t>, McGraw-Hill International.</w:t>
      </w:r>
      <w:bookmarkEnd w:id="653"/>
    </w:p>
    <w:p w14:paraId="62D67387" w14:textId="77777777" w:rsidR="00525DC8" w:rsidRPr="00787196" w:rsidRDefault="00525DC8" w:rsidP="00525DC8">
      <w:pPr>
        <w:pStyle w:val="EndNoteBibliography"/>
        <w:spacing w:after="240"/>
        <w:rPr>
          <w:noProof/>
        </w:rPr>
      </w:pPr>
      <w:bookmarkStart w:id="654" w:name="_ENREF_297"/>
      <w:r w:rsidRPr="00787196">
        <w:rPr>
          <w:noProof/>
        </w:rPr>
        <w:t xml:space="preserve">OPERARIO, D., ADLER, N. E. &amp; WILLIAMS, D. R. 2004. Subjective social status: Reliability and predictive utility for global health. </w:t>
      </w:r>
      <w:r w:rsidRPr="00787196">
        <w:rPr>
          <w:i/>
          <w:noProof/>
        </w:rPr>
        <w:t>Psychology &amp; Health,</w:t>
      </w:r>
      <w:r w:rsidRPr="00787196">
        <w:rPr>
          <w:noProof/>
        </w:rPr>
        <w:t xml:space="preserve"> 19</w:t>
      </w:r>
      <w:r w:rsidRPr="00787196">
        <w:rPr>
          <w:b/>
          <w:noProof/>
        </w:rPr>
        <w:t>,</w:t>
      </w:r>
      <w:r w:rsidRPr="00787196">
        <w:rPr>
          <w:noProof/>
        </w:rPr>
        <w:t xml:space="preserve"> 237-246.</w:t>
      </w:r>
      <w:bookmarkEnd w:id="654"/>
    </w:p>
    <w:p w14:paraId="62222E2B" w14:textId="77777777" w:rsidR="00525DC8" w:rsidRPr="00787196" w:rsidRDefault="00525DC8" w:rsidP="00525DC8">
      <w:pPr>
        <w:pStyle w:val="EndNoteBibliography"/>
        <w:spacing w:after="240"/>
        <w:rPr>
          <w:noProof/>
        </w:rPr>
      </w:pPr>
      <w:bookmarkStart w:id="655" w:name="_ENREF_298"/>
      <w:r w:rsidRPr="00787196">
        <w:rPr>
          <w:noProof/>
        </w:rPr>
        <w:t xml:space="preserve">OSTROVE, J. M., ADLER, N. E., KUPPERMANN, M. &amp; WASHINGTON, A. E. 2000. Objective and subjective assessments of socioeconomic status and their relationship to self-rated health in an ethnically diverse sample of pregnant women. </w:t>
      </w:r>
      <w:r w:rsidRPr="00787196">
        <w:rPr>
          <w:i/>
          <w:noProof/>
        </w:rPr>
        <w:t>Health Psychology,</w:t>
      </w:r>
      <w:r w:rsidRPr="00787196">
        <w:rPr>
          <w:noProof/>
        </w:rPr>
        <w:t xml:space="preserve"> 19</w:t>
      </w:r>
      <w:r w:rsidRPr="00787196">
        <w:rPr>
          <w:b/>
          <w:noProof/>
        </w:rPr>
        <w:t>,</w:t>
      </w:r>
      <w:r w:rsidRPr="00787196">
        <w:rPr>
          <w:noProof/>
        </w:rPr>
        <w:t xml:space="preserve"> 613.</w:t>
      </w:r>
      <w:bookmarkEnd w:id="655"/>
    </w:p>
    <w:p w14:paraId="6E7B3F12" w14:textId="77777777" w:rsidR="00525DC8" w:rsidRPr="00787196" w:rsidRDefault="00525DC8" w:rsidP="00525DC8">
      <w:pPr>
        <w:pStyle w:val="EndNoteBibliography"/>
        <w:spacing w:after="240"/>
        <w:rPr>
          <w:noProof/>
        </w:rPr>
      </w:pPr>
      <w:bookmarkStart w:id="656" w:name="_ENREF_299"/>
      <w:r w:rsidRPr="00787196">
        <w:rPr>
          <w:noProof/>
        </w:rPr>
        <w:t xml:space="preserve">OZHAYAT, E. B. &amp; GOTFREDSEN, K. 2012. Effect of treatment with fixed and removable dental prostheses. An oral health-related quality of life study. </w:t>
      </w:r>
      <w:r w:rsidRPr="00787196">
        <w:rPr>
          <w:i/>
          <w:noProof/>
        </w:rPr>
        <w:t>J Oral Rehabil,</w:t>
      </w:r>
      <w:r w:rsidRPr="00787196">
        <w:rPr>
          <w:noProof/>
        </w:rPr>
        <w:t xml:space="preserve"> 39</w:t>
      </w:r>
      <w:r w:rsidRPr="00787196">
        <w:rPr>
          <w:b/>
          <w:noProof/>
        </w:rPr>
        <w:t>,</w:t>
      </w:r>
      <w:r w:rsidRPr="00787196">
        <w:rPr>
          <w:noProof/>
        </w:rPr>
        <w:t xml:space="preserve"> 28-36.</w:t>
      </w:r>
      <w:bookmarkEnd w:id="656"/>
    </w:p>
    <w:p w14:paraId="337E3310" w14:textId="77777777" w:rsidR="00525DC8" w:rsidRPr="00787196" w:rsidRDefault="00525DC8" w:rsidP="00525DC8">
      <w:pPr>
        <w:pStyle w:val="EndNoteBibliography"/>
        <w:spacing w:after="240"/>
        <w:rPr>
          <w:noProof/>
        </w:rPr>
      </w:pPr>
      <w:bookmarkStart w:id="657" w:name="_ENREF_300"/>
      <w:r w:rsidRPr="00787196">
        <w:rPr>
          <w:noProof/>
        </w:rPr>
        <w:t xml:space="preserve">OZHAYAT, E. B., GOTFREDSEN, K., ELVERDAM, B. &amp; OWALL, B. 2010a. Comparison of an individual systematic interview method and the oral health impact profile. Responsiveness and ability of describing treatment effect of oral rehabilitation. </w:t>
      </w:r>
      <w:r w:rsidRPr="00787196">
        <w:rPr>
          <w:i/>
          <w:noProof/>
        </w:rPr>
        <w:t>J Oral Rehabil,</w:t>
      </w:r>
      <w:r w:rsidRPr="00787196">
        <w:rPr>
          <w:noProof/>
        </w:rPr>
        <w:t xml:space="preserve"> 37</w:t>
      </w:r>
      <w:r w:rsidRPr="00787196">
        <w:rPr>
          <w:b/>
          <w:noProof/>
        </w:rPr>
        <w:t>,</w:t>
      </w:r>
      <w:r w:rsidRPr="00787196">
        <w:rPr>
          <w:noProof/>
        </w:rPr>
        <w:t xml:space="preserve"> 604-14.</w:t>
      </w:r>
      <w:bookmarkEnd w:id="657"/>
    </w:p>
    <w:p w14:paraId="2895CC6C" w14:textId="77777777" w:rsidR="00525DC8" w:rsidRPr="00787196" w:rsidRDefault="00525DC8" w:rsidP="00525DC8">
      <w:pPr>
        <w:pStyle w:val="EndNoteBibliography"/>
        <w:spacing w:after="240"/>
        <w:rPr>
          <w:noProof/>
        </w:rPr>
      </w:pPr>
      <w:bookmarkStart w:id="658" w:name="_ENREF_301"/>
      <w:r w:rsidRPr="00787196">
        <w:rPr>
          <w:noProof/>
        </w:rPr>
        <w:t xml:space="preserve">OZHAYAT, E. B., GOTFREDSEN, K., ELVERDAM, B. &amp; OWALL, B. 2010b. Patient-generated aspects in oral rehabilitation decision making. II. Comparison of an individual systematic interview method and the oral health impact profile. </w:t>
      </w:r>
      <w:r w:rsidRPr="00787196">
        <w:rPr>
          <w:i/>
          <w:noProof/>
        </w:rPr>
        <w:t>Int J Prosthodont,</w:t>
      </w:r>
      <w:r w:rsidRPr="00787196">
        <w:rPr>
          <w:noProof/>
        </w:rPr>
        <w:t xml:space="preserve"> 23</w:t>
      </w:r>
      <w:r w:rsidRPr="00787196">
        <w:rPr>
          <w:b/>
          <w:noProof/>
        </w:rPr>
        <w:t>,</w:t>
      </w:r>
      <w:r w:rsidRPr="00787196">
        <w:rPr>
          <w:noProof/>
        </w:rPr>
        <w:t xml:space="preserve"> 421-8.</w:t>
      </w:r>
      <w:bookmarkEnd w:id="658"/>
    </w:p>
    <w:p w14:paraId="6A7C1A7B" w14:textId="77777777" w:rsidR="00525DC8" w:rsidRPr="00787196" w:rsidRDefault="00525DC8" w:rsidP="00525DC8">
      <w:pPr>
        <w:pStyle w:val="EndNoteBibliography"/>
        <w:spacing w:after="240"/>
        <w:rPr>
          <w:noProof/>
        </w:rPr>
      </w:pPr>
      <w:bookmarkStart w:id="659" w:name="_ENREF_302"/>
      <w:r w:rsidRPr="00787196">
        <w:rPr>
          <w:noProof/>
        </w:rPr>
        <w:lastRenderedPageBreak/>
        <w:t xml:space="preserve">PAPAIOANNOU, W., OULIS, C. J., LATSOU, D. &amp; YFANTOPOULOS, J. 2011. Oral Health-Related Quality of Life of Greek Adults: A Cross-Sectional Study. </w:t>
      </w:r>
      <w:r w:rsidRPr="00787196">
        <w:rPr>
          <w:i/>
          <w:noProof/>
        </w:rPr>
        <w:t>International Journal of Dentistry,</w:t>
      </w:r>
      <w:r w:rsidRPr="00787196">
        <w:rPr>
          <w:noProof/>
        </w:rPr>
        <w:t xml:space="preserve"> 2011.</w:t>
      </w:r>
      <w:bookmarkEnd w:id="659"/>
    </w:p>
    <w:p w14:paraId="71E42704" w14:textId="77777777" w:rsidR="00525DC8" w:rsidRPr="00787196" w:rsidRDefault="00525DC8" w:rsidP="00525DC8">
      <w:pPr>
        <w:pStyle w:val="EndNoteBibliography"/>
        <w:rPr>
          <w:noProof/>
        </w:rPr>
      </w:pPr>
      <w:bookmarkStart w:id="660" w:name="_ENREF_303"/>
      <w:r w:rsidRPr="00787196">
        <w:rPr>
          <w:noProof/>
        </w:rPr>
        <w:t>PAULANDER, J., AXELSSON, P. &amp; LINDHE, J. 2003. Association between level of education and oral health status in 35-, 50-, 65- and 75-year-olds</w:t>
      </w:r>
    </w:p>
    <w:p w14:paraId="69C5B242" w14:textId="77777777" w:rsidR="00525DC8" w:rsidRPr="00787196" w:rsidRDefault="00525DC8" w:rsidP="00525DC8">
      <w:pPr>
        <w:pStyle w:val="EndNoteBibliography"/>
        <w:spacing w:after="240"/>
        <w:rPr>
          <w:noProof/>
        </w:rPr>
      </w:pPr>
      <w:r w:rsidRPr="00787196">
        <w:rPr>
          <w:i/>
          <w:noProof/>
        </w:rPr>
        <w:t>Jourrnal of Clinical Periodontology,</w:t>
      </w:r>
      <w:r w:rsidRPr="00787196">
        <w:rPr>
          <w:noProof/>
        </w:rPr>
        <w:t xml:space="preserve"> 30</w:t>
      </w:r>
      <w:r w:rsidRPr="00787196">
        <w:rPr>
          <w:b/>
          <w:noProof/>
        </w:rPr>
        <w:t>,</w:t>
      </w:r>
      <w:r w:rsidRPr="00787196">
        <w:rPr>
          <w:noProof/>
        </w:rPr>
        <w:t xml:space="preserve"> 697-704.</w:t>
      </w:r>
      <w:bookmarkEnd w:id="660"/>
    </w:p>
    <w:p w14:paraId="14ED2189" w14:textId="77777777" w:rsidR="00525DC8" w:rsidRPr="00787196" w:rsidRDefault="00525DC8" w:rsidP="00525DC8">
      <w:pPr>
        <w:pStyle w:val="EndNoteBibliography"/>
        <w:spacing w:after="240"/>
        <w:rPr>
          <w:noProof/>
        </w:rPr>
      </w:pPr>
      <w:bookmarkStart w:id="661" w:name="_ENREF_304"/>
      <w:r w:rsidRPr="00787196">
        <w:rPr>
          <w:noProof/>
        </w:rPr>
        <w:t xml:space="preserve">PEARSON, N. K., GIBSON, B. J., DAVIS, D. M., GELBIER, S. &amp; ROBINSON, P. G. 2007. The effect of a domiciliary denture service on oral health related quality of life: a randomised controlled trial. </w:t>
      </w:r>
      <w:r w:rsidRPr="00787196">
        <w:rPr>
          <w:i/>
          <w:noProof/>
        </w:rPr>
        <w:t>Br Dent J,</w:t>
      </w:r>
      <w:r w:rsidRPr="00787196">
        <w:rPr>
          <w:noProof/>
        </w:rPr>
        <w:t xml:space="preserve"> 203</w:t>
      </w:r>
      <w:r w:rsidRPr="00787196">
        <w:rPr>
          <w:b/>
          <w:noProof/>
        </w:rPr>
        <w:t>,</w:t>
      </w:r>
      <w:r w:rsidRPr="00787196">
        <w:rPr>
          <w:noProof/>
        </w:rPr>
        <w:t xml:space="preserve"> E3; discussion 100-1.</w:t>
      </w:r>
      <w:bookmarkEnd w:id="661"/>
    </w:p>
    <w:p w14:paraId="58309B08" w14:textId="77777777" w:rsidR="00525DC8" w:rsidRPr="00787196" w:rsidRDefault="00525DC8" w:rsidP="00525DC8">
      <w:pPr>
        <w:pStyle w:val="EndNoteBibliography"/>
        <w:spacing w:after="240"/>
        <w:rPr>
          <w:noProof/>
        </w:rPr>
      </w:pPr>
      <w:bookmarkStart w:id="662" w:name="_ENREF_305"/>
      <w:r w:rsidRPr="00787196">
        <w:rPr>
          <w:noProof/>
        </w:rPr>
        <w:t xml:space="preserve">PERCZEK, R., CARVER, C. S., PRICE, A. A. &amp; POZO-KADERMAN, C. 2000. Coping, mood, and aspects of personality in Spanish translation and evidence of convergence with English versions. </w:t>
      </w:r>
      <w:r w:rsidRPr="00787196">
        <w:rPr>
          <w:i/>
          <w:noProof/>
        </w:rPr>
        <w:t>Journal of personality Assessment,</w:t>
      </w:r>
      <w:r w:rsidRPr="00787196">
        <w:rPr>
          <w:noProof/>
        </w:rPr>
        <w:t xml:space="preserve"> 74</w:t>
      </w:r>
      <w:r w:rsidRPr="00787196">
        <w:rPr>
          <w:b/>
          <w:noProof/>
        </w:rPr>
        <w:t>,</w:t>
      </w:r>
      <w:r w:rsidRPr="00787196">
        <w:rPr>
          <w:noProof/>
        </w:rPr>
        <w:t xml:space="preserve"> 63-87.</w:t>
      </w:r>
      <w:bookmarkEnd w:id="662"/>
    </w:p>
    <w:p w14:paraId="32E99C3E" w14:textId="77777777" w:rsidR="00525DC8" w:rsidRPr="00787196" w:rsidRDefault="00525DC8" w:rsidP="00525DC8">
      <w:pPr>
        <w:pStyle w:val="EndNoteBibliography"/>
        <w:spacing w:after="240"/>
        <w:rPr>
          <w:noProof/>
        </w:rPr>
      </w:pPr>
      <w:bookmarkStart w:id="663" w:name="_ENREF_306"/>
      <w:r w:rsidRPr="00787196">
        <w:rPr>
          <w:noProof/>
        </w:rPr>
        <w:t xml:space="preserve">PEREIRA, K. C., DE LACERDA, J. T. &amp; TRAEBERT, J. 2009. The oral impact on daily performances and self-reported quality of life in elderly people in FlorianÃ³polis, Brazil. </w:t>
      </w:r>
      <w:r w:rsidRPr="00787196">
        <w:rPr>
          <w:i/>
          <w:noProof/>
        </w:rPr>
        <w:t>Oral health &amp; preventive dentistry,</w:t>
      </w:r>
      <w:r w:rsidRPr="00787196">
        <w:rPr>
          <w:noProof/>
        </w:rPr>
        <w:t xml:space="preserve"> 7</w:t>
      </w:r>
      <w:r w:rsidRPr="00787196">
        <w:rPr>
          <w:b/>
          <w:noProof/>
        </w:rPr>
        <w:t>,</w:t>
      </w:r>
      <w:r w:rsidRPr="00787196">
        <w:rPr>
          <w:noProof/>
        </w:rPr>
        <w:t xml:space="preserve"> 163-172.</w:t>
      </w:r>
      <w:bookmarkEnd w:id="663"/>
    </w:p>
    <w:p w14:paraId="5A3D6ACD" w14:textId="77777777" w:rsidR="00525DC8" w:rsidRPr="00787196" w:rsidRDefault="00525DC8" w:rsidP="00525DC8">
      <w:pPr>
        <w:pStyle w:val="EndNoteBibliography"/>
        <w:spacing w:after="240"/>
        <w:rPr>
          <w:noProof/>
        </w:rPr>
      </w:pPr>
      <w:bookmarkStart w:id="664" w:name="_ENREF_307"/>
      <w:r w:rsidRPr="00787196">
        <w:rPr>
          <w:noProof/>
        </w:rPr>
        <w:t xml:space="preserve">PETERSEN, P. E. 2009. Global policy for improvement of oral health in the 21st century – implications to oral health research of World Health Assembly 2007, World Health Organization. </w:t>
      </w:r>
      <w:r w:rsidRPr="00787196">
        <w:rPr>
          <w:i/>
          <w:noProof/>
        </w:rPr>
        <w:t>Community Dentistry and Oral Epidemiology,</w:t>
      </w:r>
      <w:r w:rsidRPr="00787196">
        <w:rPr>
          <w:noProof/>
        </w:rPr>
        <w:t xml:space="preserve"> 37</w:t>
      </w:r>
      <w:r w:rsidRPr="00787196">
        <w:rPr>
          <w:b/>
          <w:noProof/>
        </w:rPr>
        <w:t>,</w:t>
      </w:r>
      <w:r w:rsidRPr="00787196">
        <w:rPr>
          <w:noProof/>
        </w:rPr>
        <w:t xml:space="preserve"> 1-8.</w:t>
      </w:r>
      <w:bookmarkEnd w:id="664"/>
    </w:p>
    <w:p w14:paraId="3B7D16EE" w14:textId="77777777" w:rsidR="00525DC8" w:rsidRPr="00787196" w:rsidRDefault="00525DC8" w:rsidP="00525DC8">
      <w:pPr>
        <w:pStyle w:val="EndNoteBibliography"/>
        <w:spacing w:after="240"/>
        <w:rPr>
          <w:noProof/>
        </w:rPr>
      </w:pPr>
      <w:bookmarkStart w:id="665" w:name="_ENREF_308"/>
      <w:r w:rsidRPr="00787196">
        <w:rPr>
          <w:noProof/>
        </w:rPr>
        <w:t xml:space="preserve">PETERSEN, P. E. &amp; YAMAMOTO, T. 2005. Improving the oral health of older people: the approach of the WHO Global Oral Health Programme. </w:t>
      </w:r>
      <w:r w:rsidRPr="00787196">
        <w:rPr>
          <w:i/>
          <w:noProof/>
        </w:rPr>
        <w:t>Community Dent Oral Epidemiol,</w:t>
      </w:r>
      <w:r w:rsidRPr="00787196">
        <w:rPr>
          <w:noProof/>
        </w:rPr>
        <w:t xml:space="preserve"> 33</w:t>
      </w:r>
      <w:r w:rsidRPr="00787196">
        <w:rPr>
          <w:b/>
          <w:noProof/>
        </w:rPr>
        <w:t>,</w:t>
      </w:r>
      <w:r w:rsidRPr="00787196">
        <w:rPr>
          <w:noProof/>
        </w:rPr>
        <w:t xml:space="preserve"> 81-92.</w:t>
      </w:r>
      <w:bookmarkEnd w:id="665"/>
    </w:p>
    <w:p w14:paraId="0C44C090" w14:textId="77777777" w:rsidR="00525DC8" w:rsidRPr="00787196" w:rsidRDefault="00525DC8" w:rsidP="00525DC8">
      <w:pPr>
        <w:pStyle w:val="EndNoteBibliography"/>
        <w:spacing w:after="240"/>
        <w:rPr>
          <w:noProof/>
        </w:rPr>
      </w:pPr>
      <w:bookmarkStart w:id="666" w:name="_ENREF_309"/>
      <w:r w:rsidRPr="00787196">
        <w:rPr>
          <w:noProof/>
        </w:rPr>
        <w:t xml:space="preserve">PILOT, T. Efficacy of Treatment Procedures in Periodontics. </w:t>
      </w:r>
      <w:r w:rsidRPr="00787196">
        <w:rPr>
          <w:i/>
          <w:noProof/>
        </w:rPr>
        <w:t xml:space="preserve">In: </w:t>
      </w:r>
      <w:r w:rsidRPr="00787196">
        <w:rPr>
          <w:noProof/>
        </w:rPr>
        <w:t>SHANLEY, D. B., ed., 1980 Dublin. Chicago: Quintessence Publishing Company, Inc., 213 -231.</w:t>
      </w:r>
      <w:bookmarkEnd w:id="666"/>
    </w:p>
    <w:p w14:paraId="6B0479E4" w14:textId="77777777" w:rsidR="00525DC8" w:rsidRPr="00787196" w:rsidRDefault="00525DC8" w:rsidP="00525DC8">
      <w:pPr>
        <w:pStyle w:val="EndNoteBibliography"/>
        <w:spacing w:after="240"/>
        <w:rPr>
          <w:noProof/>
        </w:rPr>
      </w:pPr>
      <w:bookmarkStart w:id="667" w:name="_ENREF_310"/>
      <w:r w:rsidRPr="00787196">
        <w:rPr>
          <w:noProof/>
        </w:rPr>
        <w:t xml:space="preserve">PIRES, C. P., FERRAZ, M. B., DE ABREU, M. H., PIRES, C. P. D. A. B., FERRAZ, M. B. &amp; DE ABREU, M. H. N. G. 2006. Translation into Brazilian Portuguese, cultural adaptation and validation of the oral health impact profile (OHIP-49). </w:t>
      </w:r>
      <w:r w:rsidRPr="00787196">
        <w:rPr>
          <w:i/>
          <w:noProof/>
        </w:rPr>
        <w:t>Pesquisa Odontologica Brasileira = Brazilian Oral Research,</w:t>
      </w:r>
      <w:r w:rsidRPr="00787196">
        <w:rPr>
          <w:noProof/>
        </w:rPr>
        <w:t xml:space="preserve"> 20</w:t>
      </w:r>
      <w:r w:rsidRPr="00787196">
        <w:rPr>
          <w:b/>
          <w:noProof/>
        </w:rPr>
        <w:t>,</w:t>
      </w:r>
      <w:r w:rsidRPr="00787196">
        <w:rPr>
          <w:noProof/>
        </w:rPr>
        <w:t xml:space="preserve"> 263-8.</w:t>
      </w:r>
      <w:bookmarkEnd w:id="667"/>
    </w:p>
    <w:p w14:paraId="2C838914" w14:textId="77777777" w:rsidR="00525DC8" w:rsidRPr="00787196" w:rsidRDefault="00525DC8" w:rsidP="00525DC8">
      <w:pPr>
        <w:pStyle w:val="EndNoteBibliography"/>
        <w:spacing w:after="240"/>
        <w:rPr>
          <w:noProof/>
        </w:rPr>
      </w:pPr>
      <w:bookmarkStart w:id="668" w:name="_ENREF_311"/>
      <w:r w:rsidRPr="00787196">
        <w:rPr>
          <w:noProof/>
        </w:rPr>
        <w:t xml:space="preserve">PISANI, M. X., MALHEIROS-SEGUNDO ADE, L., BALBINO, K. L., DE SOUZA, R. F., PARANHOS HDE, F. &amp; DA SILVA, C. H. 2012. Oral health related quality of life of </w:t>
      </w:r>
      <w:r w:rsidRPr="00787196">
        <w:rPr>
          <w:noProof/>
        </w:rPr>
        <w:lastRenderedPageBreak/>
        <w:t xml:space="preserve">edentulous patients after denture relining with a silicone-based soft liner. </w:t>
      </w:r>
      <w:r w:rsidRPr="00787196">
        <w:rPr>
          <w:i/>
          <w:noProof/>
        </w:rPr>
        <w:t>Gerodontology,</w:t>
      </w:r>
      <w:r w:rsidRPr="00787196">
        <w:rPr>
          <w:noProof/>
        </w:rPr>
        <w:t xml:space="preserve"> 29</w:t>
      </w:r>
      <w:r w:rsidRPr="00787196">
        <w:rPr>
          <w:b/>
          <w:noProof/>
        </w:rPr>
        <w:t>,</w:t>
      </w:r>
      <w:r w:rsidRPr="00787196">
        <w:rPr>
          <w:noProof/>
        </w:rPr>
        <w:t xml:space="preserve"> e474-80.</w:t>
      </w:r>
      <w:bookmarkEnd w:id="668"/>
    </w:p>
    <w:p w14:paraId="016E6058" w14:textId="77777777" w:rsidR="00525DC8" w:rsidRPr="00787196" w:rsidRDefault="00525DC8" w:rsidP="00525DC8">
      <w:pPr>
        <w:pStyle w:val="EndNoteBibliography"/>
        <w:spacing w:after="240"/>
        <w:rPr>
          <w:noProof/>
        </w:rPr>
      </w:pPr>
      <w:bookmarkStart w:id="669" w:name="_ENREF_312"/>
      <w:r w:rsidRPr="00787196">
        <w:rPr>
          <w:noProof/>
        </w:rPr>
        <w:t xml:space="preserve">POHJOLA, V., LAHTI, S., SUOMINEN-TAIPALE, L., HAUSEN, H., POHJOLA, V., LAHTI, S., SUOMINEN-TAIPALE, L. &amp; HAUSEN, H. 2009. Dental fear and subjective oral impacts among adults in Finland. </w:t>
      </w:r>
      <w:r w:rsidRPr="00787196">
        <w:rPr>
          <w:i/>
          <w:noProof/>
        </w:rPr>
        <w:t>European Journal of Oral Sciences,</w:t>
      </w:r>
      <w:r w:rsidRPr="00787196">
        <w:rPr>
          <w:noProof/>
        </w:rPr>
        <w:t xml:space="preserve"> 117</w:t>
      </w:r>
      <w:r w:rsidRPr="00787196">
        <w:rPr>
          <w:b/>
          <w:noProof/>
        </w:rPr>
        <w:t>,</w:t>
      </w:r>
      <w:r w:rsidRPr="00787196">
        <w:rPr>
          <w:noProof/>
        </w:rPr>
        <w:t xml:space="preserve"> 268-72.</w:t>
      </w:r>
      <w:bookmarkEnd w:id="669"/>
    </w:p>
    <w:p w14:paraId="499A003C" w14:textId="77777777" w:rsidR="00525DC8" w:rsidRPr="00787196" w:rsidRDefault="00525DC8" w:rsidP="00525DC8">
      <w:pPr>
        <w:pStyle w:val="EndNoteBibliography"/>
        <w:spacing w:after="240"/>
        <w:rPr>
          <w:noProof/>
        </w:rPr>
      </w:pPr>
      <w:bookmarkStart w:id="670" w:name="_ENREF_313"/>
      <w:r w:rsidRPr="00787196">
        <w:rPr>
          <w:noProof/>
        </w:rPr>
        <w:t xml:space="preserve">PORRITT, J. M., SUFI, F., BARLOW, A. &amp; BAKER, S. R. 2014. The role of illness beliefs and coping in the adjustment to dentine hypersensitivity. </w:t>
      </w:r>
      <w:r w:rsidRPr="00787196">
        <w:rPr>
          <w:i/>
          <w:noProof/>
        </w:rPr>
        <w:t>Journal of clinical periodontology,</w:t>
      </w:r>
      <w:r w:rsidRPr="00787196">
        <w:rPr>
          <w:noProof/>
        </w:rPr>
        <w:t xml:space="preserve"> 41</w:t>
      </w:r>
      <w:r w:rsidRPr="00787196">
        <w:rPr>
          <w:b/>
          <w:noProof/>
        </w:rPr>
        <w:t>,</w:t>
      </w:r>
      <w:r w:rsidRPr="00787196">
        <w:rPr>
          <w:noProof/>
        </w:rPr>
        <w:t xml:space="preserve"> 60-69.</w:t>
      </w:r>
      <w:bookmarkEnd w:id="670"/>
    </w:p>
    <w:p w14:paraId="2A7A365A" w14:textId="77777777" w:rsidR="00525DC8" w:rsidRPr="00787196" w:rsidRDefault="00525DC8" w:rsidP="00525DC8">
      <w:pPr>
        <w:pStyle w:val="EndNoteBibliography"/>
        <w:spacing w:after="240"/>
        <w:rPr>
          <w:noProof/>
        </w:rPr>
      </w:pPr>
      <w:bookmarkStart w:id="671" w:name="_ENREF_314"/>
      <w:r w:rsidRPr="00787196">
        <w:rPr>
          <w:noProof/>
        </w:rPr>
        <w:t xml:space="preserve">POUND, E. 1965. Preparatory dentures: a protective philosophy. </w:t>
      </w:r>
      <w:r w:rsidRPr="00787196">
        <w:rPr>
          <w:i/>
          <w:noProof/>
        </w:rPr>
        <w:t>The Journal of Prosthetic Dentistry,</w:t>
      </w:r>
      <w:r w:rsidRPr="00787196">
        <w:rPr>
          <w:noProof/>
        </w:rPr>
        <w:t xml:space="preserve"> 15</w:t>
      </w:r>
      <w:r w:rsidRPr="00787196">
        <w:rPr>
          <w:b/>
          <w:noProof/>
        </w:rPr>
        <w:t>,</w:t>
      </w:r>
      <w:r w:rsidRPr="00787196">
        <w:rPr>
          <w:noProof/>
        </w:rPr>
        <w:t xml:space="preserve"> 5-18.</w:t>
      </w:r>
      <w:bookmarkEnd w:id="671"/>
    </w:p>
    <w:p w14:paraId="13AD3D20" w14:textId="77777777" w:rsidR="00525DC8" w:rsidRPr="00787196" w:rsidRDefault="00525DC8" w:rsidP="00525DC8">
      <w:pPr>
        <w:pStyle w:val="EndNoteBibliography"/>
        <w:spacing w:after="240"/>
        <w:rPr>
          <w:noProof/>
        </w:rPr>
      </w:pPr>
      <w:bookmarkStart w:id="672" w:name="_ENREF_315"/>
      <w:r w:rsidRPr="00787196">
        <w:rPr>
          <w:noProof/>
        </w:rPr>
        <w:t xml:space="preserve">PROHASKA, T. R., KELLER, M. L., LEVENTHAL, E. A. &amp; LEVENTHAL, H. 1987. Impact of symptoms and aging attribution on emotions and coping. </w:t>
      </w:r>
      <w:r w:rsidRPr="00787196">
        <w:rPr>
          <w:i/>
          <w:noProof/>
        </w:rPr>
        <w:t>Health psychology,</w:t>
      </w:r>
      <w:r w:rsidRPr="00787196">
        <w:rPr>
          <w:noProof/>
        </w:rPr>
        <w:t xml:space="preserve"> 6</w:t>
      </w:r>
      <w:r w:rsidRPr="00787196">
        <w:rPr>
          <w:b/>
          <w:noProof/>
        </w:rPr>
        <w:t>,</w:t>
      </w:r>
      <w:r w:rsidRPr="00787196">
        <w:rPr>
          <w:noProof/>
        </w:rPr>
        <w:t xml:space="preserve"> 495.</w:t>
      </w:r>
      <w:bookmarkEnd w:id="672"/>
    </w:p>
    <w:p w14:paraId="64FAA320" w14:textId="77777777" w:rsidR="00525DC8" w:rsidRPr="00787196" w:rsidRDefault="00525DC8" w:rsidP="00525DC8">
      <w:pPr>
        <w:pStyle w:val="EndNoteBibliography"/>
        <w:spacing w:after="240"/>
        <w:rPr>
          <w:noProof/>
        </w:rPr>
      </w:pPr>
      <w:bookmarkStart w:id="673" w:name="_ENREF_316"/>
      <w:r w:rsidRPr="00787196">
        <w:rPr>
          <w:noProof/>
        </w:rPr>
        <w:t xml:space="preserve">QUINTNER, J. L., COHEN, M. L., BUCHANAN, D., KATZ, J. D. &amp; WILLIAMSON, O. D. 2008. Pain medicine and its models: helping or hindering? </w:t>
      </w:r>
      <w:r w:rsidRPr="00787196">
        <w:rPr>
          <w:i/>
          <w:noProof/>
        </w:rPr>
        <w:t>Pain Medicine,</w:t>
      </w:r>
      <w:r w:rsidRPr="00787196">
        <w:rPr>
          <w:noProof/>
        </w:rPr>
        <w:t xml:space="preserve"> 9</w:t>
      </w:r>
      <w:r w:rsidRPr="00787196">
        <w:rPr>
          <w:b/>
          <w:noProof/>
        </w:rPr>
        <w:t>,</w:t>
      </w:r>
      <w:r w:rsidRPr="00787196">
        <w:rPr>
          <w:noProof/>
        </w:rPr>
        <w:t xml:space="preserve"> 824-34.</w:t>
      </w:r>
      <w:bookmarkEnd w:id="673"/>
    </w:p>
    <w:p w14:paraId="00FDFDB2" w14:textId="77777777" w:rsidR="00525DC8" w:rsidRPr="00787196" w:rsidRDefault="00525DC8" w:rsidP="00525DC8">
      <w:pPr>
        <w:pStyle w:val="EndNoteBibliography"/>
        <w:spacing w:after="240"/>
        <w:rPr>
          <w:noProof/>
        </w:rPr>
      </w:pPr>
      <w:bookmarkStart w:id="674" w:name="_ENREF_317"/>
      <w:r w:rsidRPr="00787196">
        <w:rPr>
          <w:noProof/>
        </w:rPr>
        <w:t xml:space="preserve">RAMSTAD, T., NORHEIM, P. W. &amp; ECKERSBERG, T. 1980. The reliability of clinical evaluation of some characteristics in complete prosthetics. </w:t>
      </w:r>
      <w:r w:rsidRPr="00787196">
        <w:rPr>
          <w:i/>
          <w:noProof/>
        </w:rPr>
        <w:t>Journal of Oral Rehabilitation,</w:t>
      </w:r>
      <w:r w:rsidRPr="00787196">
        <w:rPr>
          <w:noProof/>
        </w:rPr>
        <w:t xml:space="preserve"> 7</w:t>
      </w:r>
      <w:r w:rsidRPr="00787196">
        <w:rPr>
          <w:b/>
          <w:noProof/>
        </w:rPr>
        <w:t>,</w:t>
      </w:r>
      <w:r w:rsidRPr="00787196">
        <w:rPr>
          <w:noProof/>
        </w:rPr>
        <w:t xml:space="preserve"> 11-19.</w:t>
      </w:r>
      <w:bookmarkEnd w:id="674"/>
    </w:p>
    <w:p w14:paraId="7A7630DD" w14:textId="77777777" w:rsidR="00525DC8" w:rsidRPr="00787196" w:rsidRDefault="00525DC8" w:rsidP="00525DC8">
      <w:pPr>
        <w:pStyle w:val="EndNoteBibliography"/>
        <w:spacing w:after="240"/>
        <w:rPr>
          <w:noProof/>
        </w:rPr>
      </w:pPr>
      <w:bookmarkStart w:id="675" w:name="_ENREF_318"/>
      <w:r w:rsidRPr="00787196">
        <w:rPr>
          <w:noProof/>
        </w:rPr>
        <w:t xml:space="preserve">RAYSON, J. H., RAHN, A. O., ELLINGER, C. W., WESLEY, R. C., FRAZIER, Q. Z., LUTES, M. R., HENDERSON, D. &amp; HALEY, J. V. 1971. The value of subjective evaluation in clinical research. </w:t>
      </w:r>
      <w:r w:rsidRPr="00787196">
        <w:rPr>
          <w:i/>
          <w:noProof/>
        </w:rPr>
        <w:t>The Journal of prosthetic dentistry,</w:t>
      </w:r>
      <w:r w:rsidRPr="00787196">
        <w:rPr>
          <w:noProof/>
        </w:rPr>
        <w:t xml:space="preserve"> 26</w:t>
      </w:r>
      <w:r w:rsidRPr="00787196">
        <w:rPr>
          <w:b/>
          <w:noProof/>
        </w:rPr>
        <w:t>,</w:t>
      </w:r>
      <w:r w:rsidRPr="00787196">
        <w:rPr>
          <w:noProof/>
        </w:rPr>
        <w:t xml:space="preserve"> 111-118.</w:t>
      </w:r>
      <w:bookmarkEnd w:id="675"/>
    </w:p>
    <w:p w14:paraId="7C8B0FA0" w14:textId="77777777" w:rsidR="00525DC8" w:rsidRPr="00787196" w:rsidRDefault="00525DC8" w:rsidP="00525DC8">
      <w:pPr>
        <w:pStyle w:val="EndNoteBibliography"/>
        <w:spacing w:after="240"/>
        <w:rPr>
          <w:noProof/>
        </w:rPr>
      </w:pPr>
      <w:bookmarkStart w:id="676" w:name="_ENREF_319"/>
      <w:r w:rsidRPr="00787196">
        <w:rPr>
          <w:noProof/>
        </w:rPr>
        <w:t xml:space="preserve">REDDY, V., NAVEENM, N., PRABHU, M. S., PREETHI, A. &amp; AHMED, A. 2013. The evaluation of perceived stress and depression in dental undergraduates. </w:t>
      </w:r>
      <w:r w:rsidRPr="00787196">
        <w:rPr>
          <w:i/>
          <w:noProof/>
        </w:rPr>
        <w:t>Int Dent J Stud Res,</w:t>
      </w:r>
      <w:r w:rsidRPr="00787196">
        <w:rPr>
          <w:noProof/>
        </w:rPr>
        <w:t xml:space="preserve"> 1</w:t>
      </w:r>
      <w:r w:rsidRPr="00787196">
        <w:rPr>
          <w:b/>
          <w:noProof/>
        </w:rPr>
        <w:t>,</w:t>
      </w:r>
      <w:r w:rsidRPr="00787196">
        <w:rPr>
          <w:noProof/>
        </w:rPr>
        <w:t xml:space="preserve"> 36-41.</w:t>
      </w:r>
      <w:bookmarkEnd w:id="676"/>
    </w:p>
    <w:p w14:paraId="72C6EAC2" w14:textId="77777777" w:rsidR="00525DC8" w:rsidRPr="00787196" w:rsidRDefault="00525DC8" w:rsidP="00525DC8">
      <w:pPr>
        <w:pStyle w:val="EndNoteBibliography"/>
        <w:spacing w:after="240"/>
        <w:rPr>
          <w:noProof/>
        </w:rPr>
      </w:pPr>
      <w:bookmarkStart w:id="677" w:name="_ENREF_320"/>
      <w:r w:rsidRPr="00787196">
        <w:rPr>
          <w:noProof/>
        </w:rPr>
        <w:t xml:space="preserve">REISINE, S. T. &amp; BAILIT, H. L. 1980. Clinical oral health status and adultperceptions of oral health. </w:t>
      </w:r>
      <w:r w:rsidRPr="00787196">
        <w:rPr>
          <w:i/>
          <w:noProof/>
        </w:rPr>
        <w:t>Social Science &amp;amp; Medicine. Part A: Medical Psychology &amp;amp; Medical Sociology,</w:t>
      </w:r>
      <w:r w:rsidRPr="00787196">
        <w:rPr>
          <w:noProof/>
        </w:rPr>
        <w:t xml:space="preserve"> 14</w:t>
      </w:r>
      <w:r w:rsidRPr="00787196">
        <w:rPr>
          <w:b/>
          <w:noProof/>
        </w:rPr>
        <w:t>,</w:t>
      </w:r>
      <w:r w:rsidRPr="00787196">
        <w:rPr>
          <w:noProof/>
        </w:rPr>
        <w:t xml:space="preserve"> 597-605.</w:t>
      </w:r>
      <w:bookmarkEnd w:id="677"/>
    </w:p>
    <w:p w14:paraId="4502E04A" w14:textId="77777777" w:rsidR="00525DC8" w:rsidRPr="00787196" w:rsidRDefault="00525DC8" w:rsidP="00525DC8">
      <w:pPr>
        <w:pStyle w:val="EndNoteBibliography"/>
        <w:spacing w:after="240"/>
        <w:rPr>
          <w:noProof/>
        </w:rPr>
      </w:pPr>
      <w:bookmarkStart w:id="678" w:name="_ENREF_321"/>
      <w:r w:rsidRPr="00787196">
        <w:rPr>
          <w:noProof/>
        </w:rPr>
        <w:t xml:space="preserve">REISSMANN, D. R., JOHN, M. T. &amp; SCHIERZ, O. 2011. Influence of administration method on oral health-related quality of life assessment using the Oral Health Impact Profile. </w:t>
      </w:r>
      <w:r w:rsidRPr="00787196">
        <w:rPr>
          <w:i/>
          <w:noProof/>
        </w:rPr>
        <w:t>Eur J Oral Sci,</w:t>
      </w:r>
      <w:r w:rsidRPr="00787196">
        <w:rPr>
          <w:noProof/>
        </w:rPr>
        <w:t xml:space="preserve"> 119</w:t>
      </w:r>
      <w:r w:rsidRPr="00787196">
        <w:rPr>
          <w:b/>
          <w:noProof/>
        </w:rPr>
        <w:t>,</w:t>
      </w:r>
      <w:r w:rsidRPr="00787196">
        <w:rPr>
          <w:noProof/>
        </w:rPr>
        <w:t xml:space="preserve"> 73-8.</w:t>
      </w:r>
      <w:bookmarkEnd w:id="678"/>
    </w:p>
    <w:p w14:paraId="6A37ECF6" w14:textId="77777777" w:rsidR="00525DC8" w:rsidRPr="00787196" w:rsidRDefault="00525DC8" w:rsidP="00525DC8">
      <w:pPr>
        <w:pStyle w:val="EndNoteBibliography"/>
        <w:spacing w:after="240"/>
        <w:rPr>
          <w:noProof/>
        </w:rPr>
      </w:pPr>
      <w:bookmarkStart w:id="679" w:name="_ENREF_322"/>
      <w:r w:rsidRPr="00787196">
        <w:rPr>
          <w:noProof/>
        </w:rPr>
        <w:lastRenderedPageBreak/>
        <w:t xml:space="preserve">REISSMANN, D. R., REMMLER, A., JOHN, M. T., SCHIERZ, O. &amp; HIRSCH, C. 2012. Impact of response shift on the assessment of treatment effects using the Oral Health Impact Profile. </w:t>
      </w:r>
      <w:r w:rsidRPr="00787196">
        <w:rPr>
          <w:i/>
          <w:noProof/>
        </w:rPr>
        <w:t>European journal of oral sciences,</w:t>
      </w:r>
      <w:r w:rsidRPr="00787196">
        <w:rPr>
          <w:noProof/>
        </w:rPr>
        <w:t xml:space="preserve"> 120</w:t>
      </w:r>
      <w:r w:rsidRPr="00787196">
        <w:rPr>
          <w:b/>
          <w:noProof/>
        </w:rPr>
        <w:t>,</w:t>
      </w:r>
      <w:r w:rsidRPr="00787196">
        <w:rPr>
          <w:noProof/>
        </w:rPr>
        <w:t xml:space="preserve"> 520-525.</w:t>
      </w:r>
      <w:bookmarkEnd w:id="679"/>
    </w:p>
    <w:p w14:paraId="119B4E9A" w14:textId="77777777" w:rsidR="00525DC8" w:rsidRPr="00787196" w:rsidRDefault="00525DC8" w:rsidP="00525DC8">
      <w:pPr>
        <w:pStyle w:val="EndNoteBibliography"/>
        <w:spacing w:after="240"/>
        <w:rPr>
          <w:noProof/>
        </w:rPr>
      </w:pPr>
      <w:bookmarkStart w:id="680" w:name="_ENREF_323"/>
      <w:r w:rsidRPr="00787196">
        <w:rPr>
          <w:noProof/>
        </w:rPr>
        <w:t xml:space="preserve">REYNOLDS, P., HURLEY, S., TORRES, M., JACKSON, J., BOYD, P. &amp; CHEN, V. W. 2000. Use of coping strategies and breast cancer survival: results from the Black/White Cancer Survival Study. </w:t>
      </w:r>
      <w:r w:rsidRPr="00787196">
        <w:rPr>
          <w:i/>
          <w:noProof/>
        </w:rPr>
        <w:t>American Journal of Epidemiology,</w:t>
      </w:r>
      <w:r w:rsidRPr="00787196">
        <w:rPr>
          <w:noProof/>
        </w:rPr>
        <w:t xml:space="preserve"> 152</w:t>
      </w:r>
      <w:r w:rsidRPr="00787196">
        <w:rPr>
          <w:b/>
          <w:noProof/>
        </w:rPr>
        <w:t>,</w:t>
      </w:r>
      <w:r w:rsidRPr="00787196">
        <w:rPr>
          <w:noProof/>
        </w:rPr>
        <w:t xml:space="preserve"> 940-949.</w:t>
      </w:r>
      <w:bookmarkEnd w:id="680"/>
    </w:p>
    <w:p w14:paraId="52200217" w14:textId="77777777" w:rsidR="00525DC8" w:rsidRPr="00787196" w:rsidRDefault="00525DC8" w:rsidP="00525DC8">
      <w:pPr>
        <w:pStyle w:val="EndNoteBibliography"/>
        <w:spacing w:after="240"/>
        <w:rPr>
          <w:noProof/>
        </w:rPr>
      </w:pPr>
      <w:bookmarkStart w:id="681" w:name="_ENREF_324"/>
      <w:r w:rsidRPr="00787196">
        <w:rPr>
          <w:noProof/>
        </w:rPr>
        <w:t xml:space="preserve">RICHARD, G. W. 1997. Socioeconomic determinants of health: Health inequalities: relative or absolute material standards? </w:t>
      </w:r>
      <w:r w:rsidRPr="00787196">
        <w:rPr>
          <w:i/>
          <w:noProof/>
        </w:rPr>
        <w:t>BMJ,</w:t>
      </w:r>
      <w:r w:rsidRPr="00787196">
        <w:rPr>
          <w:noProof/>
        </w:rPr>
        <w:t xml:space="preserve"> 314</w:t>
      </w:r>
      <w:r w:rsidRPr="00787196">
        <w:rPr>
          <w:b/>
          <w:noProof/>
        </w:rPr>
        <w:t>,</w:t>
      </w:r>
      <w:r w:rsidRPr="00787196">
        <w:rPr>
          <w:noProof/>
        </w:rPr>
        <w:t xml:space="preserve"> 591.</w:t>
      </w:r>
      <w:bookmarkEnd w:id="681"/>
    </w:p>
    <w:p w14:paraId="792AD812" w14:textId="77777777" w:rsidR="00525DC8" w:rsidRPr="00787196" w:rsidRDefault="00525DC8" w:rsidP="00525DC8">
      <w:pPr>
        <w:pStyle w:val="EndNoteBibliography"/>
        <w:spacing w:after="240"/>
        <w:rPr>
          <w:noProof/>
        </w:rPr>
      </w:pPr>
      <w:bookmarkStart w:id="682" w:name="_ENREF_325"/>
      <w:r w:rsidRPr="00787196">
        <w:rPr>
          <w:noProof/>
        </w:rPr>
        <w:t xml:space="preserve">RILEY, J. L., GILBERT, G. H. &amp; HEFT, M. W. 2006. Dental attitudes: proximal basis for oral health disparities in adults. </w:t>
      </w:r>
      <w:r w:rsidRPr="00787196">
        <w:rPr>
          <w:i/>
          <w:noProof/>
        </w:rPr>
        <w:t>Community dentistry and oral epidemiology,</w:t>
      </w:r>
      <w:r w:rsidRPr="00787196">
        <w:rPr>
          <w:noProof/>
        </w:rPr>
        <w:t xml:space="preserve"> 34</w:t>
      </w:r>
      <w:r w:rsidRPr="00787196">
        <w:rPr>
          <w:b/>
          <w:noProof/>
        </w:rPr>
        <w:t>,</w:t>
      </w:r>
      <w:r w:rsidRPr="00787196">
        <w:rPr>
          <w:noProof/>
        </w:rPr>
        <w:t xml:space="preserve"> 289-298.</w:t>
      </w:r>
      <w:bookmarkEnd w:id="682"/>
    </w:p>
    <w:p w14:paraId="0B1D0337" w14:textId="77777777" w:rsidR="00525DC8" w:rsidRPr="00787196" w:rsidRDefault="00525DC8" w:rsidP="00525DC8">
      <w:pPr>
        <w:pStyle w:val="EndNoteBibliography"/>
        <w:spacing w:after="240"/>
        <w:rPr>
          <w:noProof/>
        </w:rPr>
      </w:pPr>
      <w:bookmarkStart w:id="683" w:name="_ENREF_326"/>
      <w:r w:rsidRPr="00787196">
        <w:rPr>
          <w:noProof/>
        </w:rPr>
        <w:t xml:space="preserve">RING, L., HOFER, S., HEUSTON, F., HARRIS, D. &amp; O'BOYLE, C. A. 2005. Response shift masks the treatment impact on patient reported outcomes (PROs): the example of individual quality of life in edentulous patients. </w:t>
      </w:r>
      <w:r w:rsidRPr="00787196">
        <w:rPr>
          <w:i/>
          <w:noProof/>
        </w:rPr>
        <w:t>Health Qual Life Outcomes,</w:t>
      </w:r>
      <w:r w:rsidRPr="00787196">
        <w:rPr>
          <w:noProof/>
        </w:rPr>
        <w:t xml:space="preserve"> 3</w:t>
      </w:r>
      <w:r w:rsidRPr="00787196">
        <w:rPr>
          <w:b/>
          <w:noProof/>
        </w:rPr>
        <w:t>,</w:t>
      </w:r>
      <w:r w:rsidRPr="00787196">
        <w:rPr>
          <w:noProof/>
        </w:rPr>
        <w:t xml:space="preserve"> 55.</w:t>
      </w:r>
      <w:bookmarkEnd w:id="683"/>
    </w:p>
    <w:p w14:paraId="366982B4" w14:textId="77777777" w:rsidR="00525DC8" w:rsidRPr="00787196" w:rsidRDefault="00525DC8" w:rsidP="00525DC8">
      <w:pPr>
        <w:pStyle w:val="EndNoteBibliography"/>
        <w:spacing w:after="240"/>
        <w:rPr>
          <w:noProof/>
        </w:rPr>
      </w:pPr>
      <w:bookmarkStart w:id="684" w:name="_ENREF_327"/>
      <w:r w:rsidRPr="00787196">
        <w:rPr>
          <w:noProof/>
        </w:rPr>
        <w:t xml:space="preserve">ROBINSON, P., CARR, A. &amp; HIGGINSON, I. 2003. How to choose a quality of life measure. </w:t>
      </w:r>
      <w:r w:rsidRPr="00787196">
        <w:rPr>
          <w:i/>
          <w:noProof/>
        </w:rPr>
        <w:t>In:</w:t>
      </w:r>
      <w:r w:rsidRPr="00787196">
        <w:rPr>
          <w:noProof/>
        </w:rPr>
        <w:t xml:space="preserve"> ROBINSON, P., CARR, A. &amp; HIGGINSON, I. (eds.) </w:t>
      </w:r>
      <w:r w:rsidRPr="00787196">
        <w:rPr>
          <w:i/>
          <w:noProof/>
        </w:rPr>
        <w:t>Quality of life.</w:t>
      </w:r>
      <w:r w:rsidRPr="00787196">
        <w:rPr>
          <w:noProof/>
        </w:rPr>
        <w:t xml:space="preserve"> Blackwell Publishing.</w:t>
      </w:r>
      <w:bookmarkEnd w:id="684"/>
    </w:p>
    <w:p w14:paraId="7B44F84E" w14:textId="77777777" w:rsidR="00525DC8" w:rsidRPr="00787196" w:rsidRDefault="00525DC8" w:rsidP="00525DC8">
      <w:pPr>
        <w:pStyle w:val="EndNoteBibliography"/>
        <w:spacing w:after="240"/>
        <w:rPr>
          <w:noProof/>
        </w:rPr>
      </w:pPr>
      <w:bookmarkStart w:id="685" w:name="_ENREF_328"/>
      <w:r w:rsidRPr="00787196">
        <w:rPr>
          <w:noProof/>
        </w:rPr>
        <w:t xml:space="preserve">RODD, H. D., MARSHMAN, Z., PORRITT, J., BRADBURY, J. &amp; BAKER, S. R. 2012. Psychosocial predictors of children’s oral health-related quality of life during transition to secondary school. </w:t>
      </w:r>
      <w:r w:rsidRPr="00787196">
        <w:rPr>
          <w:i/>
          <w:noProof/>
        </w:rPr>
        <w:t>Quality of Life Research,</w:t>
      </w:r>
      <w:r w:rsidRPr="00787196">
        <w:rPr>
          <w:noProof/>
        </w:rPr>
        <w:t xml:space="preserve"> 21</w:t>
      </w:r>
      <w:r w:rsidRPr="00787196">
        <w:rPr>
          <w:b/>
          <w:noProof/>
        </w:rPr>
        <w:t>,</w:t>
      </w:r>
      <w:r w:rsidRPr="00787196">
        <w:rPr>
          <w:noProof/>
        </w:rPr>
        <w:t xml:space="preserve"> 707-716.</w:t>
      </w:r>
      <w:bookmarkEnd w:id="685"/>
    </w:p>
    <w:p w14:paraId="79788D90" w14:textId="77777777" w:rsidR="00525DC8" w:rsidRPr="00787196" w:rsidRDefault="00525DC8" w:rsidP="00525DC8">
      <w:pPr>
        <w:pStyle w:val="EndNoteBibliography"/>
        <w:spacing w:after="240"/>
        <w:rPr>
          <w:noProof/>
        </w:rPr>
      </w:pPr>
      <w:bookmarkStart w:id="686" w:name="_ENREF_329"/>
      <w:r w:rsidRPr="00787196">
        <w:rPr>
          <w:noProof/>
        </w:rPr>
        <w:t xml:space="preserve">RYU, J. I., TSAKOS, G. &amp; SHEIHAM, A. 2008. Differences in prosthodontic treatment needs assessments between the standard normative and sociodental approach. </w:t>
      </w:r>
      <w:r w:rsidRPr="00787196">
        <w:rPr>
          <w:i/>
          <w:noProof/>
        </w:rPr>
        <w:t>Int J Prosthodont,</w:t>
      </w:r>
      <w:r w:rsidRPr="00787196">
        <w:rPr>
          <w:noProof/>
        </w:rPr>
        <w:t xml:space="preserve"> 21</w:t>
      </w:r>
      <w:r w:rsidRPr="00787196">
        <w:rPr>
          <w:b/>
          <w:noProof/>
        </w:rPr>
        <w:t>,</w:t>
      </w:r>
      <w:r w:rsidRPr="00787196">
        <w:rPr>
          <w:noProof/>
        </w:rPr>
        <w:t xml:space="preserve"> 425-32.</w:t>
      </w:r>
      <w:bookmarkEnd w:id="686"/>
    </w:p>
    <w:p w14:paraId="29D5A4CF" w14:textId="77777777" w:rsidR="00525DC8" w:rsidRPr="00787196" w:rsidRDefault="00525DC8" w:rsidP="00525DC8">
      <w:pPr>
        <w:pStyle w:val="EndNoteBibliography"/>
        <w:spacing w:after="240"/>
        <w:rPr>
          <w:noProof/>
        </w:rPr>
      </w:pPr>
      <w:bookmarkStart w:id="687" w:name="_ENREF_330"/>
      <w:r w:rsidRPr="00787196">
        <w:rPr>
          <w:noProof/>
        </w:rPr>
        <w:t xml:space="preserve">SABBAH, W., TSAKOS, G., CHANDOLA, T., SHEIHAM, A. &amp; WATT, R. G. 2007. Social Gradients in Oral and General Health. </w:t>
      </w:r>
      <w:r w:rsidRPr="00787196">
        <w:rPr>
          <w:i/>
          <w:noProof/>
        </w:rPr>
        <w:t>Journal of Dental Research,</w:t>
      </w:r>
      <w:r w:rsidRPr="00787196">
        <w:rPr>
          <w:noProof/>
        </w:rPr>
        <w:t xml:space="preserve"> 86</w:t>
      </w:r>
      <w:r w:rsidRPr="00787196">
        <w:rPr>
          <w:b/>
          <w:noProof/>
        </w:rPr>
        <w:t>,</w:t>
      </w:r>
      <w:r w:rsidRPr="00787196">
        <w:rPr>
          <w:noProof/>
        </w:rPr>
        <w:t xml:space="preserve"> 992-996.</w:t>
      </w:r>
      <w:bookmarkEnd w:id="687"/>
    </w:p>
    <w:p w14:paraId="194DBC02" w14:textId="77777777" w:rsidR="00525DC8" w:rsidRPr="00787196" w:rsidRDefault="00525DC8" w:rsidP="00525DC8">
      <w:pPr>
        <w:pStyle w:val="EndNoteBibliography"/>
        <w:spacing w:after="240"/>
        <w:rPr>
          <w:noProof/>
        </w:rPr>
      </w:pPr>
      <w:bookmarkStart w:id="688" w:name="_ENREF_331"/>
      <w:r w:rsidRPr="00787196">
        <w:rPr>
          <w:noProof/>
        </w:rPr>
        <w:t xml:space="preserve">SABBAH, W., TSAKOS, G., SHEIHAM, A. &amp; WATT, R. G. 2009. The role of health-related behaviors in the socioeconomic disparities in oral health. </w:t>
      </w:r>
      <w:r w:rsidRPr="00787196">
        <w:rPr>
          <w:i/>
          <w:noProof/>
        </w:rPr>
        <w:t>Social Science &amp;amp; Medicine,</w:t>
      </w:r>
      <w:r w:rsidRPr="00787196">
        <w:rPr>
          <w:noProof/>
        </w:rPr>
        <w:t xml:space="preserve"> 68</w:t>
      </w:r>
      <w:r w:rsidRPr="00787196">
        <w:rPr>
          <w:b/>
          <w:noProof/>
        </w:rPr>
        <w:t>,</w:t>
      </w:r>
      <w:r w:rsidRPr="00787196">
        <w:rPr>
          <w:noProof/>
        </w:rPr>
        <w:t xml:space="preserve"> 298-303.</w:t>
      </w:r>
      <w:bookmarkEnd w:id="688"/>
    </w:p>
    <w:p w14:paraId="34E5F428" w14:textId="77777777" w:rsidR="00525DC8" w:rsidRPr="00787196" w:rsidRDefault="00525DC8" w:rsidP="00525DC8">
      <w:pPr>
        <w:pStyle w:val="EndNoteBibliography"/>
        <w:spacing w:after="240"/>
        <w:rPr>
          <w:noProof/>
        </w:rPr>
      </w:pPr>
      <w:bookmarkStart w:id="689" w:name="_ENREF_332"/>
      <w:r w:rsidRPr="00787196">
        <w:rPr>
          <w:noProof/>
        </w:rPr>
        <w:t xml:space="preserve">SACHS, E., ROSENFELD, B., LHEWA, D., RASMUSSEN, A. &amp; KELLER, A. 2008. Entering exile: Trauma, mental health, and coping among Tibetan refugees arriving in Dharamsala, India. </w:t>
      </w:r>
      <w:r w:rsidRPr="00787196">
        <w:rPr>
          <w:i/>
          <w:noProof/>
        </w:rPr>
        <w:t>Journal of traumatic stress,</w:t>
      </w:r>
      <w:r w:rsidRPr="00787196">
        <w:rPr>
          <w:noProof/>
        </w:rPr>
        <w:t xml:space="preserve"> 21</w:t>
      </w:r>
      <w:r w:rsidRPr="00787196">
        <w:rPr>
          <w:b/>
          <w:noProof/>
        </w:rPr>
        <w:t>,</w:t>
      </w:r>
      <w:r w:rsidRPr="00787196">
        <w:rPr>
          <w:noProof/>
        </w:rPr>
        <w:t xml:space="preserve"> 199-208.</w:t>
      </w:r>
      <w:bookmarkEnd w:id="689"/>
    </w:p>
    <w:p w14:paraId="110601AC" w14:textId="77777777" w:rsidR="00525DC8" w:rsidRPr="00787196" w:rsidRDefault="00525DC8" w:rsidP="00525DC8">
      <w:pPr>
        <w:pStyle w:val="EndNoteBibliography"/>
        <w:spacing w:after="240"/>
        <w:rPr>
          <w:noProof/>
        </w:rPr>
      </w:pPr>
      <w:bookmarkStart w:id="690" w:name="_ENREF_333"/>
      <w:r w:rsidRPr="00787196">
        <w:rPr>
          <w:noProof/>
        </w:rPr>
        <w:lastRenderedPageBreak/>
        <w:t>SAEGERT, S. C., ADLER, N. E., BULLOCK, H. E., CAUCE, A. M., LIU, W. M. &amp; WYCHE, K. F. 2007. Report of the APA Task Force on Socioeconomic Status. Washington, DC: American Psychological Association.</w:t>
      </w:r>
      <w:bookmarkEnd w:id="690"/>
    </w:p>
    <w:p w14:paraId="391F9258" w14:textId="77777777" w:rsidR="00525DC8" w:rsidRPr="00787196" w:rsidRDefault="00525DC8" w:rsidP="00525DC8">
      <w:pPr>
        <w:pStyle w:val="EndNoteBibliography"/>
        <w:spacing w:after="240"/>
        <w:rPr>
          <w:noProof/>
        </w:rPr>
      </w:pPr>
      <w:bookmarkStart w:id="691" w:name="_ENREF_334"/>
      <w:r w:rsidRPr="00787196">
        <w:rPr>
          <w:noProof/>
        </w:rPr>
        <w:t xml:space="preserve">SAMNIENG, P. &amp; LEKATANA, H. 2016. Oral health and quality of life among elderly in Thai. </w:t>
      </w:r>
      <w:r w:rsidRPr="00787196">
        <w:rPr>
          <w:i/>
          <w:noProof/>
        </w:rPr>
        <w:t>Journal of Dentistry Indonesia,</w:t>
      </w:r>
      <w:r w:rsidRPr="00787196">
        <w:rPr>
          <w:noProof/>
        </w:rPr>
        <w:t xml:space="preserve"> 23</w:t>
      </w:r>
      <w:r w:rsidRPr="00787196">
        <w:rPr>
          <w:b/>
          <w:noProof/>
        </w:rPr>
        <w:t>,</w:t>
      </w:r>
      <w:r w:rsidRPr="00787196">
        <w:rPr>
          <w:noProof/>
        </w:rPr>
        <w:t xml:space="preserve"> 40-47.</w:t>
      </w:r>
      <w:bookmarkEnd w:id="691"/>
    </w:p>
    <w:p w14:paraId="59184967" w14:textId="77777777" w:rsidR="00525DC8" w:rsidRPr="00787196" w:rsidRDefault="00525DC8" w:rsidP="00525DC8">
      <w:pPr>
        <w:pStyle w:val="EndNoteBibliography"/>
        <w:spacing w:after="240"/>
        <w:rPr>
          <w:noProof/>
        </w:rPr>
      </w:pPr>
      <w:bookmarkStart w:id="692" w:name="_ENREF_335"/>
      <w:r w:rsidRPr="00787196">
        <w:rPr>
          <w:noProof/>
        </w:rPr>
        <w:t xml:space="preserve">SANDERS, A. E. 2010. A Latino advantage in oral health-related quality of life is modified by nativity status. </w:t>
      </w:r>
      <w:r w:rsidRPr="00787196">
        <w:rPr>
          <w:i/>
          <w:noProof/>
        </w:rPr>
        <w:t>Social science &amp; medicine (1982),</w:t>
      </w:r>
      <w:r w:rsidRPr="00787196">
        <w:rPr>
          <w:noProof/>
        </w:rPr>
        <w:t xml:space="preserve"> 71</w:t>
      </w:r>
      <w:r w:rsidRPr="00787196">
        <w:rPr>
          <w:b/>
          <w:noProof/>
        </w:rPr>
        <w:t>,</w:t>
      </w:r>
      <w:r w:rsidRPr="00787196">
        <w:rPr>
          <w:noProof/>
        </w:rPr>
        <w:t xml:space="preserve"> 205-11.</w:t>
      </w:r>
      <w:bookmarkEnd w:id="692"/>
    </w:p>
    <w:p w14:paraId="03F51FF1" w14:textId="77777777" w:rsidR="00525DC8" w:rsidRPr="00787196" w:rsidRDefault="00525DC8" w:rsidP="00525DC8">
      <w:pPr>
        <w:pStyle w:val="EndNoteBibliography"/>
        <w:spacing w:after="240"/>
        <w:rPr>
          <w:noProof/>
        </w:rPr>
      </w:pPr>
      <w:bookmarkStart w:id="693" w:name="_ENREF_336"/>
      <w:r w:rsidRPr="00787196">
        <w:rPr>
          <w:noProof/>
        </w:rPr>
        <w:t xml:space="preserve">SANDERS, A. E., SLADE, G. D., CARTER, K. D. &amp; STEWART, J. F. 2004a. Trends in prevalence of complete tooth loss among Australians, 1979--2002. </w:t>
      </w:r>
      <w:r w:rsidRPr="00787196">
        <w:rPr>
          <w:i/>
          <w:noProof/>
        </w:rPr>
        <w:t>Aust N Z J Public Health,</w:t>
      </w:r>
      <w:r w:rsidRPr="00787196">
        <w:rPr>
          <w:noProof/>
        </w:rPr>
        <w:t xml:space="preserve"> 28</w:t>
      </w:r>
      <w:r w:rsidRPr="00787196">
        <w:rPr>
          <w:b/>
          <w:noProof/>
        </w:rPr>
        <w:t>,</w:t>
      </w:r>
      <w:r w:rsidRPr="00787196">
        <w:rPr>
          <w:noProof/>
        </w:rPr>
        <w:t xml:space="preserve"> 549-54.</w:t>
      </w:r>
      <w:bookmarkEnd w:id="693"/>
    </w:p>
    <w:p w14:paraId="3BE7B68F" w14:textId="77777777" w:rsidR="00525DC8" w:rsidRPr="00787196" w:rsidRDefault="00525DC8" w:rsidP="00525DC8">
      <w:pPr>
        <w:pStyle w:val="EndNoteBibliography"/>
        <w:spacing w:after="240"/>
        <w:rPr>
          <w:noProof/>
        </w:rPr>
      </w:pPr>
      <w:bookmarkStart w:id="694" w:name="_ENREF_337"/>
      <w:r w:rsidRPr="00787196">
        <w:rPr>
          <w:noProof/>
        </w:rPr>
        <w:t xml:space="preserve">SANDERS, A. E., SLADE, G. D., JOHN, M. T., STEELE, J. G., SUOMINEN-TAIPALE, A. L., LAHTI, S., NUTTALL, N. M. &amp; ALLEN, P. F. 2009. A cross-national comparison of income gradients in oral health quality of life in four welfare states: application of the Korpi and Palme typology. </w:t>
      </w:r>
      <w:r w:rsidRPr="00787196">
        <w:rPr>
          <w:i/>
          <w:noProof/>
        </w:rPr>
        <w:t>Journal of Epidemiology and Community Health,</w:t>
      </w:r>
      <w:r w:rsidRPr="00787196">
        <w:rPr>
          <w:noProof/>
        </w:rPr>
        <w:t xml:space="preserve"> 63</w:t>
      </w:r>
      <w:r w:rsidRPr="00787196">
        <w:rPr>
          <w:b/>
          <w:noProof/>
        </w:rPr>
        <w:t>,</w:t>
      </w:r>
      <w:r w:rsidRPr="00787196">
        <w:rPr>
          <w:noProof/>
        </w:rPr>
        <w:t xml:space="preserve"> 569-574.</w:t>
      </w:r>
      <w:bookmarkEnd w:id="694"/>
    </w:p>
    <w:p w14:paraId="4BBDE3CD" w14:textId="77777777" w:rsidR="00525DC8" w:rsidRPr="00787196" w:rsidRDefault="00525DC8" w:rsidP="00525DC8">
      <w:pPr>
        <w:pStyle w:val="EndNoteBibliography"/>
        <w:spacing w:after="240"/>
        <w:rPr>
          <w:noProof/>
        </w:rPr>
      </w:pPr>
      <w:bookmarkStart w:id="695" w:name="_ENREF_338"/>
      <w:r w:rsidRPr="00787196">
        <w:rPr>
          <w:noProof/>
        </w:rPr>
        <w:t xml:space="preserve">SANDERS, A. E., SLADE, G. D., TURRELL, G., JOHN SPENCER, A. &amp; MARCENES, W. 2006a. The shape of the socioeconomic–oral health gradient: implications for theoretical explanations. </w:t>
      </w:r>
      <w:r w:rsidRPr="00787196">
        <w:rPr>
          <w:i/>
          <w:noProof/>
        </w:rPr>
        <w:t>Community Dentistry and Oral Epidemiology,</w:t>
      </w:r>
      <w:r w:rsidRPr="00787196">
        <w:rPr>
          <w:noProof/>
        </w:rPr>
        <w:t xml:space="preserve"> 34</w:t>
      </w:r>
      <w:r w:rsidRPr="00787196">
        <w:rPr>
          <w:b/>
          <w:noProof/>
        </w:rPr>
        <w:t>,</w:t>
      </w:r>
      <w:r w:rsidRPr="00787196">
        <w:rPr>
          <w:noProof/>
        </w:rPr>
        <w:t xml:space="preserve"> 310-319.</w:t>
      </w:r>
      <w:bookmarkEnd w:id="695"/>
    </w:p>
    <w:p w14:paraId="778650E3" w14:textId="77777777" w:rsidR="00525DC8" w:rsidRPr="00787196" w:rsidRDefault="00525DC8" w:rsidP="00525DC8">
      <w:pPr>
        <w:pStyle w:val="EndNoteBibliography"/>
        <w:spacing w:after="240"/>
        <w:rPr>
          <w:noProof/>
        </w:rPr>
      </w:pPr>
      <w:bookmarkStart w:id="696" w:name="_ENREF_339"/>
      <w:r w:rsidRPr="00787196">
        <w:rPr>
          <w:noProof/>
        </w:rPr>
        <w:t xml:space="preserve">SANDERS, A. E. &amp; SPENCER, A. J. 2005. Why do poor adults rate their oral health poorly? </w:t>
      </w:r>
      <w:r w:rsidRPr="00787196">
        <w:rPr>
          <w:i/>
          <w:noProof/>
        </w:rPr>
        <w:t>Australian Dental Journal,</w:t>
      </w:r>
      <w:r w:rsidRPr="00787196">
        <w:rPr>
          <w:noProof/>
        </w:rPr>
        <w:t xml:space="preserve"> 50</w:t>
      </w:r>
      <w:r w:rsidRPr="00787196">
        <w:rPr>
          <w:b/>
          <w:noProof/>
        </w:rPr>
        <w:t>,</w:t>
      </w:r>
      <w:r w:rsidRPr="00787196">
        <w:rPr>
          <w:noProof/>
        </w:rPr>
        <w:t xml:space="preserve"> 161-167.</w:t>
      </w:r>
      <w:bookmarkEnd w:id="696"/>
    </w:p>
    <w:p w14:paraId="36197B13" w14:textId="77777777" w:rsidR="00525DC8" w:rsidRPr="00787196" w:rsidRDefault="00525DC8" w:rsidP="00525DC8">
      <w:pPr>
        <w:pStyle w:val="EndNoteBibliography"/>
        <w:spacing w:after="240"/>
        <w:rPr>
          <w:noProof/>
        </w:rPr>
      </w:pPr>
      <w:bookmarkStart w:id="697" w:name="_ENREF_340"/>
      <w:r w:rsidRPr="00787196">
        <w:rPr>
          <w:noProof/>
        </w:rPr>
        <w:t xml:space="preserve">SANDERS, A. E., SPENCER, A. J., SANDERS, A. E. &amp; SPENCER, A. J. 2004b. Social inequality in perceived oral health among adults in Australia. </w:t>
      </w:r>
      <w:r w:rsidRPr="00787196">
        <w:rPr>
          <w:i/>
          <w:noProof/>
        </w:rPr>
        <w:t>Australian &amp; New Zealand Journal of Public Health,</w:t>
      </w:r>
      <w:r w:rsidRPr="00787196">
        <w:rPr>
          <w:noProof/>
        </w:rPr>
        <w:t xml:space="preserve"> 28</w:t>
      </w:r>
      <w:r w:rsidRPr="00787196">
        <w:rPr>
          <w:b/>
          <w:noProof/>
        </w:rPr>
        <w:t>,</w:t>
      </w:r>
      <w:r w:rsidRPr="00787196">
        <w:rPr>
          <w:noProof/>
        </w:rPr>
        <w:t xml:space="preserve"> 159-66.</w:t>
      </w:r>
      <w:bookmarkEnd w:id="697"/>
    </w:p>
    <w:p w14:paraId="40E3A4D9" w14:textId="77777777" w:rsidR="00525DC8" w:rsidRPr="00787196" w:rsidRDefault="00525DC8" w:rsidP="00525DC8">
      <w:pPr>
        <w:pStyle w:val="EndNoteBibliography"/>
        <w:spacing w:after="240"/>
        <w:rPr>
          <w:noProof/>
        </w:rPr>
      </w:pPr>
      <w:bookmarkStart w:id="698" w:name="_ENREF_341"/>
      <w:r w:rsidRPr="00787196">
        <w:rPr>
          <w:noProof/>
        </w:rPr>
        <w:t xml:space="preserve">SANDERS, A. E., SPENCER, A. J. &amp; SLADE, G. D. 2006b. Evaluating the role of dental behaviour in oral health inequalities. </w:t>
      </w:r>
      <w:r w:rsidRPr="00787196">
        <w:rPr>
          <w:i/>
          <w:noProof/>
        </w:rPr>
        <w:t>Community Dent Oral Epidemiol,</w:t>
      </w:r>
      <w:r w:rsidRPr="00787196">
        <w:rPr>
          <w:noProof/>
        </w:rPr>
        <w:t xml:space="preserve"> 34</w:t>
      </w:r>
      <w:r w:rsidRPr="00787196">
        <w:rPr>
          <w:b/>
          <w:noProof/>
        </w:rPr>
        <w:t>,</w:t>
      </w:r>
      <w:r w:rsidRPr="00787196">
        <w:rPr>
          <w:noProof/>
        </w:rPr>
        <w:t xml:space="preserve"> 71-9.</w:t>
      </w:r>
      <w:bookmarkEnd w:id="698"/>
    </w:p>
    <w:p w14:paraId="166DF643" w14:textId="77777777" w:rsidR="00525DC8" w:rsidRPr="00787196" w:rsidRDefault="00525DC8" w:rsidP="00525DC8">
      <w:pPr>
        <w:pStyle w:val="EndNoteBibliography"/>
        <w:spacing w:after="240"/>
        <w:rPr>
          <w:noProof/>
        </w:rPr>
      </w:pPr>
      <w:bookmarkStart w:id="699" w:name="_ENREF_342"/>
      <w:r w:rsidRPr="00787196">
        <w:rPr>
          <w:noProof/>
        </w:rPr>
        <w:t xml:space="preserve">SARKISIAN, C. A., HAYS, R. D., BERRY, S. &amp; MANGIONE, C. M. 2002a. Development, reliability, and validity of the expectations regarding aging (ERA-38) survey. </w:t>
      </w:r>
      <w:r w:rsidRPr="00787196">
        <w:rPr>
          <w:i/>
          <w:noProof/>
        </w:rPr>
        <w:t>The Gerontologist,</w:t>
      </w:r>
      <w:r w:rsidRPr="00787196">
        <w:rPr>
          <w:noProof/>
        </w:rPr>
        <w:t xml:space="preserve"> 42</w:t>
      </w:r>
      <w:r w:rsidRPr="00787196">
        <w:rPr>
          <w:b/>
          <w:noProof/>
        </w:rPr>
        <w:t>,</w:t>
      </w:r>
      <w:r w:rsidRPr="00787196">
        <w:rPr>
          <w:noProof/>
        </w:rPr>
        <w:t xml:space="preserve"> 534-542.</w:t>
      </w:r>
      <w:bookmarkEnd w:id="699"/>
    </w:p>
    <w:p w14:paraId="75F20710" w14:textId="77777777" w:rsidR="00525DC8" w:rsidRPr="00787196" w:rsidRDefault="00525DC8" w:rsidP="00525DC8">
      <w:pPr>
        <w:pStyle w:val="EndNoteBibliography"/>
        <w:spacing w:after="240"/>
        <w:rPr>
          <w:noProof/>
        </w:rPr>
      </w:pPr>
      <w:bookmarkStart w:id="700" w:name="_ENREF_343"/>
      <w:r w:rsidRPr="00787196">
        <w:rPr>
          <w:noProof/>
        </w:rPr>
        <w:t xml:space="preserve">SARKISIAN, C. A., HAYS, R. D., BERRY, S. H. &amp; MANGIONE, C. M. 2001. Expectations regarding aging among older adults and physicians who care for older adults. </w:t>
      </w:r>
      <w:r w:rsidRPr="00787196">
        <w:rPr>
          <w:i/>
          <w:noProof/>
        </w:rPr>
        <w:t>Medical care</w:t>
      </w:r>
      <w:r w:rsidRPr="00787196">
        <w:rPr>
          <w:b/>
          <w:noProof/>
        </w:rPr>
        <w:t>,</w:t>
      </w:r>
      <w:r w:rsidRPr="00787196">
        <w:rPr>
          <w:noProof/>
        </w:rPr>
        <w:t xml:space="preserve"> 1025-1036.</w:t>
      </w:r>
      <w:bookmarkEnd w:id="700"/>
    </w:p>
    <w:p w14:paraId="560C4E71" w14:textId="77777777" w:rsidR="00525DC8" w:rsidRPr="00787196" w:rsidRDefault="00525DC8" w:rsidP="00525DC8">
      <w:pPr>
        <w:pStyle w:val="EndNoteBibliography"/>
        <w:spacing w:after="240"/>
        <w:rPr>
          <w:noProof/>
        </w:rPr>
      </w:pPr>
      <w:bookmarkStart w:id="701" w:name="_ENREF_344"/>
      <w:r w:rsidRPr="00787196">
        <w:rPr>
          <w:noProof/>
        </w:rPr>
        <w:lastRenderedPageBreak/>
        <w:t xml:space="preserve">SARKISIAN, C. A., HAYS, R. D. &amp; MANGIONE, C. M. 2002b. Do older adults expect to age successfully? The association between expectations regarding aging and beliefs regarding healthcare seeking among older adults. </w:t>
      </w:r>
      <w:r w:rsidRPr="00787196">
        <w:rPr>
          <w:i/>
          <w:noProof/>
        </w:rPr>
        <w:t>Journal of the American Geriatrics Society,</w:t>
      </w:r>
      <w:r w:rsidRPr="00787196">
        <w:rPr>
          <w:noProof/>
        </w:rPr>
        <w:t xml:space="preserve"> 50</w:t>
      </w:r>
      <w:r w:rsidRPr="00787196">
        <w:rPr>
          <w:b/>
          <w:noProof/>
        </w:rPr>
        <w:t>,</w:t>
      </w:r>
      <w:r w:rsidRPr="00787196">
        <w:rPr>
          <w:noProof/>
        </w:rPr>
        <w:t xml:space="preserve"> 1837-1843.</w:t>
      </w:r>
      <w:bookmarkEnd w:id="701"/>
    </w:p>
    <w:p w14:paraId="678313F2" w14:textId="77777777" w:rsidR="00525DC8" w:rsidRPr="00787196" w:rsidRDefault="00525DC8" w:rsidP="00525DC8">
      <w:pPr>
        <w:pStyle w:val="EndNoteBibliography"/>
        <w:spacing w:after="240"/>
        <w:rPr>
          <w:noProof/>
        </w:rPr>
      </w:pPr>
      <w:bookmarkStart w:id="702" w:name="_ENREF_345"/>
      <w:r w:rsidRPr="00787196">
        <w:rPr>
          <w:noProof/>
        </w:rPr>
        <w:t xml:space="preserve">SARKISIAN, C. A., STEERS, W. N., HAYS, R. D. &amp; MANGIONE, C. M. 2005. Development of the 12-item expectations regarding aging survey. </w:t>
      </w:r>
      <w:r w:rsidRPr="00787196">
        <w:rPr>
          <w:i/>
          <w:noProof/>
        </w:rPr>
        <w:t>The Gerontologist,</w:t>
      </w:r>
      <w:r w:rsidRPr="00787196">
        <w:rPr>
          <w:noProof/>
        </w:rPr>
        <w:t xml:space="preserve"> 45</w:t>
      </w:r>
      <w:r w:rsidRPr="00787196">
        <w:rPr>
          <w:b/>
          <w:noProof/>
        </w:rPr>
        <w:t>,</w:t>
      </w:r>
      <w:r w:rsidRPr="00787196">
        <w:rPr>
          <w:noProof/>
        </w:rPr>
        <w:t xml:space="preserve"> 240-248.</w:t>
      </w:r>
      <w:bookmarkEnd w:id="702"/>
    </w:p>
    <w:p w14:paraId="2E41F2B1" w14:textId="77777777" w:rsidR="00525DC8" w:rsidRPr="00787196" w:rsidRDefault="00525DC8" w:rsidP="00525DC8">
      <w:pPr>
        <w:pStyle w:val="EndNoteBibliography"/>
        <w:spacing w:after="240"/>
        <w:rPr>
          <w:noProof/>
        </w:rPr>
      </w:pPr>
      <w:bookmarkStart w:id="703" w:name="_ENREF_346"/>
      <w:r w:rsidRPr="00787196">
        <w:rPr>
          <w:noProof/>
        </w:rPr>
        <w:t xml:space="preserve">SATO, Y., HAMADA, S., AKAGAWA, Y. &amp; TSUGA, K. 2000. A method for quantifying overall satisfaction of complete denture patients. </w:t>
      </w:r>
      <w:r w:rsidRPr="00787196">
        <w:rPr>
          <w:i/>
          <w:noProof/>
        </w:rPr>
        <w:t>Journal of Oral Rehabilitation,</w:t>
      </w:r>
      <w:r w:rsidRPr="00787196">
        <w:rPr>
          <w:noProof/>
        </w:rPr>
        <w:t xml:space="preserve"> 27</w:t>
      </w:r>
      <w:r w:rsidRPr="00787196">
        <w:rPr>
          <w:b/>
          <w:noProof/>
        </w:rPr>
        <w:t>,</w:t>
      </w:r>
      <w:r w:rsidRPr="00787196">
        <w:rPr>
          <w:noProof/>
        </w:rPr>
        <w:t xml:space="preserve"> 952-957.</w:t>
      </w:r>
      <w:bookmarkEnd w:id="703"/>
    </w:p>
    <w:p w14:paraId="5E4B042F" w14:textId="77777777" w:rsidR="00525DC8" w:rsidRPr="00787196" w:rsidRDefault="00525DC8" w:rsidP="00525DC8">
      <w:pPr>
        <w:pStyle w:val="EndNoteBibliography"/>
        <w:spacing w:after="240"/>
        <w:rPr>
          <w:noProof/>
        </w:rPr>
      </w:pPr>
      <w:bookmarkStart w:id="704" w:name="_ENREF_347"/>
      <w:r w:rsidRPr="00787196">
        <w:rPr>
          <w:noProof/>
        </w:rPr>
        <w:t xml:space="preserve">SATYAPRIYA, M., NAGENDRA, H. R., NAGARATHNA, R. &amp; PADMALATHA, V. 2009. Effect of integrated yoga on stress and heart rate variability in pregnant women. </w:t>
      </w:r>
      <w:r w:rsidRPr="00787196">
        <w:rPr>
          <w:i/>
          <w:noProof/>
        </w:rPr>
        <w:t>International Journal of Gynecology &amp;amp; Obstetrics,</w:t>
      </w:r>
      <w:r w:rsidRPr="00787196">
        <w:rPr>
          <w:noProof/>
        </w:rPr>
        <w:t xml:space="preserve"> 104</w:t>
      </w:r>
      <w:r w:rsidRPr="00787196">
        <w:rPr>
          <w:b/>
          <w:noProof/>
        </w:rPr>
        <w:t>,</w:t>
      </w:r>
      <w:r w:rsidRPr="00787196">
        <w:rPr>
          <w:noProof/>
        </w:rPr>
        <w:t xml:space="preserve"> 218-222.</w:t>
      </w:r>
      <w:bookmarkEnd w:id="704"/>
    </w:p>
    <w:p w14:paraId="33AC941D" w14:textId="77777777" w:rsidR="00525DC8" w:rsidRPr="00787196" w:rsidRDefault="00525DC8" w:rsidP="00525DC8">
      <w:pPr>
        <w:pStyle w:val="EndNoteBibliography"/>
        <w:spacing w:after="240"/>
        <w:rPr>
          <w:noProof/>
        </w:rPr>
      </w:pPr>
      <w:bookmarkStart w:id="705" w:name="_ENREF_348"/>
      <w:r w:rsidRPr="00787196">
        <w:rPr>
          <w:noProof/>
        </w:rPr>
        <w:t xml:space="preserve">SAUB, R., LOCKER, D., SAUB, R. &amp; LOCKER, D. 2006. The impact of oral conditions on the quality of life of the Malaysian adult population: preliminary results. </w:t>
      </w:r>
      <w:r w:rsidRPr="00787196">
        <w:rPr>
          <w:i/>
          <w:noProof/>
        </w:rPr>
        <w:t>Medical Journal of Malaysia,</w:t>
      </w:r>
      <w:r w:rsidRPr="00787196">
        <w:rPr>
          <w:noProof/>
        </w:rPr>
        <w:t xml:space="preserve"> 61</w:t>
      </w:r>
      <w:r w:rsidRPr="00787196">
        <w:rPr>
          <w:b/>
          <w:noProof/>
        </w:rPr>
        <w:t>,</w:t>
      </w:r>
      <w:r w:rsidRPr="00787196">
        <w:rPr>
          <w:noProof/>
        </w:rPr>
        <w:t xml:space="preserve"> 438-46.</w:t>
      </w:r>
      <w:bookmarkEnd w:id="705"/>
    </w:p>
    <w:p w14:paraId="38016435" w14:textId="77777777" w:rsidR="00525DC8" w:rsidRPr="00787196" w:rsidRDefault="00525DC8" w:rsidP="00525DC8">
      <w:pPr>
        <w:pStyle w:val="EndNoteBibliography"/>
        <w:spacing w:after="240"/>
        <w:rPr>
          <w:noProof/>
        </w:rPr>
      </w:pPr>
      <w:bookmarkStart w:id="706" w:name="_ENREF_349"/>
      <w:r w:rsidRPr="00787196">
        <w:rPr>
          <w:noProof/>
        </w:rPr>
        <w:t xml:space="preserve">SAWYER, M. G., WHITHAM, J. N., ROBERTON, D. M., TAPLIN, J. E., VARNI, J. W. &amp; BAGHURST, P. A. 2004. The relationship between health-related quality of life, pain and coping strategies in juvenile idiopathic arthritis. </w:t>
      </w:r>
      <w:r w:rsidRPr="00787196">
        <w:rPr>
          <w:i/>
          <w:noProof/>
        </w:rPr>
        <w:t>Rheumatology,</w:t>
      </w:r>
      <w:r w:rsidRPr="00787196">
        <w:rPr>
          <w:noProof/>
        </w:rPr>
        <w:t xml:space="preserve"> 43</w:t>
      </w:r>
      <w:r w:rsidRPr="00787196">
        <w:rPr>
          <w:b/>
          <w:noProof/>
        </w:rPr>
        <w:t>,</w:t>
      </w:r>
      <w:r w:rsidRPr="00787196">
        <w:rPr>
          <w:noProof/>
        </w:rPr>
        <w:t xml:space="preserve"> 325-330.</w:t>
      </w:r>
      <w:bookmarkEnd w:id="706"/>
    </w:p>
    <w:p w14:paraId="381036F1" w14:textId="77777777" w:rsidR="00525DC8" w:rsidRPr="00787196" w:rsidRDefault="00525DC8" w:rsidP="00525DC8">
      <w:pPr>
        <w:pStyle w:val="EndNoteBibliography"/>
        <w:spacing w:after="240"/>
        <w:rPr>
          <w:noProof/>
        </w:rPr>
      </w:pPr>
      <w:bookmarkStart w:id="707" w:name="_ENREF_350"/>
      <w:r w:rsidRPr="00787196">
        <w:rPr>
          <w:noProof/>
        </w:rPr>
        <w:t xml:space="preserve">SCHMIDT, S. &amp; BULLINGER, M. 2003. Current issues in cross-cultural quality of life instrument development. </w:t>
      </w:r>
      <w:r w:rsidRPr="00787196">
        <w:rPr>
          <w:i/>
          <w:noProof/>
        </w:rPr>
        <w:t>Archives of Physical Medicine and Rehabilitation,</w:t>
      </w:r>
      <w:r w:rsidRPr="00787196">
        <w:rPr>
          <w:noProof/>
        </w:rPr>
        <w:t xml:space="preserve"> 84</w:t>
      </w:r>
      <w:r w:rsidRPr="00787196">
        <w:rPr>
          <w:b/>
          <w:noProof/>
        </w:rPr>
        <w:t>,</w:t>
      </w:r>
      <w:r w:rsidRPr="00787196">
        <w:rPr>
          <w:noProof/>
        </w:rPr>
        <w:t xml:space="preserve"> S29-S34.</w:t>
      </w:r>
      <w:bookmarkEnd w:id="707"/>
    </w:p>
    <w:p w14:paraId="5F6C9081" w14:textId="77777777" w:rsidR="00525DC8" w:rsidRPr="00787196" w:rsidRDefault="00525DC8" w:rsidP="00525DC8">
      <w:pPr>
        <w:pStyle w:val="EndNoteBibliography"/>
        <w:spacing w:after="240"/>
        <w:rPr>
          <w:noProof/>
        </w:rPr>
      </w:pPr>
      <w:bookmarkStart w:id="708" w:name="_ENREF_351"/>
      <w:r w:rsidRPr="00787196">
        <w:rPr>
          <w:noProof/>
        </w:rPr>
        <w:t xml:space="preserve">SCHNOLL, R. A., HARLOW, L. L., STOLBACH, L. L. &amp; BRANDT, U. 1998. A structural model of the relationships among stage of disease, age, coping, and psychological adjustment in women with breast cancer. </w:t>
      </w:r>
      <w:r w:rsidRPr="00787196">
        <w:rPr>
          <w:i/>
          <w:noProof/>
        </w:rPr>
        <w:t>Psychooncology,</w:t>
      </w:r>
      <w:r w:rsidRPr="00787196">
        <w:rPr>
          <w:noProof/>
        </w:rPr>
        <w:t xml:space="preserve"> 7</w:t>
      </w:r>
      <w:r w:rsidRPr="00787196">
        <w:rPr>
          <w:b/>
          <w:noProof/>
        </w:rPr>
        <w:t>,</w:t>
      </w:r>
      <w:r w:rsidRPr="00787196">
        <w:rPr>
          <w:noProof/>
        </w:rPr>
        <w:t xml:space="preserve"> 69-77.</w:t>
      </w:r>
      <w:bookmarkEnd w:id="708"/>
    </w:p>
    <w:p w14:paraId="4466B571" w14:textId="77777777" w:rsidR="00525DC8" w:rsidRPr="00787196" w:rsidRDefault="00525DC8" w:rsidP="00525DC8">
      <w:pPr>
        <w:pStyle w:val="EndNoteBibliography"/>
        <w:spacing w:after="240"/>
        <w:rPr>
          <w:noProof/>
        </w:rPr>
      </w:pPr>
      <w:bookmarkStart w:id="709" w:name="_ENREF_352"/>
      <w:r w:rsidRPr="00787196">
        <w:rPr>
          <w:noProof/>
        </w:rPr>
        <w:t xml:space="preserve">SCHROOTS, J. J. F. 1996. Theoretical developments in the psychology of aging. </w:t>
      </w:r>
      <w:r w:rsidRPr="00787196">
        <w:rPr>
          <w:i/>
          <w:noProof/>
        </w:rPr>
        <w:t>The Gerontologist,</w:t>
      </w:r>
      <w:r w:rsidRPr="00787196">
        <w:rPr>
          <w:noProof/>
        </w:rPr>
        <w:t xml:space="preserve"> 36</w:t>
      </w:r>
      <w:r w:rsidRPr="00787196">
        <w:rPr>
          <w:b/>
          <w:noProof/>
        </w:rPr>
        <w:t>,</w:t>
      </w:r>
      <w:r w:rsidRPr="00787196">
        <w:rPr>
          <w:noProof/>
        </w:rPr>
        <w:t xml:space="preserve"> 742-748.</w:t>
      </w:r>
      <w:bookmarkEnd w:id="709"/>
    </w:p>
    <w:p w14:paraId="29CA00C2" w14:textId="77777777" w:rsidR="00525DC8" w:rsidRPr="00787196" w:rsidRDefault="00525DC8" w:rsidP="00525DC8">
      <w:pPr>
        <w:pStyle w:val="EndNoteBibliography"/>
        <w:spacing w:after="240"/>
        <w:rPr>
          <w:noProof/>
        </w:rPr>
      </w:pPr>
      <w:bookmarkStart w:id="710" w:name="_ENREF_353"/>
      <w:r w:rsidRPr="00787196">
        <w:rPr>
          <w:noProof/>
        </w:rPr>
        <w:t xml:space="preserve">SCHULTZ, A. W. 1951. Comfort and chewing efficiency in dentures. </w:t>
      </w:r>
      <w:r w:rsidRPr="00787196">
        <w:rPr>
          <w:i/>
          <w:noProof/>
        </w:rPr>
        <w:t>The Journal of Prosthetic Dentistry,</w:t>
      </w:r>
      <w:r w:rsidRPr="00787196">
        <w:rPr>
          <w:noProof/>
        </w:rPr>
        <w:t xml:space="preserve"> 1</w:t>
      </w:r>
      <w:r w:rsidRPr="00787196">
        <w:rPr>
          <w:b/>
          <w:noProof/>
        </w:rPr>
        <w:t>,</w:t>
      </w:r>
      <w:r w:rsidRPr="00787196">
        <w:rPr>
          <w:noProof/>
        </w:rPr>
        <w:t xml:space="preserve"> 38-48.</w:t>
      </w:r>
      <w:bookmarkEnd w:id="710"/>
    </w:p>
    <w:p w14:paraId="2423AF08" w14:textId="77777777" w:rsidR="00525DC8" w:rsidRPr="00787196" w:rsidRDefault="00525DC8" w:rsidP="00525DC8">
      <w:pPr>
        <w:pStyle w:val="EndNoteBibliography"/>
        <w:spacing w:after="240"/>
        <w:rPr>
          <w:noProof/>
        </w:rPr>
      </w:pPr>
      <w:bookmarkStart w:id="711" w:name="_ENREF_354"/>
      <w:r w:rsidRPr="00787196">
        <w:rPr>
          <w:noProof/>
        </w:rPr>
        <w:t>SCHWARZER, R. 2001. Stress, resources, and proactive coping.</w:t>
      </w:r>
      <w:bookmarkEnd w:id="711"/>
    </w:p>
    <w:p w14:paraId="685249BB" w14:textId="77777777" w:rsidR="00525DC8" w:rsidRPr="00787196" w:rsidRDefault="00525DC8" w:rsidP="00525DC8">
      <w:pPr>
        <w:pStyle w:val="EndNoteBibliography"/>
        <w:spacing w:after="240"/>
        <w:rPr>
          <w:noProof/>
        </w:rPr>
      </w:pPr>
      <w:bookmarkStart w:id="712" w:name="_ENREF_355"/>
      <w:r w:rsidRPr="00787196">
        <w:rPr>
          <w:rFonts w:hint="eastAsia"/>
          <w:noProof/>
        </w:rPr>
        <w:lastRenderedPageBreak/>
        <w:t>SEGÙ, M., COLLESANO, V., LOBBIA, S. &amp; REZZANI, C. 2005. Cross</w:t>
      </w:r>
      <w:r w:rsidRPr="00787196">
        <w:rPr>
          <w:rFonts w:hint="eastAsia"/>
          <w:noProof/>
        </w:rPr>
        <w:t>‐</w:t>
      </w:r>
      <w:r w:rsidRPr="00787196">
        <w:rPr>
          <w:rFonts w:hint="eastAsia"/>
          <w:noProof/>
        </w:rPr>
        <w:t xml:space="preserve">cultural validation of a short form of the Oral Health Impact Profile for temporomandibular disorders. </w:t>
      </w:r>
      <w:r w:rsidRPr="00787196">
        <w:rPr>
          <w:rFonts w:hint="eastAsia"/>
          <w:i/>
          <w:noProof/>
        </w:rPr>
        <w:t>Community dent</w:t>
      </w:r>
      <w:r w:rsidRPr="00787196">
        <w:rPr>
          <w:i/>
          <w:noProof/>
        </w:rPr>
        <w:t>istry and oral epidemiology,</w:t>
      </w:r>
      <w:r w:rsidRPr="00787196">
        <w:rPr>
          <w:noProof/>
        </w:rPr>
        <w:t xml:space="preserve"> 33</w:t>
      </w:r>
      <w:r w:rsidRPr="00787196">
        <w:rPr>
          <w:b/>
          <w:noProof/>
        </w:rPr>
        <w:t>,</w:t>
      </w:r>
      <w:r w:rsidRPr="00787196">
        <w:rPr>
          <w:noProof/>
        </w:rPr>
        <w:t xml:space="preserve"> 125-130.</w:t>
      </w:r>
      <w:bookmarkEnd w:id="712"/>
    </w:p>
    <w:p w14:paraId="29DFEEA1" w14:textId="77777777" w:rsidR="00525DC8" w:rsidRPr="00787196" w:rsidRDefault="00525DC8" w:rsidP="00525DC8">
      <w:pPr>
        <w:pStyle w:val="EndNoteBibliography"/>
        <w:spacing w:after="240"/>
        <w:rPr>
          <w:noProof/>
        </w:rPr>
      </w:pPr>
      <w:bookmarkStart w:id="713" w:name="_ENREF_356"/>
      <w:r w:rsidRPr="00787196">
        <w:rPr>
          <w:noProof/>
        </w:rPr>
        <w:t xml:space="preserve">SELYE, H. 1956. </w:t>
      </w:r>
      <w:r w:rsidRPr="00787196">
        <w:rPr>
          <w:i/>
          <w:noProof/>
        </w:rPr>
        <w:t>The stress of life</w:t>
      </w:r>
      <w:r w:rsidRPr="00787196">
        <w:rPr>
          <w:noProof/>
        </w:rPr>
        <w:t>, McGraw-Hill.</w:t>
      </w:r>
      <w:bookmarkEnd w:id="713"/>
    </w:p>
    <w:p w14:paraId="62B897D5" w14:textId="77777777" w:rsidR="00525DC8" w:rsidRPr="00787196" w:rsidRDefault="00525DC8" w:rsidP="00525DC8">
      <w:pPr>
        <w:pStyle w:val="EndNoteBibliography"/>
        <w:spacing w:after="240"/>
        <w:rPr>
          <w:noProof/>
        </w:rPr>
      </w:pPr>
      <w:bookmarkStart w:id="714" w:name="_ENREF_357"/>
      <w:r w:rsidRPr="00787196">
        <w:rPr>
          <w:noProof/>
        </w:rPr>
        <w:t xml:space="preserve">SHEIHAM, A., ALEXANDER, D., COHEN, L., MARINHO, V., MOYSÃ©S, S., PETERSEN, P. E., SPENCER, J., WATT, R. G. &amp; WEYANT, R. 2011. Global Oral Health Inequalities. </w:t>
      </w:r>
      <w:r w:rsidRPr="00787196">
        <w:rPr>
          <w:i/>
          <w:noProof/>
        </w:rPr>
        <w:t>Advances in Dental Research,</w:t>
      </w:r>
      <w:r w:rsidRPr="00787196">
        <w:rPr>
          <w:noProof/>
        </w:rPr>
        <w:t xml:space="preserve"> 23</w:t>
      </w:r>
      <w:r w:rsidRPr="00787196">
        <w:rPr>
          <w:b/>
          <w:noProof/>
        </w:rPr>
        <w:t>,</w:t>
      </w:r>
      <w:r w:rsidRPr="00787196">
        <w:rPr>
          <w:noProof/>
        </w:rPr>
        <w:t xml:space="preserve"> 259-267.</w:t>
      </w:r>
      <w:bookmarkEnd w:id="714"/>
    </w:p>
    <w:p w14:paraId="14A40323" w14:textId="77777777" w:rsidR="00525DC8" w:rsidRPr="00787196" w:rsidRDefault="00525DC8" w:rsidP="00525DC8">
      <w:pPr>
        <w:pStyle w:val="EndNoteBibliography"/>
        <w:spacing w:after="240"/>
        <w:rPr>
          <w:noProof/>
        </w:rPr>
      </w:pPr>
      <w:bookmarkStart w:id="715" w:name="_ENREF_358"/>
      <w:r w:rsidRPr="00787196">
        <w:rPr>
          <w:noProof/>
        </w:rPr>
        <w:t xml:space="preserve">SHEIHAM, A., MAIZELS, J. E. &amp; CUSHING, A. M. 1982. The concept of need in dental care. </w:t>
      </w:r>
      <w:r w:rsidRPr="00787196">
        <w:rPr>
          <w:i/>
          <w:noProof/>
        </w:rPr>
        <w:t>International dental journal,</w:t>
      </w:r>
      <w:r w:rsidRPr="00787196">
        <w:rPr>
          <w:noProof/>
        </w:rPr>
        <w:t xml:space="preserve"> 32</w:t>
      </w:r>
      <w:r w:rsidRPr="00787196">
        <w:rPr>
          <w:b/>
          <w:noProof/>
        </w:rPr>
        <w:t>,</w:t>
      </w:r>
      <w:r w:rsidRPr="00787196">
        <w:rPr>
          <w:noProof/>
        </w:rPr>
        <w:t xml:space="preserve"> 265.</w:t>
      </w:r>
      <w:bookmarkEnd w:id="715"/>
    </w:p>
    <w:p w14:paraId="33BD784A" w14:textId="77777777" w:rsidR="00525DC8" w:rsidRPr="00787196" w:rsidRDefault="00525DC8" w:rsidP="00525DC8">
      <w:pPr>
        <w:pStyle w:val="EndNoteBibliography"/>
        <w:spacing w:after="240"/>
        <w:rPr>
          <w:noProof/>
        </w:rPr>
      </w:pPr>
      <w:bookmarkStart w:id="716" w:name="_ENREF_359"/>
      <w:r w:rsidRPr="00787196">
        <w:rPr>
          <w:noProof/>
        </w:rPr>
        <w:t xml:space="preserve">SHIGLI, K. &amp; HEBBAL, M. 2010. Assessment of changes in oral health-related quality of life among patients with complete denture before and 1 month post-insertion using Geriatric Oral Health Assessment Index. </w:t>
      </w:r>
      <w:r w:rsidRPr="00787196">
        <w:rPr>
          <w:i/>
          <w:noProof/>
        </w:rPr>
        <w:t>Gerodontology.</w:t>
      </w:r>
      <w:r w:rsidRPr="00787196">
        <w:rPr>
          <w:noProof/>
        </w:rPr>
        <w:t xml:space="preserve"> England.</w:t>
      </w:r>
      <w:bookmarkEnd w:id="716"/>
    </w:p>
    <w:p w14:paraId="1CE838C6" w14:textId="77777777" w:rsidR="00525DC8" w:rsidRPr="00787196" w:rsidRDefault="00525DC8" w:rsidP="00525DC8">
      <w:pPr>
        <w:pStyle w:val="EndNoteBibliography"/>
        <w:spacing w:after="240"/>
        <w:rPr>
          <w:noProof/>
        </w:rPr>
      </w:pPr>
      <w:bookmarkStart w:id="717" w:name="_ENREF_360"/>
      <w:r w:rsidRPr="00787196">
        <w:rPr>
          <w:noProof/>
        </w:rPr>
        <w:t xml:space="preserve">SHIPLEY, R. H., BUTT, J. H., HORWITZ, B. &amp; FARBRY, J. E. 1978. Preparation for a stressful medical procedure: Effect of amount of stimulus preexposure and coping style. </w:t>
      </w:r>
      <w:r w:rsidRPr="00787196">
        <w:rPr>
          <w:i/>
          <w:noProof/>
        </w:rPr>
        <w:t>Journal of Consulting and Clinical Psychology,</w:t>
      </w:r>
      <w:r w:rsidRPr="00787196">
        <w:rPr>
          <w:noProof/>
        </w:rPr>
        <w:t xml:space="preserve"> 46</w:t>
      </w:r>
      <w:r w:rsidRPr="00787196">
        <w:rPr>
          <w:b/>
          <w:noProof/>
        </w:rPr>
        <w:t>,</w:t>
      </w:r>
      <w:r w:rsidRPr="00787196">
        <w:rPr>
          <w:noProof/>
        </w:rPr>
        <w:t xml:space="preserve"> 499.</w:t>
      </w:r>
      <w:bookmarkEnd w:id="717"/>
    </w:p>
    <w:p w14:paraId="6A2FECB3" w14:textId="77777777" w:rsidR="00525DC8" w:rsidRPr="00787196" w:rsidRDefault="00525DC8" w:rsidP="00525DC8">
      <w:pPr>
        <w:pStyle w:val="EndNoteBibliography"/>
        <w:spacing w:after="240"/>
        <w:rPr>
          <w:noProof/>
        </w:rPr>
      </w:pPr>
      <w:bookmarkStart w:id="718" w:name="_ENREF_361"/>
      <w:r w:rsidRPr="00787196">
        <w:rPr>
          <w:noProof/>
        </w:rPr>
        <w:t xml:space="preserve">SHIPLEY, R. H., BUTT, J. H. &amp; HORWITZ, E. A. 1979. Preparation to reexperience a stressful medical examination: effect of repetitious videotape exposure and coping style. </w:t>
      </w:r>
      <w:r w:rsidRPr="00787196">
        <w:rPr>
          <w:i/>
          <w:noProof/>
        </w:rPr>
        <w:t>Journal of Consulting and Clinical Psychology,</w:t>
      </w:r>
      <w:r w:rsidRPr="00787196">
        <w:rPr>
          <w:noProof/>
        </w:rPr>
        <w:t xml:space="preserve"> 47</w:t>
      </w:r>
      <w:r w:rsidRPr="00787196">
        <w:rPr>
          <w:b/>
          <w:noProof/>
        </w:rPr>
        <w:t>,</w:t>
      </w:r>
      <w:r w:rsidRPr="00787196">
        <w:rPr>
          <w:noProof/>
        </w:rPr>
        <w:t xml:space="preserve"> 485.</w:t>
      </w:r>
      <w:bookmarkEnd w:id="718"/>
    </w:p>
    <w:p w14:paraId="6E4B47ED" w14:textId="77777777" w:rsidR="00525DC8" w:rsidRPr="00787196" w:rsidRDefault="00525DC8" w:rsidP="00525DC8">
      <w:pPr>
        <w:pStyle w:val="EndNoteBibliography"/>
        <w:spacing w:after="240"/>
        <w:rPr>
          <w:noProof/>
        </w:rPr>
      </w:pPr>
      <w:bookmarkStart w:id="719" w:name="_ENREF_362"/>
      <w:r w:rsidRPr="00787196">
        <w:rPr>
          <w:noProof/>
        </w:rPr>
        <w:t xml:space="preserve">SICA, C., NOVARA, C., DORZ, S. &amp; SANAVIO, E. 1997. Coping strategies: Evidence for cross-cultural differences? A preliminary study with the Italian version of Coping Orientations to Problems Experienced (COPE). </w:t>
      </w:r>
      <w:r w:rsidRPr="00787196">
        <w:rPr>
          <w:i/>
          <w:noProof/>
        </w:rPr>
        <w:t>Personality and Individual Differences,</w:t>
      </w:r>
      <w:r w:rsidRPr="00787196">
        <w:rPr>
          <w:noProof/>
        </w:rPr>
        <w:t xml:space="preserve"> 23</w:t>
      </w:r>
      <w:r w:rsidRPr="00787196">
        <w:rPr>
          <w:b/>
          <w:noProof/>
        </w:rPr>
        <w:t>,</w:t>
      </w:r>
      <w:r w:rsidRPr="00787196">
        <w:rPr>
          <w:noProof/>
        </w:rPr>
        <w:t xml:space="preserve"> 1025-1029.</w:t>
      </w:r>
      <w:bookmarkEnd w:id="719"/>
    </w:p>
    <w:p w14:paraId="5041437C" w14:textId="77777777" w:rsidR="00525DC8" w:rsidRPr="00787196" w:rsidRDefault="00525DC8" w:rsidP="00525DC8">
      <w:pPr>
        <w:pStyle w:val="EndNoteBibliography"/>
        <w:spacing w:after="240"/>
        <w:rPr>
          <w:noProof/>
        </w:rPr>
      </w:pPr>
      <w:bookmarkStart w:id="720" w:name="_ENREF_363"/>
      <w:r w:rsidRPr="00787196">
        <w:rPr>
          <w:noProof/>
        </w:rPr>
        <w:t xml:space="preserve">SIEGRIST, J. &amp; MARMOT, M. 2004. Health inequalities and the psychosocial environment-two scientific challenges. </w:t>
      </w:r>
      <w:r w:rsidRPr="00787196">
        <w:rPr>
          <w:i/>
          <w:noProof/>
        </w:rPr>
        <w:t>Soc Sci Med,</w:t>
      </w:r>
      <w:r w:rsidRPr="00787196">
        <w:rPr>
          <w:noProof/>
        </w:rPr>
        <w:t xml:space="preserve"> 58</w:t>
      </w:r>
      <w:r w:rsidRPr="00787196">
        <w:rPr>
          <w:b/>
          <w:noProof/>
        </w:rPr>
        <w:t>,</w:t>
      </w:r>
      <w:r w:rsidRPr="00787196">
        <w:rPr>
          <w:noProof/>
        </w:rPr>
        <w:t xml:space="preserve"> 1463-73.</w:t>
      </w:r>
      <w:bookmarkEnd w:id="720"/>
    </w:p>
    <w:p w14:paraId="5915194A" w14:textId="77777777" w:rsidR="00525DC8" w:rsidRPr="00787196" w:rsidRDefault="00525DC8" w:rsidP="00525DC8">
      <w:pPr>
        <w:pStyle w:val="EndNoteBibliography"/>
        <w:spacing w:after="240"/>
        <w:rPr>
          <w:noProof/>
        </w:rPr>
      </w:pPr>
      <w:bookmarkStart w:id="721" w:name="_ENREF_364"/>
      <w:r w:rsidRPr="00787196">
        <w:rPr>
          <w:noProof/>
        </w:rPr>
        <w:t xml:space="preserve">SINGH, A., CHOPRA, M., ADIBA, S., MITHRA, P., BHARDWAJ, A., ARYA, R., CHIKKARA, P., RATHINAM, R. D. &amp; PANESAR, S. 2013. A descriptive study of perceived stress among the North Indian nursing undergraduate students. </w:t>
      </w:r>
      <w:r w:rsidRPr="00787196">
        <w:rPr>
          <w:i/>
          <w:noProof/>
        </w:rPr>
        <w:t>Iranian journal of nursing and midwifery research,</w:t>
      </w:r>
      <w:r w:rsidRPr="00787196">
        <w:rPr>
          <w:noProof/>
        </w:rPr>
        <w:t xml:space="preserve"> 18</w:t>
      </w:r>
      <w:r w:rsidRPr="00787196">
        <w:rPr>
          <w:b/>
          <w:noProof/>
        </w:rPr>
        <w:t>,</w:t>
      </w:r>
      <w:r w:rsidRPr="00787196">
        <w:rPr>
          <w:noProof/>
        </w:rPr>
        <w:t xml:space="preserve"> 340.</w:t>
      </w:r>
      <w:bookmarkEnd w:id="721"/>
    </w:p>
    <w:p w14:paraId="76E3E973" w14:textId="77777777" w:rsidR="00525DC8" w:rsidRPr="00787196" w:rsidRDefault="00525DC8" w:rsidP="00525DC8">
      <w:pPr>
        <w:pStyle w:val="EndNoteBibliography"/>
        <w:spacing w:after="240"/>
        <w:rPr>
          <w:noProof/>
        </w:rPr>
      </w:pPr>
      <w:bookmarkStart w:id="722" w:name="_ENREF_365"/>
      <w:r w:rsidRPr="00787196">
        <w:rPr>
          <w:noProof/>
        </w:rPr>
        <w:lastRenderedPageBreak/>
        <w:t xml:space="preserve">SINGH, A., JINDAL, R., BHARDWAJ, A. &amp; VEERESHA, K. 2011. A preliminary study of perceived stress among dental undergraduate students in rural Haryana. </w:t>
      </w:r>
      <w:r w:rsidRPr="00787196">
        <w:rPr>
          <w:i/>
          <w:noProof/>
        </w:rPr>
        <w:t>Journal of Oral Health Research,</w:t>
      </w:r>
      <w:r w:rsidRPr="00787196">
        <w:rPr>
          <w:noProof/>
        </w:rPr>
        <w:t xml:space="preserve"> 2.</w:t>
      </w:r>
      <w:bookmarkEnd w:id="722"/>
    </w:p>
    <w:p w14:paraId="7FAA7A69" w14:textId="77777777" w:rsidR="00525DC8" w:rsidRPr="00787196" w:rsidRDefault="00525DC8" w:rsidP="00525DC8">
      <w:pPr>
        <w:pStyle w:val="EndNoteBibliography"/>
        <w:spacing w:after="240"/>
        <w:rPr>
          <w:noProof/>
        </w:rPr>
      </w:pPr>
      <w:bookmarkStart w:id="723" w:name="_ENREF_366"/>
      <w:r w:rsidRPr="00787196">
        <w:rPr>
          <w:noProof/>
        </w:rPr>
        <w:t xml:space="preserve">SINGH, K. A. &amp; BRENNAN, D. S. 2012. Chewing disability in older adults attributable to tooth loss and other oral conditions. </w:t>
      </w:r>
      <w:r w:rsidRPr="00787196">
        <w:rPr>
          <w:i/>
          <w:noProof/>
        </w:rPr>
        <w:t>Gerodontology,</w:t>
      </w:r>
      <w:r w:rsidRPr="00787196">
        <w:rPr>
          <w:noProof/>
        </w:rPr>
        <w:t xml:space="preserve"> 29</w:t>
      </w:r>
      <w:r w:rsidRPr="00787196">
        <w:rPr>
          <w:b/>
          <w:noProof/>
        </w:rPr>
        <w:t>,</w:t>
      </w:r>
      <w:r w:rsidRPr="00787196">
        <w:rPr>
          <w:noProof/>
        </w:rPr>
        <w:t xml:space="preserve"> 106-110.</w:t>
      </w:r>
      <w:bookmarkEnd w:id="723"/>
    </w:p>
    <w:p w14:paraId="41FF088F" w14:textId="77777777" w:rsidR="00525DC8" w:rsidRPr="00787196" w:rsidRDefault="00525DC8" w:rsidP="00525DC8">
      <w:pPr>
        <w:pStyle w:val="EndNoteBibliography"/>
        <w:spacing w:after="240"/>
        <w:rPr>
          <w:noProof/>
        </w:rPr>
      </w:pPr>
      <w:bookmarkStart w:id="724" w:name="_ENREF_367"/>
      <w:r w:rsidRPr="00787196">
        <w:rPr>
          <w:noProof/>
        </w:rPr>
        <w:t xml:space="preserve">SINGH-MANOUX, A., MARMOT, M. G. &amp; ADLER, N. E. 2005. Does Subjective Social Status Predict Health and Change in Health Status Better Than Objective Status? </w:t>
      </w:r>
      <w:r w:rsidRPr="00787196">
        <w:rPr>
          <w:i/>
          <w:noProof/>
        </w:rPr>
        <w:t>Psychosomatic Medicine,</w:t>
      </w:r>
      <w:r w:rsidRPr="00787196">
        <w:rPr>
          <w:noProof/>
        </w:rPr>
        <w:t xml:space="preserve"> 67</w:t>
      </w:r>
      <w:r w:rsidRPr="00787196">
        <w:rPr>
          <w:b/>
          <w:noProof/>
        </w:rPr>
        <w:t>,</w:t>
      </w:r>
      <w:r w:rsidRPr="00787196">
        <w:rPr>
          <w:noProof/>
        </w:rPr>
        <w:t xml:space="preserve"> 855-861.</w:t>
      </w:r>
      <w:bookmarkEnd w:id="724"/>
    </w:p>
    <w:p w14:paraId="1D1503AA" w14:textId="77777777" w:rsidR="00525DC8" w:rsidRPr="00787196" w:rsidRDefault="00525DC8" w:rsidP="00525DC8">
      <w:pPr>
        <w:pStyle w:val="EndNoteBibliography"/>
        <w:spacing w:after="240"/>
        <w:rPr>
          <w:noProof/>
        </w:rPr>
      </w:pPr>
      <w:bookmarkStart w:id="725" w:name="_ENREF_368"/>
      <w:r w:rsidRPr="00787196">
        <w:rPr>
          <w:noProof/>
        </w:rPr>
        <w:t xml:space="preserve">SISSON, K. L. 2007. Theoretical explanations for social inequalities in oral health. </w:t>
      </w:r>
      <w:r w:rsidRPr="00787196">
        <w:rPr>
          <w:i/>
          <w:noProof/>
        </w:rPr>
        <w:t>Community Dentistry and Oral Epidemiology,</w:t>
      </w:r>
      <w:r w:rsidRPr="00787196">
        <w:rPr>
          <w:noProof/>
        </w:rPr>
        <w:t xml:space="preserve"> 35</w:t>
      </w:r>
      <w:r w:rsidRPr="00787196">
        <w:rPr>
          <w:b/>
          <w:noProof/>
        </w:rPr>
        <w:t>,</w:t>
      </w:r>
      <w:r w:rsidRPr="00787196">
        <w:rPr>
          <w:noProof/>
        </w:rPr>
        <w:t xml:space="preserve"> 81-88.</w:t>
      </w:r>
      <w:bookmarkEnd w:id="725"/>
    </w:p>
    <w:p w14:paraId="1307058E" w14:textId="77777777" w:rsidR="00525DC8" w:rsidRPr="00787196" w:rsidRDefault="00525DC8" w:rsidP="00525DC8">
      <w:pPr>
        <w:pStyle w:val="EndNoteBibliography"/>
        <w:spacing w:after="240"/>
        <w:rPr>
          <w:noProof/>
        </w:rPr>
      </w:pPr>
      <w:bookmarkStart w:id="726" w:name="_ENREF_369"/>
      <w:r w:rsidRPr="00787196">
        <w:rPr>
          <w:noProof/>
        </w:rPr>
        <w:t xml:space="preserve">SMITH, M. 1976. Measurement of personality traits and their relation to patient satisfaction with complete dentures. </w:t>
      </w:r>
      <w:r w:rsidRPr="00787196">
        <w:rPr>
          <w:i/>
          <w:noProof/>
        </w:rPr>
        <w:t>The Journal of prosthetic dentistry,</w:t>
      </w:r>
      <w:r w:rsidRPr="00787196">
        <w:rPr>
          <w:noProof/>
        </w:rPr>
        <w:t xml:space="preserve"> 35</w:t>
      </w:r>
      <w:r w:rsidRPr="00787196">
        <w:rPr>
          <w:b/>
          <w:noProof/>
        </w:rPr>
        <w:t>,</w:t>
      </w:r>
      <w:r w:rsidRPr="00787196">
        <w:rPr>
          <w:noProof/>
        </w:rPr>
        <w:t xml:space="preserve"> 492-503.</w:t>
      </w:r>
      <w:bookmarkEnd w:id="726"/>
    </w:p>
    <w:p w14:paraId="5BC93463" w14:textId="77777777" w:rsidR="00525DC8" w:rsidRPr="00787196" w:rsidRDefault="00525DC8" w:rsidP="00525DC8">
      <w:pPr>
        <w:pStyle w:val="EndNoteBibliography"/>
        <w:spacing w:after="240"/>
        <w:rPr>
          <w:noProof/>
        </w:rPr>
      </w:pPr>
      <w:bookmarkStart w:id="727" w:name="_ENREF_370"/>
      <w:r w:rsidRPr="00787196">
        <w:rPr>
          <w:noProof/>
        </w:rPr>
        <w:t xml:space="preserve">SMITH, P. &amp; MCCORD, J. 2004. What do patients expect from complete dentures? </w:t>
      </w:r>
      <w:r w:rsidRPr="00787196">
        <w:rPr>
          <w:i/>
          <w:noProof/>
        </w:rPr>
        <w:t>Journal of dentistry,</w:t>
      </w:r>
      <w:r w:rsidRPr="00787196">
        <w:rPr>
          <w:noProof/>
        </w:rPr>
        <w:t xml:space="preserve"> 32</w:t>
      </w:r>
      <w:r w:rsidRPr="00787196">
        <w:rPr>
          <w:b/>
          <w:noProof/>
        </w:rPr>
        <w:t>,</w:t>
      </w:r>
      <w:r w:rsidRPr="00787196">
        <w:rPr>
          <w:noProof/>
        </w:rPr>
        <w:t xml:space="preserve"> 3-7.</w:t>
      </w:r>
      <w:bookmarkEnd w:id="727"/>
    </w:p>
    <w:p w14:paraId="7CD3867D" w14:textId="77777777" w:rsidR="00525DC8" w:rsidRPr="00787196" w:rsidRDefault="00525DC8" w:rsidP="00525DC8">
      <w:pPr>
        <w:pStyle w:val="EndNoteBibliography"/>
        <w:rPr>
          <w:noProof/>
        </w:rPr>
      </w:pPr>
      <w:bookmarkStart w:id="728" w:name="_ENREF_371"/>
      <w:r w:rsidRPr="00787196">
        <w:rPr>
          <w:noProof/>
        </w:rPr>
        <w:t>SOLAR, O. &amp; IRWIN, A. 2007. A conceptual framework for action on the social</w:t>
      </w:r>
    </w:p>
    <w:p w14:paraId="79FEB4B9" w14:textId="77777777" w:rsidR="00525DC8" w:rsidRPr="00787196" w:rsidRDefault="00525DC8" w:rsidP="00525DC8">
      <w:pPr>
        <w:pStyle w:val="EndNoteBibliography"/>
        <w:spacing w:after="240"/>
        <w:rPr>
          <w:noProof/>
        </w:rPr>
      </w:pPr>
      <w:r w:rsidRPr="00787196">
        <w:rPr>
          <w:noProof/>
        </w:rPr>
        <w:t xml:space="preserve">determinants of health. </w:t>
      </w:r>
      <w:r w:rsidRPr="00787196">
        <w:rPr>
          <w:i/>
          <w:noProof/>
        </w:rPr>
        <w:t>discussion paper for the Commission on Social Determinants of Health.</w:t>
      </w:r>
      <w:r w:rsidRPr="00787196">
        <w:rPr>
          <w:noProof/>
        </w:rPr>
        <w:t>: Commission on Social Determinants of Health.</w:t>
      </w:r>
      <w:bookmarkEnd w:id="728"/>
    </w:p>
    <w:p w14:paraId="3517C108" w14:textId="77777777" w:rsidR="00525DC8" w:rsidRPr="00787196" w:rsidRDefault="00525DC8" w:rsidP="00525DC8">
      <w:pPr>
        <w:pStyle w:val="EndNoteBibliography"/>
        <w:spacing w:after="240"/>
        <w:rPr>
          <w:noProof/>
        </w:rPr>
      </w:pPr>
      <w:bookmarkStart w:id="729" w:name="_ENREF_372"/>
      <w:r w:rsidRPr="00787196">
        <w:rPr>
          <w:noProof/>
        </w:rPr>
        <w:t xml:space="preserve">SOUSA, K. &amp; KWOK, O.-M. 2006. Putting Wilson and Cleary to the Test: Analysis of a HRQOL Conceptual Model using Structural Equation Modeling. </w:t>
      </w:r>
      <w:r w:rsidRPr="00787196">
        <w:rPr>
          <w:i/>
          <w:noProof/>
        </w:rPr>
        <w:t>Quality of Life Research,</w:t>
      </w:r>
      <w:r w:rsidRPr="00787196">
        <w:rPr>
          <w:noProof/>
        </w:rPr>
        <w:t xml:space="preserve"> 15</w:t>
      </w:r>
      <w:r w:rsidRPr="00787196">
        <w:rPr>
          <w:b/>
          <w:noProof/>
        </w:rPr>
        <w:t>,</w:t>
      </w:r>
      <w:r w:rsidRPr="00787196">
        <w:rPr>
          <w:noProof/>
        </w:rPr>
        <w:t xml:space="preserve"> 725-737.</w:t>
      </w:r>
      <w:bookmarkEnd w:id="729"/>
    </w:p>
    <w:p w14:paraId="3E851107" w14:textId="77777777" w:rsidR="00525DC8" w:rsidRPr="00787196" w:rsidRDefault="00525DC8" w:rsidP="00525DC8">
      <w:pPr>
        <w:pStyle w:val="EndNoteBibliography"/>
        <w:spacing w:after="240"/>
        <w:rPr>
          <w:noProof/>
        </w:rPr>
      </w:pPr>
      <w:bookmarkStart w:id="730" w:name="_ENREF_373"/>
      <w:r w:rsidRPr="00787196">
        <w:rPr>
          <w:noProof/>
        </w:rPr>
        <w:t xml:space="preserve">SOUSA, K. H., HOLZEMER, W. L., BAKKEN HENRY, S. &amp; SLAUGHTER, R. 1999. Dimensions of health-related quality of life in persons living with HIV disease. </w:t>
      </w:r>
      <w:r w:rsidRPr="00787196">
        <w:rPr>
          <w:i/>
          <w:noProof/>
        </w:rPr>
        <w:t>Journal of Advanced Nursing,</w:t>
      </w:r>
      <w:r w:rsidRPr="00787196">
        <w:rPr>
          <w:noProof/>
        </w:rPr>
        <w:t xml:space="preserve"> 29</w:t>
      </w:r>
      <w:r w:rsidRPr="00787196">
        <w:rPr>
          <w:b/>
          <w:noProof/>
        </w:rPr>
        <w:t>,</w:t>
      </w:r>
      <w:r w:rsidRPr="00787196">
        <w:rPr>
          <w:noProof/>
        </w:rPr>
        <w:t xml:space="preserve"> 178-187.</w:t>
      </w:r>
      <w:bookmarkEnd w:id="730"/>
    </w:p>
    <w:p w14:paraId="7F76693F" w14:textId="77777777" w:rsidR="00525DC8" w:rsidRPr="00787196" w:rsidRDefault="00525DC8" w:rsidP="00525DC8">
      <w:pPr>
        <w:pStyle w:val="EndNoteBibliography"/>
        <w:spacing w:after="240"/>
        <w:rPr>
          <w:noProof/>
        </w:rPr>
      </w:pPr>
      <w:bookmarkStart w:id="731" w:name="_ENREF_374"/>
      <w:r w:rsidRPr="00787196">
        <w:rPr>
          <w:noProof/>
        </w:rPr>
        <w:t xml:space="preserve">SOUSA, P. C. B. D., MENDES, F. M., IMPARATO, J. C. P. &amp; ARDENGHI, T. M. 2009. Differences in responses to the Oral Health Impact Profile (OHIP14) used as a questionnaire or in an interview. </w:t>
      </w:r>
      <w:r w:rsidRPr="00787196">
        <w:rPr>
          <w:i/>
          <w:noProof/>
        </w:rPr>
        <w:t>Braz Oral Res,</w:t>
      </w:r>
      <w:r w:rsidRPr="00787196">
        <w:rPr>
          <w:noProof/>
        </w:rPr>
        <w:t xml:space="preserve"> 23</w:t>
      </w:r>
      <w:r w:rsidRPr="00787196">
        <w:rPr>
          <w:b/>
          <w:noProof/>
        </w:rPr>
        <w:t>,</w:t>
      </w:r>
      <w:r w:rsidRPr="00787196">
        <w:rPr>
          <w:noProof/>
        </w:rPr>
        <w:t xml:space="preserve"> 358-64.</w:t>
      </w:r>
      <w:bookmarkEnd w:id="731"/>
    </w:p>
    <w:p w14:paraId="091508B1" w14:textId="77777777" w:rsidR="00525DC8" w:rsidRPr="00787196" w:rsidRDefault="00525DC8" w:rsidP="00525DC8">
      <w:pPr>
        <w:pStyle w:val="EndNoteBibliography"/>
        <w:spacing w:after="240"/>
        <w:rPr>
          <w:noProof/>
        </w:rPr>
      </w:pPr>
      <w:bookmarkStart w:id="732" w:name="_ENREF_375"/>
      <w:r w:rsidRPr="00787196">
        <w:rPr>
          <w:noProof/>
        </w:rPr>
        <w:t xml:space="preserve">SOUZA, R. F., PATROCÍNIO, L., PERO, A. C., MARRA, J. &amp; COMPAGNONI, M. A. 2007. Reliability and validation of a Brazilian version of the Oral Health Impact Profile for assessing edentulous subjects. </w:t>
      </w:r>
      <w:r w:rsidRPr="00787196">
        <w:rPr>
          <w:i/>
          <w:noProof/>
        </w:rPr>
        <w:t>Journal of Oral Rehabilitation,</w:t>
      </w:r>
      <w:r w:rsidRPr="00787196">
        <w:rPr>
          <w:noProof/>
        </w:rPr>
        <w:t xml:space="preserve"> 34</w:t>
      </w:r>
      <w:r w:rsidRPr="00787196">
        <w:rPr>
          <w:b/>
          <w:noProof/>
        </w:rPr>
        <w:t>,</w:t>
      </w:r>
      <w:r w:rsidRPr="00787196">
        <w:rPr>
          <w:noProof/>
        </w:rPr>
        <w:t xml:space="preserve"> 821-826.</w:t>
      </w:r>
      <w:bookmarkEnd w:id="732"/>
    </w:p>
    <w:p w14:paraId="7EE31341" w14:textId="7B806537" w:rsidR="00525DC8" w:rsidRPr="00787196" w:rsidRDefault="00525DC8" w:rsidP="00525DC8">
      <w:pPr>
        <w:pStyle w:val="EndNoteBibliography"/>
        <w:spacing w:after="240"/>
        <w:rPr>
          <w:noProof/>
        </w:rPr>
      </w:pPr>
      <w:bookmarkStart w:id="733" w:name="_ENREF_376"/>
      <w:r w:rsidRPr="00787196">
        <w:rPr>
          <w:noProof/>
        </w:rPr>
        <w:lastRenderedPageBreak/>
        <w:t xml:space="preserve">SRI RAMACHANDRA UNIVERSITY. 2012. </w:t>
      </w:r>
      <w:r w:rsidRPr="00787196">
        <w:rPr>
          <w:i/>
          <w:noProof/>
        </w:rPr>
        <w:t xml:space="preserve">Constituent Colleges  - Dental College </w:t>
      </w:r>
      <w:r w:rsidRPr="00787196">
        <w:rPr>
          <w:noProof/>
        </w:rPr>
        <w:t xml:space="preserve">[Online]. Chennai: Clasticon solutions. Available: </w:t>
      </w:r>
      <w:hyperlink r:id="rId36" w:anchor="top" w:history="1">
        <w:r w:rsidRPr="00787196">
          <w:rPr>
            <w:rStyle w:val="Hyperlink"/>
            <w:noProof/>
          </w:rPr>
          <w:t>http://www.sriramachandra.edu.in/university/departments.aspx?did=35&amp;amp;amp;cid=2#top</w:t>
        </w:r>
      </w:hyperlink>
      <w:r w:rsidRPr="00787196">
        <w:rPr>
          <w:noProof/>
        </w:rPr>
        <w:t xml:space="preserve"> [Accessed March 10 2013].</w:t>
      </w:r>
      <w:bookmarkEnd w:id="733"/>
    </w:p>
    <w:p w14:paraId="58963B7D" w14:textId="77777777" w:rsidR="00525DC8" w:rsidRPr="00787196" w:rsidRDefault="00525DC8" w:rsidP="00525DC8">
      <w:pPr>
        <w:pStyle w:val="EndNoteBibliography"/>
        <w:spacing w:after="240"/>
        <w:rPr>
          <w:noProof/>
        </w:rPr>
      </w:pPr>
      <w:bookmarkStart w:id="734" w:name="_ENREF_377"/>
      <w:r w:rsidRPr="00787196">
        <w:rPr>
          <w:noProof/>
        </w:rPr>
        <w:t xml:space="preserve">SRISILAPANAN, P., SHEIHAM, A., SRISILAPANAN, P. &amp; SHEIHAM, A. 2001. The prevalence of dental impacts on daily performances in older people in Northern Thailand. </w:t>
      </w:r>
      <w:r w:rsidRPr="00787196">
        <w:rPr>
          <w:i/>
          <w:noProof/>
        </w:rPr>
        <w:t>Gerodontology,</w:t>
      </w:r>
      <w:r w:rsidRPr="00787196">
        <w:rPr>
          <w:noProof/>
        </w:rPr>
        <w:t xml:space="preserve"> 18</w:t>
      </w:r>
      <w:r w:rsidRPr="00787196">
        <w:rPr>
          <w:b/>
          <w:noProof/>
        </w:rPr>
        <w:t>,</w:t>
      </w:r>
      <w:r w:rsidRPr="00787196">
        <w:rPr>
          <w:noProof/>
        </w:rPr>
        <w:t xml:space="preserve"> 102-8.</w:t>
      </w:r>
      <w:bookmarkEnd w:id="734"/>
    </w:p>
    <w:p w14:paraId="04031E64" w14:textId="77777777" w:rsidR="00525DC8" w:rsidRPr="00787196" w:rsidRDefault="00525DC8" w:rsidP="00525DC8">
      <w:pPr>
        <w:pStyle w:val="EndNoteBibliography"/>
        <w:spacing w:after="240"/>
        <w:rPr>
          <w:noProof/>
        </w:rPr>
      </w:pPr>
      <w:bookmarkStart w:id="735" w:name="_ENREF_378"/>
      <w:r w:rsidRPr="00787196">
        <w:rPr>
          <w:noProof/>
        </w:rPr>
        <w:t xml:space="preserve">STREINER, D. L. 2013. 10 Figuring Out Factors: The Use and Misuse of Factor Analysis. </w:t>
      </w:r>
      <w:r w:rsidRPr="00787196">
        <w:rPr>
          <w:i/>
          <w:noProof/>
        </w:rPr>
        <w:t>A Guide to the Statistically Perplexed: A Compilation of Readings from the Canadian Journal of Psychiatry</w:t>
      </w:r>
      <w:r w:rsidRPr="00787196">
        <w:rPr>
          <w:b/>
          <w:noProof/>
        </w:rPr>
        <w:t>,</w:t>
      </w:r>
      <w:r w:rsidRPr="00787196">
        <w:rPr>
          <w:noProof/>
        </w:rPr>
        <w:t xml:space="preserve"> 110.</w:t>
      </w:r>
      <w:bookmarkEnd w:id="735"/>
    </w:p>
    <w:p w14:paraId="65AD32EE" w14:textId="77777777" w:rsidR="00525DC8" w:rsidRPr="00787196" w:rsidRDefault="00525DC8" w:rsidP="00525DC8">
      <w:pPr>
        <w:pStyle w:val="EndNoteBibliography"/>
        <w:spacing w:after="240"/>
        <w:rPr>
          <w:noProof/>
        </w:rPr>
      </w:pPr>
      <w:bookmarkStart w:id="736" w:name="_ENREF_379"/>
      <w:r w:rsidRPr="00787196">
        <w:rPr>
          <w:noProof/>
        </w:rPr>
        <w:t xml:space="preserve">SUTTON, P. R. N. 1993. Psychosomatic dental disease: Is mental stress in adults followed by acute dental caries in all racial groups? </w:t>
      </w:r>
      <w:r w:rsidRPr="00787196">
        <w:rPr>
          <w:i/>
          <w:noProof/>
        </w:rPr>
        <w:t>Medical Hypotheses,</w:t>
      </w:r>
      <w:r w:rsidRPr="00787196">
        <w:rPr>
          <w:noProof/>
        </w:rPr>
        <w:t xml:space="preserve"> 41</w:t>
      </w:r>
      <w:r w:rsidRPr="00787196">
        <w:rPr>
          <w:b/>
          <w:noProof/>
        </w:rPr>
        <w:t>,</w:t>
      </w:r>
      <w:r w:rsidRPr="00787196">
        <w:rPr>
          <w:noProof/>
        </w:rPr>
        <w:t xml:space="preserve"> 279-281.</w:t>
      </w:r>
      <w:bookmarkEnd w:id="736"/>
    </w:p>
    <w:p w14:paraId="326C3CD2" w14:textId="77777777" w:rsidR="00525DC8" w:rsidRPr="00787196" w:rsidRDefault="00525DC8" w:rsidP="00525DC8">
      <w:pPr>
        <w:pStyle w:val="EndNoteBibliography"/>
        <w:spacing w:after="240"/>
        <w:rPr>
          <w:noProof/>
        </w:rPr>
      </w:pPr>
      <w:bookmarkStart w:id="737" w:name="_ENREF_380"/>
      <w:r w:rsidRPr="00787196">
        <w:rPr>
          <w:noProof/>
        </w:rPr>
        <w:t>SWAMI, M., MATHUR, D. &amp; PUSHP, B. 2013. Emotional intelligence, perceived stress and burnout among resident doctors: An assessment of the relationship.</w:t>
      </w:r>
      <w:bookmarkEnd w:id="737"/>
    </w:p>
    <w:p w14:paraId="4F03C7AA" w14:textId="77777777" w:rsidR="00525DC8" w:rsidRPr="00787196" w:rsidRDefault="00525DC8" w:rsidP="00525DC8">
      <w:pPr>
        <w:pStyle w:val="EndNoteBibliography"/>
        <w:spacing w:after="240"/>
        <w:rPr>
          <w:noProof/>
        </w:rPr>
      </w:pPr>
      <w:bookmarkStart w:id="738" w:name="_ENREF_381"/>
      <w:r w:rsidRPr="00787196">
        <w:rPr>
          <w:noProof/>
        </w:rPr>
        <w:t xml:space="preserve">SWOOPE, C. C. 1973. Predicting denture success. </w:t>
      </w:r>
      <w:r w:rsidRPr="00787196">
        <w:rPr>
          <w:i/>
          <w:noProof/>
        </w:rPr>
        <w:t>The Journal of Prosthetic Dentistry,</w:t>
      </w:r>
      <w:r w:rsidRPr="00787196">
        <w:rPr>
          <w:noProof/>
        </w:rPr>
        <w:t xml:space="preserve"> 30</w:t>
      </w:r>
      <w:r w:rsidRPr="00787196">
        <w:rPr>
          <w:b/>
          <w:noProof/>
        </w:rPr>
        <w:t>,</w:t>
      </w:r>
      <w:r w:rsidRPr="00787196">
        <w:rPr>
          <w:noProof/>
        </w:rPr>
        <w:t xml:space="preserve"> 860-865.</w:t>
      </w:r>
      <w:bookmarkEnd w:id="738"/>
    </w:p>
    <w:p w14:paraId="31C77356" w14:textId="77777777" w:rsidR="00525DC8" w:rsidRPr="00787196" w:rsidRDefault="00525DC8" w:rsidP="00525DC8">
      <w:pPr>
        <w:pStyle w:val="EndNoteBibliography"/>
        <w:spacing w:after="240"/>
        <w:rPr>
          <w:noProof/>
        </w:rPr>
      </w:pPr>
      <w:bookmarkStart w:id="739" w:name="_ENREF_382"/>
      <w:r w:rsidRPr="00787196">
        <w:rPr>
          <w:noProof/>
        </w:rPr>
        <w:t xml:space="preserve">TABOLLI, S., BERGAMO, F., ALESSANDRONI, L., DI PIETRO, C., SAMPOGNA, F., ABENI, D., TABOLLI, S., BERGAMO, F., ALESSANDRONI, L., DI PIETRO, C., SAMPOGNA, F. &amp; ABENI, D. 2009. Quality of life and psychological problems of patients with oral mucosal disease in dermatological practice. </w:t>
      </w:r>
      <w:r w:rsidRPr="00787196">
        <w:rPr>
          <w:i/>
          <w:noProof/>
        </w:rPr>
        <w:t>Dermatology,</w:t>
      </w:r>
      <w:r w:rsidRPr="00787196">
        <w:rPr>
          <w:noProof/>
        </w:rPr>
        <w:t xml:space="preserve"> 218</w:t>
      </w:r>
      <w:r w:rsidRPr="00787196">
        <w:rPr>
          <w:b/>
          <w:noProof/>
        </w:rPr>
        <w:t>,</w:t>
      </w:r>
      <w:r w:rsidRPr="00787196">
        <w:rPr>
          <w:noProof/>
        </w:rPr>
        <w:t xml:space="preserve"> 314-20.</w:t>
      </w:r>
      <w:bookmarkEnd w:id="739"/>
    </w:p>
    <w:p w14:paraId="682E9FD8" w14:textId="77777777" w:rsidR="00525DC8" w:rsidRPr="00787196" w:rsidRDefault="00525DC8" w:rsidP="00525DC8">
      <w:pPr>
        <w:pStyle w:val="EndNoteBibliography"/>
        <w:spacing w:after="240"/>
        <w:rPr>
          <w:noProof/>
        </w:rPr>
      </w:pPr>
      <w:bookmarkStart w:id="740" w:name="_ENREF_383"/>
      <w:r w:rsidRPr="00787196">
        <w:rPr>
          <w:noProof/>
        </w:rPr>
        <w:t xml:space="preserve">TAN, H., PERES, K. G. &amp; PERES, M. A. 2016. Retention of Teeth and Oral Health–Related Quality of Life. </w:t>
      </w:r>
      <w:r w:rsidRPr="00787196">
        <w:rPr>
          <w:i/>
          <w:noProof/>
        </w:rPr>
        <w:t>Journal of Dental Research,</w:t>
      </w:r>
      <w:r w:rsidRPr="00787196">
        <w:rPr>
          <w:noProof/>
        </w:rPr>
        <w:t xml:space="preserve"> 95</w:t>
      </w:r>
      <w:r w:rsidRPr="00787196">
        <w:rPr>
          <w:b/>
          <w:noProof/>
        </w:rPr>
        <w:t>,</w:t>
      </w:r>
      <w:r w:rsidRPr="00787196">
        <w:rPr>
          <w:noProof/>
        </w:rPr>
        <w:t xml:space="preserve"> 1350-1357.</w:t>
      </w:r>
      <w:bookmarkEnd w:id="740"/>
    </w:p>
    <w:p w14:paraId="6B18C11A" w14:textId="77777777" w:rsidR="00525DC8" w:rsidRPr="00787196" w:rsidRDefault="00525DC8" w:rsidP="00525DC8">
      <w:pPr>
        <w:pStyle w:val="EndNoteBibliography"/>
        <w:spacing w:after="240"/>
        <w:rPr>
          <w:noProof/>
        </w:rPr>
      </w:pPr>
      <w:bookmarkStart w:id="741" w:name="_ENREF_384"/>
      <w:r w:rsidRPr="00787196">
        <w:rPr>
          <w:noProof/>
        </w:rPr>
        <w:t xml:space="preserve">TASHAKKORI, A. &amp; TEDDLIE, C. 2010. </w:t>
      </w:r>
      <w:r w:rsidRPr="00787196">
        <w:rPr>
          <w:i/>
          <w:noProof/>
        </w:rPr>
        <w:t>Sage handbook of mixed methods in social &amp; behavioral research</w:t>
      </w:r>
      <w:r w:rsidRPr="00787196">
        <w:rPr>
          <w:noProof/>
        </w:rPr>
        <w:t>, Sage.</w:t>
      </w:r>
      <w:bookmarkEnd w:id="741"/>
    </w:p>
    <w:p w14:paraId="49E67D82" w14:textId="77777777" w:rsidR="00525DC8" w:rsidRPr="00787196" w:rsidRDefault="00525DC8" w:rsidP="00525DC8">
      <w:pPr>
        <w:pStyle w:val="EndNoteBibliography"/>
        <w:spacing w:after="240"/>
        <w:rPr>
          <w:noProof/>
        </w:rPr>
      </w:pPr>
      <w:bookmarkStart w:id="742" w:name="_ENREF_385"/>
      <w:r w:rsidRPr="00787196">
        <w:rPr>
          <w:noProof/>
        </w:rPr>
        <w:t xml:space="preserve">TESTA, M. A. &amp; SIMONSON, D. C. 1996. Assessment of Quality-of-Life Outcomes. </w:t>
      </w:r>
      <w:r w:rsidRPr="00787196">
        <w:rPr>
          <w:i/>
          <w:noProof/>
        </w:rPr>
        <w:t>New England Journal of Medicine,</w:t>
      </w:r>
      <w:r w:rsidRPr="00787196">
        <w:rPr>
          <w:noProof/>
        </w:rPr>
        <w:t xml:space="preserve"> 334</w:t>
      </w:r>
      <w:r w:rsidRPr="00787196">
        <w:rPr>
          <w:b/>
          <w:noProof/>
        </w:rPr>
        <w:t>,</w:t>
      </w:r>
      <w:r w:rsidRPr="00787196">
        <w:rPr>
          <w:noProof/>
        </w:rPr>
        <w:t xml:space="preserve"> 835-840.</w:t>
      </w:r>
      <w:bookmarkEnd w:id="742"/>
    </w:p>
    <w:p w14:paraId="344A0BE6" w14:textId="77777777" w:rsidR="00525DC8" w:rsidRPr="00787196" w:rsidRDefault="00525DC8" w:rsidP="00525DC8">
      <w:pPr>
        <w:pStyle w:val="EndNoteBibliography"/>
        <w:spacing w:after="240"/>
        <w:rPr>
          <w:noProof/>
        </w:rPr>
      </w:pPr>
      <w:bookmarkStart w:id="743" w:name="_ENREF_386"/>
      <w:r w:rsidRPr="00787196">
        <w:rPr>
          <w:noProof/>
        </w:rPr>
        <w:t xml:space="preserve">THALJI, G., MCGRAW, K. &amp; COOPER, L. F. 2015. Maxillary Complete Denture Outcomes: A Systematic Review of Patient-Based Outcomes. </w:t>
      </w:r>
      <w:r w:rsidRPr="00787196">
        <w:rPr>
          <w:i/>
          <w:noProof/>
        </w:rPr>
        <w:t>The International journal of oral &amp; maxillofacial implants,</w:t>
      </w:r>
      <w:r w:rsidRPr="00787196">
        <w:rPr>
          <w:noProof/>
        </w:rPr>
        <w:t xml:space="preserve"> 31</w:t>
      </w:r>
      <w:r w:rsidRPr="00787196">
        <w:rPr>
          <w:b/>
          <w:noProof/>
        </w:rPr>
        <w:t>,</w:t>
      </w:r>
      <w:r w:rsidRPr="00787196">
        <w:rPr>
          <w:noProof/>
        </w:rPr>
        <w:t xml:space="preserve"> s169-81.</w:t>
      </w:r>
      <w:bookmarkEnd w:id="743"/>
    </w:p>
    <w:p w14:paraId="6AD9AF4C" w14:textId="77777777" w:rsidR="00525DC8" w:rsidRPr="00787196" w:rsidRDefault="00525DC8" w:rsidP="00525DC8">
      <w:pPr>
        <w:pStyle w:val="EndNoteBibliography"/>
        <w:spacing w:after="240"/>
        <w:rPr>
          <w:noProof/>
        </w:rPr>
      </w:pPr>
      <w:bookmarkStart w:id="744" w:name="_ENREF_387"/>
      <w:r w:rsidRPr="00787196">
        <w:rPr>
          <w:noProof/>
        </w:rPr>
        <w:lastRenderedPageBreak/>
        <w:t xml:space="preserve">THOMSON, W. M. 2014. Epidemiology of oral health conditions in older people. </w:t>
      </w:r>
      <w:r w:rsidRPr="00787196">
        <w:rPr>
          <w:i/>
          <w:noProof/>
        </w:rPr>
        <w:t>Gerodontology,</w:t>
      </w:r>
      <w:r w:rsidRPr="00787196">
        <w:rPr>
          <w:noProof/>
        </w:rPr>
        <w:t xml:space="preserve"> 31</w:t>
      </w:r>
      <w:r w:rsidRPr="00787196">
        <w:rPr>
          <w:b/>
          <w:noProof/>
        </w:rPr>
        <w:t>,</w:t>
      </w:r>
      <w:r w:rsidRPr="00787196">
        <w:rPr>
          <w:noProof/>
        </w:rPr>
        <w:t xml:space="preserve"> 9-16.</w:t>
      </w:r>
      <w:bookmarkEnd w:id="744"/>
    </w:p>
    <w:p w14:paraId="5CE12584" w14:textId="77777777" w:rsidR="00525DC8" w:rsidRPr="00787196" w:rsidRDefault="00525DC8" w:rsidP="00525DC8">
      <w:pPr>
        <w:pStyle w:val="EndNoteBibliography"/>
        <w:spacing w:after="240"/>
        <w:rPr>
          <w:noProof/>
        </w:rPr>
      </w:pPr>
      <w:bookmarkStart w:id="745" w:name="_ENREF_388"/>
      <w:r w:rsidRPr="00787196">
        <w:rPr>
          <w:noProof/>
        </w:rPr>
        <w:t xml:space="preserve">THOMSON, W. M., POULTON, R., MILNE, B. J., CASPI, A., BROUGHTON, J. R. &amp; AYERS, K. M. S. 2004. Socioeconomic inequalities in oral health in childhood and adulthood in a birth cohort. </w:t>
      </w:r>
      <w:r w:rsidRPr="00787196">
        <w:rPr>
          <w:i/>
          <w:noProof/>
        </w:rPr>
        <w:t>Community Dentistry and Oral Epidemiology,</w:t>
      </w:r>
      <w:r w:rsidRPr="00787196">
        <w:rPr>
          <w:noProof/>
        </w:rPr>
        <w:t xml:space="preserve"> 32</w:t>
      </w:r>
      <w:r w:rsidRPr="00787196">
        <w:rPr>
          <w:b/>
          <w:noProof/>
        </w:rPr>
        <w:t>,</w:t>
      </w:r>
      <w:r w:rsidRPr="00787196">
        <w:rPr>
          <w:noProof/>
        </w:rPr>
        <w:t xml:space="preserve"> 345-353.</w:t>
      </w:r>
      <w:bookmarkEnd w:id="745"/>
    </w:p>
    <w:p w14:paraId="6B958596" w14:textId="77777777" w:rsidR="00525DC8" w:rsidRPr="00787196" w:rsidRDefault="00525DC8" w:rsidP="00525DC8">
      <w:pPr>
        <w:pStyle w:val="EndNoteBibliography"/>
        <w:spacing w:after="240"/>
        <w:rPr>
          <w:noProof/>
        </w:rPr>
      </w:pPr>
      <w:bookmarkStart w:id="746" w:name="_ENREF_389"/>
      <w:r w:rsidRPr="00787196">
        <w:rPr>
          <w:noProof/>
        </w:rPr>
        <w:t xml:space="preserve">THOMSON, W. M., SPENCER, A. J. &amp; GAUGHWIN, A. 1996. Testing a child dental neglect scale in South Australia. </w:t>
      </w:r>
      <w:r w:rsidRPr="00787196">
        <w:rPr>
          <w:i/>
          <w:noProof/>
        </w:rPr>
        <w:t>Community Dent Oral Epidemiol,</w:t>
      </w:r>
      <w:r w:rsidRPr="00787196">
        <w:rPr>
          <w:noProof/>
        </w:rPr>
        <w:t xml:space="preserve"> 24</w:t>
      </w:r>
      <w:r w:rsidRPr="00787196">
        <w:rPr>
          <w:b/>
          <w:noProof/>
        </w:rPr>
        <w:t>,</w:t>
      </w:r>
      <w:r w:rsidRPr="00787196">
        <w:rPr>
          <w:noProof/>
        </w:rPr>
        <w:t xml:space="preserve"> 351-6.</w:t>
      </w:r>
      <w:bookmarkEnd w:id="746"/>
    </w:p>
    <w:p w14:paraId="7B936225" w14:textId="6950EA83" w:rsidR="00525DC8" w:rsidRPr="00787196" w:rsidRDefault="00525DC8" w:rsidP="00525DC8">
      <w:pPr>
        <w:pStyle w:val="EndNoteBibliography"/>
        <w:spacing w:after="240"/>
        <w:rPr>
          <w:noProof/>
        </w:rPr>
      </w:pPr>
      <w:bookmarkStart w:id="747" w:name="_ENREF_390"/>
      <w:r w:rsidRPr="00787196">
        <w:rPr>
          <w:noProof/>
        </w:rPr>
        <w:t xml:space="preserve">TNPSC. 2015. </w:t>
      </w:r>
      <w:r w:rsidRPr="00787196">
        <w:rPr>
          <w:i/>
          <w:noProof/>
        </w:rPr>
        <w:t xml:space="preserve">Departmental Question Papers </w:t>
      </w:r>
      <w:r w:rsidRPr="00787196">
        <w:rPr>
          <w:noProof/>
        </w:rPr>
        <w:t xml:space="preserve">[Online]. Chennai, India: Tamil Nadu Public Service Commision. Available: </w:t>
      </w:r>
      <w:hyperlink r:id="rId37" w:history="1">
        <w:r w:rsidRPr="00787196">
          <w:rPr>
            <w:rStyle w:val="Hyperlink"/>
            <w:noProof/>
          </w:rPr>
          <w:t>http://www.tnpsc.gov.in/communities-list.html</w:t>
        </w:r>
      </w:hyperlink>
      <w:r w:rsidRPr="00787196">
        <w:rPr>
          <w:noProof/>
        </w:rPr>
        <w:t xml:space="preserve"> [Accessed 18th August 2015].</w:t>
      </w:r>
      <w:bookmarkEnd w:id="747"/>
    </w:p>
    <w:p w14:paraId="37C81DD1" w14:textId="77777777" w:rsidR="00525DC8" w:rsidRPr="00787196" w:rsidRDefault="00525DC8" w:rsidP="00525DC8">
      <w:pPr>
        <w:pStyle w:val="EndNoteBibliography"/>
        <w:spacing w:after="240"/>
        <w:rPr>
          <w:noProof/>
        </w:rPr>
      </w:pPr>
      <w:bookmarkStart w:id="748" w:name="_ENREF_391"/>
      <w:r w:rsidRPr="00787196">
        <w:rPr>
          <w:noProof/>
        </w:rPr>
        <w:t xml:space="preserve">TORRES, B. L., COSTA, F. O., MODENA, C. M., COTA, L. O., CORTES, M. I. &amp; SERAIDARIAN, P. I. 2011. Association between personality traits and quality of life in patients treated with conventional mandibular dentures or implant-supported overdentures. </w:t>
      </w:r>
      <w:r w:rsidRPr="00787196">
        <w:rPr>
          <w:i/>
          <w:noProof/>
        </w:rPr>
        <w:t>J Oral Rehabil,</w:t>
      </w:r>
      <w:r w:rsidRPr="00787196">
        <w:rPr>
          <w:noProof/>
        </w:rPr>
        <w:t xml:space="preserve"> 38</w:t>
      </w:r>
      <w:r w:rsidRPr="00787196">
        <w:rPr>
          <w:b/>
          <w:noProof/>
        </w:rPr>
        <w:t>,</w:t>
      </w:r>
      <w:r w:rsidRPr="00787196">
        <w:rPr>
          <w:noProof/>
        </w:rPr>
        <w:t xml:space="preserve"> 454-61.</w:t>
      </w:r>
      <w:bookmarkEnd w:id="748"/>
    </w:p>
    <w:p w14:paraId="34DA97FB" w14:textId="77777777" w:rsidR="00525DC8" w:rsidRPr="00787196" w:rsidRDefault="00525DC8" w:rsidP="00525DC8">
      <w:pPr>
        <w:pStyle w:val="EndNoteBibliography"/>
        <w:spacing w:after="240"/>
        <w:rPr>
          <w:noProof/>
        </w:rPr>
      </w:pPr>
      <w:bookmarkStart w:id="749" w:name="_ENREF_392"/>
      <w:r w:rsidRPr="00787196">
        <w:rPr>
          <w:noProof/>
        </w:rPr>
        <w:t xml:space="preserve">TROFFER, C. &amp; BEDER, O. E. 1961. Immediate dentures and speech defects. </w:t>
      </w:r>
      <w:r w:rsidRPr="00787196">
        <w:rPr>
          <w:i/>
          <w:noProof/>
        </w:rPr>
        <w:t>Dental Progress,</w:t>
      </w:r>
      <w:r w:rsidRPr="00787196">
        <w:rPr>
          <w:noProof/>
        </w:rPr>
        <w:t xml:space="preserve"> 1</w:t>
      </w:r>
      <w:r w:rsidRPr="00787196">
        <w:rPr>
          <w:b/>
          <w:noProof/>
        </w:rPr>
        <w:t>,</w:t>
      </w:r>
      <w:r w:rsidRPr="00787196">
        <w:rPr>
          <w:noProof/>
        </w:rPr>
        <w:t xml:space="preserve"> 264-9.</w:t>
      </w:r>
      <w:bookmarkEnd w:id="749"/>
    </w:p>
    <w:p w14:paraId="7FFA8DDB" w14:textId="77777777" w:rsidR="00525DC8" w:rsidRPr="00787196" w:rsidRDefault="00525DC8" w:rsidP="00525DC8">
      <w:pPr>
        <w:pStyle w:val="EndNoteBibliography"/>
        <w:spacing w:after="240"/>
        <w:rPr>
          <w:noProof/>
        </w:rPr>
      </w:pPr>
      <w:bookmarkStart w:id="750" w:name="_ENREF_393"/>
      <w:r w:rsidRPr="00787196">
        <w:rPr>
          <w:noProof/>
        </w:rPr>
        <w:t xml:space="preserve">TSAKOS, G., SHEIHAM, A., ILIFFE, S., KHARICHA, K., HARARI, D., SWIFT, C. G., GILLMAN, G. &amp; STUCK, A. E. 2009. The impact of educational level on oral health-related quality of life in older people in London. </w:t>
      </w:r>
      <w:r w:rsidRPr="00787196">
        <w:rPr>
          <w:i/>
          <w:noProof/>
        </w:rPr>
        <w:t>Eur J Oral Sci,</w:t>
      </w:r>
      <w:r w:rsidRPr="00787196">
        <w:rPr>
          <w:noProof/>
        </w:rPr>
        <w:t xml:space="preserve"> 117</w:t>
      </w:r>
      <w:r w:rsidRPr="00787196">
        <w:rPr>
          <w:b/>
          <w:noProof/>
        </w:rPr>
        <w:t>,</w:t>
      </w:r>
      <w:r w:rsidRPr="00787196">
        <w:rPr>
          <w:noProof/>
        </w:rPr>
        <w:t xml:space="preserve"> 286-92.</w:t>
      </w:r>
      <w:bookmarkEnd w:id="750"/>
    </w:p>
    <w:p w14:paraId="76A5F369" w14:textId="77777777" w:rsidR="00525DC8" w:rsidRPr="00787196" w:rsidRDefault="00525DC8" w:rsidP="00525DC8">
      <w:pPr>
        <w:pStyle w:val="EndNoteBibliography"/>
        <w:spacing w:after="240"/>
        <w:rPr>
          <w:noProof/>
        </w:rPr>
      </w:pPr>
      <w:bookmarkStart w:id="751" w:name="_ENREF_394"/>
      <w:r w:rsidRPr="00787196">
        <w:rPr>
          <w:noProof/>
        </w:rPr>
        <w:t xml:space="preserve">TSAKOS, G., STEELE, J. G., MARCENES, W., WALLS, A. W. G. &amp; SHEIHAM, A. 2006. Clinical correlates of oral health-related quality of life: evidence from a national sample of British older people. </w:t>
      </w:r>
      <w:r w:rsidRPr="00787196">
        <w:rPr>
          <w:i/>
          <w:noProof/>
        </w:rPr>
        <w:t>European Journal of Oral Sciences,</w:t>
      </w:r>
      <w:r w:rsidRPr="00787196">
        <w:rPr>
          <w:noProof/>
        </w:rPr>
        <w:t xml:space="preserve"> 114</w:t>
      </w:r>
      <w:r w:rsidRPr="00787196">
        <w:rPr>
          <w:b/>
          <w:noProof/>
        </w:rPr>
        <w:t>,</w:t>
      </w:r>
      <w:r w:rsidRPr="00787196">
        <w:rPr>
          <w:noProof/>
        </w:rPr>
        <w:t xml:space="preserve"> 391-395.</w:t>
      </w:r>
      <w:bookmarkEnd w:id="751"/>
    </w:p>
    <w:p w14:paraId="31000C45" w14:textId="77777777" w:rsidR="00525DC8" w:rsidRPr="00787196" w:rsidRDefault="00525DC8" w:rsidP="00525DC8">
      <w:pPr>
        <w:pStyle w:val="EndNoteBibliography"/>
        <w:spacing w:after="240"/>
        <w:rPr>
          <w:noProof/>
        </w:rPr>
      </w:pPr>
      <w:bookmarkStart w:id="752" w:name="_ENREF_395"/>
      <w:r w:rsidRPr="00787196">
        <w:rPr>
          <w:noProof/>
        </w:rPr>
        <w:t xml:space="preserve">TURBYFILL, W. F. 1989. Regaining pleasure and success with complete denture services. </w:t>
      </w:r>
      <w:r w:rsidRPr="00787196">
        <w:rPr>
          <w:i/>
          <w:noProof/>
        </w:rPr>
        <w:t>The International journal of prosthodontics,</w:t>
      </w:r>
      <w:r w:rsidRPr="00787196">
        <w:rPr>
          <w:noProof/>
        </w:rPr>
        <w:t xml:space="preserve"> 2</w:t>
      </w:r>
      <w:r w:rsidRPr="00787196">
        <w:rPr>
          <w:b/>
          <w:noProof/>
        </w:rPr>
        <w:t>,</w:t>
      </w:r>
      <w:r w:rsidRPr="00787196">
        <w:rPr>
          <w:noProof/>
        </w:rPr>
        <w:t xml:space="preserve"> 474-482.</w:t>
      </w:r>
      <w:bookmarkEnd w:id="752"/>
    </w:p>
    <w:p w14:paraId="074C9951" w14:textId="77777777" w:rsidR="00525DC8" w:rsidRPr="00787196" w:rsidRDefault="00525DC8" w:rsidP="00525DC8">
      <w:pPr>
        <w:pStyle w:val="EndNoteBibliography"/>
        <w:spacing w:after="240"/>
        <w:rPr>
          <w:noProof/>
        </w:rPr>
      </w:pPr>
      <w:bookmarkStart w:id="753" w:name="_ENREF_396"/>
      <w:r w:rsidRPr="00787196">
        <w:rPr>
          <w:noProof/>
        </w:rPr>
        <w:t xml:space="preserve">TURRELL, G., SANDERS, A. E., SLADE, G. D., SPENCER, A. J. &amp; MARCENES, W. 2007. The independent contribution of neighborhood disadvantage and individual-level socioeconomic position to self-reported oral health: a multilevel analysis. </w:t>
      </w:r>
      <w:r w:rsidRPr="00787196">
        <w:rPr>
          <w:i/>
          <w:noProof/>
        </w:rPr>
        <w:t>Community Dentistry and Oral Epidemiology,</w:t>
      </w:r>
      <w:r w:rsidRPr="00787196">
        <w:rPr>
          <w:noProof/>
        </w:rPr>
        <w:t xml:space="preserve"> 35</w:t>
      </w:r>
      <w:r w:rsidRPr="00787196">
        <w:rPr>
          <w:b/>
          <w:noProof/>
        </w:rPr>
        <w:t>,</w:t>
      </w:r>
      <w:r w:rsidRPr="00787196">
        <w:rPr>
          <w:noProof/>
        </w:rPr>
        <w:t xml:space="preserve"> 195-206.</w:t>
      </w:r>
      <w:bookmarkEnd w:id="753"/>
    </w:p>
    <w:p w14:paraId="1026C4B5" w14:textId="77777777" w:rsidR="00525DC8" w:rsidRPr="00787196" w:rsidRDefault="00525DC8" w:rsidP="00525DC8">
      <w:pPr>
        <w:pStyle w:val="EndNoteBibliography"/>
        <w:spacing w:after="240"/>
        <w:rPr>
          <w:noProof/>
        </w:rPr>
      </w:pPr>
      <w:bookmarkStart w:id="754" w:name="_ENREF_397"/>
      <w:r w:rsidRPr="00787196">
        <w:rPr>
          <w:noProof/>
        </w:rPr>
        <w:t xml:space="preserve">URSIN, H. 1980. Personality, activation and somatic health a new psychosomatic theory. </w:t>
      </w:r>
      <w:r w:rsidRPr="00787196">
        <w:rPr>
          <w:i/>
          <w:noProof/>
        </w:rPr>
        <w:t>Coping and health.</w:t>
      </w:r>
      <w:r w:rsidRPr="00787196">
        <w:rPr>
          <w:noProof/>
        </w:rPr>
        <w:t xml:space="preserve"> Springer.</w:t>
      </w:r>
      <w:bookmarkEnd w:id="754"/>
    </w:p>
    <w:p w14:paraId="49487B30" w14:textId="77777777" w:rsidR="00525DC8" w:rsidRPr="00787196" w:rsidRDefault="00525DC8" w:rsidP="00525DC8">
      <w:pPr>
        <w:pStyle w:val="EndNoteBibliography"/>
        <w:spacing w:after="240"/>
        <w:rPr>
          <w:noProof/>
        </w:rPr>
      </w:pPr>
      <w:bookmarkStart w:id="755" w:name="_ENREF_398"/>
      <w:r w:rsidRPr="00787196">
        <w:rPr>
          <w:noProof/>
        </w:rPr>
        <w:lastRenderedPageBreak/>
        <w:t xml:space="preserve">VAN DE VEN, M. O. M., ENGELS, R. C. M. E., SAWYER, S. M., OTTEN, R. &amp; VAN DEN EIJNDEN, R. J. J. M. 2007. The role of coping strategies in quality of life of adolescents with asthma. </w:t>
      </w:r>
      <w:r w:rsidRPr="00787196">
        <w:rPr>
          <w:i/>
          <w:noProof/>
        </w:rPr>
        <w:t>Quality of Life Research,</w:t>
      </w:r>
      <w:r w:rsidRPr="00787196">
        <w:rPr>
          <w:noProof/>
        </w:rPr>
        <w:t xml:space="preserve"> 16</w:t>
      </w:r>
      <w:r w:rsidRPr="00787196">
        <w:rPr>
          <w:b/>
          <w:noProof/>
        </w:rPr>
        <w:t>,</w:t>
      </w:r>
      <w:r w:rsidRPr="00787196">
        <w:rPr>
          <w:noProof/>
        </w:rPr>
        <w:t xml:space="preserve"> 625-634.</w:t>
      </w:r>
      <w:bookmarkEnd w:id="755"/>
    </w:p>
    <w:p w14:paraId="7596CE80" w14:textId="77777777" w:rsidR="00525DC8" w:rsidRPr="00787196" w:rsidRDefault="00525DC8" w:rsidP="00525DC8">
      <w:pPr>
        <w:pStyle w:val="EndNoteBibliography"/>
        <w:spacing w:after="240"/>
        <w:rPr>
          <w:noProof/>
        </w:rPr>
      </w:pPr>
      <w:bookmarkStart w:id="756" w:name="_ENREF_399"/>
      <w:r w:rsidRPr="00787196">
        <w:rPr>
          <w:noProof/>
        </w:rPr>
        <w:t xml:space="preserve">VAN DER ZAAG-LOONEN, H. J., GROOTENHUIS, M. A., LAST, B. F. &amp; DERKX, H. H. F. 2004. Coping strategies and quality of life of adolescents with inflammatory bowel disease. </w:t>
      </w:r>
      <w:r w:rsidRPr="00787196">
        <w:rPr>
          <w:i/>
          <w:noProof/>
        </w:rPr>
        <w:t>Quality of Life Research,</w:t>
      </w:r>
      <w:r w:rsidRPr="00787196">
        <w:rPr>
          <w:noProof/>
        </w:rPr>
        <w:t xml:space="preserve"> 13</w:t>
      </w:r>
      <w:r w:rsidRPr="00787196">
        <w:rPr>
          <w:b/>
          <w:noProof/>
        </w:rPr>
        <w:t>,</w:t>
      </w:r>
      <w:r w:rsidRPr="00787196">
        <w:rPr>
          <w:noProof/>
        </w:rPr>
        <w:t xml:space="preserve"> 1011-1019.</w:t>
      </w:r>
      <w:bookmarkEnd w:id="756"/>
    </w:p>
    <w:p w14:paraId="18D9972D" w14:textId="77777777" w:rsidR="00525DC8" w:rsidRPr="00787196" w:rsidRDefault="00525DC8" w:rsidP="00525DC8">
      <w:pPr>
        <w:pStyle w:val="EndNoteBibliography"/>
        <w:spacing w:after="240"/>
        <w:rPr>
          <w:noProof/>
        </w:rPr>
      </w:pPr>
      <w:bookmarkStart w:id="757" w:name="_ENREF_400"/>
      <w:r w:rsidRPr="00787196">
        <w:rPr>
          <w:noProof/>
        </w:rPr>
        <w:t xml:space="preserve">VAN WAAS, M. A. J. 1990. The influence of clinical variables on patients' satisfaction with complete dentures. </w:t>
      </w:r>
      <w:r w:rsidRPr="00787196">
        <w:rPr>
          <w:i/>
          <w:noProof/>
        </w:rPr>
        <w:t>The Journal of Prosthetic Dentistry,</w:t>
      </w:r>
      <w:r w:rsidRPr="00787196">
        <w:rPr>
          <w:noProof/>
        </w:rPr>
        <w:t xml:space="preserve"> 63</w:t>
      </w:r>
      <w:r w:rsidRPr="00787196">
        <w:rPr>
          <w:b/>
          <w:noProof/>
        </w:rPr>
        <w:t>,</w:t>
      </w:r>
      <w:r w:rsidRPr="00787196">
        <w:rPr>
          <w:noProof/>
        </w:rPr>
        <w:t xml:space="preserve"> 307-310.</w:t>
      </w:r>
      <w:bookmarkEnd w:id="757"/>
    </w:p>
    <w:p w14:paraId="7D1CE33B" w14:textId="77777777" w:rsidR="00525DC8" w:rsidRPr="00787196" w:rsidRDefault="00525DC8" w:rsidP="00525DC8">
      <w:pPr>
        <w:pStyle w:val="EndNoteBibliography"/>
        <w:spacing w:after="240"/>
        <w:rPr>
          <w:noProof/>
        </w:rPr>
      </w:pPr>
      <w:bookmarkStart w:id="758" w:name="_ENREF_401"/>
      <w:r w:rsidRPr="00787196">
        <w:rPr>
          <w:noProof/>
        </w:rPr>
        <w:t xml:space="preserve">VAN'T VEER-TAZELAAR, P. J., VAN MARWIJK, H. W. J., JANSEN, A. P. D., RIJMEN, F., KOSTENSE, P. J., VAN OPPEN, P., VAN HOUT, H. P. J., STALMAN, W. A. B. &amp; BEEKMAN, A. T. F. 2008. Depression in old age (75+), the PIKO study. </w:t>
      </w:r>
      <w:r w:rsidRPr="00787196">
        <w:rPr>
          <w:i/>
          <w:noProof/>
        </w:rPr>
        <w:t>Journal of Affective Disorders,</w:t>
      </w:r>
      <w:r w:rsidRPr="00787196">
        <w:rPr>
          <w:noProof/>
        </w:rPr>
        <w:t xml:space="preserve"> 106</w:t>
      </w:r>
      <w:r w:rsidRPr="00787196">
        <w:rPr>
          <w:b/>
          <w:noProof/>
        </w:rPr>
        <w:t>,</w:t>
      </w:r>
      <w:r w:rsidRPr="00787196">
        <w:rPr>
          <w:noProof/>
        </w:rPr>
        <w:t xml:space="preserve"> 295-299.</w:t>
      </w:r>
      <w:bookmarkEnd w:id="758"/>
    </w:p>
    <w:p w14:paraId="65ADA0AE" w14:textId="77777777" w:rsidR="00525DC8" w:rsidRPr="00787196" w:rsidRDefault="00525DC8" w:rsidP="00525DC8">
      <w:pPr>
        <w:pStyle w:val="EndNoteBibliography"/>
        <w:spacing w:after="240"/>
        <w:rPr>
          <w:noProof/>
        </w:rPr>
      </w:pPr>
      <w:bookmarkStart w:id="759" w:name="_ENREF_402"/>
      <w:r w:rsidRPr="00787196">
        <w:rPr>
          <w:noProof/>
        </w:rPr>
        <w:t xml:space="preserve">VERVOORN, J. M., DUINKERKE, A. S. H., LUTEIJN, F., BOUMAN, T. K. &amp; VAN DE POEL, A. C. M. 1987. Reproducibility of an assessment scale of denture quality. </w:t>
      </w:r>
      <w:r w:rsidRPr="00787196">
        <w:rPr>
          <w:i/>
          <w:noProof/>
        </w:rPr>
        <w:t>Community Dentistry and Oral Epidemiology,</w:t>
      </w:r>
      <w:r w:rsidRPr="00787196">
        <w:rPr>
          <w:noProof/>
        </w:rPr>
        <w:t xml:space="preserve"> 15</w:t>
      </w:r>
      <w:r w:rsidRPr="00787196">
        <w:rPr>
          <w:b/>
          <w:noProof/>
        </w:rPr>
        <w:t>,</w:t>
      </w:r>
      <w:r w:rsidRPr="00787196">
        <w:rPr>
          <w:noProof/>
        </w:rPr>
        <w:t xml:space="preserve"> 209-210.</w:t>
      </w:r>
      <w:bookmarkEnd w:id="759"/>
    </w:p>
    <w:p w14:paraId="41920A32" w14:textId="77777777" w:rsidR="00525DC8" w:rsidRPr="00787196" w:rsidRDefault="00525DC8" w:rsidP="00525DC8">
      <w:pPr>
        <w:pStyle w:val="EndNoteBibliography"/>
        <w:spacing w:after="240"/>
        <w:rPr>
          <w:noProof/>
        </w:rPr>
      </w:pPr>
      <w:bookmarkStart w:id="760" w:name="_ENREF_403"/>
      <w:r w:rsidRPr="00787196">
        <w:rPr>
          <w:noProof/>
        </w:rPr>
        <w:t xml:space="preserve">VERVOORN, J. M., DUINKERKE, A. S. H., LUTEIJN, F. &amp; POOL, A. 1991. Relative importance of psychologic factors in denture satisfaction. </w:t>
      </w:r>
      <w:r w:rsidRPr="00787196">
        <w:rPr>
          <w:i/>
          <w:noProof/>
        </w:rPr>
        <w:t>Community dentistry and oral epidemiology,</w:t>
      </w:r>
      <w:r w:rsidRPr="00787196">
        <w:rPr>
          <w:noProof/>
        </w:rPr>
        <w:t xml:space="preserve"> 19</w:t>
      </w:r>
      <w:r w:rsidRPr="00787196">
        <w:rPr>
          <w:b/>
          <w:noProof/>
        </w:rPr>
        <w:t>,</w:t>
      </w:r>
      <w:r w:rsidRPr="00787196">
        <w:rPr>
          <w:noProof/>
        </w:rPr>
        <w:t xml:space="preserve"> 45-47.</w:t>
      </w:r>
      <w:bookmarkEnd w:id="760"/>
    </w:p>
    <w:p w14:paraId="1ACCC913" w14:textId="77777777" w:rsidR="00525DC8" w:rsidRPr="00787196" w:rsidRDefault="00525DC8" w:rsidP="00525DC8">
      <w:pPr>
        <w:pStyle w:val="EndNoteBibliography"/>
        <w:spacing w:after="240"/>
        <w:rPr>
          <w:noProof/>
        </w:rPr>
      </w:pPr>
      <w:bookmarkStart w:id="761" w:name="_ENREF_404"/>
      <w:r w:rsidRPr="00787196">
        <w:rPr>
          <w:noProof/>
        </w:rPr>
        <w:t xml:space="preserve">VEYRUNE, J. L., TUBERT-JEANNIN, S., DUTHEIL, C. &amp; RIORDAN, P. J. 2005. Impact of new prostheses on the oral health related quality of life of edentulous patients. </w:t>
      </w:r>
      <w:r w:rsidRPr="00787196">
        <w:rPr>
          <w:i/>
          <w:noProof/>
        </w:rPr>
        <w:t>Gerodontology,</w:t>
      </w:r>
      <w:r w:rsidRPr="00787196">
        <w:rPr>
          <w:noProof/>
        </w:rPr>
        <w:t xml:space="preserve"> 22</w:t>
      </w:r>
      <w:r w:rsidRPr="00787196">
        <w:rPr>
          <w:b/>
          <w:noProof/>
        </w:rPr>
        <w:t>,</w:t>
      </w:r>
      <w:r w:rsidRPr="00787196">
        <w:rPr>
          <w:noProof/>
        </w:rPr>
        <w:t xml:space="preserve"> 3-9.</w:t>
      </w:r>
      <w:bookmarkEnd w:id="761"/>
    </w:p>
    <w:p w14:paraId="74B759DE" w14:textId="77777777" w:rsidR="00525DC8" w:rsidRPr="00787196" w:rsidRDefault="00525DC8" w:rsidP="00525DC8">
      <w:pPr>
        <w:pStyle w:val="EndNoteBibliography"/>
        <w:spacing w:after="240"/>
        <w:rPr>
          <w:noProof/>
        </w:rPr>
      </w:pPr>
      <w:bookmarkStart w:id="762" w:name="_ENREF_405"/>
      <w:r w:rsidRPr="00787196">
        <w:rPr>
          <w:noProof/>
        </w:rPr>
        <w:t xml:space="preserve">WAHL, A., HANESTAD, B. R., WIKLUND, I. &amp; MOUM, T. 1999. Coping and quality of life in patients with psoriasis. </w:t>
      </w:r>
      <w:r w:rsidRPr="00787196">
        <w:rPr>
          <w:i/>
          <w:noProof/>
        </w:rPr>
        <w:t>Quality of Life Research,</w:t>
      </w:r>
      <w:r w:rsidRPr="00787196">
        <w:rPr>
          <w:noProof/>
        </w:rPr>
        <w:t xml:space="preserve"> 8</w:t>
      </w:r>
      <w:r w:rsidRPr="00787196">
        <w:rPr>
          <w:b/>
          <w:noProof/>
        </w:rPr>
        <w:t>,</w:t>
      </w:r>
      <w:r w:rsidRPr="00787196">
        <w:rPr>
          <w:noProof/>
        </w:rPr>
        <w:t xml:space="preserve"> 427-433.</w:t>
      </w:r>
      <w:bookmarkEnd w:id="762"/>
    </w:p>
    <w:p w14:paraId="5701651F" w14:textId="77777777" w:rsidR="00525DC8" w:rsidRPr="00787196" w:rsidRDefault="00525DC8" w:rsidP="00525DC8">
      <w:pPr>
        <w:pStyle w:val="EndNoteBibliography"/>
        <w:spacing w:after="240"/>
        <w:rPr>
          <w:noProof/>
        </w:rPr>
      </w:pPr>
      <w:bookmarkStart w:id="763" w:name="_ENREF_406"/>
      <w:r w:rsidRPr="00787196">
        <w:rPr>
          <w:noProof/>
        </w:rPr>
        <w:t xml:space="preserve">WAKABAYASHI, N., YATABE, M., AI, M., SATO, M. &amp; NAKAMURA, K. 1998. The influence of some demographic and clinical variables on psychosomatic traits of patients requesting replacement removable partial dentures. </w:t>
      </w:r>
      <w:r w:rsidRPr="00787196">
        <w:rPr>
          <w:i/>
          <w:noProof/>
        </w:rPr>
        <w:t>Journal of oral rehabilitation,</w:t>
      </w:r>
      <w:r w:rsidRPr="00787196">
        <w:rPr>
          <w:noProof/>
        </w:rPr>
        <w:t xml:space="preserve"> 25</w:t>
      </w:r>
      <w:r w:rsidRPr="00787196">
        <w:rPr>
          <w:b/>
          <w:noProof/>
        </w:rPr>
        <w:t>,</w:t>
      </w:r>
      <w:r w:rsidRPr="00787196">
        <w:rPr>
          <w:noProof/>
        </w:rPr>
        <w:t xml:space="preserve"> 507-512.</w:t>
      </w:r>
      <w:bookmarkEnd w:id="763"/>
    </w:p>
    <w:p w14:paraId="05D8595C" w14:textId="77777777" w:rsidR="00525DC8" w:rsidRPr="00787196" w:rsidRDefault="00525DC8" w:rsidP="00525DC8">
      <w:pPr>
        <w:pStyle w:val="EndNoteBibliography"/>
        <w:spacing w:after="240"/>
        <w:rPr>
          <w:noProof/>
        </w:rPr>
      </w:pPr>
      <w:bookmarkStart w:id="764" w:name="_ENREF_407"/>
      <w:r w:rsidRPr="00787196">
        <w:rPr>
          <w:noProof/>
        </w:rPr>
        <w:t xml:space="preserve">WATSON, J., LOGAN, H. &amp; TOMAR, S. 2008. The influence of active coping and perceived stress on health disparities in a multi-ethnic low income sample. </w:t>
      </w:r>
      <w:r w:rsidRPr="00787196">
        <w:rPr>
          <w:i/>
          <w:noProof/>
        </w:rPr>
        <w:t>BMC Public Health,</w:t>
      </w:r>
      <w:r w:rsidRPr="00787196">
        <w:rPr>
          <w:noProof/>
        </w:rPr>
        <w:t xml:space="preserve"> 8</w:t>
      </w:r>
      <w:r w:rsidRPr="00787196">
        <w:rPr>
          <w:b/>
          <w:noProof/>
        </w:rPr>
        <w:t>,</w:t>
      </w:r>
      <w:r w:rsidRPr="00787196">
        <w:rPr>
          <w:noProof/>
        </w:rPr>
        <w:t xml:space="preserve"> 41.</w:t>
      </w:r>
      <w:bookmarkEnd w:id="764"/>
    </w:p>
    <w:p w14:paraId="3F4771BB" w14:textId="06F01487" w:rsidR="00525DC8" w:rsidRPr="00787196" w:rsidRDefault="00525DC8" w:rsidP="00525DC8">
      <w:pPr>
        <w:pStyle w:val="EndNoteBibliography"/>
        <w:spacing w:after="240"/>
        <w:rPr>
          <w:noProof/>
        </w:rPr>
      </w:pPr>
      <w:bookmarkStart w:id="765" w:name="_ENREF_408"/>
      <w:r w:rsidRPr="00787196">
        <w:rPr>
          <w:noProof/>
        </w:rPr>
        <w:lastRenderedPageBreak/>
        <w:t xml:space="preserve">WATT, R., LISTL, S., PERES, M. A. &amp; HEILMANN, A. 2015. </w:t>
      </w:r>
      <w:r w:rsidRPr="00787196">
        <w:rPr>
          <w:i/>
          <w:noProof/>
        </w:rPr>
        <w:t xml:space="preserve">Social inequalities in oral health: from evidence to action </w:t>
      </w:r>
      <w:r w:rsidRPr="00787196">
        <w:rPr>
          <w:noProof/>
        </w:rPr>
        <w:t xml:space="preserve">[Online]. Available: </w:t>
      </w:r>
      <w:hyperlink r:id="rId38" w:history="1">
        <w:r w:rsidRPr="00787196">
          <w:rPr>
            <w:rStyle w:val="Hyperlink"/>
            <w:noProof/>
          </w:rPr>
          <w:t>http://www.icohirp.com/monograph.html</w:t>
        </w:r>
      </w:hyperlink>
      <w:r w:rsidRPr="00787196">
        <w:rPr>
          <w:noProof/>
        </w:rPr>
        <w:t xml:space="preserve"> [Accessed November 2016].</w:t>
      </w:r>
      <w:bookmarkEnd w:id="765"/>
    </w:p>
    <w:p w14:paraId="47BBECED" w14:textId="77777777" w:rsidR="00525DC8" w:rsidRPr="00787196" w:rsidRDefault="00525DC8" w:rsidP="00525DC8">
      <w:pPr>
        <w:pStyle w:val="EndNoteBibliography"/>
        <w:spacing w:after="240"/>
        <w:rPr>
          <w:noProof/>
        </w:rPr>
      </w:pPr>
      <w:bookmarkStart w:id="766" w:name="_ENREF_409"/>
      <w:r w:rsidRPr="00787196">
        <w:rPr>
          <w:noProof/>
        </w:rPr>
        <w:t xml:space="preserve">WATT, R. &amp; SHEIHAM, A. 1999. Health policy: Inequalities in oral health: a review of the evidence and recommendations for action. </w:t>
      </w:r>
      <w:r w:rsidRPr="00787196">
        <w:rPr>
          <w:i/>
          <w:noProof/>
        </w:rPr>
        <w:t>British dental journal,</w:t>
      </w:r>
      <w:r w:rsidRPr="00787196">
        <w:rPr>
          <w:noProof/>
        </w:rPr>
        <w:t xml:space="preserve"> 187</w:t>
      </w:r>
      <w:r w:rsidRPr="00787196">
        <w:rPr>
          <w:b/>
          <w:noProof/>
        </w:rPr>
        <w:t>,</w:t>
      </w:r>
      <w:r w:rsidRPr="00787196">
        <w:rPr>
          <w:noProof/>
        </w:rPr>
        <w:t xml:space="preserve"> 6-12.</w:t>
      </w:r>
      <w:bookmarkEnd w:id="766"/>
    </w:p>
    <w:p w14:paraId="0E2DB883" w14:textId="77777777" w:rsidR="00525DC8" w:rsidRPr="00787196" w:rsidRDefault="00525DC8" w:rsidP="00525DC8">
      <w:pPr>
        <w:pStyle w:val="EndNoteBibliography"/>
        <w:spacing w:after="240"/>
        <w:rPr>
          <w:noProof/>
        </w:rPr>
      </w:pPr>
      <w:bookmarkStart w:id="767" w:name="_ENREF_410"/>
      <w:r w:rsidRPr="00787196">
        <w:rPr>
          <w:noProof/>
        </w:rPr>
        <w:t xml:space="preserve">WATT, R. G. 2007. From victim blaming to upstream action: tackling the social determinants of oral health inequalities. </w:t>
      </w:r>
      <w:r w:rsidRPr="00787196">
        <w:rPr>
          <w:i/>
          <w:noProof/>
        </w:rPr>
        <w:t>Community Dent Oral Epidemiol,</w:t>
      </w:r>
      <w:r w:rsidRPr="00787196">
        <w:rPr>
          <w:noProof/>
        </w:rPr>
        <w:t xml:space="preserve"> 35</w:t>
      </w:r>
      <w:r w:rsidRPr="00787196">
        <w:rPr>
          <w:b/>
          <w:noProof/>
        </w:rPr>
        <w:t>,</w:t>
      </w:r>
      <w:r w:rsidRPr="00787196">
        <w:rPr>
          <w:noProof/>
        </w:rPr>
        <w:t xml:space="preserve"> 1-11.</w:t>
      </w:r>
      <w:bookmarkEnd w:id="767"/>
    </w:p>
    <w:p w14:paraId="629EE61C" w14:textId="77777777" w:rsidR="00525DC8" w:rsidRPr="00787196" w:rsidRDefault="00525DC8" w:rsidP="00525DC8">
      <w:pPr>
        <w:pStyle w:val="EndNoteBibliography"/>
        <w:spacing w:after="240"/>
        <w:rPr>
          <w:noProof/>
        </w:rPr>
      </w:pPr>
      <w:bookmarkStart w:id="768" w:name="_ENREF_411"/>
      <w:r w:rsidRPr="00787196">
        <w:rPr>
          <w:noProof/>
        </w:rPr>
        <w:t>WATT, R. G. &amp; SHEIHAM, A. 2012. Integrating the common risk factor approach into a social determinants framework.</w:t>
      </w:r>
      <w:bookmarkEnd w:id="768"/>
    </w:p>
    <w:p w14:paraId="54A7C7F2" w14:textId="77777777" w:rsidR="00525DC8" w:rsidRPr="00787196" w:rsidRDefault="00525DC8" w:rsidP="00525DC8">
      <w:pPr>
        <w:pStyle w:val="EndNoteBibliography"/>
        <w:spacing w:after="240"/>
        <w:rPr>
          <w:noProof/>
        </w:rPr>
      </w:pPr>
      <w:bookmarkStart w:id="769" w:name="_ENREF_412"/>
      <w:r w:rsidRPr="00787196">
        <w:rPr>
          <w:noProof/>
        </w:rPr>
        <w:t xml:space="preserve">WEINSTEIN, M., SCHUCHMAN, J., LIEBERMAN, J. &amp; ROSEN, P. 1988. Age and denture experience as determinants in patient denture satisfaction. </w:t>
      </w:r>
      <w:r w:rsidRPr="00787196">
        <w:rPr>
          <w:i/>
          <w:noProof/>
        </w:rPr>
        <w:t>J Prosthet Dent,</w:t>
      </w:r>
      <w:r w:rsidRPr="00787196">
        <w:rPr>
          <w:noProof/>
        </w:rPr>
        <w:t xml:space="preserve"> 59</w:t>
      </w:r>
      <w:r w:rsidRPr="00787196">
        <w:rPr>
          <w:b/>
          <w:noProof/>
        </w:rPr>
        <w:t>,</w:t>
      </w:r>
      <w:r w:rsidRPr="00787196">
        <w:rPr>
          <w:noProof/>
        </w:rPr>
        <w:t xml:space="preserve"> 327-9.</w:t>
      </w:r>
      <w:bookmarkEnd w:id="769"/>
    </w:p>
    <w:p w14:paraId="1067CBBA" w14:textId="77777777" w:rsidR="00525DC8" w:rsidRPr="00787196" w:rsidRDefault="00525DC8" w:rsidP="00525DC8">
      <w:pPr>
        <w:pStyle w:val="EndNoteBibliography"/>
        <w:spacing w:after="240"/>
        <w:rPr>
          <w:noProof/>
        </w:rPr>
      </w:pPr>
      <w:bookmarkStart w:id="770" w:name="_ENREF_413"/>
      <w:r w:rsidRPr="00787196">
        <w:rPr>
          <w:noProof/>
        </w:rPr>
        <w:t>WEISS, H. M. &amp; CROPANZANO, R. 1996. Affective events theory: A theoretical discussion of the structure, causes and consequences of affective experiences at work.</w:t>
      </w:r>
      <w:bookmarkEnd w:id="770"/>
    </w:p>
    <w:p w14:paraId="03B442E5" w14:textId="77777777" w:rsidR="00525DC8" w:rsidRPr="00787196" w:rsidRDefault="00525DC8" w:rsidP="00525DC8">
      <w:pPr>
        <w:pStyle w:val="EndNoteBibliography"/>
        <w:spacing w:after="240"/>
        <w:rPr>
          <w:noProof/>
        </w:rPr>
      </w:pPr>
      <w:bookmarkStart w:id="771" w:name="_ENREF_414"/>
      <w:r w:rsidRPr="00787196">
        <w:rPr>
          <w:noProof/>
        </w:rPr>
        <w:t xml:space="preserve">WHO. Preamble to the Constitution of the World Health Organization as adopted by the International Health Conference. </w:t>
      </w:r>
      <w:r w:rsidRPr="00787196">
        <w:rPr>
          <w:i/>
          <w:noProof/>
        </w:rPr>
        <w:t xml:space="preserve">In: </w:t>
      </w:r>
      <w:r w:rsidRPr="00787196">
        <w:rPr>
          <w:noProof/>
        </w:rPr>
        <w:t>STATES, R. O., ed. International Health Conference, 19-22 June 1946 New York. Official Records of the World Health Organization, 100.</w:t>
      </w:r>
      <w:bookmarkEnd w:id="771"/>
    </w:p>
    <w:p w14:paraId="308ABE00" w14:textId="77777777" w:rsidR="00525DC8" w:rsidRPr="00787196" w:rsidRDefault="00525DC8" w:rsidP="00525DC8">
      <w:pPr>
        <w:pStyle w:val="EndNoteBibliography"/>
        <w:spacing w:after="240"/>
        <w:rPr>
          <w:noProof/>
        </w:rPr>
      </w:pPr>
      <w:bookmarkStart w:id="772" w:name="_ENREF_415"/>
      <w:r w:rsidRPr="00787196">
        <w:rPr>
          <w:noProof/>
        </w:rPr>
        <w:t>WHO 1986. Ottawa Charter for Health Promotion. Geneva: World Health Organisation.</w:t>
      </w:r>
      <w:bookmarkEnd w:id="772"/>
    </w:p>
    <w:p w14:paraId="1BA8A398" w14:textId="77777777" w:rsidR="00525DC8" w:rsidRPr="00787196" w:rsidRDefault="00525DC8" w:rsidP="00525DC8">
      <w:pPr>
        <w:pStyle w:val="EndNoteBibliography"/>
        <w:spacing w:after="240"/>
        <w:rPr>
          <w:noProof/>
        </w:rPr>
      </w:pPr>
      <w:bookmarkStart w:id="773" w:name="_ENREF_416"/>
      <w:r w:rsidRPr="00787196">
        <w:rPr>
          <w:noProof/>
        </w:rPr>
        <w:t xml:space="preserve">WHO 2008. </w:t>
      </w:r>
      <w:r w:rsidRPr="00787196">
        <w:rPr>
          <w:i/>
          <w:noProof/>
        </w:rPr>
        <w:t xml:space="preserve">Closing the gap in a generation : health equity through action on the social determinants of health : Commission on Social Determinants of Health final report, </w:t>
      </w:r>
      <w:r w:rsidRPr="00787196">
        <w:rPr>
          <w:noProof/>
        </w:rPr>
        <w:t>Geneva, Switzerland, World Health Organization, Commission on Social Determinants of Health.</w:t>
      </w:r>
      <w:bookmarkEnd w:id="773"/>
    </w:p>
    <w:p w14:paraId="124FCF89" w14:textId="77777777" w:rsidR="00525DC8" w:rsidRPr="00787196" w:rsidRDefault="00525DC8" w:rsidP="00525DC8">
      <w:pPr>
        <w:pStyle w:val="EndNoteBibliography"/>
        <w:spacing w:after="240"/>
        <w:rPr>
          <w:noProof/>
        </w:rPr>
      </w:pPr>
      <w:bookmarkStart w:id="774" w:name="_ENREF_417"/>
      <w:r w:rsidRPr="00787196">
        <w:rPr>
          <w:noProof/>
        </w:rPr>
        <w:t xml:space="preserve">WILKINSON, R. G. 1992. Income distribution and life expectancy. </w:t>
      </w:r>
      <w:r w:rsidRPr="00787196">
        <w:rPr>
          <w:i/>
          <w:noProof/>
        </w:rPr>
        <w:t>BMJ,</w:t>
      </w:r>
      <w:r w:rsidRPr="00787196">
        <w:rPr>
          <w:noProof/>
        </w:rPr>
        <w:t xml:space="preserve"> 304</w:t>
      </w:r>
      <w:r w:rsidRPr="00787196">
        <w:rPr>
          <w:b/>
          <w:noProof/>
        </w:rPr>
        <w:t>,</w:t>
      </w:r>
      <w:r w:rsidRPr="00787196">
        <w:rPr>
          <w:noProof/>
        </w:rPr>
        <w:t xml:space="preserve"> 165-168.</w:t>
      </w:r>
      <w:bookmarkEnd w:id="774"/>
    </w:p>
    <w:p w14:paraId="3BD0DF5A" w14:textId="77777777" w:rsidR="00525DC8" w:rsidRPr="00787196" w:rsidRDefault="00525DC8" w:rsidP="00525DC8">
      <w:pPr>
        <w:pStyle w:val="EndNoteBibliography"/>
        <w:spacing w:after="240"/>
        <w:rPr>
          <w:noProof/>
        </w:rPr>
      </w:pPr>
      <w:bookmarkStart w:id="775" w:name="_ENREF_418"/>
      <w:r w:rsidRPr="00787196">
        <w:rPr>
          <w:noProof/>
        </w:rPr>
        <w:t>WILKINSON, R. G. 1996.</w:t>
      </w:r>
      <w:r w:rsidRPr="00787196">
        <w:rPr>
          <w:i/>
          <w:noProof/>
        </w:rPr>
        <w:t xml:space="preserve"> Unhealthy Societies: The Afflictions of Inequality, </w:t>
      </w:r>
      <w:r w:rsidRPr="00787196">
        <w:rPr>
          <w:noProof/>
        </w:rPr>
        <w:t>London, Routledge.</w:t>
      </w:r>
      <w:bookmarkEnd w:id="775"/>
    </w:p>
    <w:p w14:paraId="6A0463D6" w14:textId="77777777" w:rsidR="00525DC8" w:rsidRPr="00787196" w:rsidRDefault="00525DC8" w:rsidP="00525DC8">
      <w:pPr>
        <w:pStyle w:val="EndNoteBibliography"/>
        <w:spacing w:after="240"/>
        <w:rPr>
          <w:noProof/>
        </w:rPr>
      </w:pPr>
      <w:bookmarkStart w:id="776" w:name="_ENREF_419"/>
      <w:r w:rsidRPr="00787196">
        <w:rPr>
          <w:noProof/>
        </w:rPr>
        <w:t xml:space="preserve">WILKINSON, R. G. 2002. </w:t>
      </w:r>
      <w:r w:rsidRPr="00787196">
        <w:rPr>
          <w:i/>
          <w:noProof/>
        </w:rPr>
        <w:t>Unhealthy societies: the afflictions of inequality</w:t>
      </w:r>
      <w:r w:rsidRPr="00787196">
        <w:rPr>
          <w:noProof/>
        </w:rPr>
        <w:t>, Routledge.</w:t>
      </w:r>
      <w:bookmarkEnd w:id="776"/>
    </w:p>
    <w:p w14:paraId="3CED82CE" w14:textId="77777777" w:rsidR="00525DC8" w:rsidRPr="00787196" w:rsidRDefault="00525DC8" w:rsidP="00525DC8">
      <w:pPr>
        <w:pStyle w:val="EndNoteBibliography"/>
        <w:spacing w:after="240"/>
        <w:rPr>
          <w:noProof/>
        </w:rPr>
      </w:pPr>
      <w:bookmarkStart w:id="777" w:name="_ENREF_420"/>
      <w:r w:rsidRPr="00787196">
        <w:rPr>
          <w:noProof/>
        </w:rPr>
        <w:t xml:space="preserve">WILKINSON, R. G. 2006. The impact of inequality. </w:t>
      </w:r>
      <w:r w:rsidRPr="00787196">
        <w:rPr>
          <w:i/>
          <w:noProof/>
        </w:rPr>
        <w:t>Social Research: An International Quarterly,</w:t>
      </w:r>
      <w:r w:rsidRPr="00787196">
        <w:rPr>
          <w:noProof/>
        </w:rPr>
        <w:t xml:space="preserve"> 73</w:t>
      </w:r>
      <w:r w:rsidRPr="00787196">
        <w:rPr>
          <w:b/>
          <w:noProof/>
        </w:rPr>
        <w:t>,</w:t>
      </w:r>
      <w:r w:rsidRPr="00787196">
        <w:rPr>
          <w:noProof/>
        </w:rPr>
        <w:t xml:space="preserve"> 711-732.</w:t>
      </w:r>
      <w:bookmarkEnd w:id="777"/>
    </w:p>
    <w:p w14:paraId="227D832A" w14:textId="77777777" w:rsidR="00525DC8" w:rsidRPr="00787196" w:rsidRDefault="00525DC8" w:rsidP="00525DC8">
      <w:pPr>
        <w:pStyle w:val="EndNoteBibliography"/>
        <w:spacing w:after="240"/>
        <w:rPr>
          <w:noProof/>
        </w:rPr>
      </w:pPr>
      <w:bookmarkStart w:id="778" w:name="_ENREF_421"/>
      <w:r w:rsidRPr="00787196">
        <w:rPr>
          <w:noProof/>
        </w:rPr>
        <w:lastRenderedPageBreak/>
        <w:t xml:space="preserve">WILLIAMS, N. J., WHITTLE, J. G. &amp; GATRELL, A. C. 2002. The relationship between socio-demographic characteristics and dental health knowledge and attitudes of parents with young children. </w:t>
      </w:r>
      <w:r w:rsidRPr="00787196">
        <w:rPr>
          <w:i/>
          <w:noProof/>
        </w:rPr>
        <w:t>British dental journal,</w:t>
      </w:r>
      <w:r w:rsidRPr="00787196">
        <w:rPr>
          <w:noProof/>
        </w:rPr>
        <w:t xml:space="preserve"> 193</w:t>
      </w:r>
      <w:r w:rsidRPr="00787196">
        <w:rPr>
          <w:b/>
          <w:noProof/>
        </w:rPr>
        <w:t>,</w:t>
      </w:r>
      <w:r w:rsidRPr="00787196">
        <w:rPr>
          <w:noProof/>
        </w:rPr>
        <w:t xml:space="preserve"> 651-654.</w:t>
      </w:r>
      <w:bookmarkEnd w:id="778"/>
    </w:p>
    <w:p w14:paraId="3EB29736" w14:textId="77777777" w:rsidR="00525DC8" w:rsidRPr="00787196" w:rsidRDefault="00525DC8" w:rsidP="00525DC8">
      <w:pPr>
        <w:pStyle w:val="EndNoteBibliography"/>
        <w:spacing w:after="240"/>
        <w:rPr>
          <w:noProof/>
        </w:rPr>
      </w:pPr>
      <w:bookmarkStart w:id="779" w:name="_ENREF_422"/>
      <w:r w:rsidRPr="00787196">
        <w:rPr>
          <w:noProof/>
        </w:rPr>
        <w:t xml:space="preserve">WILSON, I. &amp; CLEARY, P. 1995. Linking clinical variables with health-related quality of life: A conceptual model of patient outcomes. </w:t>
      </w:r>
      <w:r w:rsidRPr="00787196">
        <w:rPr>
          <w:i/>
          <w:noProof/>
        </w:rPr>
        <w:t>JAMA,</w:t>
      </w:r>
      <w:r w:rsidRPr="00787196">
        <w:rPr>
          <w:noProof/>
        </w:rPr>
        <w:t xml:space="preserve"> 273</w:t>
      </w:r>
      <w:r w:rsidRPr="00787196">
        <w:rPr>
          <w:b/>
          <w:noProof/>
        </w:rPr>
        <w:t>,</w:t>
      </w:r>
      <w:r w:rsidRPr="00787196">
        <w:rPr>
          <w:noProof/>
        </w:rPr>
        <w:t xml:space="preserve"> 59-65.</w:t>
      </w:r>
      <w:bookmarkEnd w:id="779"/>
    </w:p>
    <w:p w14:paraId="66ECAB52" w14:textId="77777777" w:rsidR="00525DC8" w:rsidRPr="00787196" w:rsidRDefault="00525DC8" w:rsidP="00525DC8">
      <w:pPr>
        <w:pStyle w:val="EndNoteBibliography"/>
        <w:spacing w:after="240"/>
        <w:rPr>
          <w:noProof/>
        </w:rPr>
      </w:pPr>
      <w:bookmarkStart w:id="780" w:name="_ENREF_423"/>
      <w:r w:rsidRPr="00787196">
        <w:rPr>
          <w:noProof/>
        </w:rPr>
        <w:t xml:space="preserve">WIMMER, G., JANDA, M., WIESELMANN-PENKNER, K., JAKSE, N., POLANSKY, R. &amp; PERTL, C. 2002. Coping with stress: its influence on periodontal disease. </w:t>
      </w:r>
      <w:r w:rsidRPr="00787196">
        <w:rPr>
          <w:i/>
          <w:noProof/>
        </w:rPr>
        <w:t>Journal of periodontology,</w:t>
      </w:r>
      <w:r w:rsidRPr="00787196">
        <w:rPr>
          <w:noProof/>
        </w:rPr>
        <w:t xml:space="preserve"> 73</w:t>
      </w:r>
      <w:r w:rsidRPr="00787196">
        <w:rPr>
          <w:b/>
          <w:noProof/>
        </w:rPr>
        <w:t>,</w:t>
      </w:r>
      <w:r w:rsidRPr="00787196">
        <w:rPr>
          <w:noProof/>
        </w:rPr>
        <w:t xml:space="preserve"> 1343-1351.</w:t>
      </w:r>
      <w:bookmarkEnd w:id="780"/>
    </w:p>
    <w:p w14:paraId="233F0137" w14:textId="77777777" w:rsidR="00525DC8" w:rsidRPr="00787196" w:rsidRDefault="00525DC8" w:rsidP="00525DC8">
      <w:pPr>
        <w:pStyle w:val="EndNoteBibliography"/>
        <w:spacing w:after="240"/>
        <w:rPr>
          <w:noProof/>
        </w:rPr>
      </w:pPr>
      <w:bookmarkStart w:id="781" w:name="_ENREF_424"/>
      <w:r w:rsidRPr="00787196">
        <w:rPr>
          <w:noProof/>
        </w:rPr>
        <w:t xml:space="preserve">WINKLEBY, M. A., JATULIS, D. E., FRANK, E. &amp; FORTMANN, S. P. 1992. Socioeconomic status and health: how education, income, and occupation contribute to risk factors for cardiovascular disease. </w:t>
      </w:r>
      <w:r w:rsidRPr="00787196">
        <w:rPr>
          <w:i/>
          <w:noProof/>
        </w:rPr>
        <w:t>American Journal of Public Health,</w:t>
      </w:r>
      <w:r w:rsidRPr="00787196">
        <w:rPr>
          <w:noProof/>
        </w:rPr>
        <w:t xml:space="preserve"> 82</w:t>
      </w:r>
      <w:r w:rsidRPr="00787196">
        <w:rPr>
          <w:b/>
          <w:noProof/>
        </w:rPr>
        <w:t>,</w:t>
      </w:r>
      <w:r w:rsidRPr="00787196">
        <w:rPr>
          <w:noProof/>
        </w:rPr>
        <w:t xml:space="preserve"> 816-820.</w:t>
      </w:r>
      <w:bookmarkEnd w:id="781"/>
    </w:p>
    <w:p w14:paraId="7928BA8F" w14:textId="77777777" w:rsidR="00525DC8" w:rsidRPr="00787196" w:rsidRDefault="00525DC8" w:rsidP="00525DC8">
      <w:pPr>
        <w:pStyle w:val="EndNoteBibliography"/>
        <w:spacing w:after="240"/>
        <w:rPr>
          <w:noProof/>
        </w:rPr>
      </w:pPr>
      <w:bookmarkStart w:id="782" w:name="_ENREF_425"/>
      <w:r w:rsidRPr="00787196">
        <w:rPr>
          <w:noProof/>
        </w:rPr>
        <w:t xml:space="preserve">WOLFART, S., HEYDECKE, G., LUTHARDT, R. G., MARRE, B., FREESMEYER, W. B., STARK, H., WOSTMANN, B., MUNDT, T., POSPIECH, P., JAHN, F., GITT, I., SCHADLER, M., AGGSTALLER, H., TALEBPUR, F., BUSCHE, E. &amp; BELL, M. 2005. Effects of prosthetic treatment for shortened dental arches on oral health-related quality of life, self-reports of pain and jaw disability: results from the pilot-phase of a randomized multicentre trial. </w:t>
      </w:r>
      <w:r w:rsidRPr="00787196">
        <w:rPr>
          <w:i/>
          <w:noProof/>
        </w:rPr>
        <w:t>J Oral Rehabil,</w:t>
      </w:r>
      <w:r w:rsidRPr="00787196">
        <w:rPr>
          <w:noProof/>
        </w:rPr>
        <w:t xml:space="preserve"> 32</w:t>
      </w:r>
      <w:r w:rsidRPr="00787196">
        <w:rPr>
          <w:b/>
          <w:noProof/>
        </w:rPr>
        <w:t>,</w:t>
      </w:r>
      <w:r w:rsidRPr="00787196">
        <w:rPr>
          <w:noProof/>
        </w:rPr>
        <w:t xml:space="preserve"> 815-22.</w:t>
      </w:r>
      <w:bookmarkEnd w:id="782"/>
    </w:p>
    <w:p w14:paraId="4BD946DF" w14:textId="77777777" w:rsidR="00525DC8" w:rsidRPr="00787196" w:rsidRDefault="00525DC8" w:rsidP="00525DC8">
      <w:pPr>
        <w:pStyle w:val="EndNoteBibliography"/>
        <w:spacing w:after="240"/>
        <w:rPr>
          <w:noProof/>
        </w:rPr>
      </w:pPr>
      <w:bookmarkStart w:id="783" w:name="_ENREF_426"/>
      <w:r w:rsidRPr="00787196">
        <w:rPr>
          <w:noProof/>
        </w:rPr>
        <w:t xml:space="preserve">WOLFF, A., GADRE, A., BEGLEITER, A., MOSKONA, D. &amp; CARDASH, H. 2003. Correlation between patient satisfaction with complete dentures and denture quality, oral condition, and flow rate of submandibular/sublingual salivary glands. </w:t>
      </w:r>
      <w:r w:rsidRPr="00787196">
        <w:rPr>
          <w:i/>
          <w:noProof/>
        </w:rPr>
        <w:t>Int J Prosthodont,</w:t>
      </w:r>
      <w:r w:rsidRPr="00787196">
        <w:rPr>
          <w:noProof/>
        </w:rPr>
        <w:t xml:space="preserve"> 16</w:t>
      </w:r>
      <w:r w:rsidRPr="00787196">
        <w:rPr>
          <w:b/>
          <w:noProof/>
        </w:rPr>
        <w:t>,</w:t>
      </w:r>
      <w:r w:rsidRPr="00787196">
        <w:rPr>
          <w:noProof/>
        </w:rPr>
        <w:t xml:space="preserve"> 45-8.</w:t>
      </w:r>
      <w:bookmarkEnd w:id="783"/>
    </w:p>
    <w:p w14:paraId="0AE6D506" w14:textId="77777777" w:rsidR="00525DC8" w:rsidRPr="00787196" w:rsidRDefault="00525DC8" w:rsidP="00525DC8">
      <w:pPr>
        <w:pStyle w:val="EndNoteBibliography"/>
        <w:spacing w:after="240"/>
        <w:rPr>
          <w:noProof/>
        </w:rPr>
      </w:pPr>
      <w:bookmarkStart w:id="784" w:name="_ENREF_427"/>
      <w:r w:rsidRPr="00787196">
        <w:rPr>
          <w:noProof/>
        </w:rPr>
        <w:t>WOLFF, B. W., TIMO, B., CORNELIA, F., REGINA, M., NORBERT, B., HANNS-MARTIN, L. &amp; DIANA 2014. Oral status in patients with early rheumatoid arthritis: a prospective, case–control study.</w:t>
      </w:r>
      <w:bookmarkEnd w:id="784"/>
    </w:p>
    <w:p w14:paraId="55502198" w14:textId="77777777" w:rsidR="00525DC8" w:rsidRPr="00787196" w:rsidRDefault="00525DC8" w:rsidP="00525DC8">
      <w:pPr>
        <w:pStyle w:val="EndNoteBibliography"/>
        <w:spacing w:after="240"/>
        <w:rPr>
          <w:noProof/>
        </w:rPr>
      </w:pPr>
      <w:bookmarkStart w:id="785" w:name="_ENREF_428"/>
      <w:r w:rsidRPr="00787196">
        <w:rPr>
          <w:noProof/>
        </w:rPr>
        <w:t xml:space="preserve">WORLD HEALTH ORGANISATION 1995. The World Health Organization quality of life assessment (WHOQOL): Position paper from the World Health Organization. </w:t>
      </w:r>
      <w:r w:rsidRPr="00787196">
        <w:rPr>
          <w:i/>
          <w:noProof/>
        </w:rPr>
        <w:t>Social Science &amp;amp; Medicine,</w:t>
      </w:r>
      <w:r w:rsidRPr="00787196">
        <w:rPr>
          <w:noProof/>
        </w:rPr>
        <w:t xml:space="preserve"> 41</w:t>
      </w:r>
      <w:r w:rsidRPr="00787196">
        <w:rPr>
          <w:b/>
          <w:noProof/>
        </w:rPr>
        <w:t>,</w:t>
      </w:r>
      <w:r w:rsidRPr="00787196">
        <w:rPr>
          <w:noProof/>
        </w:rPr>
        <w:t xml:space="preserve"> 1403-1409.</w:t>
      </w:r>
      <w:bookmarkEnd w:id="785"/>
    </w:p>
    <w:p w14:paraId="072734DA" w14:textId="77777777" w:rsidR="00525DC8" w:rsidRPr="00787196" w:rsidRDefault="00525DC8" w:rsidP="00525DC8">
      <w:pPr>
        <w:pStyle w:val="EndNoteBibliography"/>
        <w:spacing w:after="240"/>
        <w:rPr>
          <w:noProof/>
        </w:rPr>
      </w:pPr>
      <w:bookmarkStart w:id="786" w:name="_ENREF_429"/>
      <w:r w:rsidRPr="00787196">
        <w:rPr>
          <w:noProof/>
        </w:rPr>
        <w:t>WORLD HEALTH ORGANISATION 2012. WHO Country Cooperation Strategy India: 2012-2017. New Delhi.</w:t>
      </w:r>
      <w:bookmarkEnd w:id="786"/>
    </w:p>
    <w:p w14:paraId="3BC7BC9E" w14:textId="7EF660C7" w:rsidR="00525DC8" w:rsidRPr="00787196" w:rsidRDefault="00525DC8" w:rsidP="00525DC8">
      <w:pPr>
        <w:pStyle w:val="EndNoteBibliography"/>
        <w:spacing w:after="240"/>
        <w:rPr>
          <w:noProof/>
        </w:rPr>
      </w:pPr>
      <w:bookmarkStart w:id="787" w:name="_ENREF_430"/>
      <w:r w:rsidRPr="00787196">
        <w:rPr>
          <w:noProof/>
        </w:rPr>
        <w:lastRenderedPageBreak/>
        <w:t xml:space="preserve">WORLD HEALTH ORGANISATION. 2016. </w:t>
      </w:r>
      <w:r w:rsidRPr="00787196">
        <w:rPr>
          <w:i/>
          <w:noProof/>
        </w:rPr>
        <w:t xml:space="preserve">What are social determinants of health? </w:t>
      </w:r>
      <w:r w:rsidRPr="00787196">
        <w:rPr>
          <w:noProof/>
        </w:rPr>
        <w:t xml:space="preserve">[Online]. WHO. Available: </w:t>
      </w:r>
      <w:hyperlink r:id="rId39" w:history="1">
        <w:r w:rsidRPr="00787196">
          <w:rPr>
            <w:rStyle w:val="Hyperlink"/>
            <w:noProof/>
          </w:rPr>
          <w:t>http://www.who.int/social_determinants/sdh_definition/en/</w:t>
        </w:r>
      </w:hyperlink>
      <w:r w:rsidRPr="00787196">
        <w:rPr>
          <w:noProof/>
        </w:rPr>
        <w:t xml:space="preserve"> [Accessed December 2016].</w:t>
      </w:r>
      <w:bookmarkEnd w:id="787"/>
    </w:p>
    <w:p w14:paraId="0ED26804" w14:textId="77777777" w:rsidR="00525DC8" w:rsidRPr="00787196" w:rsidRDefault="00525DC8" w:rsidP="00525DC8">
      <w:pPr>
        <w:pStyle w:val="EndNoteBibliography"/>
        <w:spacing w:after="240"/>
        <w:rPr>
          <w:noProof/>
        </w:rPr>
      </w:pPr>
      <w:bookmarkStart w:id="788" w:name="_ENREF_431"/>
      <w:r w:rsidRPr="00787196">
        <w:rPr>
          <w:noProof/>
        </w:rPr>
        <w:t>WORLD HEALTH ORGANIZATION 1986. Ottawa charter for health promotion.</w:t>
      </w:r>
      <w:bookmarkEnd w:id="788"/>
    </w:p>
    <w:p w14:paraId="21172ACD" w14:textId="77777777" w:rsidR="00525DC8" w:rsidRPr="00787196" w:rsidRDefault="00525DC8" w:rsidP="00525DC8">
      <w:pPr>
        <w:pStyle w:val="EndNoteBibliography"/>
        <w:spacing w:after="240"/>
        <w:rPr>
          <w:noProof/>
        </w:rPr>
      </w:pPr>
      <w:bookmarkStart w:id="789" w:name="_ENREF_432"/>
      <w:r w:rsidRPr="00787196">
        <w:rPr>
          <w:noProof/>
        </w:rPr>
        <w:t>WORLD HEALTH ORGANIZATION 2010. A conceptual framework for action on the social determinants of health.</w:t>
      </w:r>
      <w:bookmarkEnd w:id="789"/>
    </w:p>
    <w:p w14:paraId="580DC94F" w14:textId="77777777" w:rsidR="00525DC8" w:rsidRPr="00787196" w:rsidRDefault="00525DC8" w:rsidP="00525DC8">
      <w:pPr>
        <w:pStyle w:val="EndNoteBibliography"/>
        <w:spacing w:after="240"/>
        <w:rPr>
          <w:noProof/>
        </w:rPr>
      </w:pPr>
      <w:bookmarkStart w:id="790" w:name="_ENREF_433"/>
      <w:r w:rsidRPr="00787196">
        <w:rPr>
          <w:noProof/>
        </w:rPr>
        <w:t xml:space="preserve">WORLD HEALTH ORGANIZATION 2013. </w:t>
      </w:r>
      <w:r w:rsidRPr="00787196">
        <w:rPr>
          <w:i/>
          <w:noProof/>
        </w:rPr>
        <w:t>Oral health surveys: basic methods</w:t>
      </w:r>
      <w:r w:rsidRPr="00787196">
        <w:rPr>
          <w:noProof/>
        </w:rPr>
        <w:t>, World Health Organization.</w:t>
      </w:r>
      <w:bookmarkEnd w:id="790"/>
    </w:p>
    <w:p w14:paraId="0CEBCE4C" w14:textId="77777777" w:rsidR="00525DC8" w:rsidRPr="00787196" w:rsidRDefault="00525DC8" w:rsidP="00525DC8">
      <w:pPr>
        <w:pStyle w:val="EndNoteBibliography"/>
        <w:spacing w:after="240"/>
        <w:rPr>
          <w:noProof/>
        </w:rPr>
      </w:pPr>
      <w:bookmarkStart w:id="791" w:name="_ENREF_434"/>
      <w:r w:rsidRPr="00787196">
        <w:rPr>
          <w:noProof/>
        </w:rPr>
        <w:t xml:space="preserve">WOSTMANN, B., BALKENHOL, M., KOTHE, A. &amp; FERGER, P. 2008a. Dental impact on daily living of telescopic crown-retained partial dentures. </w:t>
      </w:r>
      <w:r w:rsidRPr="00787196">
        <w:rPr>
          <w:i/>
          <w:noProof/>
        </w:rPr>
        <w:t>Int J Prosthodont,</w:t>
      </w:r>
      <w:r w:rsidRPr="00787196">
        <w:rPr>
          <w:noProof/>
        </w:rPr>
        <w:t xml:space="preserve"> 21</w:t>
      </w:r>
      <w:r w:rsidRPr="00787196">
        <w:rPr>
          <w:b/>
          <w:noProof/>
        </w:rPr>
        <w:t>,</w:t>
      </w:r>
      <w:r w:rsidRPr="00787196">
        <w:rPr>
          <w:noProof/>
        </w:rPr>
        <w:t xml:space="preserve"> 419-21.</w:t>
      </w:r>
      <w:bookmarkEnd w:id="791"/>
    </w:p>
    <w:p w14:paraId="37D43A6B" w14:textId="77777777" w:rsidR="00525DC8" w:rsidRPr="00787196" w:rsidRDefault="00525DC8" w:rsidP="00525DC8">
      <w:pPr>
        <w:pStyle w:val="EndNoteBibliography"/>
        <w:spacing w:after="240"/>
        <w:rPr>
          <w:noProof/>
        </w:rPr>
      </w:pPr>
      <w:bookmarkStart w:id="792" w:name="_ENREF_435"/>
      <w:r w:rsidRPr="00787196">
        <w:rPr>
          <w:noProof/>
        </w:rPr>
        <w:t xml:space="preserve">WOSTMANN, B., MICHEL, K., BRINKERT, B., MELCHHEIER-WESKOTT, A., REHMANN, P. &amp; BALKENHOL, M. 2008b. Influence of denture improvement on the nutritional status and quality of life of geriatric patients. </w:t>
      </w:r>
      <w:r w:rsidRPr="00787196">
        <w:rPr>
          <w:i/>
          <w:noProof/>
        </w:rPr>
        <w:t>J Dent,</w:t>
      </w:r>
      <w:r w:rsidRPr="00787196">
        <w:rPr>
          <w:noProof/>
        </w:rPr>
        <w:t xml:space="preserve"> 36</w:t>
      </w:r>
      <w:r w:rsidRPr="00787196">
        <w:rPr>
          <w:b/>
          <w:noProof/>
        </w:rPr>
        <w:t>,</w:t>
      </w:r>
      <w:r w:rsidRPr="00787196">
        <w:rPr>
          <w:noProof/>
        </w:rPr>
        <w:t xml:space="preserve"> 816-21.</w:t>
      </w:r>
      <w:bookmarkEnd w:id="792"/>
    </w:p>
    <w:p w14:paraId="09BF6F1E" w14:textId="77777777" w:rsidR="00525DC8" w:rsidRPr="00787196" w:rsidRDefault="00525DC8" w:rsidP="00525DC8">
      <w:pPr>
        <w:pStyle w:val="EndNoteBibliography"/>
        <w:spacing w:after="240"/>
        <w:rPr>
          <w:noProof/>
        </w:rPr>
      </w:pPr>
      <w:bookmarkStart w:id="793" w:name="_ENREF_436"/>
      <w:r w:rsidRPr="00787196">
        <w:rPr>
          <w:noProof/>
        </w:rPr>
        <w:t xml:space="preserve">YEN, I. H. &amp; SYME, S. L. 1999. The Social Environment and Health: A Discussion of the Epidemiologic Literature. </w:t>
      </w:r>
      <w:r w:rsidRPr="00787196">
        <w:rPr>
          <w:i/>
          <w:noProof/>
        </w:rPr>
        <w:t>Annual Review of Public Health,</w:t>
      </w:r>
      <w:r w:rsidRPr="00787196">
        <w:rPr>
          <w:noProof/>
        </w:rPr>
        <w:t xml:space="preserve"> 20</w:t>
      </w:r>
      <w:r w:rsidRPr="00787196">
        <w:rPr>
          <w:b/>
          <w:noProof/>
        </w:rPr>
        <w:t>,</w:t>
      </w:r>
      <w:r w:rsidRPr="00787196">
        <w:rPr>
          <w:noProof/>
        </w:rPr>
        <w:t xml:space="preserve"> 287-308.</w:t>
      </w:r>
      <w:bookmarkEnd w:id="793"/>
    </w:p>
    <w:p w14:paraId="2384C373" w14:textId="77777777" w:rsidR="00525DC8" w:rsidRPr="00787196" w:rsidRDefault="00525DC8" w:rsidP="00525DC8">
      <w:pPr>
        <w:pStyle w:val="EndNoteBibliography"/>
        <w:spacing w:after="240"/>
        <w:rPr>
          <w:noProof/>
        </w:rPr>
      </w:pPr>
      <w:bookmarkStart w:id="794" w:name="_ENREF_437"/>
      <w:r w:rsidRPr="00787196">
        <w:rPr>
          <w:noProof/>
        </w:rPr>
        <w:t xml:space="preserve">YOSHIHARA, A., WATANABE, R., NISHIMUTA, M., HANADA, N. &amp; MIYAZAKI, H. 2005. The relationship between dietary intake and the number of teeth in elderly Japanese subjects. </w:t>
      </w:r>
      <w:r w:rsidRPr="00787196">
        <w:rPr>
          <w:i/>
          <w:noProof/>
        </w:rPr>
        <w:t>Gerodontology,</w:t>
      </w:r>
      <w:r w:rsidRPr="00787196">
        <w:rPr>
          <w:noProof/>
        </w:rPr>
        <w:t xml:space="preserve"> 22</w:t>
      </w:r>
      <w:r w:rsidRPr="00787196">
        <w:rPr>
          <w:b/>
          <w:noProof/>
        </w:rPr>
        <w:t>,</w:t>
      </w:r>
      <w:r w:rsidRPr="00787196">
        <w:rPr>
          <w:noProof/>
        </w:rPr>
        <w:t xml:space="preserve"> 211-218.</w:t>
      </w:r>
      <w:bookmarkEnd w:id="794"/>
    </w:p>
    <w:p w14:paraId="11AD9CCE" w14:textId="77777777" w:rsidR="00525DC8" w:rsidRPr="00787196" w:rsidRDefault="00525DC8" w:rsidP="00525DC8">
      <w:pPr>
        <w:pStyle w:val="EndNoteBibliography"/>
        <w:spacing w:after="240"/>
        <w:rPr>
          <w:noProof/>
        </w:rPr>
      </w:pPr>
      <w:bookmarkStart w:id="795" w:name="_ENREF_438"/>
      <w:r w:rsidRPr="00787196">
        <w:rPr>
          <w:noProof/>
        </w:rPr>
        <w:t xml:space="preserve">YOSHIZUMI, D. T. 1964. An evaluation of factors pertinent to the success of complete denture service. </w:t>
      </w:r>
      <w:r w:rsidRPr="00787196">
        <w:rPr>
          <w:i/>
          <w:noProof/>
        </w:rPr>
        <w:t>The Journal of Prosthetic Dentistry,</w:t>
      </w:r>
      <w:r w:rsidRPr="00787196">
        <w:rPr>
          <w:noProof/>
        </w:rPr>
        <w:t xml:space="preserve"> 14</w:t>
      </w:r>
      <w:r w:rsidRPr="00787196">
        <w:rPr>
          <w:b/>
          <w:noProof/>
        </w:rPr>
        <w:t>,</w:t>
      </w:r>
      <w:r w:rsidRPr="00787196">
        <w:rPr>
          <w:noProof/>
        </w:rPr>
        <w:t xml:space="preserve"> 866-878.</w:t>
      </w:r>
      <w:bookmarkEnd w:id="795"/>
    </w:p>
    <w:p w14:paraId="61652822" w14:textId="77777777" w:rsidR="00525DC8" w:rsidRPr="00787196" w:rsidRDefault="00525DC8" w:rsidP="00525DC8">
      <w:pPr>
        <w:pStyle w:val="EndNoteBibliography"/>
        <w:spacing w:after="240"/>
        <w:rPr>
          <w:noProof/>
        </w:rPr>
      </w:pPr>
      <w:bookmarkStart w:id="796" w:name="_ENREF_439"/>
      <w:r w:rsidRPr="00787196">
        <w:rPr>
          <w:noProof/>
        </w:rPr>
        <w:t xml:space="preserve">YUSOFF, M. S. B. 2011. The Validity of the Malay Brief COPE in Identifying Coping Strategies among Adolescents in Secondary School. </w:t>
      </w:r>
      <w:r w:rsidRPr="00787196">
        <w:rPr>
          <w:i/>
          <w:noProof/>
        </w:rPr>
        <w:t>Int Med J</w:t>
      </w:r>
      <w:r w:rsidRPr="00787196">
        <w:rPr>
          <w:noProof/>
        </w:rPr>
        <w:t>.</w:t>
      </w:r>
      <w:bookmarkEnd w:id="796"/>
    </w:p>
    <w:p w14:paraId="4AD02CA9" w14:textId="77777777" w:rsidR="00525DC8" w:rsidRPr="00787196" w:rsidRDefault="00525DC8" w:rsidP="00525DC8">
      <w:pPr>
        <w:pStyle w:val="EndNoteBibliography"/>
        <w:spacing w:after="240"/>
        <w:rPr>
          <w:noProof/>
        </w:rPr>
      </w:pPr>
      <w:bookmarkStart w:id="797" w:name="_ENREF_440"/>
      <w:r w:rsidRPr="00787196">
        <w:rPr>
          <w:noProof/>
        </w:rPr>
        <w:t xml:space="preserve">ÖSTERBERG, T., CARLSSON, G. E., SUNDH, V. &amp; MELLSTRÖM, D. 2008. Number of teeth – a predictor of mortality in 70-year-old subjects. </w:t>
      </w:r>
      <w:r w:rsidRPr="00787196">
        <w:rPr>
          <w:i/>
          <w:noProof/>
        </w:rPr>
        <w:t>Community Dentistry and Oral Epidemiology,</w:t>
      </w:r>
      <w:r w:rsidRPr="00787196">
        <w:rPr>
          <w:noProof/>
        </w:rPr>
        <w:t xml:space="preserve"> 36</w:t>
      </w:r>
      <w:r w:rsidRPr="00787196">
        <w:rPr>
          <w:b/>
          <w:noProof/>
        </w:rPr>
        <w:t>,</w:t>
      </w:r>
      <w:r w:rsidRPr="00787196">
        <w:rPr>
          <w:noProof/>
        </w:rPr>
        <w:t xml:space="preserve"> 258-268.</w:t>
      </w:r>
      <w:bookmarkEnd w:id="797"/>
    </w:p>
    <w:p w14:paraId="788395A7" w14:textId="77777777" w:rsidR="00525DC8" w:rsidRPr="00787196" w:rsidRDefault="00525DC8" w:rsidP="00525DC8">
      <w:pPr>
        <w:pStyle w:val="EndNoteBibliography"/>
        <w:rPr>
          <w:noProof/>
        </w:rPr>
      </w:pPr>
      <w:bookmarkStart w:id="798" w:name="_ENREF_441"/>
      <w:r w:rsidRPr="00787196">
        <w:rPr>
          <w:noProof/>
        </w:rPr>
        <w:t xml:space="preserve">ČELEBIĆ, A., KNEZOVIĆ-ZLATARIĆ, D., PAPIĆ, M., CAREK, V., BAUČIĆ, I. &amp; STIPETIĆ, J. 2003. Factors related to patient satisfaction with complete denture therapy. </w:t>
      </w:r>
      <w:r w:rsidRPr="00787196">
        <w:rPr>
          <w:i/>
          <w:noProof/>
        </w:rPr>
        <w:t>The Journals of Gerontology Series A: Biological Sciences and Medical Sciences,</w:t>
      </w:r>
      <w:r w:rsidRPr="00787196">
        <w:rPr>
          <w:noProof/>
        </w:rPr>
        <w:t xml:space="preserve"> 58</w:t>
      </w:r>
      <w:r w:rsidRPr="00787196">
        <w:rPr>
          <w:b/>
          <w:noProof/>
        </w:rPr>
        <w:t>,</w:t>
      </w:r>
      <w:r w:rsidRPr="00787196">
        <w:rPr>
          <w:noProof/>
        </w:rPr>
        <w:t xml:space="preserve"> M948-M953.</w:t>
      </w:r>
      <w:bookmarkEnd w:id="798"/>
    </w:p>
    <w:p w14:paraId="0852C784" w14:textId="6777C313" w:rsidR="008F6026" w:rsidRPr="00787196" w:rsidRDefault="001731A2" w:rsidP="007C6F81">
      <w:pPr>
        <w:pStyle w:val="ListParagraph"/>
        <w:numPr>
          <w:ilvl w:val="0"/>
          <w:numId w:val="31"/>
        </w:numPr>
        <w:spacing w:before="0" w:after="0" w:line="240" w:lineRule="auto"/>
        <w:rPr>
          <w:lang w:bidi="hi-IN"/>
        </w:rPr>
      </w:pPr>
      <w:r w:rsidRPr="00787196">
        <w:lastRenderedPageBreak/>
        <w:fldChar w:fldCharType="end"/>
      </w:r>
      <w:r w:rsidRPr="00787196">
        <w:rPr>
          <w:rFonts w:cs="Arial"/>
        </w:rPr>
        <w:fldChar w:fldCharType="end"/>
      </w:r>
    </w:p>
    <w:p w14:paraId="6ABCCF1F" w14:textId="77777777" w:rsidR="008F6026" w:rsidRPr="00787196" w:rsidRDefault="008F6026" w:rsidP="004B10F9">
      <w:pPr>
        <w:pStyle w:val="ListParagraph"/>
        <w:spacing w:before="0" w:after="0"/>
        <w:ind w:left="786"/>
        <w:rPr>
          <w:lang w:bidi="hi-IN"/>
        </w:rPr>
      </w:pPr>
    </w:p>
    <w:p w14:paraId="6862C39F" w14:textId="77777777" w:rsidR="008F6026" w:rsidRPr="00787196" w:rsidRDefault="008F6026" w:rsidP="004B10F9">
      <w:pPr>
        <w:pStyle w:val="ListParagraph"/>
        <w:spacing w:before="0" w:after="0"/>
        <w:ind w:left="786"/>
        <w:rPr>
          <w:lang w:bidi="hi-IN"/>
        </w:rPr>
        <w:sectPr w:rsidR="008F6026" w:rsidRPr="00787196" w:rsidSect="004D7A26">
          <w:type w:val="nextColumn"/>
          <w:pgSz w:w="11952" w:h="16848" w:code="9"/>
          <w:pgMar w:top="1134" w:right="1134" w:bottom="1134" w:left="2268" w:header="476" w:footer="1117" w:gutter="0"/>
          <w:cols w:space="720"/>
          <w:noEndnote/>
          <w:docGrid w:linePitch="360"/>
        </w:sectPr>
      </w:pPr>
    </w:p>
    <w:p w14:paraId="648B5DA3" w14:textId="5660D3B0" w:rsidR="00DE4390" w:rsidRPr="00787196" w:rsidRDefault="00DE4390" w:rsidP="004B10F9">
      <w:pPr>
        <w:rPr>
          <w:rStyle w:val="Heading3Char"/>
        </w:rPr>
      </w:pPr>
    </w:p>
    <w:p w14:paraId="2C585160" w14:textId="1A3DCBBC" w:rsidR="008A3CC3" w:rsidRPr="00787196" w:rsidRDefault="00D71EDC" w:rsidP="00725DA9">
      <w:pPr>
        <w:pStyle w:val="Heading1"/>
        <w:numPr>
          <w:ilvl w:val="0"/>
          <w:numId w:val="0"/>
        </w:numPr>
        <w:spacing w:before="0" w:after="0"/>
        <w:ind w:left="432" w:right="45" w:hanging="432"/>
        <w:rPr>
          <w:rFonts w:cs="Arial"/>
          <w:szCs w:val="36"/>
        </w:rPr>
      </w:pPr>
      <w:bookmarkStart w:id="799" w:name="_Toc488655702"/>
      <w:r w:rsidRPr="00787196">
        <w:rPr>
          <w:rFonts w:cs="Arial"/>
          <w:szCs w:val="36"/>
        </w:rPr>
        <w:t>APPENDICES</w:t>
      </w:r>
      <w:bookmarkEnd w:id="350"/>
      <w:bookmarkEnd w:id="799"/>
    </w:p>
    <w:p w14:paraId="07DF5152" w14:textId="19091910" w:rsidR="00F209BB" w:rsidRPr="00787196" w:rsidRDefault="00DE468B" w:rsidP="00725DA9">
      <w:pPr>
        <w:pStyle w:val="Heading2"/>
        <w:numPr>
          <w:ilvl w:val="0"/>
          <w:numId w:val="0"/>
        </w:numPr>
        <w:spacing w:line="360" w:lineRule="auto"/>
        <w:jc w:val="center"/>
      </w:pPr>
      <w:bookmarkStart w:id="800" w:name="_Toc488655703"/>
      <w:r w:rsidRPr="00787196">
        <w:t>List of Appendices</w:t>
      </w:r>
      <w:bookmarkEnd w:id="800"/>
    </w:p>
    <w:p w14:paraId="3BF437DC" w14:textId="77777777" w:rsidR="00A77FF7" w:rsidRPr="00787196" w:rsidRDefault="00A77FF7" w:rsidP="00A77FF7"/>
    <w:tbl>
      <w:tblPr>
        <w:tblStyle w:val="TableGrid"/>
        <w:tblW w:w="0" w:type="auto"/>
        <w:tblInd w:w="-5" w:type="dxa"/>
        <w:tblBorders>
          <w:insideH w:val="none" w:sz="0" w:space="0" w:color="auto"/>
        </w:tblBorders>
        <w:tblLook w:val="04A0" w:firstRow="1" w:lastRow="0" w:firstColumn="1" w:lastColumn="0" w:noHBand="0" w:noVBand="1"/>
      </w:tblPr>
      <w:tblGrid>
        <w:gridCol w:w="3797"/>
        <w:gridCol w:w="4413"/>
      </w:tblGrid>
      <w:tr w:rsidR="00A77FF7" w:rsidRPr="00787196" w14:paraId="11F71EE5" w14:textId="77777777" w:rsidTr="00D6487A">
        <w:trPr>
          <w:trHeight w:val="841"/>
        </w:trPr>
        <w:tc>
          <w:tcPr>
            <w:tcW w:w="3797" w:type="dxa"/>
            <w:vAlign w:val="center"/>
          </w:tcPr>
          <w:p w14:paraId="23A1913A" w14:textId="77777777" w:rsidR="00A77FF7" w:rsidRPr="00787196" w:rsidRDefault="00A77FF7" w:rsidP="00A77FF7">
            <w:pPr>
              <w:spacing w:after="0" w:line="240" w:lineRule="auto"/>
              <w:jc w:val="center"/>
            </w:pPr>
            <w:r w:rsidRPr="00787196">
              <w:t>Appendix A</w:t>
            </w:r>
          </w:p>
        </w:tc>
        <w:tc>
          <w:tcPr>
            <w:tcW w:w="4413" w:type="dxa"/>
            <w:vAlign w:val="center"/>
          </w:tcPr>
          <w:p w14:paraId="084D20FC" w14:textId="77777777" w:rsidR="00A77FF7" w:rsidRPr="00787196" w:rsidRDefault="00A77FF7" w:rsidP="00A77FF7">
            <w:pPr>
              <w:spacing w:after="0" w:line="240" w:lineRule="auto"/>
              <w:jc w:val="center"/>
            </w:pPr>
            <w:r w:rsidRPr="00787196">
              <w:t>Recruitment Flyer</w:t>
            </w:r>
          </w:p>
        </w:tc>
      </w:tr>
      <w:tr w:rsidR="00A77FF7" w:rsidRPr="00787196" w14:paraId="563C4402" w14:textId="77777777" w:rsidTr="00D6487A">
        <w:trPr>
          <w:trHeight w:val="1332"/>
        </w:trPr>
        <w:tc>
          <w:tcPr>
            <w:tcW w:w="3797" w:type="dxa"/>
            <w:vAlign w:val="center"/>
          </w:tcPr>
          <w:p w14:paraId="5068E546" w14:textId="77777777" w:rsidR="00A77FF7" w:rsidRPr="00787196" w:rsidRDefault="00A77FF7" w:rsidP="00A77FF7">
            <w:pPr>
              <w:spacing w:after="0" w:line="240" w:lineRule="auto"/>
              <w:jc w:val="center"/>
            </w:pPr>
            <w:r w:rsidRPr="00787196">
              <w:t>Appendix B</w:t>
            </w:r>
          </w:p>
        </w:tc>
        <w:tc>
          <w:tcPr>
            <w:tcW w:w="4413" w:type="dxa"/>
            <w:vAlign w:val="center"/>
          </w:tcPr>
          <w:p w14:paraId="63307D1A" w14:textId="77777777" w:rsidR="00A77FF7" w:rsidRPr="00787196" w:rsidRDefault="00A77FF7" w:rsidP="00A77FF7">
            <w:pPr>
              <w:spacing w:after="0" w:line="240" w:lineRule="auto"/>
              <w:jc w:val="center"/>
            </w:pPr>
            <w:r w:rsidRPr="00787196">
              <w:t>Patient Information Sheet</w:t>
            </w:r>
          </w:p>
        </w:tc>
      </w:tr>
      <w:tr w:rsidR="00A77FF7" w:rsidRPr="00787196" w14:paraId="6949F80C" w14:textId="77777777" w:rsidTr="00D6487A">
        <w:trPr>
          <w:trHeight w:val="1343"/>
        </w:trPr>
        <w:tc>
          <w:tcPr>
            <w:tcW w:w="3797" w:type="dxa"/>
            <w:vAlign w:val="center"/>
          </w:tcPr>
          <w:p w14:paraId="6109DA57" w14:textId="77777777" w:rsidR="00A77FF7" w:rsidRPr="00787196" w:rsidRDefault="00A77FF7" w:rsidP="00A77FF7">
            <w:pPr>
              <w:spacing w:after="0" w:line="240" w:lineRule="auto"/>
              <w:jc w:val="center"/>
              <w:rPr>
                <w:lang w:val="fr-FR"/>
              </w:rPr>
            </w:pPr>
            <w:r w:rsidRPr="00787196">
              <w:rPr>
                <w:lang w:val="fr-FR"/>
              </w:rPr>
              <w:t>Appendix C</w:t>
            </w:r>
          </w:p>
        </w:tc>
        <w:tc>
          <w:tcPr>
            <w:tcW w:w="4413" w:type="dxa"/>
            <w:vAlign w:val="center"/>
          </w:tcPr>
          <w:p w14:paraId="520A1EBC" w14:textId="77777777" w:rsidR="00A77FF7" w:rsidRPr="00787196" w:rsidRDefault="00A77FF7" w:rsidP="00A77FF7">
            <w:pPr>
              <w:spacing w:after="0" w:line="240" w:lineRule="auto"/>
              <w:jc w:val="center"/>
              <w:rPr>
                <w:lang w:val="fr-FR"/>
              </w:rPr>
            </w:pPr>
            <w:r w:rsidRPr="00787196">
              <w:rPr>
                <w:lang w:val="fr-FR"/>
              </w:rPr>
              <w:t>Consent Form</w:t>
            </w:r>
          </w:p>
        </w:tc>
      </w:tr>
      <w:tr w:rsidR="00A77FF7" w:rsidRPr="00787196" w14:paraId="76590085" w14:textId="77777777" w:rsidTr="00D6487A">
        <w:trPr>
          <w:trHeight w:val="841"/>
        </w:trPr>
        <w:tc>
          <w:tcPr>
            <w:tcW w:w="3797" w:type="dxa"/>
            <w:vAlign w:val="center"/>
          </w:tcPr>
          <w:p w14:paraId="55BDD7D3" w14:textId="77777777" w:rsidR="00A77FF7" w:rsidRPr="00787196" w:rsidRDefault="00A77FF7" w:rsidP="00A77FF7">
            <w:pPr>
              <w:spacing w:after="0" w:line="240" w:lineRule="auto"/>
              <w:jc w:val="center"/>
              <w:rPr>
                <w:lang w:val="fr-FR"/>
              </w:rPr>
            </w:pPr>
            <w:r w:rsidRPr="00787196">
              <w:rPr>
                <w:lang w:val="fr-FR"/>
              </w:rPr>
              <w:t>Appendix D</w:t>
            </w:r>
          </w:p>
        </w:tc>
        <w:tc>
          <w:tcPr>
            <w:tcW w:w="4413" w:type="dxa"/>
            <w:vAlign w:val="center"/>
          </w:tcPr>
          <w:p w14:paraId="6F0D8FF8" w14:textId="77777777" w:rsidR="00A77FF7" w:rsidRPr="00787196" w:rsidRDefault="00A77FF7" w:rsidP="00A77FF7">
            <w:pPr>
              <w:spacing w:after="0" w:line="240" w:lineRule="auto"/>
              <w:jc w:val="center"/>
              <w:rPr>
                <w:lang w:val="fr-FR"/>
              </w:rPr>
            </w:pPr>
            <w:r w:rsidRPr="00787196">
              <w:rPr>
                <w:lang w:val="fr-FR"/>
              </w:rPr>
              <w:t>Clinical Examination</w:t>
            </w:r>
          </w:p>
        </w:tc>
      </w:tr>
      <w:tr w:rsidR="00A77FF7" w:rsidRPr="00787196" w14:paraId="764329FB" w14:textId="77777777" w:rsidTr="00D6487A">
        <w:trPr>
          <w:trHeight w:val="1509"/>
        </w:trPr>
        <w:tc>
          <w:tcPr>
            <w:tcW w:w="3797" w:type="dxa"/>
            <w:vAlign w:val="center"/>
          </w:tcPr>
          <w:p w14:paraId="4F75F004" w14:textId="77777777" w:rsidR="00A77FF7" w:rsidRPr="00787196" w:rsidRDefault="00A77FF7" w:rsidP="00A77FF7">
            <w:pPr>
              <w:spacing w:after="0" w:line="240" w:lineRule="auto"/>
              <w:jc w:val="center"/>
            </w:pPr>
            <w:r w:rsidRPr="00787196">
              <w:rPr>
                <w:lang w:val="en-GB"/>
              </w:rPr>
              <w:t>Appendix E</w:t>
            </w:r>
          </w:p>
        </w:tc>
        <w:tc>
          <w:tcPr>
            <w:tcW w:w="4413" w:type="dxa"/>
            <w:vAlign w:val="center"/>
          </w:tcPr>
          <w:p w14:paraId="7A85B379" w14:textId="77777777" w:rsidR="00A77FF7" w:rsidRPr="00787196" w:rsidRDefault="00A77FF7" w:rsidP="00A77FF7">
            <w:pPr>
              <w:spacing w:after="0" w:line="240" w:lineRule="auto"/>
              <w:jc w:val="center"/>
            </w:pPr>
            <w:r w:rsidRPr="00787196">
              <w:rPr>
                <w:lang w:val="en-GB"/>
              </w:rPr>
              <w:t>Questionnaire booklet</w:t>
            </w:r>
          </w:p>
        </w:tc>
      </w:tr>
      <w:tr w:rsidR="00A77FF7" w:rsidRPr="00787196" w14:paraId="77473748" w14:textId="77777777" w:rsidTr="00D6487A">
        <w:trPr>
          <w:trHeight w:val="1508"/>
        </w:trPr>
        <w:tc>
          <w:tcPr>
            <w:tcW w:w="3797" w:type="dxa"/>
            <w:vAlign w:val="center"/>
          </w:tcPr>
          <w:p w14:paraId="09AE7A4C" w14:textId="77777777" w:rsidR="00A77FF7" w:rsidRPr="00787196" w:rsidRDefault="00A77FF7" w:rsidP="00A77FF7">
            <w:pPr>
              <w:spacing w:after="0" w:line="240" w:lineRule="auto"/>
              <w:jc w:val="center"/>
            </w:pPr>
            <w:r w:rsidRPr="00787196">
              <w:rPr>
                <w:lang w:val="en-GB"/>
              </w:rPr>
              <w:t>Appendix F</w:t>
            </w:r>
          </w:p>
        </w:tc>
        <w:tc>
          <w:tcPr>
            <w:tcW w:w="4413" w:type="dxa"/>
            <w:vAlign w:val="center"/>
          </w:tcPr>
          <w:p w14:paraId="05966FAF" w14:textId="77777777" w:rsidR="00A77FF7" w:rsidRPr="00787196" w:rsidRDefault="00A77FF7" w:rsidP="00A77FF7">
            <w:pPr>
              <w:spacing w:after="0" w:line="240" w:lineRule="auto"/>
              <w:jc w:val="center"/>
            </w:pPr>
            <w:r w:rsidRPr="00787196">
              <w:rPr>
                <w:lang w:val="en-GB"/>
              </w:rPr>
              <w:t>Back translated versions in Tamil</w:t>
            </w:r>
          </w:p>
        </w:tc>
      </w:tr>
      <w:tr w:rsidR="00A77FF7" w:rsidRPr="00787196" w14:paraId="3974DC01" w14:textId="77777777" w:rsidTr="00D6487A">
        <w:trPr>
          <w:trHeight w:val="952"/>
        </w:trPr>
        <w:tc>
          <w:tcPr>
            <w:tcW w:w="3797" w:type="dxa"/>
            <w:vAlign w:val="center"/>
          </w:tcPr>
          <w:p w14:paraId="0220B388" w14:textId="77777777" w:rsidR="00A77FF7" w:rsidRPr="00787196" w:rsidRDefault="00A77FF7" w:rsidP="00A77FF7">
            <w:pPr>
              <w:spacing w:after="0" w:line="240" w:lineRule="auto"/>
              <w:jc w:val="center"/>
            </w:pPr>
            <w:r w:rsidRPr="00787196">
              <w:t>Appendix G</w:t>
            </w:r>
          </w:p>
        </w:tc>
        <w:tc>
          <w:tcPr>
            <w:tcW w:w="4413" w:type="dxa"/>
            <w:vAlign w:val="center"/>
          </w:tcPr>
          <w:p w14:paraId="3B940AF3" w14:textId="77777777" w:rsidR="00A77FF7" w:rsidRPr="00787196" w:rsidRDefault="00A77FF7" w:rsidP="00A77FF7">
            <w:pPr>
              <w:spacing w:after="0" w:line="240" w:lineRule="auto"/>
              <w:jc w:val="center"/>
            </w:pPr>
            <w:r w:rsidRPr="00787196">
              <w:t>Recoded Data</w:t>
            </w:r>
          </w:p>
        </w:tc>
      </w:tr>
      <w:tr w:rsidR="00A77FF7" w:rsidRPr="00787196" w14:paraId="5D29DB3F" w14:textId="77777777" w:rsidTr="00D6487A">
        <w:trPr>
          <w:trHeight w:val="1730"/>
        </w:trPr>
        <w:tc>
          <w:tcPr>
            <w:tcW w:w="3797" w:type="dxa"/>
            <w:vAlign w:val="center"/>
          </w:tcPr>
          <w:p w14:paraId="5328E708" w14:textId="77777777" w:rsidR="00A77FF7" w:rsidRPr="00787196" w:rsidRDefault="00A77FF7" w:rsidP="00A77FF7">
            <w:pPr>
              <w:spacing w:after="0" w:line="240" w:lineRule="auto"/>
              <w:jc w:val="center"/>
            </w:pPr>
            <w:r w:rsidRPr="00787196">
              <w:t>Appendix H</w:t>
            </w:r>
          </w:p>
        </w:tc>
        <w:tc>
          <w:tcPr>
            <w:tcW w:w="4413" w:type="dxa"/>
            <w:vAlign w:val="center"/>
          </w:tcPr>
          <w:p w14:paraId="6334017C" w14:textId="77777777" w:rsidR="00A77FF7" w:rsidRPr="00787196" w:rsidRDefault="00A77FF7" w:rsidP="00A77FF7">
            <w:pPr>
              <w:spacing w:after="0" w:line="240" w:lineRule="auto"/>
              <w:jc w:val="center"/>
            </w:pPr>
            <w:r w:rsidRPr="00787196">
              <w:t>Distributions before and after recoding</w:t>
            </w:r>
          </w:p>
        </w:tc>
      </w:tr>
    </w:tbl>
    <w:p w14:paraId="2D6B6C6E" w14:textId="55900745" w:rsidR="00DE468B" w:rsidRPr="00787196" w:rsidRDefault="00F209BB" w:rsidP="00D6487A">
      <w:pPr>
        <w:spacing w:before="0" w:after="0" w:line="240" w:lineRule="auto"/>
        <w:jc w:val="left"/>
      </w:pPr>
      <w:r w:rsidRPr="00787196">
        <w:br w:type="page"/>
      </w:r>
    </w:p>
    <w:p w14:paraId="578BA4ED" w14:textId="6C4AA3D3" w:rsidR="00DE468B" w:rsidRPr="00787196" w:rsidRDefault="00A1466E" w:rsidP="00392278">
      <w:pPr>
        <w:pStyle w:val="Heading2"/>
        <w:numPr>
          <w:ilvl w:val="0"/>
          <w:numId w:val="0"/>
        </w:numPr>
        <w:jc w:val="center"/>
      </w:pPr>
      <w:bookmarkStart w:id="801" w:name="_Toc488655704"/>
      <w:r w:rsidRPr="00787196">
        <w:lastRenderedPageBreak/>
        <w:t xml:space="preserve">Appendix </w:t>
      </w:r>
      <w:r w:rsidR="00F209BB" w:rsidRPr="00787196">
        <w:t>A</w:t>
      </w:r>
      <w:r w:rsidR="004B16D2" w:rsidRPr="00787196">
        <w:t>-</w:t>
      </w:r>
      <w:r w:rsidR="00DE468B" w:rsidRPr="00787196">
        <w:t>Recruitment Flyer</w:t>
      </w:r>
      <w:bookmarkEnd w:id="801"/>
    </w:p>
    <w:p w14:paraId="5336A5E4" w14:textId="6E087043" w:rsidR="008A3CC3" w:rsidRPr="00787196" w:rsidRDefault="00407764" w:rsidP="00652C2F">
      <w:pPr>
        <w:spacing w:before="0" w:after="0"/>
        <w:ind w:right="186"/>
        <w:jc w:val="right"/>
        <w:rPr>
          <w:rFonts w:cs="Arial"/>
          <w:sz w:val="32"/>
        </w:rPr>
      </w:pPr>
      <w:r w:rsidRPr="00787196">
        <w:rPr>
          <w:noProof/>
        </w:rPr>
        <w:drawing>
          <wp:anchor distT="0" distB="0" distL="114300" distR="114300" simplePos="0" relativeHeight="251640320" behindDoc="1" locked="0" layoutInCell="1" allowOverlap="1" wp14:anchorId="1E5A7658" wp14:editId="35206AC8">
            <wp:simplePos x="0" y="0"/>
            <wp:positionH relativeFrom="margin">
              <wp:align>left</wp:align>
            </wp:positionH>
            <wp:positionV relativeFrom="paragraph">
              <wp:posOffset>161290</wp:posOffset>
            </wp:positionV>
            <wp:extent cx="2149686" cy="740399"/>
            <wp:effectExtent l="0" t="0" r="3175" b="3175"/>
            <wp:wrapNone/>
            <wp:docPr id="169" name="Picture 80"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uoslogo_key_cmyk letth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9686" cy="740399"/>
                    </a:xfrm>
                    <a:prstGeom prst="rect">
                      <a:avLst/>
                    </a:prstGeom>
                    <a:noFill/>
                    <a:ln>
                      <a:noFill/>
                    </a:ln>
                  </pic:spPr>
                </pic:pic>
              </a:graphicData>
            </a:graphic>
            <wp14:sizeRelH relativeFrom="page">
              <wp14:pctWidth>0</wp14:pctWidth>
            </wp14:sizeRelH>
            <wp14:sizeRelV relativeFrom="page">
              <wp14:pctHeight>0</wp14:pctHeight>
            </wp14:sizeRelV>
          </wp:anchor>
        </w:drawing>
      </w:r>
      <w:r w:rsidR="00CB50BD" w:rsidRPr="00787196">
        <w:rPr>
          <w:rFonts w:cs="Arial"/>
          <w:sz w:val="32"/>
        </w:rPr>
        <w:t xml:space="preserve">                                                                               </w:t>
      </w:r>
      <w:r w:rsidR="00B24FA8" w:rsidRPr="00787196">
        <w:rPr>
          <w:sz w:val="32"/>
          <w:cs/>
        </w:rPr>
        <w:t xml:space="preserve">       </w:t>
      </w:r>
      <w:r w:rsidRPr="00787196">
        <w:rPr>
          <w:rFonts w:cs="Arial"/>
          <w:noProof/>
        </w:rPr>
        <w:drawing>
          <wp:inline distT="0" distB="0" distL="0" distR="0" wp14:anchorId="0F7AC246" wp14:editId="37AD3CE5">
            <wp:extent cx="1865027" cy="730250"/>
            <wp:effectExtent l="0" t="0" r="1905" b="0"/>
            <wp:docPr id="4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9053" cy="731826"/>
                    </a:xfrm>
                    <a:prstGeom prst="rect">
                      <a:avLst/>
                    </a:prstGeom>
                    <a:noFill/>
                    <a:ln>
                      <a:noFill/>
                    </a:ln>
                  </pic:spPr>
                </pic:pic>
              </a:graphicData>
            </a:graphic>
          </wp:inline>
        </w:drawing>
      </w:r>
    </w:p>
    <w:p w14:paraId="728709BF" w14:textId="77777777" w:rsidR="008A3CC3" w:rsidRPr="00787196" w:rsidRDefault="008A3CC3" w:rsidP="00513F57">
      <w:pPr>
        <w:spacing w:before="0" w:after="0"/>
        <w:ind w:left="2160" w:firstLine="720"/>
        <w:rPr>
          <w:rFonts w:cs="Arial"/>
          <w:sz w:val="32"/>
        </w:rPr>
      </w:pPr>
      <w:r w:rsidRPr="00787196">
        <w:rPr>
          <w:rFonts w:cs="Arial"/>
          <w:sz w:val="32"/>
        </w:rPr>
        <w:t xml:space="preserve"> </w:t>
      </w:r>
    </w:p>
    <w:p w14:paraId="787689FB" w14:textId="5B162E84" w:rsidR="008A3CC3" w:rsidRPr="00787196" w:rsidRDefault="00407764" w:rsidP="00652C2F">
      <w:pPr>
        <w:spacing w:before="0" w:after="0"/>
        <w:ind w:right="45"/>
        <w:jc w:val="center"/>
        <w:rPr>
          <w:rFonts w:cs="Arial"/>
          <w:sz w:val="32"/>
        </w:rPr>
      </w:pPr>
      <w:r w:rsidRPr="00787196">
        <w:rPr>
          <w:rFonts w:cs="Arial"/>
          <w:noProof/>
          <w:sz w:val="32"/>
        </w:rPr>
        <w:drawing>
          <wp:inline distT="0" distB="0" distL="0" distR="0" wp14:anchorId="737BA2A9" wp14:editId="0C05E68D">
            <wp:extent cx="2332990" cy="2332990"/>
            <wp:effectExtent l="0" t="0" r="0" b="0"/>
            <wp:docPr id="40" name="Picture 1" descr="yellow_big_grin_smiley_with_missing_teeth_stickers-r48b19b1c2d6e46fcbcb9348a401d97d1_v9wth_8byvr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_big_grin_smiley_with_missing_teeth_stickers-r48b19b1c2d6e46fcbcb9348a401d97d1_v9wth_8byvr_5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inline>
        </w:drawing>
      </w:r>
    </w:p>
    <w:p w14:paraId="76985605" w14:textId="77777777" w:rsidR="008A3CC3" w:rsidRPr="00787196" w:rsidRDefault="008A3CC3" w:rsidP="00652C2F">
      <w:pPr>
        <w:spacing w:before="0" w:after="0"/>
        <w:ind w:right="45"/>
        <w:jc w:val="center"/>
        <w:rPr>
          <w:rFonts w:cs="Arial"/>
          <w:b/>
          <w:color w:val="FF0000"/>
          <w:sz w:val="28"/>
        </w:rPr>
      </w:pPr>
      <w:r w:rsidRPr="00787196">
        <w:rPr>
          <w:rFonts w:cs="Arial"/>
          <w:b/>
          <w:color w:val="FF0000"/>
          <w:sz w:val="40"/>
        </w:rPr>
        <w:t>DO YOU HAVE MISSING TEETH?</w:t>
      </w:r>
    </w:p>
    <w:p w14:paraId="4D28F720" w14:textId="77777777" w:rsidR="008A3CC3" w:rsidRPr="00787196" w:rsidRDefault="008A3CC3" w:rsidP="00652C2F">
      <w:pPr>
        <w:tabs>
          <w:tab w:val="left" w:pos="8505"/>
        </w:tabs>
        <w:spacing w:before="0" w:after="0"/>
        <w:ind w:right="45"/>
        <w:rPr>
          <w:rFonts w:cs="Arial"/>
        </w:rPr>
      </w:pPr>
      <w:r w:rsidRPr="00787196">
        <w:rPr>
          <w:rFonts w:cs="Arial"/>
        </w:rPr>
        <w:t>We are a group of dentists from the School of Clinical Dentistry, University of Sheffield, UK and Ramachandra Dental College &amp; Hospital conducting research to understand whether the way you cope can improve the success of your dentures.</w:t>
      </w:r>
    </w:p>
    <w:p w14:paraId="379D6376" w14:textId="77777777" w:rsidR="008A3CC3" w:rsidRPr="00787196" w:rsidRDefault="008A3CC3" w:rsidP="00652C2F">
      <w:pPr>
        <w:spacing w:before="0" w:after="0"/>
        <w:ind w:right="45"/>
        <w:jc w:val="center"/>
        <w:rPr>
          <w:rFonts w:cs="Arial"/>
          <w:b/>
          <w:color w:val="00A1DA"/>
          <w:sz w:val="36"/>
        </w:rPr>
      </w:pPr>
      <w:r w:rsidRPr="00787196">
        <w:rPr>
          <w:rFonts w:cs="Arial"/>
          <w:b/>
          <w:color w:val="00A1DA"/>
          <w:sz w:val="36"/>
        </w:rPr>
        <w:t>What would you get?</w:t>
      </w:r>
    </w:p>
    <w:p w14:paraId="2BFD81BB" w14:textId="77777777" w:rsidR="008A3CC3" w:rsidRPr="00787196" w:rsidRDefault="008A3CC3" w:rsidP="00652C2F">
      <w:pPr>
        <w:spacing w:before="0" w:after="0"/>
        <w:ind w:right="45"/>
        <w:jc w:val="center"/>
        <w:rPr>
          <w:rFonts w:cs="Arial"/>
          <w:sz w:val="28"/>
        </w:rPr>
      </w:pPr>
      <w:r w:rsidRPr="00787196">
        <w:rPr>
          <w:rFonts w:cs="Arial"/>
          <w:sz w:val="28"/>
        </w:rPr>
        <w:t>An opportunity to share your experience of wearing dentures</w:t>
      </w:r>
    </w:p>
    <w:p w14:paraId="3766B0EF" w14:textId="77777777" w:rsidR="008A3CC3" w:rsidRPr="00787196" w:rsidRDefault="008A3CC3" w:rsidP="00652C2F">
      <w:pPr>
        <w:spacing w:before="0" w:after="0"/>
        <w:ind w:right="45"/>
        <w:jc w:val="center"/>
        <w:rPr>
          <w:rFonts w:cs="Arial"/>
          <w:sz w:val="28"/>
          <w:vertAlign w:val="superscript"/>
        </w:rPr>
      </w:pPr>
      <w:r w:rsidRPr="00787196">
        <w:rPr>
          <w:rFonts w:cs="Arial"/>
          <w:sz w:val="28"/>
        </w:rPr>
        <w:t>A chance to win a microwave oven or a refrigerator*</w:t>
      </w:r>
    </w:p>
    <w:tbl>
      <w:tblPr>
        <w:tblStyle w:val="TableGrid"/>
        <w:tblW w:w="8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3910"/>
      </w:tblGrid>
      <w:tr w:rsidR="0011789A" w:rsidRPr="00787196" w14:paraId="773E14F5" w14:textId="48131F4C" w:rsidTr="00652C2F">
        <w:trPr>
          <w:trHeight w:val="953"/>
        </w:trPr>
        <w:tc>
          <w:tcPr>
            <w:tcW w:w="4419" w:type="dxa"/>
          </w:tcPr>
          <w:p w14:paraId="5FB3570B" w14:textId="77777777"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Department of Oral medicine &amp; Radiology</w:t>
            </w:r>
          </w:p>
          <w:p w14:paraId="7E1F283E" w14:textId="77777777"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Ramachandra Dental College and Hospital,</w:t>
            </w:r>
          </w:p>
          <w:p w14:paraId="22782C09" w14:textId="555F8411"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Porur, Chennai</w:t>
            </w:r>
          </w:p>
        </w:tc>
        <w:tc>
          <w:tcPr>
            <w:tcW w:w="3910" w:type="dxa"/>
          </w:tcPr>
          <w:p w14:paraId="65A24493" w14:textId="77777777"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Department of Prosthodontics</w:t>
            </w:r>
          </w:p>
          <w:p w14:paraId="1D2D9B9D" w14:textId="77777777"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Ramachandra Dental College and Hospital,</w:t>
            </w:r>
          </w:p>
          <w:p w14:paraId="20A4700B" w14:textId="79B79233" w:rsidR="0011789A" w:rsidRPr="00787196" w:rsidRDefault="0011789A" w:rsidP="00652C2F">
            <w:pPr>
              <w:spacing w:before="0" w:after="0" w:line="240" w:lineRule="auto"/>
              <w:ind w:right="45"/>
              <w:jc w:val="left"/>
              <w:rPr>
                <w:rFonts w:cs="Arial"/>
                <w:szCs w:val="20"/>
                <w:lang w:val="en-GB"/>
              </w:rPr>
            </w:pPr>
            <w:r w:rsidRPr="00787196">
              <w:rPr>
                <w:rFonts w:cs="Arial"/>
                <w:szCs w:val="20"/>
                <w:lang w:val="en-GB"/>
              </w:rPr>
              <w:t>Porur, Chennai</w:t>
            </w:r>
          </w:p>
        </w:tc>
      </w:tr>
    </w:tbl>
    <w:p w14:paraId="255B8DFE" w14:textId="77777777" w:rsidR="00E71809" w:rsidRPr="00787196" w:rsidRDefault="00E71809" w:rsidP="00652C2F">
      <w:pPr>
        <w:spacing w:before="0" w:after="0" w:line="240" w:lineRule="auto"/>
        <w:ind w:right="45"/>
        <w:rPr>
          <w:rFonts w:cs="Arial"/>
          <w:b/>
          <w:sz w:val="20"/>
          <w:szCs w:val="20"/>
        </w:rPr>
      </w:pPr>
    </w:p>
    <w:p w14:paraId="32DA5B0B" w14:textId="77777777" w:rsidR="008A3CC3" w:rsidRPr="00787196" w:rsidRDefault="008A3CC3" w:rsidP="00652C2F">
      <w:pPr>
        <w:spacing w:before="0" w:after="0" w:line="240" w:lineRule="auto"/>
        <w:ind w:right="45"/>
        <w:rPr>
          <w:rFonts w:cs="Arial"/>
          <w:b/>
          <w:sz w:val="20"/>
          <w:szCs w:val="20"/>
        </w:rPr>
      </w:pPr>
      <w:r w:rsidRPr="00787196">
        <w:rPr>
          <w:rFonts w:cs="Arial"/>
          <w:b/>
          <w:sz w:val="20"/>
          <w:szCs w:val="20"/>
        </w:rPr>
        <w:t xml:space="preserve">Or contact </w:t>
      </w:r>
    </w:p>
    <w:p w14:paraId="7DE389F6" w14:textId="77777777" w:rsidR="008A3CC3" w:rsidRPr="00787196" w:rsidRDefault="008A3CC3" w:rsidP="00652C2F">
      <w:pPr>
        <w:spacing w:before="0" w:after="0" w:line="240" w:lineRule="auto"/>
        <w:ind w:right="45"/>
        <w:rPr>
          <w:rFonts w:cs="Arial"/>
          <w:sz w:val="16"/>
          <w:szCs w:val="20"/>
        </w:rPr>
      </w:pPr>
      <w:r w:rsidRPr="00787196">
        <w:rPr>
          <w:rFonts w:cs="Arial"/>
          <w:sz w:val="20"/>
          <w:szCs w:val="20"/>
        </w:rPr>
        <w:t>Mr Karthik Periyakaruppiah</w:t>
      </w:r>
      <w:r w:rsidRPr="00787196">
        <w:rPr>
          <w:rFonts w:cs="Arial"/>
          <w:sz w:val="18"/>
          <w:szCs w:val="20"/>
        </w:rPr>
        <w:t>,</w:t>
      </w:r>
    </w:p>
    <w:p w14:paraId="1D30A1D3" w14:textId="77777777" w:rsidR="008A3CC3" w:rsidRPr="00787196" w:rsidRDefault="008A3CC3" w:rsidP="00652C2F">
      <w:pPr>
        <w:spacing w:before="0" w:after="0" w:line="240" w:lineRule="auto"/>
        <w:ind w:right="45"/>
        <w:rPr>
          <w:rFonts w:cs="Arial"/>
          <w:sz w:val="20"/>
          <w:szCs w:val="20"/>
        </w:rPr>
      </w:pPr>
      <w:r w:rsidRPr="00787196">
        <w:rPr>
          <w:rFonts w:cs="Arial"/>
          <w:sz w:val="20"/>
          <w:szCs w:val="20"/>
        </w:rPr>
        <w:t xml:space="preserve">Ph: +91 9791180582(direct) </w:t>
      </w:r>
      <w:r w:rsidRPr="00787196">
        <w:rPr>
          <w:rFonts w:cs="Arial"/>
        </w:rPr>
        <w:t xml:space="preserve">e-mail: </w:t>
      </w:r>
      <w:r w:rsidRPr="00787196">
        <w:rPr>
          <w:rFonts w:cs="Arial"/>
          <w:sz w:val="20"/>
          <w:szCs w:val="20"/>
        </w:rPr>
        <w:t>k.periyakaruppiah@sheffield.ac.uk.</w:t>
      </w:r>
      <w:r w:rsidRPr="00787196">
        <w:rPr>
          <w:rFonts w:cs="Arial"/>
          <w:sz w:val="20"/>
          <w:szCs w:val="20"/>
        </w:rPr>
        <w:tab/>
      </w:r>
    </w:p>
    <w:p w14:paraId="6DBCCE14" w14:textId="77777777" w:rsidR="008A3CC3" w:rsidRPr="00787196" w:rsidRDefault="008A3CC3" w:rsidP="00652C2F">
      <w:pPr>
        <w:spacing w:before="0" w:after="0" w:line="240" w:lineRule="auto"/>
        <w:ind w:right="45"/>
        <w:rPr>
          <w:rFonts w:cs="Arial"/>
          <w:sz w:val="16"/>
          <w:szCs w:val="20"/>
        </w:rPr>
      </w:pPr>
    </w:p>
    <w:p w14:paraId="73510A8A" w14:textId="17F45E6C" w:rsidR="00475F61" w:rsidRPr="00787196" w:rsidRDefault="008A3CC3" w:rsidP="00725DA9">
      <w:pPr>
        <w:spacing w:before="0" w:after="0" w:line="240" w:lineRule="auto"/>
        <w:ind w:right="45"/>
        <w:rPr>
          <w:rFonts w:cs="Arial"/>
          <w:sz w:val="16"/>
          <w:szCs w:val="20"/>
        </w:rPr>
        <w:sectPr w:rsidR="00475F61" w:rsidRPr="00787196" w:rsidSect="004D7A26">
          <w:type w:val="nextColumn"/>
          <w:pgSz w:w="11952" w:h="16848" w:code="9"/>
          <w:pgMar w:top="1134" w:right="1134" w:bottom="1134" w:left="2268" w:header="430" w:footer="1117" w:gutter="0"/>
          <w:cols w:space="720"/>
          <w:noEndnote/>
          <w:docGrid w:linePitch="360"/>
        </w:sectPr>
      </w:pPr>
      <w:r w:rsidRPr="00787196">
        <w:rPr>
          <w:rFonts w:cs="Arial"/>
          <w:sz w:val="16"/>
          <w:szCs w:val="20"/>
        </w:rPr>
        <w:t xml:space="preserve">* by lucky draw. There will be two draws and one winner in each. Microwave oven for the first and refrigerator in the next.   </w:t>
      </w:r>
      <w:r w:rsidRPr="00787196">
        <w:rPr>
          <w:rFonts w:cs="Arial"/>
          <w:sz w:val="16"/>
          <w:szCs w:val="20"/>
        </w:rPr>
        <w:br w:type="page"/>
      </w:r>
    </w:p>
    <w:p w14:paraId="5EA6C858" w14:textId="68F629A2" w:rsidR="00062AE7" w:rsidRPr="00787196" w:rsidRDefault="00A1466E" w:rsidP="00392278">
      <w:pPr>
        <w:pStyle w:val="Heading2"/>
        <w:numPr>
          <w:ilvl w:val="0"/>
          <w:numId w:val="0"/>
        </w:numPr>
        <w:ind w:left="720"/>
        <w:jc w:val="center"/>
      </w:pPr>
      <w:bookmarkStart w:id="802" w:name="_Toc456211214"/>
      <w:bookmarkStart w:id="803" w:name="_Toc488655705"/>
      <w:r w:rsidRPr="00787196">
        <w:lastRenderedPageBreak/>
        <w:t xml:space="preserve">Appendix </w:t>
      </w:r>
      <w:r w:rsidR="00F209BB" w:rsidRPr="00787196">
        <w:t>B</w:t>
      </w:r>
      <w:r w:rsidR="004B16D2" w:rsidRPr="00787196">
        <w:t>-</w:t>
      </w:r>
      <w:r w:rsidR="00DE468B" w:rsidRPr="00787196">
        <w:t>Patient Information Sheet</w:t>
      </w:r>
      <w:bookmarkEnd w:id="802"/>
      <w:bookmarkEnd w:id="803"/>
    </w:p>
    <w:p w14:paraId="3F60B3C2" w14:textId="77777777" w:rsidR="00062AE7" w:rsidRPr="00787196" w:rsidRDefault="00062AE7" w:rsidP="001A6B73">
      <w:pPr>
        <w:spacing w:before="0" w:after="0"/>
        <w:ind w:right="45"/>
        <w:rPr>
          <w:rFonts w:cs="Arial"/>
          <w:b/>
        </w:rPr>
      </w:pPr>
      <w:r w:rsidRPr="00787196">
        <w:rPr>
          <w:rFonts w:cs="Arial"/>
          <w:b/>
        </w:rPr>
        <w:t xml:space="preserve">Title of Study: </w:t>
      </w:r>
      <w:r w:rsidR="0083734F" w:rsidRPr="00787196">
        <w:rPr>
          <w:rFonts w:cs="Arial"/>
          <w:bCs/>
        </w:rPr>
        <w:t>DO COPING STRATEGIES OF PATIENTS DETERMINE DENTURE SUCCESS AND IMPROVE ORAL HEALTH RELATED QUALITY OF LIFE?</w:t>
      </w:r>
      <w:r w:rsidR="0083734F" w:rsidRPr="00787196">
        <w:rPr>
          <w:rFonts w:cs="Arial"/>
          <w:b/>
        </w:rPr>
        <w:t xml:space="preserve"> </w:t>
      </w:r>
    </w:p>
    <w:p w14:paraId="7BDCE081" w14:textId="77777777" w:rsidR="00B24FA8" w:rsidRPr="00787196" w:rsidRDefault="00B24FA8" w:rsidP="001A6B73">
      <w:pPr>
        <w:spacing w:before="0" w:after="0"/>
        <w:ind w:right="45"/>
      </w:pPr>
    </w:p>
    <w:p w14:paraId="639DBC8E" w14:textId="77777777" w:rsidR="00062AE7" w:rsidRPr="00787196" w:rsidRDefault="00062AE7" w:rsidP="001A6B73">
      <w:pPr>
        <w:spacing w:before="0" w:after="0"/>
        <w:ind w:right="45"/>
        <w:rPr>
          <w:rFonts w:cs="Arial"/>
        </w:rPr>
      </w:pPr>
      <w:r w:rsidRPr="00787196">
        <w:rPr>
          <w:rFonts w:cs="Arial"/>
        </w:rPr>
        <w:t xml:space="preserve">You are being invited to take part in a research study. Before you decide it is important that you understand why the research is being done and what it will involve. Please take time to read the following information carefully and discuss it with others if you wish. Ask us if there is anything that is not clear or if you would like more information. </w:t>
      </w:r>
    </w:p>
    <w:p w14:paraId="355791FE" w14:textId="77777777" w:rsidR="00710FA2" w:rsidRPr="00787196" w:rsidRDefault="00710FA2" w:rsidP="001A6B73">
      <w:pPr>
        <w:spacing w:before="0" w:after="0"/>
        <w:ind w:right="45"/>
        <w:rPr>
          <w:b/>
        </w:rPr>
      </w:pPr>
    </w:p>
    <w:p w14:paraId="7B888128" w14:textId="77777777" w:rsidR="00062AE7" w:rsidRPr="00787196" w:rsidRDefault="00062AE7" w:rsidP="001A6B73">
      <w:pPr>
        <w:spacing w:before="0" w:after="0"/>
        <w:ind w:right="45"/>
        <w:rPr>
          <w:rFonts w:cs="Arial"/>
          <w:b/>
        </w:rPr>
      </w:pPr>
      <w:r w:rsidRPr="00787196">
        <w:rPr>
          <w:rFonts w:cs="Arial"/>
          <w:b/>
        </w:rPr>
        <w:t>What is the purpose of the study?</w:t>
      </w:r>
    </w:p>
    <w:p w14:paraId="3ECFCB1A" w14:textId="77777777" w:rsidR="00062AE7" w:rsidRPr="00787196" w:rsidRDefault="00062AE7" w:rsidP="001A6B73">
      <w:pPr>
        <w:spacing w:before="0" w:after="0"/>
        <w:ind w:right="45"/>
        <w:rPr>
          <w:rFonts w:cs="Arial"/>
        </w:rPr>
      </w:pPr>
      <w:r w:rsidRPr="00787196">
        <w:rPr>
          <w:rFonts w:cs="Arial"/>
        </w:rPr>
        <w:t xml:space="preserve">With the help of this study we would like to identify what things might influence the success of dentures </w:t>
      </w:r>
      <w:r w:rsidR="00EE1CDA" w:rsidRPr="00787196">
        <w:rPr>
          <w:rFonts w:cs="Arial"/>
        </w:rPr>
        <w:t>to improve</w:t>
      </w:r>
      <w:r w:rsidRPr="00787196">
        <w:rPr>
          <w:rFonts w:cs="Arial"/>
        </w:rPr>
        <w:t xml:space="preserve"> patient’s quality of life. We hope our findings will help us gain a better understanding of adults’ experiences of their edentulousness. Before you decide to take part it is important for you to know what the study will involve.</w:t>
      </w:r>
    </w:p>
    <w:p w14:paraId="44AF69C1" w14:textId="77777777" w:rsidR="00710FA2" w:rsidRPr="00787196" w:rsidRDefault="00710FA2" w:rsidP="001A6B73">
      <w:pPr>
        <w:spacing w:before="0" w:after="0"/>
        <w:ind w:right="45"/>
        <w:rPr>
          <w:b/>
          <w:bCs/>
        </w:rPr>
      </w:pPr>
    </w:p>
    <w:p w14:paraId="1878EBA1" w14:textId="77777777" w:rsidR="00062AE7" w:rsidRPr="00787196" w:rsidRDefault="00062AE7" w:rsidP="001A6B73">
      <w:pPr>
        <w:spacing w:before="0" w:after="0"/>
        <w:ind w:right="45"/>
        <w:rPr>
          <w:rFonts w:cs="Arial"/>
          <w:b/>
          <w:bCs/>
        </w:rPr>
      </w:pPr>
      <w:r w:rsidRPr="00787196">
        <w:rPr>
          <w:rFonts w:cs="Arial"/>
          <w:b/>
          <w:bCs/>
        </w:rPr>
        <w:t>Why have I been asked to take part?</w:t>
      </w:r>
    </w:p>
    <w:p w14:paraId="71F44325" w14:textId="77777777" w:rsidR="00062AE7" w:rsidRPr="00787196" w:rsidRDefault="00062AE7" w:rsidP="001A6B73">
      <w:pPr>
        <w:spacing w:before="0" w:after="0"/>
        <w:ind w:right="45"/>
        <w:rPr>
          <w:rFonts w:cs="Arial"/>
        </w:rPr>
      </w:pPr>
      <w:r w:rsidRPr="00787196">
        <w:rPr>
          <w:rFonts w:cs="Arial"/>
        </w:rPr>
        <w:t>We are asking adults over 18 years of age with 2 or more missing teeth to take part. This is because we are interested in understanding the factors that influence the denture success.</w:t>
      </w:r>
    </w:p>
    <w:p w14:paraId="42C0E378" w14:textId="77777777" w:rsidR="00710FA2" w:rsidRPr="00787196" w:rsidRDefault="00710FA2" w:rsidP="001A6B73">
      <w:pPr>
        <w:spacing w:before="0" w:after="0"/>
        <w:ind w:right="45"/>
        <w:rPr>
          <w:b/>
        </w:rPr>
      </w:pPr>
    </w:p>
    <w:p w14:paraId="7CE34456" w14:textId="77777777" w:rsidR="00062AE7" w:rsidRPr="00787196" w:rsidRDefault="00062AE7" w:rsidP="001A6B73">
      <w:pPr>
        <w:spacing w:before="0" w:after="0"/>
        <w:ind w:right="45"/>
        <w:rPr>
          <w:rFonts w:cs="Arial"/>
          <w:b/>
        </w:rPr>
      </w:pPr>
      <w:r w:rsidRPr="00787196">
        <w:rPr>
          <w:rFonts w:cs="Arial"/>
          <w:b/>
        </w:rPr>
        <w:t>Do I have to take part?</w:t>
      </w:r>
    </w:p>
    <w:p w14:paraId="35C19DF7" w14:textId="77777777" w:rsidR="00F01277" w:rsidRPr="00787196" w:rsidRDefault="00062AE7" w:rsidP="001A6B73">
      <w:pPr>
        <w:spacing w:before="0" w:after="0"/>
        <w:ind w:right="45"/>
        <w:rPr>
          <w:rFonts w:cs="Arial"/>
        </w:rPr>
      </w:pPr>
      <w:r w:rsidRPr="00787196">
        <w:rPr>
          <w:rFonts w:cs="Arial"/>
        </w:rPr>
        <w:t xml:space="preserve">It is completely up to you to decide whether or not to take part. You are free to withdraw from the research at any time and do not have to give a reason. </w:t>
      </w:r>
    </w:p>
    <w:p w14:paraId="5FD5D6FC" w14:textId="77777777" w:rsidR="00F01277" w:rsidRPr="00787196" w:rsidRDefault="00F01277" w:rsidP="001A6B73">
      <w:pPr>
        <w:spacing w:before="0" w:after="0"/>
        <w:ind w:right="45"/>
        <w:rPr>
          <w:rFonts w:cs="Arial"/>
        </w:rPr>
        <w:sectPr w:rsidR="00F01277" w:rsidRPr="00787196" w:rsidSect="004D7A26">
          <w:headerReference w:type="default" r:id="rId43"/>
          <w:type w:val="nextColumn"/>
          <w:pgSz w:w="11952" w:h="16848" w:code="9"/>
          <w:pgMar w:top="1134" w:right="1134" w:bottom="1134" w:left="2268" w:header="430" w:footer="1117" w:gutter="0"/>
          <w:cols w:space="720"/>
          <w:noEndnote/>
          <w:docGrid w:linePitch="360"/>
        </w:sectPr>
      </w:pPr>
    </w:p>
    <w:p w14:paraId="29A55B9D" w14:textId="77777777" w:rsidR="00062AE7" w:rsidRPr="00787196" w:rsidRDefault="00062AE7" w:rsidP="001A6B73">
      <w:pPr>
        <w:spacing w:before="0" w:after="0"/>
        <w:ind w:right="45"/>
        <w:rPr>
          <w:rFonts w:cs="Arial"/>
          <w:b/>
        </w:rPr>
      </w:pPr>
      <w:r w:rsidRPr="00787196">
        <w:rPr>
          <w:rFonts w:cs="Arial"/>
          <w:b/>
        </w:rPr>
        <w:lastRenderedPageBreak/>
        <w:t>What will happen to me if I take part? What do I have to do?</w:t>
      </w:r>
    </w:p>
    <w:p w14:paraId="47B85640" w14:textId="77777777" w:rsidR="00062AE7" w:rsidRPr="00787196" w:rsidRDefault="00062AE7" w:rsidP="001A6B73">
      <w:pPr>
        <w:spacing w:before="0" w:after="0"/>
        <w:ind w:right="45"/>
        <w:rPr>
          <w:rFonts w:cs="Arial"/>
        </w:rPr>
      </w:pPr>
      <w:r w:rsidRPr="00787196">
        <w:rPr>
          <w:rFonts w:cs="Arial"/>
        </w:rPr>
        <w:t>If you decide to take part you will have to-</w:t>
      </w:r>
    </w:p>
    <w:p w14:paraId="05D1A248" w14:textId="77777777" w:rsidR="00062AE7" w:rsidRPr="00787196" w:rsidRDefault="00062AE7" w:rsidP="00C119A5">
      <w:pPr>
        <w:pStyle w:val="ListParagraph"/>
        <w:numPr>
          <w:ilvl w:val="0"/>
          <w:numId w:val="10"/>
        </w:numPr>
        <w:spacing w:before="0" w:after="0"/>
        <w:ind w:right="45"/>
        <w:rPr>
          <w:rFonts w:cs="Arial"/>
          <w:u w:val="single"/>
        </w:rPr>
      </w:pPr>
      <w:r w:rsidRPr="00787196">
        <w:rPr>
          <w:rFonts w:cs="Arial"/>
        </w:rPr>
        <w:t>Undergo a  whole mouth check-up</w:t>
      </w:r>
    </w:p>
    <w:p w14:paraId="564B4D24" w14:textId="77777777" w:rsidR="00062AE7" w:rsidRPr="00787196" w:rsidRDefault="00062AE7" w:rsidP="00C119A5">
      <w:pPr>
        <w:pStyle w:val="ListParagraph"/>
        <w:numPr>
          <w:ilvl w:val="0"/>
          <w:numId w:val="10"/>
        </w:numPr>
        <w:spacing w:before="0" w:after="0"/>
        <w:ind w:right="45"/>
        <w:rPr>
          <w:rFonts w:cs="Arial"/>
          <w:u w:val="single"/>
        </w:rPr>
      </w:pPr>
      <w:r w:rsidRPr="00787196">
        <w:rPr>
          <w:rFonts w:cs="Arial"/>
        </w:rPr>
        <w:t xml:space="preserve"> Complete a series of questionnaires which will ask about what you think about yourself and the world around you and about your oral health. </w:t>
      </w:r>
    </w:p>
    <w:p w14:paraId="21DB45A2" w14:textId="77777777" w:rsidR="00062AE7" w:rsidRPr="00787196" w:rsidRDefault="00062AE7" w:rsidP="00C119A5">
      <w:pPr>
        <w:pStyle w:val="ListParagraph"/>
        <w:numPr>
          <w:ilvl w:val="0"/>
          <w:numId w:val="10"/>
        </w:numPr>
        <w:spacing w:before="0" w:after="0"/>
        <w:ind w:right="45"/>
        <w:rPr>
          <w:rFonts w:cs="Arial"/>
        </w:rPr>
      </w:pPr>
      <w:r w:rsidRPr="00787196">
        <w:rPr>
          <w:rFonts w:cs="Arial"/>
        </w:rPr>
        <w:t>Answer the same questionnaires again 3 months later after you have been fitted with dentures</w:t>
      </w:r>
    </w:p>
    <w:p w14:paraId="740B0C60" w14:textId="77777777" w:rsidR="00710FA2" w:rsidRPr="00787196" w:rsidRDefault="00062AE7" w:rsidP="00C119A5">
      <w:pPr>
        <w:pStyle w:val="ListParagraph"/>
        <w:numPr>
          <w:ilvl w:val="0"/>
          <w:numId w:val="10"/>
        </w:numPr>
        <w:spacing w:before="0" w:after="0"/>
        <w:ind w:right="45"/>
        <w:rPr>
          <w:rFonts w:cs="Arial"/>
        </w:rPr>
      </w:pPr>
      <w:r w:rsidRPr="00787196">
        <w:rPr>
          <w:rFonts w:cs="Arial"/>
        </w:rPr>
        <w:t>We will contact you to do this</w:t>
      </w:r>
    </w:p>
    <w:p w14:paraId="66E6A560" w14:textId="77777777" w:rsidR="00062AE7" w:rsidRPr="00787196" w:rsidRDefault="00062AE7" w:rsidP="001A6B73">
      <w:pPr>
        <w:spacing w:before="0" w:after="0"/>
        <w:ind w:right="45"/>
        <w:rPr>
          <w:rFonts w:cs="Arial"/>
          <w:b/>
        </w:rPr>
      </w:pPr>
      <w:r w:rsidRPr="00787196">
        <w:rPr>
          <w:rFonts w:cs="Arial"/>
          <w:b/>
        </w:rPr>
        <w:t>What are the possible disadvantages and risks of taking part?</w:t>
      </w:r>
    </w:p>
    <w:p w14:paraId="3963404C" w14:textId="77777777" w:rsidR="00062AE7" w:rsidRPr="00787196" w:rsidRDefault="00062AE7" w:rsidP="001A6B73">
      <w:pPr>
        <w:spacing w:before="0" w:after="0"/>
        <w:ind w:right="45"/>
      </w:pPr>
      <w:r w:rsidRPr="00787196">
        <w:rPr>
          <w:rFonts w:cs="Arial"/>
        </w:rPr>
        <w:t xml:space="preserve">There are no known risks. We will just ask you to fill in some questionnaires and let us examine your mouth. We can assure you, </w:t>
      </w:r>
      <w:r w:rsidRPr="00787196">
        <w:rPr>
          <w:rFonts w:cs="Arial"/>
          <w:u w:val="single"/>
        </w:rPr>
        <w:t>we will not administer any treatment</w:t>
      </w:r>
      <w:r w:rsidRPr="00787196">
        <w:rPr>
          <w:rFonts w:cs="Arial"/>
        </w:rPr>
        <w:t xml:space="preserve"> apart from the dentures you will receive. If there are any questions you find upsetting or personal, plea</w:t>
      </w:r>
      <w:r w:rsidR="00B24FA8" w:rsidRPr="00787196">
        <w:rPr>
          <w:rFonts w:cs="Arial"/>
        </w:rPr>
        <w:t>se feel free not to answer them</w:t>
      </w:r>
    </w:p>
    <w:p w14:paraId="2FA67715" w14:textId="77777777" w:rsidR="00710FA2" w:rsidRPr="00787196" w:rsidRDefault="00710FA2" w:rsidP="001A6B73">
      <w:pPr>
        <w:spacing w:before="0" w:after="0"/>
        <w:ind w:right="45"/>
      </w:pPr>
    </w:p>
    <w:p w14:paraId="20332172" w14:textId="77777777" w:rsidR="00710FA2" w:rsidRPr="00787196" w:rsidRDefault="00710FA2" w:rsidP="001A6B73">
      <w:pPr>
        <w:spacing w:before="0" w:after="0"/>
        <w:ind w:right="45"/>
        <w:rPr>
          <w:rFonts w:cs="Arial"/>
          <w:b/>
          <w:szCs w:val="24"/>
        </w:rPr>
      </w:pPr>
      <w:r w:rsidRPr="00787196">
        <w:rPr>
          <w:rFonts w:cs="Arial"/>
          <w:b/>
          <w:szCs w:val="24"/>
        </w:rPr>
        <w:t xml:space="preserve">What are the possible benefits of taking part? </w:t>
      </w:r>
    </w:p>
    <w:p w14:paraId="6496CA75" w14:textId="77777777" w:rsidR="00710FA2" w:rsidRPr="00787196" w:rsidRDefault="00710FA2" w:rsidP="001A6B73">
      <w:pPr>
        <w:pStyle w:val="BodyText2"/>
        <w:spacing w:before="0" w:line="360" w:lineRule="auto"/>
        <w:ind w:right="45"/>
        <w:rPr>
          <w:rFonts w:ascii="Arial" w:hAnsi="Arial" w:cs="Arial"/>
          <w:b w:val="0"/>
          <w:bCs w:val="0"/>
        </w:rPr>
      </w:pPr>
      <w:bookmarkStart w:id="804" w:name="_Toc317517885"/>
      <w:r w:rsidRPr="00787196">
        <w:rPr>
          <w:rFonts w:ascii="Arial" w:hAnsi="Arial" w:cs="Arial"/>
          <w:b w:val="0"/>
          <w:bCs w:val="0"/>
        </w:rPr>
        <w:t>There might be no immediate or direct benefits to you. However, this research will help us gain a better understanding of achieving success in dentures. This help from you will enable us to find better ways of providing dentures care to people like you.</w:t>
      </w:r>
      <w:bookmarkEnd w:id="804"/>
      <w:r w:rsidRPr="00787196">
        <w:rPr>
          <w:rFonts w:ascii="Arial" w:hAnsi="Arial" w:cs="Arial"/>
          <w:b w:val="0"/>
          <w:bCs w:val="0"/>
        </w:rPr>
        <w:t xml:space="preserve"> </w:t>
      </w:r>
    </w:p>
    <w:p w14:paraId="07E1E59D" w14:textId="77777777" w:rsidR="00710FA2" w:rsidRPr="00787196" w:rsidRDefault="00710FA2" w:rsidP="001A6B73">
      <w:pPr>
        <w:pStyle w:val="BodyText2"/>
        <w:spacing w:before="0" w:line="360" w:lineRule="auto"/>
        <w:ind w:right="45"/>
        <w:rPr>
          <w:rFonts w:ascii="Arial" w:hAnsi="Arial" w:cs="Latha"/>
          <w:b w:val="0"/>
          <w:bCs w:val="0"/>
          <w:lang w:bidi="ta-IN"/>
        </w:rPr>
      </w:pPr>
      <w:bookmarkStart w:id="805" w:name="_Toc317517886"/>
      <w:r w:rsidRPr="00787196">
        <w:rPr>
          <w:rFonts w:ascii="Arial" w:hAnsi="Arial" w:cs="Arial"/>
          <w:b w:val="0"/>
          <w:bCs w:val="0"/>
        </w:rPr>
        <w:t>If you do decide to take part in this study the time you will need to commit to completing the questionnaires will be recognised and you will receive an incentive for completing the questionnaire at each stage. These incentives will be given to you at the end of each session. For both the stages of the study you will be entered into a free prize draw to win X and Y respectively.</w:t>
      </w:r>
      <w:bookmarkEnd w:id="805"/>
    </w:p>
    <w:p w14:paraId="6E21F7CB" w14:textId="77777777" w:rsidR="0001542C" w:rsidRPr="00787196" w:rsidRDefault="0001542C" w:rsidP="001A6B73">
      <w:pPr>
        <w:spacing w:before="0" w:after="0"/>
        <w:ind w:right="45"/>
        <w:rPr>
          <w:rFonts w:cs="Arial"/>
          <w:b/>
          <w:szCs w:val="24"/>
        </w:rPr>
      </w:pPr>
    </w:p>
    <w:p w14:paraId="2BD4556C" w14:textId="77777777" w:rsidR="00710FA2" w:rsidRPr="00787196" w:rsidRDefault="00710FA2" w:rsidP="001A6B73">
      <w:pPr>
        <w:spacing w:before="0" w:after="0"/>
        <w:ind w:right="45"/>
        <w:rPr>
          <w:rFonts w:cs="Arial"/>
          <w:b/>
          <w:szCs w:val="24"/>
        </w:rPr>
      </w:pPr>
      <w:r w:rsidRPr="00787196">
        <w:rPr>
          <w:rFonts w:cs="Arial"/>
          <w:b/>
          <w:szCs w:val="24"/>
        </w:rPr>
        <w:t>Will my taking part in this study be kept confidential?</w:t>
      </w:r>
    </w:p>
    <w:p w14:paraId="0BDDEB5A" w14:textId="77777777" w:rsidR="00710FA2" w:rsidRPr="00787196" w:rsidRDefault="00710FA2" w:rsidP="001A6B73">
      <w:pPr>
        <w:spacing w:before="0" w:after="0"/>
        <w:ind w:right="45"/>
        <w:rPr>
          <w:szCs w:val="24"/>
        </w:rPr>
      </w:pPr>
      <w:r w:rsidRPr="00787196">
        <w:rPr>
          <w:rFonts w:cs="Arial"/>
          <w:szCs w:val="24"/>
        </w:rPr>
        <w:t xml:space="preserve">All information that you provide us for this study will be kept </w:t>
      </w:r>
      <w:r w:rsidRPr="00787196">
        <w:rPr>
          <w:rFonts w:cs="Arial"/>
          <w:b/>
          <w:szCs w:val="24"/>
        </w:rPr>
        <w:t>strictly confidential</w:t>
      </w:r>
      <w:r w:rsidRPr="00787196">
        <w:rPr>
          <w:rFonts w:cs="Arial"/>
          <w:szCs w:val="24"/>
        </w:rPr>
        <w:t xml:space="preserve">. To protect your privacy, your </w:t>
      </w:r>
      <w:r w:rsidRPr="00787196">
        <w:rPr>
          <w:rFonts w:cs="Arial"/>
          <w:b/>
          <w:szCs w:val="24"/>
        </w:rPr>
        <w:t>name</w:t>
      </w:r>
      <w:r w:rsidRPr="00787196">
        <w:rPr>
          <w:rFonts w:cs="Arial"/>
          <w:szCs w:val="24"/>
        </w:rPr>
        <w:t xml:space="preserve"> will </w:t>
      </w:r>
      <w:r w:rsidRPr="00787196">
        <w:rPr>
          <w:rFonts w:cs="Arial"/>
          <w:b/>
          <w:szCs w:val="24"/>
        </w:rPr>
        <w:t>not</w:t>
      </w:r>
      <w:r w:rsidRPr="00787196">
        <w:rPr>
          <w:rFonts w:cs="Arial"/>
          <w:szCs w:val="24"/>
        </w:rPr>
        <w:t xml:space="preserve"> appear on any questionnaire. You will be allocated an identification number which will be used as an identifier. Only you and the research team will know your name and identification number. </w:t>
      </w:r>
    </w:p>
    <w:p w14:paraId="14D721D0" w14:textId="77777777" w:rsidR="00725DA9" w:rsidRPr="00787196" w:rsidRDefault="00725DA9" w:rsidP="001A6B73">
      <w:pPr>
        <w:spacing w:before="0" w:after="0"/>
        <w:ind w:right="45"/>
        <w:rPr>
          <w:rFonts w:cs="Arial"/>
          <w:b/>
          <w:szCs w:val="24"/>
        </w:rPr>
      </w:pPr>
    </w:p>
    <w:p w14:paraId="54E34C1A" w14:textId="77777777" w:rsidR="00710FA2" w:rsidRPr="00787196" w:rsidRDefault="00710FA2" w:rsidP="001A6B73">
      <w:pPr>
        <w:spacing w:before="0" w:after="0"/>
        <w:ind w:right="45"/>
        <w:rPr>
          <w:rFonts w:cs="Arial"/>
          <w:b/>
          <w:szCs w:val="24"/>
        </w:rPr>
      </w:pPr>
      <w:r w:rsidRPr="00787196">
        <w:rPr>
          <w:rFonts w:cs="Arial"/>
          <w:b/>
          <w:szCs w:val="24"/>
        </w:rPr>
        <w:t>Did anyone else check the study is ok to do?</w:t>
      </w:r>
    </w:p>
    <w:p w14:paraId="2EEB646D" w14:textId="77777777" w:rsidR="00710FA2" w:rsidRPr="00787196" w:rsidRDefault="00710FA2" w:rsidP="001A6B73">
      <w:pPr>
        <w:spacing w:before="0" w:after="0"/>
        <w:ind w:right="45"/>
        <w:rPr>
          <w:szCs w:val="24"/>
        </w:rPr>
      </w:pPr>
      <w:r w:rsidRPr="00787196">
        <w:rPr>
          <w:rFonts w:cs="Arial"/>
          <w:szCs w:val="24"/>
        </w:rPr>
        <w:t xml:space="preserve">The study’s protocol has been reviewed and approved by the University of Sheffield Research Ethics Committee, UK. They make sure the research is ok to </w:t>
      </w:r>
      <w:r w:rsidRPr="00787196">
        <w:rPr>
          <w:rFonts w:cs="Arial"/>
          <w:szCs w:val="24"/>
        </w:rPr>
        <w:lastRenderedPageBreak/>
        <w:t>do. The ethics committee of the Sri Ramachandra University has also given permission to do this research in their University</w:t>
      </w:r>
    </w:p>
    <w:p w14:paraId="1778816B" w14:textId="77777777" w:rsidR="00710FA2" w:rsidRPr="00787196" w:rsidRDefault="00710FA2" w:rsidP="001A6B73">
      <w:pPr>
        <w:spacing w:before="0" w:after="0"/>
        <w:ind w:right="45"/>
        <w:rPr>
          <w:rStyle w:val="Strong"/>
          <w:rFonts w:cs="Arial"/>
          <w:b/>
          <w:szCs w:val="24"/>
        </w:rPr>
      </w:pPr>
      <w:r w:rsidRPr="00787196">
        <w:rPr>
          <w:rStyle w:val="Strong"/>
          <w:rFonts w:cs="Arial"/>
          <w:b/>
          <w:szCs w:val="24"/>
        </w:rPr>
        <w:t>What if I wish to complain about the way in which the study has been conducted?</w:t>
      </w:r>
    </w:p>
    <w:p w14:paraId="050994DB" w14:textId="77777777" w:rsidR="00710FA2" w:rsidRPr="00787196" w:rsidRDefault="00710FA2" w:rsidP="001A6B73">
      <w:pPr>
        <w:spacing w:before="0" w:after="0"/>
        <w:ind w:right="45"/>
        <w:rPr>
          <w:rStyle w:val="Strong"/>
          <w:rFonts w:cs="Arial"/>
          <w:b/>
          <w:szCs w:val="24"/>
        </w:rPr>
      </w:pPr>
      <w:r w:rsidRPr="00787196">
        <w:rPr>
          <w:rStyle w:val="Strong"/>
          <w:rFonts w:cs="Arial"/>
          <w:szCs w:val="24"/>
        </w:rPr>
        <w:t>If you have any cause to complain about any aspect of the way in which you have been approached or treated during the course of this study please contact-</w:t>
      </w:r>
    </w:p>
    <w:p w14:paraId="5BA044C3" w14:textId="77777777" w:rsidR="00710FA2" w:rsidRPr="00787196" w:rsidRDefault="00710FA2" w:rsidP="001A6B73">
      <w:pPr>
        <w:spacing w:before="0" w:after="0"/>
        <w:ind w:right="45"/>
        <w:rPr>
          <w:rStyle w:val="Strong"/>
          <w:rFonts w:cs="Arial"/>
          <w:szCs w:val="24"/>
        </w:rPr>
      </w:pPr>
      <w:r w:rsidRPr="00787196">
        <w:rPr>
          <w:rStyle w:val="Strong"/>
          <w:rFonts w:cs="Arial"/>
          <w:szCs w:val="24"/>
        </w:rPr>
        <w:t>Mr Karthik Periyakaruppiah</w:t>
      </w:r>
    </w:p>
    <w:p w14:paraId="440D8B15" w14:textId="77777777" w:rsidR="00725DA9" w:rsidRPr="00787196" w:rsidRDefault="00710FA2" w:rsidP="001A6B73">
      <w:pPr>
        <w:spacing w:before="0" w:after="0"/>
        <w:ind w:right="45"/>
        <w:rPr>
          <w:rStyle w:val="Strong"/>
          <w:rFonts w:cs="Arial"/>
          <w:szCs w:val="24"/>
        </w:rPr>
      </w:pPr>
      <w:r w:rsidRPr="00787196">
        <w:rPr>
          <w:rStyle w:val="Strong"/>
          <w:rFonts w:cs="Arial"/>
          <w:szCs w:val="24"/>
        </w:rPr>
        <w:t>Phone number</w:t>
      </w:r>
    </w:p>
    <w:p w14:paraId="39A2F62C" w14:textId="569D79E5" w:rsidR="00710FA2" w:rsidRPr="00787196" w:rsidRDefault="00710FA2" w:rsidP="001A6B73">
      <w:pPr>
        <w:spacing w:before="0" w:after="0"/>
        <w:ind w:right="45"/>
        <w:rPr>
          <w:rStyle w:val="Strong"/>
          <w:szCs w:val="24"/>
        </w:rPr>
      </w:pPr>
      <w:r w:rsidRPr="00787196">
        <w:rPr>
          <w:rStyle w:val="Strong"/>
          <w:rFonts w:cs="Arial"/>
          <w:szCs w:val="24"/>
        </w:rPr>
        <w:t xml:space="preserve">Email: </w:t>
      </w:r>
      <w:hyperlink r:id="rId44" w:history="1">
        <w:r w:rsidRPr="00787196">
          <w:rPr>
            <w:rStyle w:val="Hyperlink"/>
            <w:rFonts w:cs="Arial"/>
            <w:szCs w:val="24"/>
          </w:rPr>
          <w:t>k.periyakaruppiah@sheffield.ac.uk</w:t>
        </w:r>
      </w:hyperlink>
    </w:p>
    <w:tbl>
      <w:tblPr>
        <w:tblStyle w:val="TableGrid"/>
        <w:tblpPr w:leftFromText="180" w:rightFromText="180" w:vertAnchor="text" w:horzAnchor="margin"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231"/>
      </w:tblGrid>
      <w:tr w:rsidR="00725DA9" w:rsidRPr="00787196" w14:paraId="16E79C4D" w14:textId="77777777" w:rsidTr="00725DA9">
        <w:trPr>
          <w:trHeight w:val="3398"/>
        </w:trPr>
        <w:tc>
          <w:tcPr>
            <w:tcW w:w="4231" w:type="dxa"/>
          </w:tcPr>
          <w:p w14:paraId="5E7386F3"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Professor Peter G Robinson</w:t>
            </w:r>
          </w:p>
          <w:p w14:paraId="110CF57E"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Head of Unit, Academic Unit of Dental Public Health</w:t>
            </w:r>
          </w:p>
          <w:p w14:paraId="393294C0"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School of Clinical Dentistry</w:t>
            </w:r>
          </w:p>
          <w:p w14:paraId="64816982"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Claremont Crescent</w:t>
            </w:r>
          </w:p>
          <w:p w14:paraId="53B97F4F"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Sheffield, UK</w:t>
            </w:r>
          </w:p>
          <w:p w14:paraId="0E55E6CC"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S10 2TA</w:t>
            </w:r>
          </w:p>
          <w:p w14:paraId="1083E592" w14:textId="77777777" w:rsidR="00725DA9" w:rsidRPr="00787196" w:rsidRDefault="00725DA9" w:rsidP="00725DA9">
            <w:pPr>
              <w:spacing w:before="0" w:after="0"/>
              <w:ind w:right="45"/>
              <w:rPr>
                <w:rStyle w:val="Strong"/>
                <w:rFonts w:cs="Arial"/>
                <w:b/>
                <w:szCs w:val="24"/>
                <w:lang w:val="en-GB"/>
              </w:rPr>
            </w:pPr>
            <w:r w:rsidRPr="00787196">
              <w:rPr>
                <w:rStyle w:val="Strong"/>
                <w:rFonts w:cs="Arial"/>
                <w:szCs w:val="24"/>
                <w:lang w:val="en-GB"/>
              </w:rPr>
              <w:t>Telephone: + (00)44 114 2717885</w:t>
            </w:r>
          </w:p>
          <w:p w14:paraId="2F0AD421"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 xml:space="preserve">Email: </w:t>
            </w:r>
            <w:r w:rsidRPr="00787196">
              <w:rPr>
                <w:rFonts w:cs="Arial"/>
                <w:szCs w:val="24"/>
                <w:lang w:val="en-GB"/>
              </w:rPr>
              <w:t>peter.g.robinson@sheffield.ac.uk</w:t>
            </w:r>
          </w:p>
          <w:p w14:paraId="4D78B168" w14:textId="77777777" w:rsidR="00725DA9" w:rsidRPr="00787196" w:rsidRDefault="00725DA9" w:rsidP="00725DA9">
            <w:pPr>
              <w:spacing w:before="0" w:after="0"/>
              <w:ind w:right="45"/>
              <w:rPr>
                <w:rStyle w:val="Strong"/>
                <w:rFonts w:cs="Arial"/>
                <w:b/>
                <w:szCs w:val="24"/>
                <w:lang w:val="en-GB"/>
              </w:rPr>
            </w:pPr>
          </w:p>
        </w:tc>
        <w:tc>
          <w:tcPr>
            <w:tcW w:w="4231" w:type="dxa"/>
          </w:tcPr>
          <w:p w14:paraId="2A3ABE32"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Professor TV Padmanaban</w:t>
            </w:r>
          </w:p>
          <w:p w14:paraId="2A9F4EB8"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Head of Department</w:t>
            </w:r>
          </w:p>
          <w:p w14:paraId="3C9BB86B"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Department of Prosthodontics,</w:t>
            </w:r>
          </w:p>
          <w:p w14:paraId="3CFEB6F7"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Sri Ramachandra Dental College and Hospital</w:t>
            </w:r>
          </w:p>
          <w:p w14:paraId="12BDF042"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 xml:space="preserve">Sri Ramachandra University </w:t>
            </w:r>
          </w:p>
          <w:p w14:paraId="1BB6D53E"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Porur, Chennai – 6000 116</w:t>
            </w:r>
          </w:p>
          <w:p w14:paraId="501F6704" w14:textId="77777777" w:rsidR="00725DA9" w:rsidRPr="00787196" w:rsidRDefault="00725DA9" w:rsidP="00725DA9">
            <w:pPr>
              <w:spacing w:before="0" w:after="0"/>
              <w:ind w:right="45"/>
              <w:rPr>
                <w:rStyle w:val="Strong"/>
                <w:rFonts w:cs="Arial"/>
                <w:szCs w:val="24"/>
                <w:lang w:val="en-GB"/>
              </w:rPr>
            </w:pPr>
            <w:r w:rsidRPr="00787196">
              <w:rPr>
                <w:rStyle w:val="Strong"/>
                <w:rFonts w:cs="Arial"/>
                <w:szCs w:val="24"/>
                <w:lang w:val="en-GB"/>
              </w:rPr>
              <w:t>Tamilnadu, India</w:t>
            </w:r>
          </w:p>
          <w:p w14:paraId="5FBFE6D5" w14:textId="77777777" w:rsidR="00725DA9" w:rsidRPr="00787196" w:rsidRDefault="00725DA9" w:rsidP="00725DA9">
            <w:pPr>
              <w:spacing w:before="0" w:after="0"/>
              <w:ind w:right="45"/>
              <w:rPr>
                <w:rFonts w:cs="Arial"/>
                <w:bCs/>
                <w:szCs w:val="24"/>
                <w:lang w:val="en-GB"/>
              </w:rPr>
            </w:pPr>
            <w:r w:rsidRPr="00787196">
              <w:rPr>
                <w:rStyle w:val="Strong"/>
                <w:rFonts w:cs="Arial"/>
                <w:szCs w:val="24"/>
                <w:lang w:val="en-GB"/>
              </w:rPr>
              <w:t xml:space="preserve">Telephone: + </w:t>
            </w:r>
            <w:r w:rsidRPr="00787196">
              <w:rPr>
                <w:rFonts w:cs="Arial"/>
                <w:bCs/>
                <w:szCs w:val="24"/>
                <w:lang w:val="en-GB"/>
              </w:rPr>
              <w:t xml:space="preserve">+ 91 9381052122 </w:t>
            </w:r>
          </w:p>
          <w:p w14:paraId="6007662C" w14:textId="77777777" w:rsidR="00725DA9" w:rsidRPr="00787196" w:rsidRDefault="00725DA9" w:rsidP="00725DA9">
            <w:pPr>
              <w:spacing w:before="0" w:after="0"/>
              <w:ind w:right="45"/>
              <w:rPr>
                <w:rStyle w:val="Strong"/>
                <w:rFonts w:cs="Arial"/>
                <w:szCs w:val="24"/>
                <w:lang w:val="en-GB"/>
              </w:rPr>
            </w:pPr>
            <w:r w:rsidRPr="00787196">
              <w:rPr>
                <w:rFonts w:cs="Arial"/>
                <w:bCs/>
                <w:szCs w:val="24"/>
                <w:lang w:val="en-GB"/>
              </w:rPr>
              <w:t>Email: tvpadu@gmail.com</w:t>
            </w:r>
          </w:p>
        </w:tc>
      </w:tr>
    </w:tbl>
    <w:p w14:paraId="3BCAD538" w14:textId="77777777" w:rsidR="00710FA2" w:rsidRPr="00787196" w:rsidRDefault="00710FA2" w:rsidP="001A6B73">
      <w:pPr>
        <w:spacing w:before="0" w:after="0"/>
        <w:ind w:right="45"/>
        <w:rPr>
          <w:rStyle w:val="Strong"/>
          <w:rFonts w:cs="Arial"/>
          <w:szCs w:val="24"/>
        </w:rPr>
      </w:pPr>
    </w:p>
    <w:p w14:paraId="7BD2FF4E" w14:textId="65801462" w:rsidR="00D571F6" w:rsidRPr="00787196" w:rsidRDefault="00D571F6" w:rsidP="00513F57">
      <w:pPr>
        <w:spacing w:before="0" w:after="0"/>
        <w:rPr>
          <w:rStyle w:val="Strong"/>
          <w:rFonts w:cs="Arial"/>
          <w:sz w:val="22"/>
        </w:rPr>
        <w:sectPr w:rsidR="00D571F6" w:rsidRPr="00787196" w:rsidSect="004D7A26">
          <w:headerReference w:type="default" r:id="rId45"/>
          <w:type w:val="nextColumn"/>
          <w:pgSz w:w="11952" w:h="16848" w:code="9"/>
          <w:pgMar w:top="1134" w:right="1134" w:bottom="1134" w:left="2268" w:header="430" w:footer="533" w:gutter="0"/>
          <w:cols w:space="720"/>
          <w:noEndnote/>
          <w:docGrid w:linePitch="360"/>
        </w:sectPr>
      </w:pPr>
    </w:p>
    <w:p w14:paraId="689945AD" w14:textId="17290A27" w:rsidR="00062AE7" w:rsidRPr="00787196" w:rsidRDefault="00062AE7" w:rsidP="00513F57">
      <w:pPr>
        <w:spacing w:before="0" w:after="0"/>
        <w:rPr>
          <w:rFonts w:cs="Arial"/>
          <w:sz w:val="20"/>
          <w:lang w:val="fr-FR"/>
        </w:rPr>
      </w:pPr>
      <w:r w:rsidRPr="00787196">
        <w:rPr>
          <w:rFonts w:cs="Arial"/>
          <w:lang w:val="fr-FR"/>
        </w:rPr>
        <w:lastRenderedPageBreak/>
        <w:t xml:space="preserve">Participant Code: …………………………………..  </w:t>
      </w:r>
    </w:p>
    <w:p w14:paraId="5B12DEE1" w14:textId="3FF031CE" w:rsidR="00062AE7" w:rsidRPr="00787196" w:rsidRDefault="00A1466E" w:rsidP="00392278">
      <w:pPr>
        <w:pStyle w:val="Heading2"/>
        <w:numPr>
          <w:ilvl w:val="0"/>
          <w:numId w:val="0"/>
        </w:numPr>
        <w:jc w:val="center"/>
        <w:rPr>
          <w:lang w:val="fr-FR"/>
        </w:rPr>
      </w:pPr>
      <w:bookmarkStart w:id="806" w:name="_Toc456211215"/>
      <w:bookmarkStart w:id="807" w:name="_Toc488655706"/>
      <w:r w:rsidRPr="00787196">
        <w:rPr>
          <w:lang w:val="fr-FR"/>
        </w:rPr>
        <w:t xml:space="preserve">Appendix </w:t>
      </w:r>
      <w:r w:rsidR="00F209BB" w:rsidRPr="00787196">
        <w:rPr>
          <w:lang w:val="fr-FR"/>
        </w:rPr>
        <w:t>C</w:t>
      </w:r>
      <w:r w:rsidR="004B16D2" w:rsidRPr="00787196">
        <w:rPr>
          <w:lang w:val="fr-FR"/>
        </w:rPr>
        <w:t>-</w:t>
      </w:r>
      <w:r w:rsidR="00DE468B" w:rsidRPr="00787196">
        <w:rPr>
          <w:lang w:val="fr-FR"/>
        </w:rPr>
        <w:t>Consent Form</w:t>
      </w:r>
      <w:bookmarkEnd w:id="806"/>
      <w:bookmarkEnd w:id="807"/>
    </w:p>
    <w:p w14:paraId="7DFD4031" w14:textId="77777777" w:rsidR="00062AE7" w:rsidRPr="00787196" w:rsidRDefault="00062AE7" w:rsidP="00B41A1D">
      <w:pPr>
        <w:spacing w:before="0" w:after="0" w:line="240" w:lineRule="auto"/>
        <w:ind w:right="45" w:hanging="576"/>
        <w:rPr>
          <w:rFonts w:cs="Arial"/>
          <w:sz w:val="22"/>
          <w:szCs w:val="20"/>
          <w:lang w:val="fr-FR"/>
        </w:rPr>
      </w:pPr>
    </w:p>
    <w:p w14:paraId="77948B90" w14:textId="77777777" w:rsidR="00062AE7" w:rsidRPr="00787196" w:rsidRDefault="00062AE7" w:rsidP="008E116F">
      <w:pPr>
        <w:spacing w:before="0" w:after="0" w:line="240" w:lineRule="auto"/>
        <w:ind w:right="45"/>
        <w:rPr>
          <w:rFonts w:cs="Arial"/>
          <w:b/>
          <w:sz w:val="22"/>
          <w:szCs w:val="20"/>
        </w:rPr>
      </w:pPr>
      <w:bookmarkStart w:id="808" w:name="_Toc317591211"/>
      <w:bookmarkStart w:id="809" w:name="_Toc319068905"/>
      <w:r w:rsidRPr="00787196">
        <w:rPr>
          <w:rFonts w:cs="Arial"/>
          <w:b/>
          <w:sz w:val="22"/>
          <w:szCs w:val="20"/>
        </w:rPr>
        <w:t>Title of Research Project:</w:t>
      </w:r>
      <w:r w:rsidR="00B03A29" w:rsidRPr="00787196">
        <w:rPr>
          <w:rFonts w:cs="Arial"/>
          <w:b/>
          <w:bCs/>
          <w:sz w:val="22"/>
          <w:szCs w:val="20"/>
        </w:rPr>
        <w:t xml:space="preserve"> </w:t>
      </w:r>
      <w:bookmarkStart w:id="810" w:name="_Toc317591212"/>
      <w:bookmarkStart w:id="811" w:name="_Toc319068906"/>
      <w:bookmarkEnd w:id="808"/>
      <w:bookmarkEnd w:id="809"/>
      <w:r w:rsidR="00B03A29" w:rsidRPr="00787196">
        <w:rPr>
          <w:rFonts w:cs="Arial"/>
          <w:b/>
          <w:bCs/>
          <w:sz w:val="22"/>
          <w:szCs w:val="20"/>
        </w:rPr>
        <w:t xml:space="preserve">DO COPING STRATEGIES OF PATIENTS DETERMINE DENTURE SUCCESS AND IMPROVE ORAL HEALTH RELATED QUALITY OF LIFE? </w:t>
      </w:r>
    </w:p>
    <w:p w14:paraId="18BB0595" w14:textId="77777777" w:rsidR="00062AE7" w:rsidRPr="00787196" w:rsidRDefault="00062AE7" w:rsidP="008E116F">
      <w:pPr>
        <w:spacing w:before="0" w:after="0"/>
        <w:ind w:right="45"/>
        <w:rPr>
          <w:rFonts w:cs="Arial"/>
          <w:b/>
          <w:sz w:val="22"/>
          <w:szCs w:val="20"/>
        </w:rPr>
      </w:pPr>
    </w:p>
    <w:p w14:paraId="59D1D8C1" w14:textId="1EB3D273" w:rsidR="00062AE7" w:rsidRPr="00787196" w:rsidRDefault="00062AE7" w:rsidP="008E116F">
      <w:pPr>
        <w:spacing w:before="0" w:after="0"/>
        <w:ind w:right="45"/>
        <w:rPr>
          <w:rFonts w:cs="Arial"/>
          <w:sz w:val="22"/>
          <w:szCs w:val="20"/>
          <w:lang w:val="sv-SE"/>
        </w:rPr>
      </w:pPr>
      <w:r w:rsidRPr="00787196">
        <w:rPr>
          <w:rFonts w:cs="Arial"/>
          <w:b/>
          <w:bCs/>
          <w:sz w:val="22"/>
          <w:szCs w:val="20"/>
        </w:rPr>
        <w:t xml:space="preserve">Name of Researchers: </w:t>
      </w:r>
      <w:r w:rsidRPr="00787196">
        <w:rPr>
          <w:rFonts w:cs="Arial"/>
          <w:sz w:val="22"/>
          <w:szCs w:val="20"/>
        </w:rPr>
        <w:t xml:space="preserve">Mr Karthik Periyakaruppiah, Professor. </w:t>
      </w:r>
      <w:r w:rsidRPr="00787196">
        <w:rPr>
          <w:rFonts w:cs="Arial"/>
          <w:sz w:val="22"/>
          <w:szCs w:val="20"/>
          <w:lang w:val="sv-SE"/>
        </w:rPr>
        <w:t>Peter. G. Robinson</w:t>
      </w:r>
      <w:bookmarkEnd w:id="810"/>
      <w:bookmarkEnd w:id="811"/>
      <w:r w:rsidRPr="00787196">
        <w:rPr>
          <w:rFonts w:cs="Arial"/>
          <w:sz w:val="22"/>
          <w:szCs w:val="20"/>
          <w:lang w:val="sv-SE"/>
        </w:rPr>
        <w:t>, Dr Sarah Baker</w:t>
      </w:r>
    </w:p>
    <w:p w14:paraId="627543B8" w14:textId="77777777" w:rsidR="00062AE7" w:rsidRPr="00787196" w:rsidRDefault="00062AE7" w:rsidP="00B41A1D">
      <w:pPr>
        <w:pStyle w:val="BodyText2"/>
        <w:spacing w:before="0" w:line="276" w:lineRule="auto"/>
        <w:ind w:right="45" w:hanging="576"/>
        <w:rPr>
          <w:rFonts w:ascii="Arial" w:hAnsi="Arial" w:cs="Arial"/>
          <w:sz w:val="20"/>
          <w:szCs w:val="20"/>
          <w:lang w:val="sv-SE"/>
        </w:rPr>
      </w:pPr>
      <w:r w:rsidRPr="00787196">
        <w:rPr>
          <w:rFonts w:ascii="Arial" w:hAnsi="Arial" w:cs="Arial"/>
          <w:sz w:val="20"/>
          <w:szCs w:val="20"/>
          <w:lang w:val="sv-SE"/>
        </w:rPr>
        <w:t xml:space="preserve">                                                                                                                                                       </w:t>
      </w:r>
    </w:p>
    <w:p w14:paraId="47B3E15B" w14:textId="77777777" w:rsidR="00062AE7" w:rsidRPr="00787196" w:rsidRDefault="00062AE7" w:rsidP="008E116F">
      <w:pPr>
        <w:numPr>
          <w:ilvl w:val="0"/>
          <w:numId w:val="11"/>
        </w:numPr>
        <w:tabs>
          <w:tab w:val="clear" w:pos="720"/>
          <w:tab w:val="num" w:pos="360"/>
        </w:tabs>
        <w:spacing w:before="0" w:after="0"/>
        <w:ind w:left="360" w:right="45"/>
        <w:rPr>
          <w:rFonts w:cs="Arial"/>
          <w:sz w:val="22"/>
          <w:szCs w:val="20"/>
        </w:rPr>
      </w:pPr>
      <w:r w:rsidRPr="00787196">
        <w:rPr>
          <w:rFonts w:cs="Arial"/>
          <w:sz w:val="22"/>
          <w:szCs w:val="20"/>
        </w:rPr>
        <w:t>I confirm that I have read and understand the information sheet dated………………… explaining the above research project and I have had the opportunity to ask questions about the project.</w:t>
      </w:r>
    </w:p>
    <w:p w14:paraId="58EE30FA" w14:textId="77777777" w:rsidR="00062AE7" w:rsidRPr="00787196" w:rsidRDefault="00062AE7" w:rsidP="008E116F">
      <w:pPr>
        <w:numPr>
          <w:ilvl w:val="0"/>
          <w:numId w:val="11"/>
        </w:numPr>
        <w:tabs>
          <w:tab w:val="clear" w:pos="720"/>
          <w:tab w:val="num" w:pos="360"/>
        </w:tabs>
        <w:spacing w:before="0" w:after="0"/>
        <w:ind w:left="360" w:right="45"/>
        <w:rPr>
          <w:rFonts w:cs="Arial"/>
          <w:sz w:val="22"/>
          <w:szCs w:val="20"/>
        </w:rPr>
      </w:pPr>
      <w:r w:rsidRPr="00787196">
        <w:rPr>
          <w:rFonts w:cs="Arial"/>
          <w:sz w:val="22"/>
          <w:szCs w:val="20"/>
        </w:rPr>
        <w:t xml:space="preserve">I understand that my participation is voluntary and that I am free to withdraw at any time without giving any reason and without there being any negative consequences on my employment. In addition, should I not wish to answer any particular question or questions, I am free to decline. </w:t>
      </w:r>
    </w:p>
    <w:p w14:paraId="73FF9FB0" w14:textId="77777777" w:rsidR="00062AE7" w:rsidRPr="00787196" w:rsidRDefault="00062AE7" w:rsidP="008E116F">
      <w:pPr>
        <w:numPr>
          <w:ilvl w:val="0"/>
          <w:numId w:val="11"/>
        </w:numPr>
        <w:tabs>
          <w:tab w:val="left" w:pos="360"/>
        </w:tabs>
        <w:spacing w:before="0" w:after="0"/>
        <w:ind w:left="360" w:right="45"/>
        <w:rPr>
          <w:rFonts w:cs="Arial"/>
          <w:sz w:val="22"/>
          <w:szCs w:val="20"/>
        </w:rPr>
      </w:pPr>
      <w:r w:rsidRPr="00787196">
        <w:rPr>
          <w:rFonts w:cs="Arial"/>
          <w:sz w:val="22"/>
          <w:szCs w:val="20"/>
        </w:rPr>
        <w:t xml:space="preserve">I understand that my responses will be kept strictly confidential. I give permission for members of the research team to have access to my anonymised responses. I understand that my name will not be linked with the research materials, and I will not be identified or identifiable in the report or reports that result from the research.  </w:t>
      </w:r>
    </w:p>
    <w:p w14:paraId="3D6391A7" w14:textId="77777777" w:rsidR="00062AE7" w:rsidRPr="00787196" w:rsidRDefault="00062AE7" w:rsidP="008E116F">
      <w:pPr>
        <w:numPr>
          <w:ilvl w:val="0"/>
          <w:numId w:val="11"/>
        </w:numPr>
        <w:tabs>
          <w:tab w:val="left" w:pos="360"/>
        </w:tabs>
        <w:spacing w:before="0" w:after="0"/>
        <w:ind w:left="360" w:right="45"/>
        <w:rPr>
          <w:rFonts w:cs="Arial"/>
          <w:sz w:val="22"/>
          <w:szCs w:val="20"/>
        </w:rPr>
      </w:pPr>
      <w:r w:rsidRPr="00787196">
        <w:rPr>
          <w:rFonts w:cs="Arial"/>
          <w:sz w:val="22"/>
          <w:szCs w:val="20"/>
        </w:rPr>
        <w:t>I agree for the data collected from me to be used in future research.</w:t>
      </w:r>
    </w:p>
    <w:p w14:paraId="784BC934" w14:textId="77777777" w:rsidR="00062AE7" w:rsidRPr="00787196" w:rsidRDefault="00062AE7" w:rsidP="008E116F">
      <w:pPr>
        <w:numPr>
          <w:ilvl w:val="0"/>
          <w:numId w:val="11"/>
        </w:numPr>
        <w:tabs>
          <w:tab w:val="left" w:pos="360"/>
        </w:tabs>
        <w:spacing w:before="0" w:after="0"/>
        <w:ind w:left="360" w:right="45"/>
        <w:rPr>
          <w:rFonts w:cs="Arial"/>
          <w:sz w:val="22"/>
          <w:szCs w:val="20"/>
        </w:rPr>
      </w:pPr>
      <w:r w:rsidRPr="00787196">
        <w:rPr>
          <w:rFonts w:cs="Arial"/>
          <w:sz w:val="22"/>
          <w:szCs w:val="20"/>
        </w:rPr>
        <w:t>I agree to take part in the above study.</w:t>
      </w:r>
    </w:p>
    <w:p w14:paraId="0E72B5CC" w14:textId="1A42B70A" w:rsidR="00062AE7" w:rsidRPr="00787196" w:rsidRDefault="00062AE7" w:rsidP="00725DA9">
      <w:pPr>
        <w:spacing w:before="0" w:after="0"/>
        <w:ind w:right="45"/>
        <w:rPr>
          <w:rFonts w:cs="Arial"/>
          <w:sz w:val="22"/>
          <w:szCs w:val="20"/>
        </w:rPr>
      </w:pPr>
      <w:r w:rsidRPr="00787196">
        <w:rPr>
          <w:rFonts w:cs="Arial"/>
          <w:sz w:val="22"/>
          <w:szCs w:val="20"/>
        </w:rPr>
        <w:t xml:space="preserve">           </w:t>
      </w:r>
    </w:p>
    <w:p w14:paraId="61B507C8" w14:textId="77777777" w:rsidR="00062AE7" w:rsidRPr="00787196" w:rsidRDefault="00062AE7" w:rsidP="00725DA9">
      <w:pPr>
        <w:spacing w:before="0" w:after="0"/>
        <w:ind w:right="45"/>
        <w:rPr>
          <w:rFonts w:cs="Arial"/>
          <w:sz w:val="20"/>
          <w:szCs w:val="18"/>
        </w:rPr>
      </w:pPr>
      <w:r w:rsidRPr="00787196">
        <w:rPr>
          <w:rFonts w:cs="Arial"/>
          <w:sz w:val="20"/>
          <w:szCs w:val="18"/>
        </w:rPr>
        <w:t xml:space="preserve"> _____________________               __________________                ________________  </w:t>
      </w:r>
    </w:p>
    <w:p w14:paraId="78F87817" w14:textId="77777777" w:rsidR="00062AE7" w:rsidRPr="00787196" w:rsidRDefault="00062AE7" w:rsidP="00725DA9">
      <w:pPr>
        <w:spacing w:before="0" w:after="0"/>
        <w:ind w:right="45"/>
        <w:rPr>
          <w:rFonts w:cs="Arial"/>
          <w:b/>
          <w:sz w:val="20"/>
          <w:szCs w:val="18"/>
        </w:rPr>
      </w:pPr>
      <w:r w:rsidRPr="00787196">
        <w:rPr>
          <w:rFonts w:cs="Arial"/>
          <w:b/>
          <w:sz w:val="20"/>
          <w:szCs w:val="18"/>
        </w:rPr>
        <w:t>Name of Participant                         Signature                                       Date</w:t>
      </w:r>
    </w:p>
    <w:p w14:paraId="6F2414E5" w14:textId="77777777" w:rsidR="00062AE7" w:rsidRPr="00787196" w:rsidRDefault="00062AE7" w:rsidP="00725DA9">
      <w:pPr>
        <w:spacing w:before="0" w:after="0"/>
        <w:ind w:right="45"/>
        <w:rPr>
          <w:rFonts w:cs="Arial"/>
          <w:b/>
          <w:sz w:val="20"/>
          <w:szCs w:val="18"/>
        </w:rPr>
      </w:pPr>
    </w:p>
    <w:p w14:paraId="56428FD9" w14:textId="77777777" w:rsidR="00062AE7" w:rsidRPr="00787196" w:rsidRDefault="00062AE7" w:rsidP="00725DA9">
      <w:pPr>
        <w:spacing w:before="0" w:after="0"/>
        <w:ind w:right="45"/>
        <w:rPr>
          <w:rFonts w:cs="Arial"/>
          <w:sz w:val="20"/>
          <w:szCs w:val="18"/>
        </w:rPr>
      </w:pPr>
      <w:r w:rsidRPr="00787196">
        <w:rPr>
          <w:rFonts w:cs="Arial"/>
          <w:sz w:val="20"/>
          <w:szCs w:val="18"/>
        </w:rPr>
        <w:t xml:space="preserve">______________________              _________________              </w:t>
      </w:r>
      <w:r w:rsidR="002E0D62" w:rsidRPr="00787196">
        <w:rPr>
          <w:rFonts w:cs="Arial"/>
          <w:sz w:val="20"/>
          <w:szCs w:val="18"/>
        </w:rPr>
        <w:t xml:space="preserve">  </w:t>
      </w:r>
      <w:r w:rsidRPr="00787196">
        <w:rPr>
          <w:rFonts w:cs="Arial"/>
          <w:sz w:val="20"/>
          <w:szCs w:val="18"/>
        </w:rPr>
        <w:t xml:space="preserve">  _______________</w:t>
      </w:r>
    </w:p>
    <w:p w14:paraId="52955F02" w14:textId="77777777" w:rsidR="00062AE7" w:rsidRPr="00787196" w:rsidRDefault="00062AE7" w:rsidP="00725DA9">
      <w:pPr>
        <w:spacing w:before="0" w:after="0"/>
        <w:ind w:right="45"/>
        <w:rPr>
          <w:rFonts w:cs="Arial"/>
          <w:b/>
          <w:sz w:val="20"/>
          <w:szCs w:val="18"/>
        </w:rPr>
      </w:pPr>
      <w:r w:rsidRPr="00787196">
        <w:rPr>
          <w:rFonts w:cs="Arial"/>
          <w:b/>
          <w:sz w:val="20"/>
          <w:szCs w:val="18"/>
        </w:rPr>
        <w:t>Karthik Periyakaruppiah                  Signature                                      Date</w:t>
      </w:r>
    </w:p>
    <w:p w14:paraId="476AAE23" w14:textId="77777777" w:rsidR="00062AE7" w:rsidRPr="00787196" w:rsidRDefault="00062AE7" w:rsidP="00725DA9">
      <w:pPr>
        <w:tabs>
          <w:tab w:val="left" w:pos="3600"/>
          <w:tab w:val="left" w:pos="6480"/>
        </w:tabs>
        <w:spacing w:before="0" w:after="0"/>
        <w:ind w:right="45"/>
        <w:rPr>
          <w:rFonts w:cs="Arial"/>
          <w:b/>
          <w:sz w:val="20"/>
          <w:szCs w:val="18"/>
        </w:rPr>
      </w:pPr>
      <w:r w:rsidRPr="00787196">
        <w:rPr>
          <w:rFonts w:cs="Arial"/>
          <w:b/>
          <w:sz w:val="20"/>
          <w:szCs w:val="18"/>
        </w:rPr>
        <w:t xml:space="preserve">(Researcher)               </w:t>
      </w:r>
    </w:p>
    <w:p w14:paraId="46B9F80D" w14:textId="77777777" w:rsidR="00062AE7" w:rsidRPr="00787196" w:rsidRDefault="00062AE7" w:rsidP="00725DA9">
      <w:pPr>
        <w:pStyle w:val="Header"/>
        <w:spacing w:before="0" w:line="276" w:lineRule="auto"/>
        <w:ind w:right="45"/>
        <w:rPr>
          <w:rFonts w:cs="Arial"/>
          <w:b/>
          <w:sz w:val="20"/>
          <w:szCs w:val="18"/>
        </w:rPr>
      </w:pPr>
      <w:r w:rsidRPr="00787196">
        <w:rPr>
          <w:rFonts w:cs="Arial"/>
          <w:b/>
          <w:sz w:val="20"/>
          <w:szCs w:val="18"/>
        </w:rPr>
        <w:t xml:space="preserve">Copies: </w:t>
      </w:r>
    </w:p>
    <w:p w14:paraId="676DEFCD" w14:textId="77777777" w:rsidR="00062AE7" w:rsidRPr="00787196" w:rsidRDefault="00062AE7" w:rsidP="00725DA9">
      <w:pPr>
        <w:pStyle w:val="Header"/>
        <w:spacing w:before="0" w:line="276" w:lineRule="auto"/>
        <w:ind w:right="45"/>
        <w:rPr>
          <w:rFonts w:cs="Arial"/>
          <w:sz w:val="20"/>
          <w:szCs w:val="18"/>
        </w:rPr>
      </w:pPr>
      <w:r w:rsidRPr="00787196">
        <w:rPr>
          <w:rFonts w:cs="Arial"/>
          <w:sz w:val="20"/>
          <w:szCs w:val="18"/>
        </w:rPr>
        <w:t xml:space="preserve">Please sign both copies of this consent form. </w:t>
      </w:r>
    </w:p>
    <w:p w14:paraId="0C2F9B65" w14:textId="77777777" w:rsidR="00725DA9" w:rsidRPr="00787196" w:rsidRDefault="00062AE7" w:rsidP="00725DA9">
      <w:pPr>
        <w:tabs>
          <w:tab w:val="left" w:pos="3600"/>
          <w:tab w:val="left" w:pos="6480"/>
        </w:tabs>
        <w:spacing w:before="0" w:after="0"/>
        <w:ind w:right="45"/>
        <w:rPr>
          <w:rFonts w:cs="Arial"/>
          <w:sz w:val="20"/>
          <w:szCs w:val="18"/>
        </w:rPr>
      </w:pPr>
      <w:r w:rsidRPr="00787196">
        <w:rPr>
          <w:rFonts w:cs="Arial"/>
          <w:sz w:val="20"/>
          <w:szCs w:val="18"/>
        </w:rPr>
        <w:t xml:space="preserve">You will need to keep </w:t>
      </w:r>
      <w:r w:rsidRPr="00787196">
        <w:rPr>
          <w:rFonts w:cs="Arial"/>
          <w:b/>
          <w:sz w:val="20"/>
          <w:szCs w:val="18"/>
          <w:u w:val="single"/>
        </w:rPr>
        <w:t>one copy</w:t>
      </w:r>
      <w:r w:rsidRPr="00787196">
        <w:rPr>
          <w:rFonts w:cs="Arial"/>
          <w:sz w:val="20"/>
          <w:szCs w:val="18"/>
        </w:rPr>
        <w:t xml:space="preserve"> of this consent form for your own records and </w:t>
      </w:r>
      <w:r w:rsidRPr="00787196">
        <w:rPr>
          <w:rFonts w:cs="Arial"/>
          <w:b/>
          <w:sz w:val="20"/>
          <w:szCs w:val="18"/>
          <w:u w:val="single"/>
        </w:rPr>
        <w:t xml:space="preserve">hand in one </w:t>
      </w:r>
      <w:r w:rsidRPr="00787196">
        <w:rPr>
          <w:rFonts w:cs="Arial"/>
          <w:sz w:val="20"/>
          <w:szCs w:val="18"/>
        </w:rPr>
        <w:t>to the research team.</w:t>
      </w:r>
    </w:p>
    <w:p w14:paraId="474A30E7" w14:textId="19692A7D" w:rsidR="00062AE7" w:rsidRPr="00787196" w:rsidRDefault="00062AE7" w:rsidP="00725DA9">
      <w:pPr>
        <w:tabs>
          <w:tab w:val="left" w:pos="3600"/>
          <w:tab w:val="left" w:pos="6480"/>
        </w:tabs>
        <w:spacing w:before="0" w:after="0"/>
        <w:ind w:right="45" w:hanging="284"/>
        <w:rPr>
          <w:rFonts w:cs="Arial"/>
          <w:b/>
          <w:color w:val="7F7F7F"/>
          <w:sz w:val="16"/>
          <w:szCs w:val="18"/>
        </w:rPr>
      </w:pPr>
      <w:r w:rsidRPr="00787196">
        <w:rPr>
          <w:rFonts w:cs="Arial"/>
          <w:b/>
          <w:color w:val="7F7F7F"/>
          <w:sz w:val="16"/>
          <w:szCs w:val="18"/>
        </w:rPr>
        <w:t>Fair Processing Notice</w:t>
      </w:r>
    </w:p>
    <w:p w14:paraId="0442E97C" w14:textId="77777777" w:rsidR="00062AE7" w:rsidRPr="00787196" w:rsidRDefault="00062AE7" w:rsidP="00725DA9">
      <w:pPr>
        <w:tabs>
          <w:tab w:val="left" w:pos="3600"/>
          <w:tab w:val="left" w:pos="6480"/>
        </w:tabs>
        <w:spacing w:before="0" w:after="0"/>
        <w:ind w:right="45"/>
        <w:jc w:val="left"/>
        <w:rPr>
          <w:rFonts w:cs="Arial"/>
          <w:bCs/>
        </w:rPr>
        <w:sectPr w:rsidR="00062AE7" w:rsidRPr="00787196" w:rsidSect="004D7A26">
          <w:headerReference w:type="default" r:id="rId46"/>
          <w:type w:val="nextColumn"/>
          <w:pgSz w:w="11952" w:h="16848" w:code="9"/>
          <w:pgMar w:top="1134" w:right="1134" w:bottom="1134" w:left="2268" w:header="476" w:footer="533" w:gutter="0"/>
          <w:cols w:space="720"/>
          <w:noEndnote/>
          <w:docGrid w:linePitch="360"/>
        </w:sectPr>
      </w:pPr>
      <w:r w:rsidRPr="00787196">
        <w:rPr>
          <w:rFonts w:cs="Arial"/>
          <w:bCs/>
          <w:color w:val="7F7F7F"/>
          <w:sz w:val="16"/>
          <w:szCs w:val="18"/>
        </w:rPr>
        <w:t>Your personal data will be used only in accordance with Thesis Research (PhD) at the University of Sheffield United Kingdom under the Data Protection Act 1998 and in compliance with the Freedom of information act 2000. The researcher will not disclose any personal information to any other third parties without your express concern.</w:t>
      </w:r>
    </w:p>
    <w:p w14:paraId="1603EC2D" w14:textId="287B874E" w:rsidR="00062AE7" w:rsidRPr="00787196" w:rsidRDefault="00A1466E" w:rsidP="00392278">
      <w:pPr>
        <w:pStyle w:val="Heading2"/>
        <w:numPr>
          <w:ilvl w:val="0"/>
          <w:numId w:val="0"/>
        </w:numPr>
        <w:ind w:left="576"/>
        <w:jc w:val="center"/>
      </w:pPr>
      <w:bookmarkStart w:id="812" w:name="_Toc456211216"/>
      <w:bookmarkStart w:id="813" w:name="_Toc488655707"/>
      <w:r w:rsidRPr="00787196">
        <w:lastRenderedPageBreak/>
        <w:t xml:space="preserve">Appendix </w:t>
      </w:r>
      <w:r w:rsidR="00F209BB" w:rsidRPr="00787196">
        <w:t>D</w:t>
      </w:r>
      <w:r w:rsidR="00E915A9" w:rsidRPr="00787196">
        <w:t>-</w:t>
      </w:r>
      <w:r w:rsidR="00DE468B" w:rsidRPr="00787196">
        <w:t>Clinical Examination</w:t>
      </w:r>
      <w:bookmarkEnd w:id="812"/>
      <w:bookmarkEnd w:id="813"/>
    </w:p>
    <w:tbl>
      <w:tblPr>
        <w:tblW w:w="4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3"/>
      </w:tblGrid>
      <w:tr w:rsidR="00062AE7" w:rsidRPr="00787196" w14:paraId="64DE4731" w14:textId="77777777" w:rsidTr="000E696C">
        <w:trPr>
          <w:trHeight w:val="1106"/>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F8841AE" w14:textId="77777777" w:rsidR="00062AE7" w:rsidRPr="00787196" w:rsidRDefault="00062AE7" w:rsidP="00E624D1">
            <w:pPr>
              <w:pStyle w:val="ListParagraph"/>
              <w:tabs>
                <w:tab w:val="left" w:pos="6480"/>
              </w:tabs>
              <w:spacing w:before="0" w:after="0" w:line="240" w:lineRule="auto"/>
              <w:ind w:left="360"/>
              <w:rPr>
                <w:rFonts w:eastAsia="Calibri" w:cs="Arial"/>
                <w:b/>
                <w:sz w:val="18"/>
                <w:szCs w:val="18"/>
                <w:lang w:eastAsia="en-US" w:bidi="ar-SA"/>
              </w:rPr>
            </w:pPr>
          </w:p>
          <w:p w14:paraId="194C870E" w14:textId="77777777" w:rsidR="00062AE7" w:rsidRPr="00787196" w:rsidRDefault="00062AE7" w:rsidP="00C119A5">
            <w:pPr>
              <w:pStyle w:val="ListParagraph"/>
              <w:numPr>
                <w:ilvl w:val="0"/>
                <w:numId w:val="15"/>
              </w:numPr>
              <w:spacing w:before="0" w:after="0" w:line="240" w:lineRule="auto"/>
              <w:rPr>
                <w:rFonts w:eastAsia="Calibri" w:cs="Arial"/>
                <w:b/>
                <w:sz w:val="18"/>
                <w:szCs w:val="18"/>
                <w:lang w:eastAsia="en-US" w:bidi="ar-SA"/>
              </w:rPr>
            </w:pPr>
            <w:r w:rsidRPr="00787196">
              <w:rPr>
                <w:rFonts w:eastAsia="Calibri" w:cs="Arial"/>
                <w:b/>
                <w:sz w:val="18"/>
                <w:szCs w:val="18"/>
                <w:lang w:eastAsia="en-US" w:bidi="ar-SA"/>
              </w:rPr>
              <w:t>PERSONAL DETAILS</w:t>
            </w:r>
          </w:p>
          <w:p w14:paraId="27E5EB92" w14:textId="77777777" w:rsidR="00062AE7" w:rsidRPr="00787196" w:rsidRDefault="00062AE7" w:rsidP="00E624D1">
            <w:pPr>
              <w:pStyle w:val="ListParagraph"/>
              <w:tabs>
                <w:tab w:val="left" w:pos="6480"/>
              </w:tabs>
              <w:spacing w:before="0" w:after="0" w:line="240" w:lineRule="auto"/>
              <w:ind w:left="360"/>
              <w:rPr>
                <w:rFonts w:eastAsia="Calibri" w:cs="Arial"/>
                <w:b/>
                <w:sz w:val="18"/>
                <w:szCs w:val="18"/>
                <w:lang w:eastAsia="en-US" w:bidi="ar-SA"/>
              </w:rPr>
            </w:pPr>
          </w:p>
          <w:p w14:paraId="3A8AFE74" w14:textId="77777777" w:rsidR="00062AE7" w:rsidRPr="00787196" w:rsidRDefault="00062AE7" w:rsidP="00E624D1">
            <w:pPr>
              <w:tabs>
                <w:tab w:val="left" w:pos="6480"/>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Name………………………………………….</w:t>
            </w:r>
            <w:r w:rsidRPr="00787196">
              <w:rPr>
                <w:rFonts w:eastAsia="Calibri" w:cs="Arial"/>
                <w:bCs/>
                <w:sz w:val="18"/>
                <w:szCs w:val="18"/>
                <w:lang w:eastAsia="en-US" w:bidi="ar-SA"/>
              </w:rPr>
              <w:t xml:space="preserve">               </w:t>
            </w:r>
            <w:r w:rsidR="00710FA2" w:rsidRPr="00787196">
              <w:rPr>
                <w:rFonts w:eastAsia="Calibri"/>
                <w:bCs/>
                <w:sz w:val="18"/>
                <w:szCs w:val="18"/>
                <w:cs/>
                <w:lang w:eastAsia="en-US"/>
              </w:rPr>
              <w:t xml:space="preserve">   </w:t>
            </w:r>
            <w:r w:rsidRPr="00787196">
              <w:rPr>
                <w:rFonts w:eastAsia="Calibri" w:cs="Arial"/>
                <w:bCs/>
                <w:sz w:val="18"/>
                <w:szCs w:val="18"/>
                <w:lang w:eastAsia="en-US" w:bidi="ar-SA"/>
              </w:rPr>
              <w:t xml:space="preserve">        Date:  __/__/201</w:t>
            </w:r>
            <w:r w:rsidR="00E624D1" w:rsidRPr="00787196">
              <w:rPr>
                <w:rFonts w:eastAsia="Calibri" w:cs="Arial"/>
                <w:bCs/>
                <w:sz w:val="18"/>
                <w:szCs w:val="18"/>
                <w:lang w:eastAsia="en-US" w:bidi="ar-SA"/>
              </w:rPr>
              <w:t>4/15</w:t>
            </w:r>
            <w:r w:rsidRPr="00787196">
              <w:rPr>
                <w:rFonts w:eastAsia="Calibri" w:cs="Arial"/>
                <w:bCs/>
                <w:sz w:val="18"/>
                <w:szCs w:val="18"/>
                <w:lang w:eastAsia="en-US" w:bidi="ar-SA"/>
              </w:rPr>
              <w:t xml:space="preserve">                               </w:t>
            </w:r>
          </w:p>
          <w:p w14:paraId="01508DBF" w14:textId="77777777" w:rsidR="00062AE7" w:rsidRPr="00787196" w:rsidRDefault="00062AE7" w:rsidP="00E624D1">
            <w:pPr>
              <w:tabs>
                <w:tab w:val="left" w:pos="6480"/>
              </w:tabs>
              <w:spacing w:before="0" w:after="0" w:line="240" w:lineRule="auto"/>
              <w:rPr>
                <w:rFonts w:eastAsia="Calibri" w:cs="Arial"/>
                <w:b/>
                <w:sz w:val="18"/>
                <w:szCs w:val="18"/>
                <w:lang w:eastAsia="en-US" w:bidi="ar-SA"/>
              </w:rPr>
            </w:pPr>
          </w:p>
          <w:p w14:paraId="0A5A978E"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r w:rsidRPr="00787196">
              <w:rPr>
                <w:rFonts w:eastAsia="Calibri" w:cs="Arial"/>
                <w:bCs/>
                <w:sz w:val="18"/>
                <w:szCs w:val="18"/>
                <w:lang w:eastAsia="en-US" w:bidi="ar-SA"/>
              </w:rPr>
              <w:t xml:space="preserve">Identification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
              <w:gridCol w:w="245"/>
              <w:gridCol w:w="245"/>
              <w:gridCol w:w="245"/>
              <w:gridCol w:w="245"/>
              <w:gridCol w:w="245"/>
              <w:gridCol w:w="245"/>
              <w:gridCol w:w="245"/>
            </w:tblGrid>
            <w:tr w:rsidR="00062AE7" w:rsidRPr="00787196" w14:paraId="7CA0D8E4" w14:textId="77777777" w:rsidTr="000E696C">
              <w:trPr>
                <w:trHeight w:val="321"/>
              </w:trPr>
              <w:tc>
                <w:tcPr>
                  <w:tcW w:w="245" w:type="dxa"/>
                  <w:tcBorders>
                    <w:top w:val="single" w:sz="4" w:space="0" w:color="auto"/>
                    <w:left w:val="single" w:sz="4" w:space="0" w:color="auto"/>
                    <w:bottom w:val="single" w:sz="4" w:space="0" w:color="auto"/>
                    <w:right w:val="single" w:sz="4" w:space="0" w:color="auto"/>
                  </w:tcBorders>
                  <w:shd w:val="clear" w:color="auto" w:fill="auto"/>
                </w:tcPr>
                <w:p w14:paraId="5074DAC8"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2DFA18D7"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6E97BABB"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4DE394D7"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2ED1CE27"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41DE8409"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107C2D42"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c>
                <w:tcPr>
                  <w:tcW w:w="245" w:type="dxa"/>
                  <w:tcBorders>
                    <w:top w:val="single" w:sz="4" w:space="0" w:color="auto"/>
                    <w:left w:val="single" w:sz="4" w:space="0" w:color="auto"/>
                    <w:bottom w:val="single" w:sz="4" w:space="0" w:color="auto"/>
                    <w:right w:val="single" w:sz="4" w:space="0" w:color="auto"/>
                  </w:tcBorders>
                  <w:shd w:val="clear" w:color="auto" w:fill="auto"/>
                </w:tcPr>
                <w:p w14:paraId="06E0E43E"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r>
          </w:tbl>
          <w:p w14:paraId="41AD8FC6"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r w:rsidRPr="00787196">
              <w:rPr>
                <w:rFonts w:eastAsia="Calibri" w:cs="Arial"/>
                <w:bCs/>
                <w:sz w:val="18"/>
                <w:szCs w:val="18"/>
                <w:lang w:eastAsia="en-US" w:bidi="ar-SA"/>
              </w:rPr>
              <w:t xml:space="preserve">    </w:t>
            </w:r>
          </w:p>
          <w:tbl>
            <w:tblPr>
              <w:tblW w:w="8117" w:type="dxa"/>
              <w:tblLook w:val="04A0" w:firstRow="1" w:lastRow="0" w:firstColumn="1" w:lastColumn="0" w:noHBand="0" w:noVBand="1"/>
            </w:tblPr>
            <w:tblGrid>
              <w:gridCol w:w="8117"/>
            </w:tblGrid>
            <w:tr w:rsidR="00062AE7" w:rsidRPr="00787196" w14:paraId="2ED3E7FF" w14:textId="77777777" w:rsidTr="000E696C">
              <w:trPr>
                <w:trHeight w:val="321"/>
              </w:trPr>
              <w:tc>
                <w:tcPr>
                  <w:tcW w:w="8117" w:type="dxa"/>
                  <w:shd w:val="clear" w:color="auto" w:fill="auto"/>
                  <w:hideMark/>
                </w:tcPr>
                <w:p w14:paraId="3A717CF7"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r w:rsidRPr="00787196">
                    <w:rPr>
                      <w:rFonts w:eastAsia="Calibri" w:cs="Arial"/>
                      <w:bCs/>
                      <w:sz w:val="18"/>
                      <w:szCs w:val="18"/>
                      <w:lang w:eastAsia="en-US" w:bidi="ar-SA"/>
                    </w:rPr>
                    <w:t>Date of Birth: …………………… Age (years): …………………..Sex (M=1, F=2): …………..</w:t>
                  </w:r>
                </w:p>
              </w:tc>
            </w:tr>
          </w:tbl>
          <w:p w14:paraId="1277FA6E"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r w:rsidRPr="00787196">
              <w:rPr>
                <w:rFonts w:eastAsia="Calibri" w:cs="Arial"/>
                <w:b/>
                <w:sz w:val="18"/>
                <w:szCs w:val="18"/>
                <w:lang w:eastAsia="en-US" w:bidi="ar-SA"/>
              </w:rPr>
              <w:t xml:space="preserve">  </w:t>
            </w:r>
            <w:r w:rsidRPr="00787196">
              <w:rPr>
                <w:rFonts w:eastAsia="Calibri" w:cs="Arial"/>
                <w:bCs/>
                <w:sz w:val="18"/>
                <w:szCs w:val="18"/>
                <w:lang w:eastAsia="en-US" w:bidi="ar-SA"/>
              </w:rPr>
              <w:t>(dd/mm/yy)                                       (last birthday)</w:t>
            </w:r>
          </w:p>
          <w:p w14:paraId="1FCF0ACE"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r>
      <w:tr w:rsidR="00062AE7" w:rsidRPr="00787196" w14:paraId="39EAEC22" w14:textId="77777777" w:rsidTr="000E696C">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E5E1225" w14:textId="77777777" w:rsidR="00062AE7" w:rsidRPr="00787196" w:rsidRDefault="00062AE7" w:rsidP="00E624D1">
            <w:pPr>
              <w:pStyle w:val="ListParagraph"/>
              <w:tabs>
                <w:tab w:val="left" w:pos="5450"/>
                <w:tab w:val="left" w:pos="6480"/>
              </w:tabs>
              <w:spacing w:before="0" w:after="0"/>
              <w:ind w:left="0"/>
              <w:rPr>
                <w:rFonts w:eastAsia="Calibri" w:cs="Arial"/>
                <w:bCs/>
                <w:sz w:val="18"/>
                <w:szCs w:val="18"/>
                <w:lang w:eastAsia="en-US" w:bidi="ar-SA"/>
              </w:rPr>
            </w:pPr>
          </w:p>
        </w:tc>
      </w:tr>
      <w:tr w:rsidR="00062AE7" w:rsidRPr="00787196" w14:paraId="4E06D1C7" w14:textId="77777777" w:rsidTr="000E696C">
        <w:trPr>
          <w:trHeight w:val="264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471B444" w14:textId="77777777" w:rsidR="00062AE7" w:rsidRPr="00787196" w:rsidRDefault="00062AE7" w:rsidP="00E624D1">
            <w:pPr>
              <w:pStyle w:val="ListParagraph"/>
              <w:tabs>
                <w:tab w:val="left" w:pos="6480"/>
              </w:tabs>
              <w:spacing w:before="0" w:after="0" w:line="240" w:lineRule="auto"/>
              <w:ind w:left="360"/>
              <w:rPr>
                <w:rFonts w:eastAsia="Calibri" w:cs="Arial"/>
                <w:b/>
                <w:sz w:val="18"/>
                <w:szCs w:val="18"/>
                <w:lang w:eastAsia="en-US" w:bidi="ar-SA"/>
              </w:rPr>
            </w:pPr>
          </w:p>
          <w:p w14:paraId="191D3500" w14:textId="77777777" w:rsidR="00062AE7" w:rsidRPr="00787196" w:rsidRDefault="00062AE7" w:rsidP="00C119A5">
            <w:pPr>
              <w:pStyle w:val="ListParagraph"/>
              <w:numPr>
                <w:ilvl w:val="0"/>
                <w:numId w:val="15"/>
              </w:numPr>
              <w:tabs>
                <w:tab w:val="left" w:pos="284"/>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NUMBER OF TEETH PRESENT AND OCCLUDING PAIRS</w:t>
            </w:r>
          </w:p>
          <w:p w14:paraId="724AF63E" w14:textId="77777777" w:rsidR="00913843" w:rsidRPr="00787196" w:rsidRDefault="00913843" w:rsidP="00E624D1">
            <w:pPr>
              <w:tabs>
                <w:tab w:val="left" w:pos="6480"/>
              </w:tabs>
              <w:spacing w:before="0" w:after="0" w:line="240" w:lineRule="auto"/>
              <w:contextualSpacing/>
              <w:rPr>
                <w:rFonts w:eastAsia="Calibri" w:cs="Arial"/>
                <w:b/>
                <w:sz w:val="18"/>
                <w:szCs w:val="18"/>
                <w:lang w:eastAsia="en-US" w:bidi="ar-SA"/>
              </w:rPr>
            </w:pPr>
          </w:p>
          <w:p w14:paraId="32EF230C" w14:textId="77777777" w:rsidR="00062AE7" w:rsidRPr="00787196" w:rsidRDefault="00062AE7" w:rsidP="00E624D1">
            <w:pPr>
              <w:tabs>
                <w:tab w:val="left" w:pos="6480"/>
              </w:tabs>
              <w:spacing w:before="0" w:after="0" w:line="240" w:lineRule="auto"/>
              <w:contextualSpacing/>
              <w:rPr>
                <w:rFonts w:eastAsia="Calibri" w:cs="Arial"/>
                <w:b/>
                <w:sz w:val="18"/>
                <w:szCs w:val="18"/>
                <w:lang w:eastAsia="en-US" w:bidi="ar-SA"/>
              </w:rPr>
            </w:pPr>
            <w:r w:rsidRPr="00787196">
              <w:rPr>
                <w:rFonts w:eastAsia="Calibri" w:cs="Arial"/>
                <w:b/>
                <w:sz w:val="18"/>
                <w:szCs w:val="18"/>
                <w:lang w:eastAsia="en-US" w:bidi="ar-SA"/>
              </w:rPr>
              <w:t xml:space="preserve">No. of teeth present = </w:t>
            </w:r>
          </w:p>
          <w:p w14:paraId="1B2060B9" w14:textId="77777777" w:rsidR="00062AE7" w:rsidRPr="00787196" w:rsidRDefault="00062AE7" w:rsidP="00E624D1">
            <w:pPr>
              <w:spacing w:before="0" w:after="0" w:line="240" w:lineRule="auto"/>
              <w:contextualSpacing/>
              <w:rPr>
                <w:rFonts w:eastAsia="Calibri" w:cs="Arial"/>
                <w:b/>
                <w:sz w:val="18"/>
                <w:szCs w:val="18"/>
                <w:lang w:eastAsia="en-US" w:bidi="ar-SA"/>
              </w:rPr>
            </w:pPr>
            <w:r w:rsidRPr="00787196">
              <w:rPr>
                <w:rFonts w:eastAsia="Calibri" w:cs="Arial"/>
                <w:b/>
                <w:sz w:val="18"/>
                <w:szCs w:val="18"/>
                <w:lang w:eastAsia="en-US" w:bidi="ar-SA"/>
              </w:rPr>
              <w:t>No of Occluding pairs =</w:t>
            </w:r>
          </w:p>
          <w:tbl>
            <w:tblPr>
              <w:tblpPr w:leftFromText="180" w:rightFromText="180" w:vertAnchor="page" w:horzAnchor="margin" w:tblpY="12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853"/>
            </w:tblGrid>
            <w:tr w:rsidR="00913843" w:rsidRPr="00787196" w14:paraId="5900A58B" w14:textId="77777777" w:rsidTr="00913843">
              <w:trPr>
                <w:trHeight w:val="282"/>
              </w:trPr>
              <w:tc>
                <w:tcPr>
                  <w:tcW w:w="2853" w:type="dxa"/>
                  <w:tcBorders>
                    <w:top w:val="single" w:sz="4" w:space="0" w:color="auto"/>
                    <w:left w:val="single" w:sz="4" w:space="0" w:color="auto"/>
                    <w:bottom w:val="single" w:sz="4" w:space="0" w:color="auto"/>
                    <w:right w:val="single" w:sz="4" w:space="0" w:color="auto"/>
                  </w:tcBorders>
                  <w:shd w:val="clear" w:color="auto" w:fill="auto"/>
                </w:tcPr>
                <w:p w14:paraId="4EC78505" w14:textId="77777777" w:rsidR="00913843" w:rsidRPr="00787196" w:rsidRDefault="00913843" w:rsidP="00913843">
                  <w:pPr>
                    <w:pStyle w:val="ListParagraph"/>
                    <w:tabs>
                      <w:tab w:val="left" w:pos="6480"/>
                    </w:tabs>
                    <w:spacing w:before="0" w:after="0" w:line="240" w:lineRule="auto"/>
                    <w:ind w:left="0"/>
                    <w:rPr>
                      <w:rFonts w:eastAsia="Calibri" w:cs="Arial"/>
                      <w:b/>
                      <w:sz w:val="18"/>
                      <w:szCs w:val="18"/>
                      <w:lang w:eastAsia="en-US" w:bidi="ar-SA"/>
                    </w:rPr>
                  </w:pPr>
                  <w:r w:rsidRPr="00787196">
                    <w:rPr>
                      <w:rFonts w:eastAsia="Calibri" w:cs="Arial"/>
                      <w:b/>
                      <w:sz w:val="18"/>
                      <w:szCs w:val="18"/>
                      <w:lang w:eastAsia="en-US" w:bidi="ar-SA"/>
                    </w:rPr>
                    <w:t xml:space="preserve">  7   6    5    4    3   2    1   0</w:t>
                  </w:r>
                </w:p>
              </w:tc>
              <w:tc>
                <w:tcPr>
                  <w:tcW w:w="2853" w:type="dxa"/>
                  <w:tcBorders>
                    <w:top w:val="single" w:sz="4" w:space="0" w:color="auto"/>
                    <w:left w:val="single" w:sz="4" w:space="0" w:color="auto"/>
                    <w:bottom w:val="single" w:sz="4" w:space="0" w:color="auto"/>
                    <w:right w:val="single" w:sz="4" w:space="0" w:color="auto"/>
                  </w:tcBorders>
                  <w:shd w:val="clear" w:color="auto" w:fill="auto"/>
                  <w:hideMark/>
                </w:tcPr>
                <w:p w14:paraId="5746FA64" w14:textId="77777777" w:rsidR="00913843" w:rsidRPr="00787196" w:rsidRDefault="00913843" w:rsidP="00913843">
                  <w:pPr>
                    <w:pStyle w:val="ListParagraph"/>
                    <w:tabs>
                      <w:tab w:val="left" w:pos="6480"/>
                    </w:tabs>
                    <w:spacing w:before="0" w:after="0" w:line="240" w:lineRule="auto"/>
                    <w:ind w:left="0"/>
                    <w:rPr>
                      <w:rFonts w:eastAsia="Calibri" w:cs="Arial"/>
                      <w:b/>
                      <w:sz w:val="18"/>
                      <w:szCs w:val="18"/>
                      <w:lang w:eastAsia="en-US" w:bidi="ar-SA"/>
                    </w:rPr>
                  </w:pPr>
                  <w:r w:rsidRPr="00787196">
                    <w:rPr>
                      <w:rFonts w:eastAsia="Calibri" w:cs="Arial"/>
                      <w:b/>
                      <w:sz w:val="18"/>
                      <w:szCs w:val="18"/>
                      <w:lang w:eastAsia="en-US" w:bidi="ar-SA"/>
                    </w:rPr>
                    <w:t>0    1    2    3    4    5    6   7    8</w:t>
                  </w:r>
                </w:p>
              </w:tc>
            </w:tr>
            <w:tr w:rsidR="00913843" w:rsidRPr="00787196" w14:paraId="42942558" w14:textId="77777777" w:rsidTr="00913843">
              <w:trPr>
                <w:trHeight w:val="299"/>
              </w:trPr>
              <w:tc>
                <w:tcPr>
                  <w:tcW w:w="2853" w:type="dxa"/>
                  <w:tcBorders>
                    <w:top w:val="single" w:sz="4" w:space="0" w:color="auto"/>
                    <w:left w:val="single" w:sz="4" w:space="0" w:color="auto"/>
                    <w:bottom w:val="single" w:sz="4" w:space="0" w:color="auto"/>
                    <w:right w:val="single" w:sz="4" w:space="0" w:color="auto"/>
                  </w:tcBorders>
                  <w:shd w:val="clear" w:color="auto" w:fill="auto"/>
                </w:tcPr>
                <w:p w14:paraId="08DBAFD3" w14:textId="77777777" w:rsidR="00913843" w:rsidRPr="00787196" w:rsidRDefault="00913843" w:rsidP="00913843">
                  <w:pPr>
                    <w:pStyle w:val="ListParagraph"/>
                    <w:tabs>
                      <w:tab w:val="left" w:pos="6480"/>
                    </w:tabs>
                    <w:spacing w:before="0" w:after="0" w:line="240" w:lineRule="auto"/>
                    <w:ind w:left="0"/>
                    <w:rPr>
                      <w:rFonts w:eastAsia="Calibri" w:cs="Arial"/>
                      <w:b/>
                      <w:sz w:val="18"/>
                      <w:szCs w:val="18"/>
                      <w:lang w:eastAsia="en-US" w:bidi="ar-SA"/>
                    </w:rPr>
                  </w:pPr>
                  <w:r w:rsidRPr="00787196">
                    <w:rPr>
                      <w:rFonts w:eastAsia="Calibri" w:cs="Arial"/>
                      <w:b/>
                      <w:sz w:val="18"/>
                      <w:szCs w:val="18"/>
                      <w:lang w:eastAsia="en-US" w:bidi="ar-SA"/>
                    </w:rPr>
                    <w:t xml:space="preserve">   8   7   6    5    4    3   2    1   0</w:t>
                  </w:r>
                </w:p>
              </w:tc>
              <w:tc>
                <w:tcPr>
                  <w:tcW w:w="2853" w:type="dxa"/>
                  <w:tcBorders>
                    <w:top w:val="single" w:sz="4" w:space="0" w:color="auto"/>
                    <w:left w:val="single" w:sz="4" w:space="0" w:color="auto"/>
                    <w:bottom w:val="single" w:sz="4" w:space="0" w:color="auto"/>
                    <w:right w:val="single" w:sz="4" w:space="0" w:color="auto"/>
                  </w:tcBorders>
                  <w:shd w:val="clear" w:color="auto" w:fill="auto"/>
                  <w:hideMark/>
                </w:tcPr>
                <w:p w14:paraId="6EF4DB76" w14:textId="77777777" w:rsidR="00913843" w:rsidRPr="00787196" w:rsidRDefault="00913843" w:rsidP="00913843">
                  <w:pPr>
                    <w:pStyle w:val="ListParagraph"/>
                    <w:tabs>
                      <w:tab w:val="left" w:pos="6480"/>
                    </w:tabs>
                    <w:spacing w:before="0" w:after="0" w:line="240" w:lineRule="auto"/>
                    <w:ind w:left="0"/>
                    <w:rPr>
                      <w:rFonts w:eastAsia="Calibri" w:cs="Arial"/>
                      <w:b/>
                      <w:sz w:val="18"/>
                      <w:szCs w:val="18"/>
                      <w:lang w:eastAsia="en-US" w:bidi="ar-SA"/>
                    </w:rPr>
                  </w:pPr>
                  <w:r w:rsidRPr="00787196">
                    <w:rPr>
                      <w:rFonts w:eastAsia="Calibri" w:cs="Arial"/>
                      <w:b/>
                      <w:sz w:val="18"/>
                      <w:szCs w:val="18"/>
                      <w:lang w:eastAsia="en-US" w:bidi="ar-SA"/>
                    </w:rPr>
                    <w:t>0    1    2    3    4    5    6   7   8</w:t>
                  </w:r>
                </w:p>
              </w:tc>
            </w:tr>
          </w:tbl>
          <w:p w14:paraId="442B591F" w14:textId="77777777" w:rsidR="00062AE7" w:rsidRPr="00787196" w:rsidRDefault="00062AE7" w:rsidP="00E624D1">
            <w:pPr>
              <w:pStyle w:val="ListParagraph"/>
              <w:tabs>
                <w:tab w:val="left" w:pos="6480"/>
              </w:tabs>
              <w:spacing w:before="0" w:after="0" w:line="240" w:lineRule="auto"/>
              <w:ind w:left="0"/>
              <w:rPr>
                <w:rFonts w:eastAsia="Calibri" w:cs="Arial"/>
                <w:bCs/>
                <w:sz w:val="18"/>
                <w:szCs w:val="18"/>
                <w:lang w:eastAsia="en-US" w:bidi="ar-SA"/>
              </w:rPr>
            </w:pPr>
          </w:p>
        </w:tc>
      </w:tr>
      <w:tr w:rsidR="00062AE7" w:rsidRPr="00787196" w14:paraId="794822C1" w14:textId="77777777" w:rsidTr="000E696C">
        <w:trPr>
          <w:trHeight w:val="149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6AA9F20" w14:textId="77777777" w:rsidR="00062AE7" w:rsidRPr="00787196" w:rsidRDefault="00062AE7" w:rsidP="00C119A5">
            <w:pPr>
              <w:pStyle w:val="ListParagraph"/>
              <w:numPr>
                <w:ilvl w:val="0"/>
                <w:numId w:val="15"/>
              </w:numPr>
              <w:tabs>
                <w:tab w:val="left" w:pos="284"/>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ORAL MUCOSA</w:t>
            </w:r>
          </w:p>
          <w:p w14:paraId="0AA774AE" w14:textId="77777777" w:rsidR="00062AE7" w:rsidRPr="00787196" w:rsidRDefault="00062AE7" w:rsidP="00E624D1">
            <w:pPr>
              <w:pStyle w:val="ListParagraph"/>
              <w:tabs>
                <w:tab w:val="left" w:pos="6480"/>
              </w:tabs>
              <w:spacing w:before="0" w:after="0" w:line="240" w:lineRule="auto"/>
              <w:ind w:left="360"/>
              <w:rPr>
                <w:rFonts w:eastAsia="Calibri" w:cs="Arial"/>
                <w:b/>
                <w:sz w:val="18"/>
                <w:szCs w:val="18"/>
                <w:lang w:eastAsia="en-US" w:bidi="ar-SA"/>
              </w:rPr>
            </w:pPr>
          </w:p>
          <w:p w14:paraId="5533F9F9" w14:textId="77777777" w:rsidR="00062AE7" w:rsidRPr="00787196" w:rsidRDefault="00020A78" w:rsidP="00E624D1">
            <w:pPr>
              <w:pStyle w:val="ListParagraph"/>
              <w:tabs>
                <w:tab w:val="left" w:pos="6480"/>
              </w:tabs>
              <w:spacing w:before="0" w:after="0" w:line="240" w:lineRule="auto"/>
              <w:ind w:left="0"/>
              <w:rPr>
                <w:rFonts w:eastAsia="Calibri" w:cs="Arial"/>
                <w:sz w:val="18"/>
                <w:szCs w:val="18"/>
                <w:lang w:eastAsia="en-US" w:bidi="ar-SA"/>
              </w:rPr>
            </w:pPr>
            <w:r w:rsidRPr="00787196">
              <w:rPr>
                <w:rFonts w:eastAsia="Calibri" w:cs="Arial"/>
                <w:b/>
                <w:sz w:val="18"/>
                <w:szCs w:val="18"/>
                <w:lang w:eastAsia="en-US" w:bidi="ar-SA"/>
              </w:rPr>
              <w:t>Mucosal Disease</w:t>
            </w:r>
            <w:r w:rsidRPr="00787196">
              <w:rPr>
                <w:rFonts w:eastAsia="Calibri"/>
                <w:b/>
                <w:sz w:val="18"/>
                <w:szCs w:val="18"/>
                <w:cs/>
                <w:lang w:eastAsia="en-US"/>
              </w:rPr>
              <w:t xml:space="preserve"> </w:t>
            </w:r>
            <w:r w:rsidRPr="00787196">
              <w:rPr>
                <w:rFonts w:eastAsia="Calibri" w:cs="Arial"/>
                <w:b/>
                <w:sz w:val="18"/>
                <w:szCs w:val="18"/>
                <w:lang w:eastAsia="en-US" w:bidi="ar-SA"/>
              </w:rPr>
              <w:t xml:space="preserve">- </w:t>
            </w:r>
            <w:r w:rsidRPr="00787196">
              <w:rPr>
                <w:rFonts w:eastAsia="Calibri"/>
                <w:b/>
                <w:sz w:val="18"/>
                <w:szCs w:val="18"/>
                <w:cs/>
                <w:lang w:eastAsia="en-US"/>
              </w:rPr>
              <w:t>1</w:t>
            </w:r>
            <w:r w:rsidR="00062AE7" w:rsidRPr="00787196">
              <w:rPr>
                <w:rFonts w:eastAsia="Calibri" w:cs="Arial"/>
                <w:sz w:val="18"/>
                <w:szCs w:val="18"/>
                <w:lang w:eastAsia="en-US" w:bidi="ar-SA"/>
              </w:rPr>
              <w:t xml:space="preserve">-Yes (please specify </w:t>
            </w:r>
            <w:r w:rsidRPr="00787196">
              <w:rPr>
                <w:rFonts w:eastAsia="Calibri" w:cs="Arial"/>
                <w:sz w:val="18"/>
                <w:szCs w:val="18"/>
                <w:lang w:eastAsia="en-US" w:bidi="ar-SA"/>
              </w:rPr>
              <w:t>type</w:t>
            </w:r>
            <w:r w:rsidR="00062AE7" w:rsidRPr="00787196">
              <w:rPr>
                <w:rFonts w:eastAsia="Calibri" w:cs="Arial"/>
                <w:sz w:val="18"/>
                <w:szCs w:val="18"/>
                <w:lang w:eastAsia="en-US" w:bidi="ar-SA"/>
              </w:rPr>
              <w:t>)……………………………………….</w:t>
            </w:r>
          </w:p>
          <w:p w14:paraId="4609993A" w14:textId="77777777" w:rsidR="00062AE7" w:rsidRPr="00787196" w:rsidRDefault="00062AE7" w:rsidP="00E624D1">
            <w:pPr>
              <w:pStyle w:val="ListParagraph"/>
              <w:tabs>
                <w:tab w:val="left" w:pos="6480"/>
              </w:tabs>
              <w:spacing w:before="0" w:after="0" w:line="240" w:lineRule="auto"/>
              <w:ind w:left="0"/>
              <w:rPr>
                <w:rFonts w:eastAsia="Calibri" w:cs="Arial"/>
                <w:b/>
                <w:sz w:val="18"/>
                <w:szCs w:val="18"/>
                <w:lang w:eastAsia="en-US" w:bidi="ar-SA"/>
              </w:rPr>
            </w:pPr>
            <w:r w:rsidRPr="00787196">
              <w:rPr>
                <w:rFonts w:eastAsia="Calibri" w:cs="Arial"/>
                <w:sz w:val="18"/>
                <w:szCs w:val="18"/>
                <w:lang w:eastAsia="en-US" w:bidi="ar-SA"/>
              </w:rPr>
              <w:t xml:space="preserve">                               </w:t>
            </w:r>
            <w:r w:rsidR="007B07C0" w:rsidRPr="00787196">
              <w:rPr>
                <w:rFonts w:eastAsia="Calibri" w:cs="Arial"/>
                <w:sz w:val="18"/>
                <w:szCs w:val="18"/>
                <w:lang w:eastAsia="en-US" w:bidi="ar-SA"/>
              </w:rPr>
              <w:t xml:space="preserve">  </w:t>
            </w:r>
            <w:r w:rsidR="00020A78" w:rsidRPr="00787196">
              <w:rPr>
                <w:rFonts w:eastAsia="Calibri"/>
                <w:sz w:val="18"/>
                <w:szCs w:val="18"/>
                <w:cs/>
                <w:lang w:eastAsia="en-US"/>
              </w:rPr>
              <w:t xml:space="preserve"> </w:t>
            </w:r>
            <w:r w:rsidR="00020A78" w:rsidRPr="00787196">
              <w:rPr>
                <w:rFonts w:eastAsia="Calibri" w:cs="Arial"/>
                <w:sz w:val="18"/>
                <w:szCs w:val="18"/>
                <w:lang w:eastAsia="en-US" w:bidi="ar-SA"/>
              </w:rPr>
              <w:t xml:space="preserve"> </w:t>
            </w:r>
            <w:r w:rsidRPr="00787196">
              <w:rPr>
                <w:rFonts w:eastAsia="Calibri" w:cs="Arial"/>
                <w:sz w:val="18"/>
                <w:szCs w:val="18"/>
                <w:lang w:eastAsia="en-US" w:bidi="ar-SA"/>
              </w:rPr>
              <w:t>2-No</w:t>
            </w:r>
            <w:r w:rsidRPr="00787196">
              <w:rPr>
                <w:rFonts w:eastAsia="Calibri" w:cs="Arial"/>
                <w:bCs/>
                <w:sz w:val="18"/>
                <w:szCs w:val="18"/>
                <w:lang w:eastAsia="en-US" w:bidi="ar-SA"/>
              </w:rPr>
              <w:t xml:space="preserve">                                          </w:t>
            </w:r>
          </w:p>
        </w:tc>
      </w:tr>
      <w:tr w:rsidR="00062AE7" w:rsidRPr="00787196" w14:paraId="1C7606D9" w14:textId="77777777" w:rsidTr="000E696C">
        <w:trPr>
          <w:trHeight w:val="337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F6A3A67" w14:textId="77777777" w:rsidR="00062AE7" w:rsidRPr="00787196" w:rsidRDefault="00062AE7" w:rsidP="0005130B">
            <w:pPr>
              <w:tabs>
                <w:tab w:val="left" w:pos="284"/>
                <w:tab w:val="left" w:pos="6480"/>
              </w:tabs>
              <w:spacing w:before="0" w:after="0" w:line="240" w:lineRule="auto"/>
              <w:rPr>
                <w:rFonts w:eastAsia="Calibri" w:cs="Arial"/>
                <w:b/>
                <w:sz w:val="18"/>
                <w:szCs w:val="18"/>
                <w:lang w:eastAsia="en-US" w:bidi="ar-SA"/>
              </w:rPr>
            </w:pPr>
          </w:p>
          <w:p w14:paraId="094F57AA" w14:textId="77777777" w:rsidR="00062AE7" w:rsidRPr="00787196" w:rsidRDefault="00062AE7" w:rsidP="00C119A5">
            <w:pPr>
              <w:pStyle w:val="ListParagraph"/>
              <w:numPr>
                <w:ilvl w:val="0"/>
                <w:numId w:val="15"/>
              </w:numPr>
              <w:tabs>
                <w:tab w:val="left" w:pos="284"/>
                <w:tab w:val="left" w:pos="6480"/>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 xml:space="preserve">PROSTHETIC STATUS </w:t>
            </w:r>
          </w:p>
          <w:p w14:paraId="43E2CADB" w14:textId="77777777" w:rsidR="00062AE7" w:rsidRPr="00787196" w:rsidRDefault="00062AE7" w:rsidP="0005130B">
            <w:pPr>
              <w:tabs>
                <w:tab w:val="left" w:pos="284"/>
                <w:tab w:val="left" w:pos="6480"/>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 xml:space="preserve">  </w:t>
            </w:r>
          </w:p>
          <w:p w14:paraId="6E8D12F1" w14:textId="09B13704"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 xml:space="preserve">0=No prosthesis                     </w:t>
            </w:r>
            <w:r w:rsidR="00020A78" w:rsidRPr="00787196">
              <w:rPr>
                <w:rFonts w:eastAsia="Calibri" w:cs="Arial"/>
                <w:bCs/>
                <w:sz w:val="18"/>
                <w:szCs w:val="18"/>
                <w:lang w:eastAsia="en-US" w:bidi="ar-SA"/>
              </w:rPr>
              <w:t xml:space="preserve">                    </w:t>
            </w:r>
            <w:r w:rsidR="00F01277" w:rsidRPr="00787196">
              <w:rPr>
                <w:rFonts w:eastAsia="Calibri" w:cs="Arial"/>
                <w:bCs/>
                <w:sz w:val="18"/>
                <w:szCs w:val="18"/>
                <w:lang w:eastAsia="en-US" w:bidi="ar-SA"/>
              </w:rPr>
              <w:t xml:space="preserve">       </w:t>
            </w:r>
            <w:r w:rsidR="000E696C" w:rsidRPr="00787196">
              <w:rPr>
                <w:rFonts w:eastAsia="Calibri" w:cs="Arial"/>
                <w:bCs/>
                <w:sz w:val="18"/>
                <w:szCs w:val="18"/>
                <w:lang w:eastAsia="en-US" w:bidi="ar-SA"/>
              </w:rPr>
              <w:t xml:space="preserve">                 </w:t>
            </w:r>
            <w:r w:rsidR="00020A78" w:rsidRPr="00787196">
              <w:rPr>
                <w:rFonts w:eastAsia="Calibri" w:cs="Arial"/>
                <w:bCs/>
                <w:sz w:val="18"/>
                <w:szCs w:val="18"/>
                <w:lang w:eastAsia="en-US" w:bidi="ar-SA"/>
              </w:rPr>
              <w:t xml:space="preserve"> </w:t>
            </w:r>
            <w:r w:rsidRPr="00787196">
              <w:rPr>
                <w:rFonts w:eastAsia="Calibri" w:cs="Arial"/>
                <w:bCs/>
                <w:sz w:val="18"/>
                <w:szCs w:val="18"/>
                <w:lang w:eastAsia="en-US" w:bidi="ar-SA"/>
              </w:rPr>
              <w:t>Upper Lower</w:t>
            </w:r>
          </w:p>
          <w:p w14:paraId="351C8A28" w14:textId="0800F4E8" w:rsidR="00062AE7" w:rsidRPr="00787196" w:rsidRDefault="00407764" w:rsidP="0005130B">
            <w:pPr>
              <w:tabs>
                <w:tab w:val="left" w:pos="284"/>
                <w:tab w:val="left" w:pos="6480"/>
              </w:tabs>
              <w:spacing w:before="0" w:after="0"/>
              <w:rPr>
                <w:rFonts w:eastAsia="Calibri" w:cs="Arial"/>
                <w:bCs/>
                <w:sz w:val="18"/>
                <w:szCs w:val="18"/>
                <w:lang w:eastAsia="en-US" w:bidi="ar-SA"/>
              </w:rPr>
            </w:pPr>
            <w:r w:rsidRPr="00787196">
              <w:rPr>
                <w:noProof/>
                <w:sz w:val="18"/>
                <w:szCs w:val="18"/>
              </w:rPr>
              <mc:AlternateContent>
                <mc:Choice Requires="wps">
                  <w:drawing>
                    <wp:anchor distT="0" distB="0" distL="114300" distR="114300" simplePos="0" relativeHeight="251597312" behindDoc="0" locked="0" layoutInCell="1" allowOverlap="1" wp14:anchorId="691C262D" wp14:editId="596A5C07">
                      <wp:simplePos x="0" y="0"/>
                      <wp:positionH relativeFrom="column">
                        <wp:posOffset>2935605</wp:posOffset>
                      </wp:positionH>
                      <wp:positionV relativeFrom="paragraph">
                        <wp:posOffset>16510</wp:posOffset>
                      </wp:positionV>
                      <wp:extent cx="295275" cy="361950"/>
                      <wp:effectExtent l="0" t="0" r="28575" b="19050"/>
                      <wp:wrapNone/>
                      <wp:docPr id="16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1950"/>
                              </a:xfrm>
                              <a:prstGeom prst="rect">
                                <a:avLst/>
                              </a:prstGeom>
                              <a:solidFill>
                                <a:srgbClr val="FFFFFF"/>
                              </a:solidFill>
                              <a:ln w="9525">
                                <a:solidFill>
                                  <a:srgbClr val="000000"/>
                                </a:solidFill>
                                <a:miter lim="800000"/>
                                <a:headEnd/>
                                <a:tailEnd/>
                              </a:ln>
                            </wps:spPr>
                            <wps:txbx>
                              <w:txbxContent>
                                <w:p w14:paraId="18C14DA9" w14:textId="77777777" w:rsidR="006E7D7A" w:rsidRDefault="006E7D7A" w:rsidP="00062AE7"/>
                                <w:p w14:paraId="4ACD1393" w14:textId="77777777" w:rsidR="006E7D7A" w:rsidRDefault="006E7D7A"/>
                                <w:p w14:paraId="3874DDAC" w14:textId="77777777" w:rsidR="006E7D7A" w:rsidRDefault="006E7D7A" w:rsidP="00062AE7"/>
                                <w:p w14:paraId="7668DF35" w14:textId="77777777" w:rsidR="006E7D7A" w:rsidRDefault="006E7D7A"/>
                                <w:p w14:paraId="3047D849" w14:textId="77777777" w:rsidR="006E7D7A" w:rsidRDefault="006E7D7A" w:rsidP="00062AE7"/>
                                <w:p w14:paraId="4F412EE0" w14:textId="77777777" w:rsidR="006E7D7A" w:rsidRDefault="006E7D7A"/>
                                <w:p w14:paraId="12B036B9" w14:textId="77777777" w:rsidR="006E7D7A" w:rsidRDefault="006E7D7A" w:rsidP="00062AE7"/>
                                <w:p w14:paraId="0D30078A" w14:textId="77777777" w:rsidR="006E7D7A" w:rsidRDefault="006E7D7A"/>
                                <w:p w14:paraId="43A683A2" w14:textId="77777777" w:rsidR="006E7D7A" w:rsidRDefault="006E7D7A" w:rsidP="00062AE7"/>
                                <w:p w14:paraId="6614BF68" w14:textId="77777777" w:rsidR="006E7D7A" w:rsidRDefault="006E7D7A"/>
                                <w:p w14:paraId="44FFE5A7" w14:textId="77777777" w:rsidR="006E7D7A" w:rsidRDefault="006E7D7A" w:rsidP="00062AE7"/>
                                <w:p w14:paraId="281A0E96" w14:textId="77777777" w:rsidR="006E7D7A" w:rsidRDefault="006E7D7A"/>
                                <w:p w14:paraId="0DBAA14B" w14:textId="77777777" w:rsidR="006E7D7A" w:rsidRDefault="006E7D7A" w:rsidP="00062AE7"/>
                                <w:p w14:paraId="4BCA6541" w14:textId="77777777" w:rsidR="006E7D7A" w:rsidRDefault="006E7D7A"/>
                                <w:p w14:paraId="30C16985" w14:textId="77777777" w:rsidR="006E7D7A" w:rsidRDefault="006E7D7A" w:rsidP="00062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C262D" id="Text Box 286" o:spid="_x0000_s1206" type="#_x0000_t202" style="position:absolute;left:0;text-align:left;margin-left:231.15pt;margin-top:1.3pt;width:23.25pt;height:2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XLw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">
                      <v:textbox>
                        <w:txbxContent>
                          <w:p w14:paraId="18C14DA9" w14:textId="77777777" w:rsidR="006E7D7A" w:rsidRDefault="006E7D7A" w:rsidP="00062AE7"/>
                          <w:p w14:paraId="4ACD1393" w14:textId="77777777" w:rsidR="006E7D7A" w:rsidRDefault="006E7D7A"/>
                          <w:p w14:paraId="3874DDAC" w14:textId="77777777" w:rsidR="006E7D7A" w:rsidRDefault="006E7D7A" w:rsidP="00062AE7"/>
                          <w:p w14:paraId="7668DF35" w14:textId="77777777" w:rsidR="006E7D7A" w:rsidRDefault="006E7D7A"/>
                          <w:p w14:paraId="3047D849" w14:textId="77777777" w:rsidR="006E7D7A" w:rsidRDefault="006E7D7A" w:rsidP="00062AE7"/>
                          <w:p w14:paraId="4F412EE0" w14:textId="77777777" w:rsidR="006E7D7A" w:rsidRDefault="006E7D7A"/>
                          <w:p w14:paraId="12B036B9" w14:textId="77777777" w:rsidR="006E7D7A" w:rsidRDefault="006E7D7A" w:rsidP="00062AE7"/>
                          <w:p w14:paraId="0D30078A" w14:textId="77777777" w:rsidR="006E7D7A" w:rsidRDefault="006E7D7A"/>
                          <w:p w14:paraId="43A683A2" w14:textId="77777777" w:rsidR="006E7D7A" w:rsidRDefault="006E7D7A" w:rsidP="00062AE7"/>
                          <w:p w14:paraId="6614BF68" w14:textId="77777777" w:rsidR="006E7D7A" w:rsidRDefault="006E7D7A"/>
                          <w:p w14:paraId="44FFE5A7" w14:textId="77777777" w:rsidR="006E7D7A" w:rsidRDefault="006E7D7A" w:rsidP="00062AE7"/>
                          <w:p w14:paraId="281A0E96" w14:textId="77777777" w:rsidR="006E7D7A" w:rsidRDefault="006E7D7A"/>
                          <w:p w14:paraId="0DBAA14B" w14:textId="77777777" w:rsidR="006E7D7A" w:rsidRDefault="006E7D7A" w:rsidP="00062AE7"/>
                          <w:p w14:paraId="4BCA6541" w14:textId="77777777" w:rsidR="006E7D7A" w:rsidRDefault="006E7D7A"/>
                          <w:p w14:paraId="30C16985" w14:textId="77777777" w:rsidR="006E7D7A" w:rsidRDefault="006E7D7A" w:rsidP="00062AE7"/>
                        </w:txbxContent>
                      </v:textbox>
                    </v:shape>
                  </w:pict>
                </mc:Fallback>
              </mc:AlternateContent>
            </w:r>
            <w:r w:rsidRPr="00787196">
              <w:rPr>
                <w:noProof/>
                <w:sz w:val="18"/>
                <w:szCs w:val="18"/>
              </w:rPr>
              <mc:AlternateContent>
                <mc:Choice Requires="wps">
                  <w:drawing>
                    <wp:anchor distT="0" distB="0" distL="114300" distR="114300" simplePos="0" relativeHeight="251598336" behindDoc="0" locked="0" layoutInCell="1" allowOverlap="1" wp14:anchorId="77F1850E" wp14:editId="60596A35">
                      <wp:simplePos x="0" y="0"/>
                      <wp:positionH relativeFrom="column">
                        <wp:posOffset>3230880</wp:posOffset>
                      </wp:positionH>
                      <wp:positionV relativeFrom="paragraph">
                        <wp:posOffset>16510</wp:posOffset>
                      </wp:positionV>
                      <wp:extent cx="342900" cy="361950"/>
                      <wp:effectExtent l="0" t="0" r="19050" b="19050"/>
                      <wp:wrapNone/>
                      <wp:docPr id="16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solidFill>
                                <a:srgbClr val="FFFFFF"/>
                              </a:solidFill>
                              <a:ln w="9525">
                                <a:solidFill>
                                  <a:srgbClr val="000000"/>
                                </a:solidFill>
                                <a:miter lim="800000"/>
                                <a:headEnd/>
                                <a:tailEnd/>
                              </a:ln>
                            </wps:spPr>
                            <wps:txbx>
                              <w:txbxContent>
                                <w:p w14:paraId="00BFBEEF" w14:textId="77777777" w:rsidR="006E7D7A" w:rsidRDefault="006E7D7A" w:rsidP="00062AE7"/>
                                <w:p w14:paraId="570C9790" w14:textId="77777777" w:rsidR="006E7D7A" w:rsidRDefault="006E7D7A"/>
                                <w:p w14:paraId="191F46C2" w14:textId="77777777" w:rsidR="006E7D7A" w:rsidRDefault="006E7D7A" w:rsidP="00062AE7"/>
                                <w:p w14:paraId="5FEA3E71" w14:textId="77777777" w:rsidR="006E7D7A" w:rsidRDefault="006E7D7A"/>
                                <w:p w14:paraId="386A5735" w14:textId="77777777" w:rsidR="006E7D7A" w:rsidRDefault="006E7D7A" w:rsidP="00062AE7"/>
                                <w:p w14:paraId="62A06425" w14:textId="77777777" w:rsidR="006E7D7A" w:rsidRDefault="006E7D7A"/>
                                <w:p w14:paraId="3E2EBBC1" w14:textId="77777777" w:rsidR="006E7D7A" w:rsidRDefault="006E7D7A" w:rsidP="00062AE7"/>
                                <w:p w14:paraId="21E5AC90" w14:textId="77777777" w:rsidR="006E7D7A" w:rsidRDefault="006E7D7A"/>
                                <w:p w14:paraId="18F0127D" w14:textId="77777777" w:rsidR="006E7D7A" w:rsidRDefault="006E7D7A" w:rsidP="00062AE7"/>
                                <w:p w14:paraId="4D021489" w14:textId="77777777" w:rsidR="006E7D7A" w:rsidRDefault="006E7D7A"/>
                                <w:p w14:paraId="63DA9E6A" w14:textId="77777777" w:rsidR="006E7D7A" w:rsidRDefault="006E7D7A" w:rsidP="00062AE7"/>
                                <w:p w14:paraId="54FC2FC2" w14:textId="77777777" w:rsidR="006E7D7A" w:rsidRDefault="006E7D7A"/>
                                <w:p w14:paraId="63A10D51" w14:textId="77777777" w:rsidR="006E7D7A" w:rsidRDefault="006E7D7A" w:rsidP="00062AE7"/>
                                <w:p w14:paraId="3488D044" w14:textId="77777777" w:rsidR="006E7D7A" w:rsidRDefault="006E7D7A"/>
                                <w:p w14:paraId="3C0C14B7" w14:textId="77777777" w:rsidR="006E7D7A" w:rsidRDefault="006E7D7A" w:rsidP="00062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850E" id="Text Box 287" o:spid="_x0000_s1207" type="#_x0000_t202" style="position:absolute;left:0;text-align:left;margin-left:254.4pt;margin-top:1.3pt;width:27pt;height:2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oiLwIAAFw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">
                      <v:textbox>
                        <w:txbxContent>
                          <w:p w14:paraId="00BFBEEF" w14:textId="77777777" w:rsidR="006E7D7A" w:rsidRDefault="006E7D7A" w:rsidP="00062AE7"/>
                          <w:p w14:paraId="570C9790" w14:textId="77777777" w:rsidR="006E7D7A" w:rsidRDefault="006E7D7A"/>
                          <w:p w14:paraId="191F46C2" w14:textId="77777777" w:rsidR="006E7D7A" w:rsidRDefault="006E7D7A" w:rsidP="00062AE7"/>
                          <w:p w14:paraId="5FEA3E71" w14:textId="77777777" w:rsidR="006E7D7A" w:rsidRDefault="006E7D7A"/>
                          <w:p w14:paraId="386A5735" w14:textId="77777777" w:rsidR="006E7D7A" w:rsidRDefault="006E7D7A" w:rsidP="00062AE7"/>
                          <w:p w14:paraId="62A06425" w14:textId="77777777" w:rsidR="006E7D7A" w:rsidRDefault="006E7D7A"/>
                          <w:p w14:paraId="3E2EBBC1" w14:textId="77777777" w:rsidR="006E7D7A" w:rsidRDefault="006E7D7A" w:rsidP="00062AE7"/>
                          <w:p w14:paraId="21E5AC90" w14:textId="77777777" w:rsidR="006E7D7A" w:rsidRDefault="006E7D7A"/>
                          <w:p w14:paraId="18F0127D" w14:textId="77777777" w:rsidR="006E7D7A" w:rsidRDefault="006E7D7A" w:rsidP="00062AE7"/>
                          <w:p w14:paraId="4D021489" w14:textId="77777777" w:rsidR="006E7D7A" w:rsidRDefault="006E7D7A"/>
                          <w:p w14:paraId="63DA9E6A" w14:textId="77777777" w:rsidR="006E7D7A" w:rsidRDefault="006E7D7A" w:rsidP="00062AE7"/>
                          <w:p w14:paraId="54FC2FC2" w14:textId="77777777" w:rsidR="006E7D7A" w:rsidRDefault="006E7D7A"/>
                          <w:p w14:paraId="63A10D51" w14:textId="77777777" w:rsidR="006E7D7A" w:rsidRDefault="006E7D7A" w:rsidP="00062AE7"/>
                          <w:p w14:paraId="3488D044" w14:textId="77777777" w:rsidR="006E7D7A" w:rsidRDefault="006E7D7A"/>
                          <w:p w14:paraId="3C0C14B7" w14:textId="77777777" w:rsidR="006E7D7A" w:rsidRDefault="006E7D7A" w:rsidP="00062AE7"/>
                        </w:txbxContent>
                      </v:textbox>
                    </v:shape>
                  </w:pict>
                </mc:Fallback>
              </mc:AlternateContent>
            </w:r>
            <w:r w:rsidR="00062AE7" w:rsidRPr="00787196">
              <w:rPr>
                <w:rFonts w:eastAsia="Calibri" w:cs="Arial"/>
                <w:bCs/>
                <w:sz w:val="18"/>
                <w:szCs w:val="18"/>
                <w:lang w:eastAsia="en-US" w:bidi="ar-SA"/>
              </w:rPr>
              <w:t>1=Bridge</w:t>
            </w:r>
          </w:p>
          <w:p w14:paraId="22ECFBDF"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2=More than one bridge</w:t>
            </w:r>
          </w:p>
          <w:p w14:paraId="78875D98"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3=Partial denture</w:t>
            </w:r>
          </w:p>
          <w:p w14:paraId="7C1E8A46"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4=Both denture and partial denture</w:t>
            </w:r>
          </w:p>
          <w:p w14:paraId="3AAB9B96"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5=Full removable denture</w:t>
            </w:r>
          </w:p>
          <w:p w14:paraId="647CA294" w14:textId="77777777" w:rsidR="00062AE7" w:rsidRPr="00787196" w:rsidRDefault="00062AE7" w:rsidP="0005130B">
            <w:pPr>
              <w:tabs>
                <w:tab w:val="left" w:pos="284"/>
                <w:tab w:val="left" w:pos="6480"/>
              </w:tabs>
              <w:spacing w:before="0" w:after="0"/>
              <w:rPr>
                <w:rFonts w:eastAsia="Calibri" w:cs="Arial"/>
                <w:b/>
                <w:sz w:val="18"/>
                <w:szCs w:val="18"/>
                <w:lang w:eastAsia="en-US" w:bidi="ar-SA"/>
              </w:rPr>
            </w:pPr>
            <w:r w:rsidRPr="00787196">
              <w:rPr>
                <w:rFonts w:eastAsia="Calibri" w:cs="Arial"/>
                <w:bCs/>
                <w:sz w:val="18"/>
                <w:szCs w:val="18"/>
                <w:lang w:eastAsia="en-US" w:bidi="ar-SA"/>
              </w:rPr>
              <w:t>9=not recorded</w:t>
            </w:r>
          </w:p>
        </w:tc>
      </w:tr>
      <w:tr w:rsidR="00062AE7" w:rsidRPr="00787196" w14:paraId="0A62E421" w14:textId="77777777" w:rsidTr="000E696C">
        <w:trPr>
          <w:trHeight w:val="300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6F168B4" w14:textId="77777777" w:rsidR="00062AE7" w:rsidRPr="00787196" w:rsidRDefault="00062AE7" w:rsidP="0005130B">
            <w:pPr>
              <w:pStyle w:val="ListParagraph"/>
              <w:tabs>
                <w:tab w:val="left" w:pos="284"/>
                <w:tab w:val="left" w:pos="6480"/>
              </w:tabs>
              <w:spacing w:before="0" w:after="0" w:line="240" w:lineRule="auto"/>
              <w:ind w:left="360"/>
              <w:rPr>
                <w:rFonts w:eastAsia="Calibri" w:cs="Arial"/>
                <w:b/>
                <w:sz w:val="18"/>
                <w:szCs w:val="18"/>
                <w:lang w:eastAsia="en-US" w:bidi="ar-SA"/>
              </w:rPr>
            </w:pPr>
          </w:p>
          <w:p w14:paraId="264AB23C" w14:textId="77777777" w:rsidR="00062AE7" w:rsidRPr="00787196" w:rsidRDefault="00062AE7" w:rsidP="00C119A5">
            <w:pPr>
              <w:pStyle w:val="ListParagraph"/>
              <w:numPr>
                <w:ilvl w:val="0"/>
                <w:numId w:val="15"/>
              </w:numPr>
              <w:tabs>
                <w:tab w:val="left" w:pos="284"/>
                <w:tab w:val="left" w:pos="6480"/>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PROSTHETIC NEED</w:t>
            </w:r>
          </w:p>
          <w:p w14:paraId="1AA4708E" w14:textId="77777777" w:rsidR="00062AE7" w:rsidRPr="00787196" w:rsidRDefault="00062AE7" w:rsidP="0005130B">
            <w:pPr>
              <w:tabs>
                <w:tab w:val="left" w:pos="284"/>
                <w:tab w:val="left" w:pos="6480"/>
              </w:tabs>
              <w:spacing w:before="0" w:after="0" w:line="240" w:lineRule="auto"/>
              <w:rPr>
                <w:rFonts w:eastAsia="Calibri" w:cs="Arial"/>
                <w:bCs/>
                <w:sz w:val="18"/>
                <w:szCs w:val="18"/>
                <w:lang w:eastAsia="en-US" w:bidi="ar-SA"/>
              </w:rPr>
            </w:pPr>
          </w:p>
          <w:p w14:paraId="317EB960" w14:textId="6E984920"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 xml:space="preserve">0=No prosthesis  needed                             </w:t>
            </w:r>
            <w:r w:rsidR="00F01277" w:rsidRPr="00787196">
              <w:rPr>
                <w:rFonts w:eastAsia="Calibri" w:cs="Arial"/>
                <w:bCs/>
                <w:sz w:val="18"/>
                <w:szCs w:val="18"/>
                <w:lang w:eastAsia="en-US" w:bidi="ar-SA"/>
              </w:rPr>
              <w:t xml:space="preserve">      </w:t>
            </w:r>
            <w:r w:rsidR="000E696C" w:rsidRPr="00787196">
              <w:rPr>
                <w:rFonts w:eastAsia="Calibri" w:cs="Arial"/>
                <w:bCs/>
                <w:sz w:val="18"/>
                <w:szCs w:val="18"/>
                <w:lang w:eastAsia="en-US" w:bidi="ar-SA"/>
              </w:rPr>
              <w:t xml:space="preserve">                 </w:t>
            </w:r>
            <w:r w:rsidRPr="00787196">
              <w:rPr>
                <w:rFonts w:eastAsia="Calibri" w:cs="Arial"/>
                <w:bCs/>
                <w:sz w:val="18"/>
                <w:szCs w:val="18"/>
                <w:lang w:eastAsia="en-US" w:bidi="ar-SA"/>
              </w:rPr>
              <w:t>Upper Lower</w:t>
            </w:r>
          </w:p>
          <w:p w14:paraId="659A5DC8" w14:textId="268642DF" w:rsidR="00062AE7" w:rsidRPr="00787196" w:rsidRDefault="00407764" w:rsidP="0005130B">
            <w:pPr>
              <w:tabs>
                <w:tab w:val="left" w:pos="284"/>
                <w:tab w:val="left" w:pos="6480"/>
              </w:tabs>
              <w:spacing w:before="0" w:after="0"/>
              <w:rPr>
                <w:rFonts w:eastAsia="Calibri" w:cs="Arial"/>
                <w:bCs/>
                <w:sz w:val="18"/>
                <w:szCs w:val="18"/>
                <w:lang w:eastAsia="en-US" w:bidi="ar-SA"/>
              </w:rPr>
            </w:pPr>
            <w:r w:rsidRPr="00787196">
              <w:rPr>
                <w:noProof/>
                <w:sz w:val="18"/>
                <w:szCs w:val="18"/>
              </w:rPr>
              <mc:AlternateContent>
                <mc:Choice Requires="wps">
                  <w:drawing>
                    <wp:anchor distT="0" distB="0" distL="114300" distR="114300" simplePos="0" relativeHeight="251620864" behindDoc="0" locked="0" layoutInCell="1" allowOverlap="1" wp14:anchorId="078A5BD5" wp14:editId="614C6225">
                      <wp:simplePos x="0" y="0"/>
                      <wp:positionH relativeFrom="column">
                        <wp:posOffset>2935605</wp:posOffset>
                      </wp:positionH>
                      <wp:positionV relativeFrom="paragraph">
                        <wp:posOffset>16510</wp:posOffset>
                      </wp:positionV>
                      <wp:extent cx="295275" cy="361950"/>
                      <wp:effectExtent l="0" t="0" r="28575" b="19050"/>
                      <wp:wrapNone/>
                      <wp:docPr id="16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1950"/>
                              </a:xfrm>
                              <a:prstGeom prst="rect">
                                <a:avLst/>
                              </a:prstGeom>
                              <a:solidFill>
                                <a:srgbClr val="FFFFFF"/>
                              </a:solidFill>
                              <a:ln w="9525">
                                <a:solidFill>
                                  <a:srgbClr val="000000"/>
                                </a:solidFill>
                                <a:miter lim="800000"/>
                                <a:headEnd/>
                                <a:tailEnd/>
                              </a:ln>
                            </wps:spPr>
                            <wps:txbx>
                              <w:txbxContent>
                                <w:p w14:paraId="6315345A" w14:textId="77777777" w:rsidR="006E7D7A" w:rsidRDefault="006E7D7A" w:rsidP="00062AE7"/>
                                <w:p w14:paraId="3F86410E" w14:textId="77777777" w:rsidR="006E7D7A" w:rsidRDefault="006E7D7A"/>
                                <w:p w14:paraId="1C7A8031" w14:textId="77777777" w:rsidR="006E7D7A" w:rsidRDefault="006E7D7A" w:rsidP="00062AE7"/>
                                <w:p w14:paraId="2294A3EE" w14:textId="77777777" w:rsidR="006E7D7A" w:rsidRDefault="006E7D7A"/>
                                <w:p w14:paraId="3B61A9EB" w14:textId="77777777" w:rsidR="006E7D7A" w:rsidRDefault="006E7D7A" w:rsidP="00062AE7"/>
                                <w:p w14:paraId="2CC068A6" w14:textId="77777777" w:rsidR="006E7D7A" w:rsidRDefault="006E7D7A"/>
                                <w:p w14:paraId="6C7B7EB2" w14:textId="77777777" w:rsidR="006E7D7A" w:rsidRDefault="006E7D7A" w:rsidP="00062AE7"/>
                                <w:p w14:paraId="58B85D10" w14:textId="77777777" w:rsidR="006E7D7A" w:rsidRDefault="006E7D7A"/>
                                <w:p w14:paraId="33F2EB09" w14:textId="77777777" w:rsidR="006E7D7A" w:rsidRDefault="006E7D7A" w:rsidP="00062AE7"/>
                                <w:p w14:paraId="092F9782" w14:textId="77777777" w:rsidR="006E7D7A" w:rsidRDefault="006E7D7A"/>
                                <w:p w14:paraId="01D40489" w14:textId="77777777" w:rsidR="006E7D7A" w:rsidRDefault="006E7D7A" w:rsidP="00062AE7"/>
                                <w:p w14:paraId="3DBEB8FD" w14:textId="77777777" w:rsidR="006E7D7A" w:rsidRDefault="006E7D7A"/>
                                <w:p w14:paraId="60CC6F6B" w14:textId="77777777" w:rsidR="006E7D7A" w:rsidRDefault="006E7D7A" w:rsidP="00062AE7"/>
                                <w:p w14:paraId="1DDB552F" w14:textId="77777777" w:rsidR="006E7D7A" w:rsidRDefault="006E7D7A"/>
                                <w:p w14:paraId="6CC63B55" w14:textId="77777777" w:rsidR="006E7D7A" w:rsidRDefault="006E7D7A" w:rsidP="00062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5BD5" id="Text Box 288" o:spid="_x0000_s1208" type="#_x0000_t202" style="position:absolute;left:0;text-align:left;margin-left:231.15pt;margin-top:1.3pt;width:23.25pt;height:2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B4MA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">
                      <v:textbox>
                        <w:txbxContent>
                          <w:p w14:paraId="6315345A" w14:textId="77777777" w:rsidR="006E7D7A" w:rsidRDefault="006E7D7A" w:rsidP="00062AE7"/>
                          <w:p w14:paraId="3F86410E" w14:textId="77777777" w:rsidR="006E7D7A" w:rsidRDefault="006E7D7A"/>
                          <w:p w14:paraId="1C7A8031" w14:textId="77777777" w:rsidR="006E7D7A" w:rsidRDefault="006E7D7A" w:rsidP="00062AE7"/>
                          <w:p w14:paraId="2294A3EE" w14:textId="77777777" w:rsidR="006E7D7A" w:rsidRDefault="006E7D7A"/>
                          <w:p w14:paraId="3B61A9EB" w14:textId="77777777" w:rsidR="006E7D7A" w:rsidRDefault="006E7D7A" w:rsidP="00062AE7"/>
                          <w:p w14:paraId="2CC068A6" w14:textId="77777777" w:rsidR="006E7D7A" w:rsidRDefault="006E7D7A"/>
                          <w:p w14:paraId="6C7B7EB2" w14:textId="77777777" w:rsidR="006E7D7A" w:rsidRDefault="006E7D7A" w:rsidP="00062AE7"/>
                          <w:p w14:paraId="58B85D10" w14:textId="77777777" w:rsidR="006E7D7A" w:rsidRDefault="006E7D7A"/>
                          <w:p w14:paraId="33F2EB09" w14:textId="77777777" w:rsidR="006E7D7A" w:rsidRDefault="006E7D7A" w:rsidP="00062AE7"/>
                          <w:p w14:paraId="092F9782" w14:textId="77777777" w:rsidR="006E7D7A" w:rsidRDefault="006E7D7A"/>
                          <w:p w14:paraId="01D40489" w14:textId="77777777" w:rsidR="006E7D7A" w:rsidRDefault="006E7D7A" w:rsidP="00062AE7"/>
                          <w:p w14:paraId="3DBEB8FD" w14:textId="77777777" w:rsidR="006E7D7A" w:rsidRDefault="006E7D7A"/>
                          <w:p w14:paraId="60CC6F6B" w14:textId="77777777" w:rsidR="006E7D7A" w:rsidRDefault="006E7D7A" w:rsidP="00062AE7"/>
                          <w:p w14:paraId="1DDB552F" w14:textId="77777777" w:rsidR="006E7D7A" w:rsidRDefault="006E7D7A"/>
                          <w:p w14:paraId="6CC63B55" w14:textId="77777777" w:rsidR="006E7D7A" w:rsidRDefault="006E7D7A" w:rsidP="00062AE7"/>
                        </w:txbxContent>
                      </v:textbox>
                    </v:shape>
                  </w:pict>
                </mc:Fallback>
              </mc:AlternateContent>
            </w:r>
            <w:r w:rsidRPr="00787196">
              <w:rPr>
                <w:noProof/>
                <w:sz w:val="18"/>
                <w:szCs w:val="18"/>
              </w:rPr>
              <mc:AlternateContent>
                <mc:Choice Requires="wps">
                  <w:drawing>
                    <wp:anchor distT="0" distB="0" distL="114300" distR="114300" simplePos="0" relativeHeight="251621888" behindDoc="0" locked="0" layoutInCell="1" allowOverlap="1" wp14:anchorId="61F1A3AA" wp14:editId="4A5E1F0D">
                      <wp:simplePos x="0" y="0"/>
                      <wp:positionH relativeFrom="column">
                        <wp:posOffset>3230880</wp:posOffset>
                      </wp:positionH>
                      <wp:positionV relativeFrom="paragraph">
                        <wp:posOffset>16510</wp:posOffset>
                      </wp:positionV>
                      <wp:extent cx="342900" cy="361950"/>
                      <wp:effectExtent l="0" t="0" r="19050" b="19050"/>
                      <wp:wrapNone/>
                      <wp:docPr id="16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solidFill>
                                <a:srgbClr val="FFFFFF"/>
                              </a:solidFill>
                              <a:ln w="9525">
                                <a:solidFill>
                                  <a:srgbClr val="000000"/>
                                </a:solidFill>
                                <a:miter lim="800000"/>
                                <a:headEnd/>
                                <a:tailEnd/>
                              </a:ln>
                            </wps:spPr>
                            <wps:txbx>
                              <w:txbxContent>
                                <w:p w14:paraId="5C1B4243" w14:textId="77777777" w:rsidR="006E7D7A" w:rsidRDefault="006E7D7A" w:rsidP="00062AE7"/>
                                <w:p w14:paraId="1CC9E599" w14:textId="77777777" w:rsidR="006E7D7A" w:rsidRDefault="006E7D7A"/>
                                <w:p w14:paraId="0879EF95" w14:textId="77777777" w:rsidR="006E7D7A" w:rsidRDefault="006E7D7A" w:rsidP="00062AE7"/>
                                <w:p w14:paraId="48E8E82B" w14:textId="77777777" w:rsidR="006E7D7A" w:rsidRDefault="006E7D7A"/>
                                <w:p w14:paraId="2A1F8693" w14:textId="77777777" w:rsidR="006E7D7A" w:rsidRDefault="006E7D7A" w:rsidP="00062AE7"/>
                                <w:p w14:paraId="167A7DC9" w14:textId="77777777" w:rsidR="006E7D7A" w:rsidRDefault="006E7D7A"/>
                                <w:p w14:paraId="74384D53" w14:textId="77777777" w:rsidR="006E7D7A" w:rsidRDefault="006E7D7A" w:rsidP="00062AE7"/>
                                <w:p w14:paraId="2EFB6A08" w14:textId="77777777" w:rsidR="006E7D7A" w:rsidRDefault="006E7D7A"/>
                                <w:p w14:paraId="76AACB5A" w14:textId="101C537D" w:rsidR="006E7D7A" w:rsidRDefault="006E7D7A" w:rsidP="00062AE7"/>
                                <w:p w14:paraId="1148439E" w14:textId="77777777" w:rsidR="006E7D7A" w:rsidRDefault="006E7D7A"/>
                                <w:p w14:paraId="1C56CB0F" w14:textId="77777777" w:rsidR="006E7D7A" w:rsidRDefault="006E7D7A" w:rsidP="00062AE7"/>
                                <w:p w14:paraId="48B8BCF0" w14:textId="77777777" w:rsidR="006E7D7A" w:rsidRDefault="006E7D7A"/>
                                <w:p w14:paraId="0631E358" w14:textId="101C537D" w:rsidR="006E7D7A" w:rsidRDefault="006E7D7A" w:rsidP="00062AE7"/>
                                <w:p w14:paraId="42EB5A4B" w14:textId="77777777" w:rsidR="006E7D7A" w:rsidRDefault="006E7D7A"/>
                                <w:p w14:paraId="0A88A084" w14:textId="77777777" w:rsidR="006E7D7A" w:rsidRDefault="006E7D7A" w:rsidP="00062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A3AA" id="Text Box 289" o:spid="_x0000_s1209" type="#_x0000_t202" style="position:absolute;left:0;text-align:left;margin-left:254.4pt;margin-top:1.3pt;width:27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bz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">
                      <v:textbox>
                        <w:txbxContent>
                          <w:p w14:paraId="5C1B4243" w14:textId="77777777" w:rsidR="006E7D7A" w:rsidRDefault="006E7D7A" w:rsidP="00062AE7"/>
                          <w:p w14:paraId="1CC9E599" w14:textId="77777777" w:rsidR="006E7D7A" w:rsidRDefault="006E7D7A"/>
                          <w:p w14:paraId="0879EF95" w14:textId="77777777" w:rsidR="006E7D7A" w:rsidRDefault="006E7D7A" w:rsidP="00062AE7"/>
                          <w:p w14:paraId="48E8E82B" w14:textId="77777777" w:rsidR="006E7D7A" w:rsidRDefault="006E7D7A"/>
                          <w:p w14:paraId="2A1F8693" w14:textId="77777777" w:rsidR="006E7D7A" w:rsidRDefault="006E7D7A" w:rsidP="00062AE7"/>
                          <w:p w14:paraId="167A7DC9" w14:textId="77777777" w:rsidR="006E7D7A" w:rsidRDefault="006E7D7A"/>
                          <w:p w14:paraId="74384D53" w14:textId="77777777" w:rsidR="006E7D7A" w:rsidRDefault="006E7D7A" w:rsidP="00062AE7"/>
                          <w:p w14:paraId="2EFB6A08" w14:textId="77777777" w:rsidR="006E7D7A" w:rsidRDefault="006E7D7A"/>
                          <w:p w14:paraId="76AACB5A" w14:textId="101C537D" w:rsidR="006E7D7A" w:rsidRDefault="006E7D7A" w:rsidP="00062AE7"/>
                          <w:p w14:paraId="1148439E" w14:textId="77777777" w:rsidR="006E7D7A" w:rsidRDefault="006E7D7A"/>
                          <w:p w14:paraId="1C56CB0F" w14:textId="77777777" w:rsidR="006E7D7A" w:rsidRDefault="006E7D7A" w:rsidP="00062AE7"/>
                          <w:p w14:paraId="48B8BCF0" w14:textId="77777777" w:rsidR="006E7D7A" w:rsidRDefault="006E7D7A"/>
                          <w:p w14:paraId="0631E358" w14:textId="101C537D" w:rsidR="006E7D7A" w:rsidRDefault="006E7D7A" w:rsidP="00062AE7"/>
                          <w:p w14:paraId="42EB5A4B" w14:textId="77777777" w:rsidR="006E7D7A" w:rsidRDefault="006E7D7A"/>
                          <w:p w14:paraId="0A88A084" w14:textId="77777777" w:rsidR="006E7D7A" w:rsidRDefault="006E7D7A" w:rsidP="00062AE7"/>
                        </w:txbxContent>
                      </v:textbox>
                    </v:shape>
                  </w:pict>
                </mc:Fallback>
              </mc:AlternateContent>
            </w:r>
            <w:r w:rsidR="00062AE7" w:rsidRPr="00787196">
              <w:rPr>
                <w:rFonts w:eastAsia="Calibri" w:cs="Arial"/>
                <w:bCs/>
                <w:sz w:val="18"/>
                <w:szCs w:val="18"/>
                <w:lang w:eastAsia="en-US" w:bidi="ar-SA"/>
              </w:rPr>
              <w:t>1=Need for one-unit prosthesis</w:t>
            </w:r>
          </w:p>
          <w:p w14:paraId="6E0CAD8D"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2=Need for multi-unit prosthesis</w:t>
            </w:r>
          </w:p>
          <w:p w14:paraId="776AE9A3"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3=Need for a combination of 1&amp; 3</w:t>
            </w:r>
          </w:p>
          <w:p w14:paraId="5B921650"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4=Need for full prosthesis</w:t>
            </w:r>
          </w:p>
          <w:p w14:paraId="0E6EDDE5" w14:textId="77777777" w:rsidR="00062AE7" w:rsidRPr="00787196" w:rsidRDefault="00062AE7" w:rsidP="0005130B">
            <w:pPr>
              <w:tabs>
                <w:tab w:val="left" w:pos="284"/>
                <w:tab w:val="left" w:pos="6480"/>
              </w:tabs>
              <w:spacing w:before="0" w:after="0"/>
              <w:rPr>
                <w:rFonts w:eastAsia="Calibri" w:cs="Arial"/>
                <w:bCs/>
                <w:sz w:val="18"/>
                <w:szCs w:val="18"/>
                <w:lang w:eastAsia="en-US" w:bidi="ar-SA"/>
              </w:rPr>
            </w:pPr>
            <w:r w:rsidRPr="00787196">
              <w:rPr>
                <w:rFonts w:eastAsia="Calibri" w:cs="Arial"/>
                <w:bCs/>
                <w:sz w:val="18"/>
                <w:szCs w:val="18"/>
                <w:lang w:eastAsia="en-US" w:bidi="ar-SA"/>
              </w:rPr>
              <w:t>9=not recorded</w:t>
            </w:r>
          </w:p>
          <w:p w14:paraId="4E436412" w14:textId="77777777" w:rsidR="00062AE7" w:rsidRPr="00787196" w:rsidRDefault="00062AE7" w:rsidP="0005130B">
            <w:pPr>
              <w:tabs>
                <w:tab w:val="left" w:pos="284"/>
                <w:tab w:val="left" w:pos="6480"/>
              </w:tabs>
              <w:spacing w:before="0" w:after="0" w:line="240" w:lineRule="auto"/>
              <w:rPr>
                <w:rFonts w:eastAsia="Calibri" w:cs="Arial"/>
                <w:b/>
                <w:sz w:val="18"/>
                <w:szCs w:val="18"/>
                <w:lang w:eastAsia="en-US" w:bidi="ar-SA"/>
              </w:rPr>
            </w:pPr>
          </w:p>
        </w:tc>
      </w:tr>
      <w:tr w:rsidR="00062AE7" w:rsidRPr="00787196" w14:paraId="0F599BB7" w14:textId="77777777" w:rsidTr="000E696C">
        <w:trPr>
          <w:trHeight w:val="2062"/>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ED67472" w14:textId="77777777" w:rsidR="00020A78" w:rsidRPr="00787196" w:rsidRDefault="00020A78" w:rsidP="0005130B">
            <w:pPr>
              <w:pStyle w:val="ListParagraph"/>
              <w:tabs>
                <w:tab w:val="left" w:pos="284"/>
                <w:tab w:val="left" w:pos="6480"/>
              </w:tabs>
              <w:spacing w:before="0" w:after="0" w:line="240" w:lineRule="auto"/>
              <w:ind w:left="360"/>
              <w:rPr>
                <w:rFonts w:eastAsia="Calibri" w:cs="Arial"/>
                <w:b/>
                <w:sz w:val="18"/>
                <w:szCs w:val="18"/>
                <w:lang w:eastAsia="en-US" w:bidi="ar-SA"/>
              </w:rPr>
            </w:pPr>
          </w:p>
          <w:p w14:paraId="543E0491" w14:textId="77777777" w:rsidR="00062AE7" w:rsidRPr="00787196" w:rsidRDefault="00062AE7" w:rsidP="00C119A5">
            <w:pPr>
              <w:pStyle w:val="ListParagraph"/>
              <w:numPr>
                <w:ilvl w:val="0"/>
                <w:numId w:val="15"/>
              </w:numPr>
              <w:tabs>
                <w:tab w:val="left" w:pos="284"/>
                <w:tab w:val="left" w:pos="6480"/>
              </w:tabs>
              <w:spacing w:before="0" w:after="0" w:line="240" w:lineRule="auto"/>
              <w:rPr>
                <w:rFonts w:eastAsia="Calibri" w:cs="Arial"/>
                <w:b/>
                <w:sz w:val="18"/>
                <w:szCs w:val="18"/>
                <w:lang w:eastAsia="en-US" w:bidi="ar-SA"/>
              </w:rPr>
            </w:pPr>
            <w:r w:rsidRPr="00787196">
              <w:rPr>
                <w:rFonts w:eastAsia="Calibri" w:cs="Arial"/>
                <w:b/>
                <w:sz w:val="18"/>
                <w:szCs w:val="18"/>
                <w:lang w:eastAsia="en-US" w:bidi="ar-SA"/>
              </w:rPr>
              <w:t>TEETH EXTRACTION HISTORY</w:t>
            </w:r>
          </w:p>
          <w:p w14:paraId="6A420FA1" w14:textId="77777777" w:rsidR="00062AE7" w:rsidRPr="00787196" w:rsidRDefault="00062AE7" w:rsidP="0005130B">
            <w:pPr>
              <w:pStyle w:val="ListParagraph"/>
              <w:tabs>
                <w:tab w:val="left" w:pos="284"/>
                <w:tab w:val="left" w:pos="6480"/>
              </w:tabs>
              <w:spacing w:before="0" w:after="0" w:line="240" w:lineRule="auto"/>
              <w:ind w:left="360"/>
              <w:rPr>
                <w:rFonts w:eastAsia="Calibri" w:cs="Arial"/>
                <w:b/>
                <w:sz w:val="18"/>
                <w:szCs w:val="18"/>
                <w:lang w:eastAsia="en-US" w:bidi="ar-SA"/>
              </w:rPr>
            </w:pPr>
          </w:p>
          <w:p w14:paraId="035E9558" w14:textId="77777777" w:rsidR="00062AE7" w:rsidRPr="00787196" w:rsidRDefault="00062AE7" w:rsidP="0005130B">
            <w:pPr>
              <w:tabs>
                <w:tab w:val="left" w:pos="284"/>
                <w:tab w:val="left" w:pos="6480"/>
              </w:tabs>
              <w:spacing w:before="0" w:after="0"/>
              <w:contextualSpacing/>
              <w:rPr>
                <w:rFonts w:eastAsia="Calibri" w:cs="Arial"/>
                <w:bCs/>
                <w:sz w:val="18"/>
                <w:szCs w:val="18"/>
                <w:lang w:eastAsia="en-US" w:bidi="ar-SA"/>
              </w:rPr>
            </w:pPr>
            <w:r w:rsidRPr="00787196">
              <w:rPr>
                <w:rFonts w:eastAsia="Calibri" w:cs="Arial"/>
                <w:bCs/>
                <w:sz w:val="18"/>
                <w:szCs w:val="18"/>
                <w:lang w:eastAsia="en-US" w:bidi="ar-SA"/>
              </w:rPr>
              <w:t>0 = &lt;1 year</w:t>
            </w:r>
          </w:p>
          <w:p w14:paraId="5E93FC20" w14:textId="77777777" w:rsidR="00062AE7" w:rsidRPr="00787196" w:rsidRDefault="00062AE7" w:rsidP="0005130B">
            <w:pPr>
              <w:tabs>
                <w:tab w:val="left" w:pos="284"/>
                <w:tab w:val="left" w:pos="6480"/>
              </w:tabs>
              <w:spacing w:before="0" w:after="0"/>
              <w:contextualSpacing/>
              <w:rPr>
                <w:rFonts w:eastAsia="Calibri" w:cs="Arial"/>
                <w:bCs/>
                <w:sz w:val="18"/>
                <w:szCs w:val="18"/>
                <w:lang w:eastAsia="en-US" w:bidi="ar-SA"/>
              </w:rPr>
            </w:pPr>
            <w:r w:rsidRPr="00787196">
              <w:rPr>
                <w:rFonts w:eastAsia="Calibri" w:cs="Arial"/>
                <w:bCs/>
                <w:sz w:val="18"/>
                <w:szCs w:val="18"/>
                <w:lang w:eastAsia="en-US" w:bidi="ar-SA"/>
              </w:rPr>
              <w:t>1= &lt;5 years</w:t>
            </w:r>
          </w:p>
          <w:p w14:paraId="6E3C4970" w14:textId="77777777" w:rsidR="00062AE7" w:rsidRPr="00787196" w:rsidRDefault="00062AE7" w:rsidP="0005130B">
            <w:pPr>
              <w:tabs>
                <w:tab w:val="left" w:pos="284"/>
                <w:tab w:val="left" w:pos="6480"/>
              </w:tabs>
              <w:spacing w:before="0" w:after="0"/>
              <w:contextualSpacing/>
              <w:rPr>
                <w:rFonts w:eastAsia="Calibri" w:cs="Arial"/>
                <w:bCs/>
                <w:sz w:val="18"/>
                <w:szCs w:val="18"/>
                <w:lang w:eastAsia="en-US" w:bidi="ar-SA"/>
              </w:rPr>
            </w:pPr>
            <w:r w:rsidRPr="00787196">
              <w:rPr>
                <w:rFonts w:eastAsia="Calibri" w:cs="Arial"/>
                <w:bCs/>
                <w:sz w:val="18"/>
                <w:szCs w:val="18"/>
                <w:lang w:eastAsia="en-US" w:bidi="ar-SA"/>
              </w:rPr>
              <w:t>2= &lt;10 years</w:t>
            </w:r>
          </w:p>
          <w:p w14:paraId="19DA4A85" w14:textId="77777777" w:rsidR="00062AE7" w:rsidRPr="00787196" w:rsidRDefault="00062AE7" w:rsidP="0005130B">
            <w:pPr>
              <w:tabs>
                <w:tab w:val="left" w:pos="284"/>
                <w:tab w:val="left" w:pos="6480"/>
              </w:tabs>
              <w:spacing w:before="0" w:after="0"/>
              <w:contextualSpacing/>
              <w:rPr>
                <w:rFonts w:eastAsia="Calibri" w:cs="Arial"/>
                <w:bCs/>
                <w:sz w:val="18"/>
                <w:szCs w:val="18"/>
                <w:lang w:eastAsia="en-US" w:bidi="ar-SA"/>
              </w:rPr>
            </w:pPr>
            <w:r w:rsidRPr="00787196">
              <w:rPr>
                <w:rFonts w:eastAsia="Calibri" w:cs="Arial"/>
                <w:bCs/>
                <w:sz w:val="18"/>
                <w:szCs w:val="18"/>
                <w:lang w:eastAsia="en-US" w:bidi="ar-SA"/>
              </w:rPr>
              <w:t>3= &gt;10 years</w:t>
            </w:r>
          </w:p>
          <w:p w14:paraId="66699B78" w14:textId="77777777" w:rsidR="00062AE7" w:rsidRPr="00787196" w:rsidRDefault="00062AE7" w:rsidP="0005130B">
            <w:pPr>
              <w:tabs>
                <w:tab w:val="left" w:pos="284"/>
                <w:tab w:val="left" w:pos="6480"/>
              </w:tabs>
              <w:spacing w:before="0" w:after="0"/>
              <w:contextualSpacing/>
              <w:rPr>
                <w:rFonts w:eastAsia="Calibri" w:cs="Arial"/>
                <w:bCs/>
                <w:sz w:val="18"/>
                <w:szCs w:val="18"/>
                <w:lang w:eastAsia="en-US" w:bidi="ar-SA"/>
              </w:rPr>
            </w:pPr>
            <w:r w:rsidRPr="00787196">
              <w:rPr>
                <w:rFonts w:eastAsia="Calibri" w:cs="Arial"/>
                <w:bCs/>
                <w:sz w:val="18"/>
                <w:szCs w:val="18"/>
                <w:lang w:eastAsia="en-US" w:bidi="ar-SA"/>
              </w:rPr>
              <w:t>4= Tooth loss due to other reasons</w:t>
            </w:r>
          </w:p>
          <w:p w14:paraId="7C7E2B8C" w14:textId="77777777" w:rsidR="00020A78" w:rsidRPr="00787196" w:rsidRDefault="00020A78" w:rsidP="0005130B">
            <w:pPr>
              <w:tabs>
                <w:tab w:val="left" w:pos="284"/>
                <w:tab w:val="left" w:pos="6480"/>
              </w:tabs>
              <w:spacing w:before="0" w:after="0"/>
              <w:contextualSpacing/>
              <w:rPr>
                <w:rFonts w:eastAsia="Calibri" w:cs="Arial"/>
                <w:b/>
                <w:sz w:val="18"/>
                <w:szCs w:val="18"/>
                <w:lang w:eastAsia="en-US" w:bidi="ar-SA"/>
              </w:rPr>
            </w:pPr>
          </w:p>
        </w:tc>
      </w:tr>
      <w:tr w:rsidR="00062AE7" w:rsidRPr="00787196" w14:paraId="484886BF" w14:textId="77777777" w:rsidTr="000E696C">
        <w:trPr>
          <w:trHeight w:val="262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BB766B6" w14:textId="77777777" w:rsidR="00020A78" w:rsidRPr="00787196" w:rsidRDefault="00020A78" w:rsidP="0005130B">
            <w:pPr>
              <w:tabs>
                <w:tab w:val="left" w:pos="284"/>
                <w:tab w:val="left" w:pos="6480"/>
              </w:tabs>
              <w:spacing w:before="0" w:after="0" w:line="240" w:lineRule="auto"/>
              <w:rPr>
                <w:rFonts w:eastAsia="Calibri" w:cs="Arial"/>
                <w:b/>
                <w:sz w:val="18"/>
                <w:szCs w:val="18"/>
                <w:lang w:eastAsia="en-US" w:bidi="ar-SA"/>
              </w:rPr>
            </w:pPr>
          </w:p>
          <w:p w14:paraId="45EC4CE7" w14:textId="77777777" w:rsidR="00062AE7" w:rsidRPr="00787196" w:rsidRDefault="00062AE7" w:rsidP="00C119A5">
            <w:pPr>
              <w:pStyle w:val="ListParagraph"/>
              <w:numPr>
                <w:ilvl w:val="0"/>
                <w:numId w:val="15"/>
              </w:numPr>
              <w:tabs>
                <w:tab w:val="left" w:pos="284"/>
                <w:tab w:val="left" w:pos="6480"/>
              </w:tabs>
              <w:spacing w:before="0" w:after="0"/>
              <w:rPr>
                <w:rFonts w:eastAsia="Calibri" w:cs="Arial"/>
                <w:b/>
                <w:sz w:val="18"/>
                <w:szCs w:val="18"/>
                <w:lang w:eastAsia="en-US" w:bidi="ar-SA"/>
              </w:rPr>
            </w:pPr>
            <w:r w:rsidRPr="00787196">
              <w:rPr>
                <w:rFonts w:eastAsia="Calibri" w:cs="Arial"/>
                <w:b/>
                <w:sz w:val="18"/>
                <w:szCs w:val="18"/>
                <w:lang w:eastAsia="en-US" w:bidi="ar-SA"/>
              </w:rPr>
              <w:t xml:space="preserve">DENTURE </w:t>
            </w:r>
            <w:r w:rsidR="00020A78" w:rsidRPr="00787196">
              <w:rPr>
                <w:rFonts w:eastAsia="Calibri"/>
                <w:b/>
                <w:sz w:val="18"/>
                <w:szCs w:val="18"/>
                <w:lang w:eastAsia="en-US"/>
              </w:rPr>
              <w:t xml:space="preserve">LEVEL OF </w:t>
            </w:r>
            <w:r w:rsidRPr="00787196">
              <w:rPr>
                <w:rFonts w:eastAsia="Calibri" w:cs="Arial"/>
                <w:b/>
                <w:sz w:val="18"/>
                <w:szCs w:val="18"/>
                <w:lang w:eastAsia="en-US" w:bidi="ar-SA"/>
              </w:rPr>
              <w:t>EXPERTISE</w:t>
            </w:r>
          </w:p>
          <w:p w14:paraId="154F0C44" w14:textId="77777777" w:rsidR="00062AE7" w:rsidRPr="00787196" w:rsidRDefault="00062AE7" w:rsidP="0005130B">
            <w:pPr>
              <w:pStyle w:val="ListParagraph"/>
              <w:tabs>
                <w:tab w:val="left" w:pos="284"/>
                <w:tab w:val="left" w:pos="6480"/>
              </w:tabs>
              <w:spacing w:before="0" w:after="0"/>
              <w:ind w:left="360"/>
              <w:rPr>
                <w:rFonts w:eastAsia="Calibri" w:cs="Arial"/>
                <w:b/>
                <w:sz w:val="18"/>
                <w:szCs w:val="18"/>
                <w:lang w:eastAsia="en-US" w:bidi="ar-SA"/>
              </w:rPr>
            </w:pPr>
          </w:p>
          <w:p w14:paraId="14965815" w14:textId="77777777" w:rsidR="00062AE7" w:rsidRPr="00787196" w:rsidRDefault="00062AE7" w:rsidP="0005130B">
            <w:pPr>
              <w:tabs>
                <w:tab w:val="left" w:pos="284"/>
                <w:tab w:val="left" w:pos="6480"/>
              </w:tabs>
              <w:spacing w:before="0" w:after="0"/>
              <w:contextualSpacing/>
              <w:rPr>
                <w:rFonts w:eastAsia="Calibri" w:cs="Arial"/>
                <w:b/>
                <w:sz w:val="18"/>
                <w:szCs w:val="18"/>
                <w:lang w:eastAsia="en-US" w:bidi="ar-SA"/>
              </w:rPr>
            </w:pPr>
            <w:r w:rsidRPr="00787196">
              <w:rPr>
                <w:rFonts w:eastAsia="Calibri" w:cs="Arial"/>
                <w:b/>
                <w:sz w:val="18"/>
                <w:szCs w:val="18"/>
                <w:lang w:eastAsia="en-US" w:bidi="ar-SA"/>
              </w:rPr>
              <w:t>Who makes your denture?</w:t>
            </w:r>
          </w:p>
          <w:p w14:paraId="66BDED20" w14:textId="77777777" w:rsidR="00062AE7" w:rsidRPr="00787196" w:rsidRDefault="00062AE7" w:rsidP="0005130B">
            <w:pPr>
              <w:tabs>
                <w:tab w:val="left" w:pos="284"/>
                <w:tab w:val="left" w:pos="6480"/>
              </w:tabs>
              <w:spacing w:before="0" w:after="0"/>
              <w:contextualSpacing/>
              <w:rPr>
                <w:rFonts w:eastAsia="Calibri" w:cs="Arial"/>
                <w:b/>
                <w:sz w:val="18"/>
                <w:szCs w:val="18"/>
                <w:lang w:eastAsia="en-US" w:bidi="ar-SA"/>
              </w:rPr>
            </w:pPr>
          </w:p>
          <w:p w14:paraId="1F3EDA1D" w14:textId="77777777" w:rsidR="00062AE7" w:rsidRPr="00787196" w:rsidRDefault="00062AE7" w:rsidP="0005130B">
            <w:pPr>
              <w:tabs>
                <w:tab w:val="left" w:pos="284"/>
                <w:tab w:val="left" w:pos="6480"/>
              </w:tabs>
              <w:spacing w:before="0" w:after="0"/>
              <w:contextualSpacing/>
              <w:rPr>
                <w:rFonts w:eastAsia="Calibri" w:cs="Arial"/>
                <w:b/>
                <w:sz w:val="18"/>
                <w:szCs w:val="18"/>
                <w:lang w:eastAsia="en-US" w:bidi="ar-SA"/>
              </w:rPr>
            </w:pPr>
            <w:r w:rsidRPr="00787196">
              <w:rPr>
                <w:rFonts w:eastAsia="Calibri" w:cs="Arial"/>
                <w:b/>
                <w:sz w:val="18"/>
                <w:szCs w:val="18"/>
                <w:lang w:eastAsia="en-US" w:bidi="ar-SA"/>
              </w:rPr>
              <w:t xml:space="preserve">Student    </w:t>
            </w:r>
            <w:r w:rsidR="007D6B7F" w:rsidRPr="00787196">
              <w:rPr>
                <w:rFonts w:eastAsia="Calibri" w:cs="Arial"/>
                <w:b/>
                <w:sz w:val="18"/>
                <w:szCs w:val="18"/>
                <w:lang w:eastAsia="en-US" w:bidi="ar-SA"/>
              </w:rPr>
              <w:fldChar w:fldCharType="begin">
                <w:ffData>
                  <w:name w:val="Check10"/>
                  <w:enabled/>
                  <w:calcOnExit w:val="0"/>
                  <w:checkBox>
                    <w:sizeAuto/>
                    <w:default w:val="0"/>
                  </w:checkBox>
                </w:ffData>
              </w:fldChar>
            </w:r>
            <w:bookmarkStart w:id="814" w:name="Check10"/>
            <w:r w:rsidRPr="00787196">
              <w:rPr>
                <w:rFonts w:eastAsia="Calibri" w:cs="Arial"/>
                <w:b/>
                <w:sz w:val="18"/>
                <w:szCs w:val="18"/>
                <w:lang w:eastAsia="en-US" w:bidi="ar-SA"/>
              </w:rPr>
              <w:instrText xml:space="preserve"> FORMCHECKBOX </w:instrText>
            </w:r>
            <w:r w:rsidR="006E7D7A">
              <w:rPr>
                <w:rFonts w:eastAsia="Calibri" w:cs="Arial"/>
                <w:b/>
                <w:sz w:val="18"/>
                <w:szCs w:val="18"/>
                <w:lang w:eastAsia="en-US" w:bidi="ar-SA"/>
              </w:rPr>
            </w:r>
            <w:r w:rsidR="006E7D7A">
              <w:rPr>
                <w:rFonts w:eastAsia="Calibri" w:cs="Arial"/>
                <w:b/>
                <w:sz w:val="18"/>
                <w:szCs w:val="18"/>
                <w:lang w:eastAsia="en-US" w:bidi="ar-SA"/>
              </w:rPr>
              <w:fldChar w:fldCharType="separate"/>
            </w:r>
            <w:r w:rsidR="007D6B7F" w:rsidRPr="00787196">
              <w:rPr>
                <w:rFonts w:eastAsia="Calibri" w:cs="Arial"/>
                <w:b/>
                <w:sz w:val="18"/>
                <w:szCs w:val="18"/>
                <w:lang w:eastAsia="en-US" w:bidi="ar-SA"/>
              </w:rPr>
              <w:fldChar w:fldCharType="end"/>
            </w:r>
            <w:bookmarkEnd w:id="814"/>
            <w:r w:rsidRPr="00787196">
              <w:rPr>
                <w:rFonts w:eastAsia="Calibri" w:cs="Arial"/>
                <w:b/>
                <w:sz w:val="18"/>
                <w:szCs w:val="18"/>
                <w:lang w:eastAsia="en-US" w:bidi="ar-SA"/>
              </w:rPr>
              <w:t xml:space="preserve"> </w:t>
            </w:r>
          </w:p>
          <w:p w14:paraId="49425D2E" w14:textId="77777777" w:rsidR="00062AE7" w:rsidRPr="00787196" w:rsidRDefault="00062AE7" w:rsidP="0005130B">
            <w:pPr>
              <w:tabs>
                <w:tab w:val="left" w:pos="284"/>
                <w:tab w:val="left" w:pos="6480"/>
              </w:tabs>
              <w:spacing w:before="0" w:after="0"/>
              <w:contextualSpacing/>
              <w:rPr>
                <w:rFonts w:eastAsia="Calibri" w:cs="Arial"/>
                <w:b/>
                <w:sz w:val="18"/>
                <w:szCs w:val="18"/>
                <w:lang w:eastAsia="en-US" w:bidi="ar-SA"/>
              </w:rPr>
            </w:pPr>
          </w:p>
          <w:p w14:paraId="11FD94F7" w14:textId="77777777" w:rsidR="00062AE7" w:rsidRPr="00787196" w:rsidRDefault="00062AE7" w:rsidP="0005130B">
            <w:pPr>
              <w:tabs>
                <w:tab w:val="left" w:pos="284"/>
                <w:tab w:val="left" w:pos="6480"/>
              </w:tabs>
              <w:spacing w:before="0" w:after="0"/>
              <w:contextualSpacing/>
              <w:rPr>
                <w:rFonts w:eastAsia="Calibri" w:cs="Arial"/>
                <w:b/>
                <w:sz w:val="18"/>
                <w:szCs w:val="18"/>
                <w:lang w:eastAsia="en-US" w:bidi="ar-SA"/>
              </w:rPr>
            </w:pPr>
            <w:r w:rsidRPr="00787196">
              <w:rPr>
                <w:rFonts w:eastAsia="Calibri" w:cs="Arial"/>
                <w:b/>
                <w:sz w:val="18"/>
                <w:szCs w:val="18"/>
                <w:lang w:eastAsia="en-US" w:bidi="ar-SA"/>
              </w:rPr>
              <w:t xml:space="preserve">Staff          </w:t>
            </w:r>
            <w:r w:rsidR="007D6B7F" w:rsidRPr="00787196">
              <w:rPr>
                <w:rFonts w:eastAsia="Calibri" w:cs="Arial"/>
                <w:b/>
                <w:sz w:val="18"/>
                <w:szCs w:val="18"/>
                <w:lang w:eastAsia="en-US" w:bidi="ar-SA"/>
              </w:rPr>
              <w:fldChar w:fldCharType="begin">
                <w:ffData>
                  <w:name w:val="Check11"/>
                  <w:enabled/>
                  <w:calcOnExit w:val="0"/>
                  <w:checkBox>
                    <w:sizeAuto/>
                    <w:default w:val="0"/>
                  </w:checkBox>
                </w:ffData>
              </w:fldChar>
            </w:r>
            <w:bookmarkStart w:id="815" w:name="Check11"/>
            <w:r w:rsidRPr="00787196">
              <w:rPr>
                <w:rFonts w:eastAsia="Calibri" w:cs="Arial"/>
                <w:b/>
                <w:sz w:val="18"/>
                <w:szCs w:val="18"/>
                <w:lang w:eastAsia="en-US" w:bidi="ar-SA"/>
              </w:rPr>
              <w:instrText xml:space="preserve"> FORMCHECKBOX </w:instrText>
            </w:r>
            <w:r w:rsidR="006E7D7A">
              <w:rPr>
                <w:rFonts w:eastAsia="Calibri" w:cs="Arial"/>
                <w:b/>
                <w:sz w:val="18"/>
                <w:szCs w:val="18"/>
                <w:lang w:eastAsia="en-US" w:bidi="ar-SA"/>
              </w:rPr>
            </w:r>
            <w:r w:rsidR="006E7D7A">
              <w:rPr>
                <w:rFonts w:eastAsia="Calibri" w:cs="Arial"/>
                <w:b/>
                <w:sz w:val="18"/>
                <w:szCs w:val="18"/>
                <w:lang w:eastAsia="en-US" w:bidi="ar-SA"/>
              </w:rPr>
              <w:fldChar w:fldCharType="separate"/>
            </w:r>
            <w:r w:rsidR="007D6B7F" w:rsidRPr="00787196">
              <w:rPr>
                <w:rFonts w:eastAsia="Calibri" w:cs="Arial"/>
                <w:b/>
                <w:sz w:val="18"/>
                <w:szCs w:val="18"/>
                <w:lang w:eastAsia="en-US" w:bidi="ar-SA"/>
              </w:rPr>
              <w:fldChar w:fldCharType="end"/>
            </w:r>
            <w:bookmarkEnd w:id="815"/>
          </w:p>
        </w:tc>
      </w:tr>
    </w:tbl>
    <w:p w14:paraId="21661E03" w14:textId="77777777" w:rsidR="00CC6EEE" w:rsidRPr="00787196" w:rsidRDefault="00CC6EEE" w:rsidP="00CC6EEE"/>
    <w:p w14:paraId="72266385" w14:textId="77777777" w:rsidR="00725DA9" w:rsidRPr="00787196" w:rsidRDefault="00CC6EEE" w:rsidP="00392278">
      <w:pPr>
        <w:pStyle w:val="Heading2"/>
        <w:numPr>
          <w:ilvl w:val="0"/>
          <w:numId w:val="0"/>
        </w:numPr>
        <w:ind w:left="576"/>
        <w:jc w:val="center"/>
      </w:pPr>
      <w:r w:rsidRPr="00787196">
        <w:br w:type="page"/>
      </w:r>
      <w:bookmarkStart w:id="816" w:name="_Toc456211217"/>
    </w:p>
    <w:tbl>
      <w:tblPr>
        <w:tblpPr w:leftFromText="180" w:rightFromText="180" w:vertAnchor="page" w:horzAnchor="margin" w:tblpY="2021"/>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7"/>
      </w:tblGrid>
      <w:tr w:rsidR="00725DA9" w:rsidRPr="00787196" w14:paraId="20EF3E26" w14:textId="77777777" w:rsidTr="00913843">
        <w:trPr>
          <w:trHeight w:val="7701"/>
        </w:trPr>
        <w:tc>
          <w:tcPr>
            <w:tcW w:w="7937" w:type="dxa"/>
            <w:tcBorders>
              <w:top w:val="single" w:sz="4" w:space="0" w:color="auto"/>
              <w:left w:val="single" w:sz="4" w:space="0" w:color="auto"/>
              <w:bottom w:val="single" w:sz="4" w:space="0" w:color="auto"/>
              <w:right w:val="single" w:sz="4" w:space="0" w:color="auto"/>
            </w:tcBorders>
            <w:shd w:val="clear" w:color="auto" w:fill="auto"/>
            <w:hideMark/>
          </w:tcPr>
          <w:p w14:paraId="54FAFFC3" w14:textId="77777777" w:rsidR="00725DA9" w:rsidRPr="00787196" w:rsidRDefault="00725DA9" w:rsidP="00725DA9">
            <w:pPr>
              <w:spacing w:before="0" w:after="0" w:line="240" w:lineRule="auto"/>
              <w:rPr>
                <w:rFonts w:eastAsia="Calibri" w:cs="Arial"/>
                <w:b/>
                <w:color w:val="4F81BD"/>
                <w:sz w:val="36"/>
                <w:szCs w:val="36"/>
                <w:lang w:eastAsia="en-US" w:bidi="ar-SA"/>
              </w:rPr>
            </w:pPr>
          </w:p>
          <w:p w14:paraId="3C32B155" w14:textId="77777777" w:rsidR="00725DA9" w:rsidRPr="00787196" w:rsidRDefault="00725DA9" w:rsidP="00725DA9">
            <w:pPr>
              <w:bidi/>
              <w:spacing w:before="0" w:after="0" w:line="240" w:lineRule="auto"/>
              <w:jc w:val="center"/>
              <w:rPr>
                <w:rFonts w:eastAsia="Calibri" w:cs="Arial"/>
                <w:bCs/>
                <w:color w:val="4F81BD"/>
                <w:sz w:val="20"/>
                <w:lang w:eastAsia="en-US" w:bidi="ar-SA"/>
              </w:rPr>
            </w:pPr>
            <w:r w:rsidRPr="00787196">
              <w:rPr>
                <w:rFonts w:eastAsia="Calibri" w:cs="Arial"/>
                <w:bCs/>
                <w:color w:val="4F81BD"/>
                <w:sz w:val="20"/>
                <w:lang w:eastAsia="en-US" w:bidi="ar-SA"/>
              </w:rPr>
              <w:t>DO COPING STRATEGIES OF PATIENTS DETERMINE DENTURE SUCCESS TO IMPROVE ORAL HEALTH RELATED QUALITY OF LIFE?</w:t>
            </w:r>
          </w:p>
          <w:p w14:paraId="7FC9ED61" w14:textId="77777777" w:rsidR="00725DA9" w:rsidRPr="00787196" w:rsidRDefault="00725DA9" w:rsidP="00725DA9">
            <w:pPr>
              <w:spacing w:before="0" w:after="0" w:line="240" w:lineRule="auto"/>
              <w:jc w:val="center"/>
              <w:rPr>
                <w:rFonts w:eastAsia="Calibri" w:cs="Arial"/>
                <w:bCs/>
                <w:color w:val="08B6C8"/>
                <w:sz w:val="20"/>
                <w:lang w:eastAsia="en-US" w:bidi="ar-SA"/>
              </w:rPr>
            </w:pPr>
          </w:p>
          <w:p w14:paraId="00A4AAD6" w14:textId="77777777" w:rsidR="00725DA9" w:rsidRPr="00787196" w:rsidRDefault="00725DA9" w:rsidP="00725DA9">
            <w:pPr>
              <w:spacing w:before="0" w:after="0" w:line="240" w:lineRule="auto"/>
              <w:jc w:val="center"/>
              <w:rPr>
                <w:rFonts w:eastAsia="Calibri"/>
                <w:bCs/>
                <w:color w:val="08B6C8"/>
                <w:sz w:val="20"/>
                <w:lang w:eastAsia="en-US"/>
              </w:rPr>
            </w:pPr>
          </w:p>
          <w:p w14:paraId="483A8C50" w14:textId="7378FEA9" w:rsidR="00725DA9" w:rsidRPr="00787196" w:rsidRDefault="00913843" w:rsidP="00725DA9">
            <w:pPr>
              <w:spacing w:before="0" w:after="0" w:line="240" w:lineRule="auto"/>
              <w:jc w:val="center"/>
              <w:rPr>
                <w:rFonts w:eastAsia="Calibri" w:cs="Arial"/>
                <w:bCs/>
                <w:sz w:val="20"/>
                <w:lang w:eastAsia="en-US" w:bidi="ar-SA"/>
              </w:rPr>
            </w:pPr>
            <w:r w:rsidRPr="00787196">
              <w:rPr>
                <w:rFonts w:eastAsia="Calibri" w:cs="Arial"/>
                <w:bCs/>
                <w:sz w:val="20"/>
                <w:lang w:eastAsia="en-US" w:bidi="ar-SA"/>
              </w:rPr>
              <w:t xml:space="preserve">APPENDIX E </w:t>
            </w:r>
            <w:r w:rsidR="00725DA9" w:rsidRPr="00787196">
              <w:rPr>
                <w:rFonts w:eastAsia="Calibri" w:cs="Arial"/>
                <w:bCs/>
                <w:sz w:val="20"/>
                <w:lang w:eastAsia="en-US" w:bidi="ar-SA"/>
              </w:rPr>
              <w:t>QUESTIONNAIRE BOOKLET</w:t>
            </w:r>
          </w:p>
          <w:p w14:paraId="0925B83A" w14:textId="77777777" w:rsidR="00725DA9" w:rsidRPr="00787196" w:rsidRDefault="00725DA9" w:rsidP="00725DA9">
            <w:pPr>
              <w:spacing w:before="0" w:after="0" w:line="240" w:lineRule="auto"/>
              <w:jc w:val="center"/>
              <w:rPr>
                <w:rFonts w:eastAsia="Calibri" w:cs="Arial"/>
                <w:sz w:val="22"/>
                <w:lang w:eastAsia="en-US" w:bidi="ar-SA"/>
              </w:rPr>
            </w:pPr>
          </w:p>
          <w:p w14:paraId="07193BE0" w14:textId="77777777" w:rsidR="00725DA9" w:rsidRPr="00787196" w:rsidRDefault="00725DA9" w:rsidP="00725DA9">
            <w:pPr>
              <w:spacing w:before="0" w:after="0" w:line="240" w:lineRule="auto"/>
              <w:jc w:val="center"/>
              <w:rPr>
                <w:rFonts w:eastAsia="Calibri" w:cs="Arial"/>
                <w:sz w:val="16"/>
                <w:szCs w:val="18"/>
                <w:lang w:eastAsia="en-US" w:bidi="ar-SA"/>
              </w:rPr>
            </w:pPr>
          </w:p>
          <w:p w14:paraId="6E1AB9B1"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cs="Arial"/>
                <w:noProof/>
                <w:sz w:val="20"/>
              </w:rPr>
              <w:drawing>
                <wp:inline distT="0" distB="0" distL="0" distR="0" wp14:anchorId="152FEBBC" wp14:editId="17DA07FF">
                  <wp:extent cx="1638300" cy="138986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ures.gif"/>
                          <pic:cNvPicPr/>
                        </pic:nvPicPr>
                        <pic:blipFill>
                          <a:blip r:embed="rId47">
                            <a:extLst>
                              <a:ext uri="{28A0092B-C50C-407E-A947-70E740481C1C}">
                                <a14:useLocalDpi xmlns:a14="http://schemas.microsoft.com/office/drawing/2010/main" val="0"/>
                              </a:ext>
                            </a:extLst>
                          </a:blip>
                          <a:stretch>
                            <a:fillRect/>
                          </a:stretch>
                        </pic:blipFill>
                        <pic:spPr>
                          <a:xfrm>
                            <a:off x="0" y="0"/>
                            <a:ext cx="1647144" cy="1397372"/>
                          </a:xfrm>
                          <a:prstGeom prst="rect">
                            <a:avLst/>
                          </a:prstGeom>
                        </pic:spPr>
                      </pic:pic>
                    </a:graphicData>
                  </a:graphic>
                </wp:inline>
              </w:drawing>
            </w:r>
          </w:p>
          <w:p w14:paraId="1252B9C8" w14:textId="77777777" w:rsidR="00725DA9" w:rsidRPr="00787196" w:rsidRDefault="00725DA9" w:rsidP="00725DA9">
            <w:pPr>
              <w:spacing w:before="0" w:after="0" w:line="240" w:lineRule="auto"/>
              <w:jc w:val="center"/>
              <w:rPr>
                <w:rFonts w:eastAsia="Calibri" w:cs="Arial"/>
                <w:sz w:val="14"/>
                <w:szCs w:val="16"/>
                <w:lang w:eastAsia="en-US" w:bidi="ar-SA"/>
              </w:rPr>
            </w:pPr>
          </w:p>
          <w:p w14:paraId="0AADF883" w14:textId="77777777" w:rsidR="00725DA9" w:rsidRPr="00787196" w:rsidRDefault="00725DA9" w:rsidP="00725DA9">
            <w:pPr>
              <w:spacing w:before="0" w:after="0" w:line="240" w:lineRule="auto"/>
              <w:jc w:val="center"/>
              <w:rPr>
                <w:rFonts w:eastAsia="Calibri" w:cs="Arial"/>
                <w:sz w:val="14"/>
                <w:szCs w:val="16"/>
                <w:lang w:eastAsia="en-US" w:bidi="ar-SA"/>
              </w:rPr>
            </w:pPr>
          </w:p>
          <w:p w14:paraId="4F237EAC" w14:textId="77777777" w:rsidR="00725DA9" w:rsidRPr="00787196" w:rsidRDefault="00725DA9" w:rsidP="00725DA9">
            <w:pPr>
              <w:spacing w:before="0" w:after="0" w:line="240" w:lineRule="auto"/>
              <w:jc w:val="center"/>
              <w:rPr>
                <w:rFonts w:eastAsia="Calibri" w:cs="Arial"/>
                <w:sz w:val="16"/>
                <w:szCs w:val="18"/>
                <w:lang w:eastAsia="en-US" w:bidi="ar-SA"/>
              </w:rPr>
            </w:pPr>
          </w:p>
          <w:p w14:paraId="1FBF7875"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Karthik Periyakaruppiah</w:t>
            </w:r>
          </w:p>
          <w:p w14:paraId="0F7CF088"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Email: k.periyakaruppiah@sheffield.ac.uk; kart777@gmail.com</w:t>
            </w:r>
          </w:p>
          <w:p w14:paraId="47244495"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Tel: +44(0)114 2717885</w:t>
            </w:r>
          </w:p>
          <w:p w14:paraId="5567E44A" w14:textId="77777777" w:rsidR="00725DA9" w:rsidRPr="00787196" w:rsidRDefault="00725DA9" w:rsidP="00725DA9">
            <w:pPr>
              <w:spacing w:before="0" w:after="0" w:line="240" w:lineRule="auto"/>
              <w:jc w:val="center"/>
              <w:rPr>
                <w:rFonts w:eastAsia="Calibri" w:cs="Arial"/>
                <w:sz w:val="16"/>
                <w:szCs w:val="18"/>
                <w:lang w:eastAsia="en-US" w:bidi="ar-SA"/>
              </w:rPr>
            </w:pPr>
          </w:p>
          <w:p w14:paraId="0DADD4C3"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b/>
                <w:bCs/>
                <w:sz w:val="16"/>
                <w:szCs w:val="18"/>
                <w:lang w:eastAsia="en-US" w:bidi="ar-SA"/>
              </w:rPr>
              <w:t>Supervisors:</w:t>
            </w:r>
            <w:r w:rsidRPr="00787196">
              <w:rPr>
                <w:rFonts w:eastAsia="Calibri" w:cs="Arial"/>
                <w:sz w:val="16"/>
                <w:szCs w:val="18"/>
                <w:lang w:eastAsia="en-US" w:bidi="ar-SA"/>
              </w:rPr>
              <w:t xml:space="preserve"> Professor Peter.G.Robinson &amp; Dr Sarah Baker</w:t>
            </w:r>
          </w:p>
          <w:p w14:paraId="60C7E334"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Unit of Dental Public Health</w:t>
            </w:r>
          </w:p>
          <w:p w14:paraId="6F641BBA"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School of Clinical Dentistry</w:t>
            </w:r>
          </w:p>
          <w:p w14:paraId="6E88A69A"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Claremont Crescent</w:t>
            </w:r>
          </w:p>
          <w:p w14:paraId="0B6C61DA"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Sheffield, United Kingdom (S10 2TA)</w:t>
            </w:r>
          </w:p>
          <w:p w14:paraId="57F29E11" w14:textId="77777777" w:rsidR="00725DA9" w:rsidRPr="00787196" w:rsidRDefault="00725DA9" w:rsidP="00725DA9">
            <w:pPr>
              <w:spacing w:before="0" w:after="0" w:line="240" w:lineRule="auto"/>
              <w:jc w:val="center"/>
              <w:rPr>
                <w:rFonts w:eastAsia="Calibri" w:cs="Arial"/>
                <w:sz w:val="16"/>
                <w:szCs w:val="18"/>
                <w:lang w:eastAsia="en-US" w:bidi="ar-SA"/>
              </w:rPr>
            </w:pPr>
          </w:p>
          <w:p w14:paraId="11A6E305"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b/>
                <w:bCs/>
                <w:sz w:val="16"/>
                <w:szCs w:val="18"/>
                <w:lang w:eastAsia="en-US" w:bidi="ar-SA"/>
              </w:rPr>
              <w:t>Research co-ordinator:</w:t>
            </w:r>
            <w:r w:rsidRPr="00787196">
              <w:rPr>
                <w:rFonts w:eastAsia="Calibri" w:cs="Arial"/>
                <w:sz w:val="16"/>
                <w:szCs w:val="18"/>
                <w:lang w:eastAsia="en-US" w:bidi="ar-SA"/>
              </w:rPr>
              <w:t xml:space="preserve"> Professor T.V Padmanaban</w:t>
            </w:r>
          </w:p>
          <w:p w14:paraId="4A5FFF6C"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Department of Prosthodontics</w:t>
            </w:r>
          </w:p>
          <w:p w14:paraId="5FD6AC72"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Sri Ramachandra Dental College and Hospital</w:t>
            </w:r>
          </w:p>
          <w:p w14:paraId="49A285ED" w14:textId="77777777" w:rsidR="00725DA9" w:rsidRPr="00787196" w:rsidRDefault="00725DA9" w:rsidP="00725DA9">
            <w:pPr>
              <w:spacing w:before="0" w:after="0" w:line="240" w:lineRule="auto"/>
              <w:jc w:val="center"/>
              <w:rPr>
                <w:rFonts w:eastAsia="Calibri" w:cs="Arial"/>
                <w:sz w:val="16"/>
                <w:szCs w:val="18"/>
                <w:lang w:eastAsia="en-US" w:bidi="ar-SA"/>
              </w:rPr>
            </w:pPr>
            <w:r w:rsidRPr="00787196">
              <w:rPr>
                <w:rFonts w:eastAsia="Calibri" w:cs="Arial"/>
                <w:sz w:val="16"/>
                <w:szCs w:val="18"/>
                <w:lang w:eastAsia="en-US" w:bidi="ar-SA"/>
              </w:rPr>
              <w:t>Porur, Chennai, Tamilnadu, India – 600116</w:t>
            </w:r>
          </w:p>
          <w:p w14:paraId="7AF8C03E" w14:textId="77777777" w:rsidR="00725DA9" w:rsidRPr="00787196" w:rsidRDefault="00725DA9" w:rsidP="00725DA9">
            <w:pPr>
              <w:spacing w:before="0" w:after="0" w:line="240" w:lineRule="auto"/>
              <w:rPr>
                <w:rFonts w:eastAsia="Calibri" w:cs="Arial"/>
                <w:sz w:val="16"/>
                <w:szCs w:val="18"/>
                <w:lang w:eastAsia="en-US" w:bidi="ar-SA"/>
              </w:rPr>
            </w:pPr>
          </w:p>
          <w:p w14:paraId="33F400FC" w14:textId="77777777" w:rsidR="00725DA9" w:rsidRPr="00787196" w:rsidRDefault="00725DA9" w:rsidP="00725DA9">
            <w:pPr>
              <w:spacing w:before="0" w:after="0" w:line="240" w:lineRule="auto"/>
              <w:rPr>
                <w:rFonts w:eastAsia="Calibri"/>
                <w:sz w:val="16"/>
                <w:szCs w:val="18"/>
                <w:lang w:eastAsia="en-US"/>
              </w:rPr>
            </w:pPr>
          </w:p>
          <w:p w14:paraId="32D6A421" w14:textId="77777777" w:rsidR="00725DA9" w:rsidRPr="00787196" w:rsidRDefault="00725DA9" w:rsidP="00725DA9">
            <w:pPr>
              <w:spacing w:before="0" w:after="0" w:line="240" w:lineRule="auto"/>
              <w:rPr>
                <w:rFonts w:eastAsia="Calibri" w:cs="Arial"/>
                <w:sz w:val="14"/>
                <w:szCs w:val="16"/>
                <w:lang w:eastAsia="en-US" w:bidi="ar-SA"/>
              </w:rPr>
            </w:pPr>
            <w:r w:rsidRPr="00787196">
              <w:rPr>
                <w:rFonts w:eastAsia="Calibri" w:cs="Arial"/>
                <w:sz w:val="14"/>
                <w:szCs w:val="16"/>
                <w:lang w:eastAsia="en-US" w:bidi="ar-SA"/>
              </w:rPr>
              <w:t xml:space="preserve">Thank you for agreeing to help us with this study. </w:t>
            </w:r>
          </w:p>
          <w:p w14:paraId="6F6364FF" w14:textId="77777777" w:rsidR="00725DA9" w:rsidRPr="00787196" w:rsidRDefault="00725DA9" w:rsidP="00725DA9">
            <w:pPr>
              <w:spacing w:before="0" w:after="0" w:line="240" w:lineRule="auto"/>
              <w:rPr>
                <w:rFonts w:eastAsia="Calibri" w:cs="Arial"/>
                <w:sz w:val="14"/>
                <w:szCs w:val="16"/>
                <w:lang w:eastAsia="en-US" w:bidi="ar-SA"/>
              </w:rPr>
            </w:pPr>
          </w:p>
          <w:p w14:paraId="532670C3" w14:textId="77777777" w:rsidR="00725DA9" w:rsidRPr="00787196" w:rsidRDefault="00725DA9" w:rsidP="00725DA9">
            <w:pPr>
              <w:spacing w:before="0" w:after="0" w:line="240" w:lineRule="auto"/>
              <w:rPr>
                <w:rFonts w:eastAsia="Calibri" w:cs="Arial"/>
                <w:sz w:val="14"/>
                <w:szCs w:val="16"/>
                <w:lang w:eastAsia="en-US" w:bidi="ar-SA"/>
              </w:rPr>
            </w:pPr>
            <w:r w:rsidRPr="00787196">
              <w:rPr>
                <w:rFonts w:eastAsia="Calibri" w:cs="Arial"/>
                <w:sz w:val="14"/>
                <w:szCs w:val="16"/>
                <w:lang w:eastAsia="en-US" w:bidi="ar-SA"/>
              </w:rPr>
              <w:t>This study aims to identify the factors that influence denture success in adults.</w:t>
            </w:r>
          </w:p>
          <w:p w14:paraId="04C0D8DD" w14:textId="77777777" w:rsidR="00725DA9" w:rsidRPr="00787196" w:rsidRDefault="00725DA9" w:rsidP="00725DA9">
            <w:pPr>
              <w:spacing w:before="0" w:after="0" w:line="240" w:lineRule="auto"/>
              <w:rPr>
                <w:rFonts w:eastAsia="Calibri" w:cs="Arial"/>
                <w:sz w:val="14"/>
                <w:szCs w:val="16"/>
                <w:lang w:eastAsia="en-US" w:bidi="ar-SA"/>
              </w:rPr>
            </w:pPr>
            <w:r w:rsidRPr="00787196">
              <w:rPr>
                <w:rFonts w:eastAsia="Calibri" w:cs="Arial"/>
                <w:sz w:val="14"/>
                <w:szCs w:val="16"/>
                <w:lang w:eastAsia="en-US" w:bidi="ar-SA"/>
              </w:rPr>
              <w:t xml:space="preserve">This study is being done so that there will be more understanding about the problems adults encounter because of their missing teeth, dentures. </w:t>
            </w:r>
          </w:p>
          <w:p w14:paraId="754C3899" w14:textId="77777777" w:rsidR="00725DA9" w:rsidRPr="00787196" w:rsidRDefault="00725DA9" w:rsidP="00725DA9">
            <w:pPr>
              <w:spacing w:before="0" w:after="0" w:line="240" w:lineRule="auto"/>
              <w:rPr>
                <w:rFonts w:eastAsia="Calibri" w:cs="Arial"/>
                <w:sz w:val="14"/>
                <w:szCs w:val="16"/>
                <w:lang w:eastAsia="en-US" w:bidi="ar-SA"/>
              </w:rPr>
            </w:pPr>
          </w:p>
          <w:p w14:paraId="08244D22" w14:textId="77777777" w:rsidR="00725DA9" w:rsidRPr="00787196" w:rsidRDefault="00725DA9" w:rsidP="00725DA9">
            <w:pPr>
              <w:spacing w:before="0" w:after="0" w:line="240" w:lineRule="auto"/>
              <w:rPr>
                <w:rFonts w:eastAsia="Calibri" w:cs="Arial"/>
                <w:sz w:val="14"/>
                <w:szCs w:val="16"/>
                <w:lang w:eastAsia="en-US" w:bidi="ar-SA"/>
              </w:rPr>
            </w:pPr>
            <w:r w:rsidRPr="00787196">
              <w:rPr>
                <w:rFonts w:eastAsia="Calibri" w:cs="Arial"/>
                <w:sz w:val="14"/>
                <w:szCs w:val="16"/>
                <w:lang w:eastAsia="en-US" w:bidi="ar-SA"/>
              </w:rPr>
              <w:t>By answering the questions you will help us learn more about individual’s experience of their missing teeth.</w:t>
            </w:r>
          </w:p>
          <w:p w14:paraId="73AFB517" w14:textId="77777777" w:rsidR="00725DA9" w:rsidRPr="00787196" w:rsidRDefault="00725DA9" w:rsidP="00725DA9">
            <w:pPr>
              <w:spacing w:before="0" w:after="0" w:line="240" w:lineRule="auto"/>
              <w:rPr>
                <w:rFonts w:eastAsia="Calibri" w:cs="Arial"/>
                <w:sz w:val="14"/>
                <w:szCs w:val="16"/>
                <w:u w:val="single"/>
                <w:lang w:eastAsia="en-US" w:bidi="ar-SA"/>
              </w:rPr>
            </w:pPr>
          </w:p>
          <w:p w14:paraId="36C325D9" w14:textId="77777777" w:rsidR="00725DA9" w:rsidRPr="00787196" w:rsidRDefault="00725DA9" w:rsidP="00725DA9">
            <w:pPr>
              <w:spacing w:before="0" w:after="0" w:line="240" w:lineRule="auto"/>
              <w:rPr>
                <w:rFonts w:eastAsia="Calibri" w:cs="Arial"/>
                <w:b/>
                <w:bCs/>
                <w:sz w:val="14"/>
                <w:szCs w:val="16"/>
                <w:u w:val="single"/>
                <w:lang w:eastAsia="en-US" w:bidi="ar-SA"/>
              </w:rPr>
            </w:pPr>
          </w:p>
          <w:p w14:paraId="778FBE49" w14:textId="77777777" w:rsidR="00725DA9" w:rsidRPr="00787196" w:rsidRDefault="00725DA9" w:rsidP="00725DA9">
            <w:pPr>
              <w:spacing w:before="0" w:after="0" w:line="240" w:lineRule="auto"/>
              <w:rPr>
                <w:rFonts w:eastAsia="Calibri" w:cs="Arial"/>
                <w:b/>
                <w:bCs/>
                <w:sz w:val="18"/>
                <w:szCs w:val="20"/>
                <w:u w:val="single"/>
                <w:lang w:eastAsia="en-US" w:bidi="ar-SA"/>
              </w:rPr>
            </w:pPr>
          </w:p>
          <w:p w14:paraId="4447BB36" w14:textId="77777777" w:rsidR="00725DA9" w:rsidRPr="00787196" w:rsidRDefault="00725DA9" w:rsidP="00725DA9">
            <w:pPr>
              <w:spacing w:before="0" w:after="0" w:line="240" w:lineRule="auto"/>
              <w:rPr>
                <w:rFonts w:eastAsia="Calibri" w:cs="Arial"/>
                <w:b/>
                <w:bCs/>
                <w:sz w:val="18"/>
                <w:szCs w:val="20"/>
                <w:u w:val="single"/>
                <w:lang w:eastAsia="en-US" w:bidi="ar-SA"/>
              </w:rPr>
            </w:pPr>
          </w:p>
          <w:p w14:paraId="486974F7" w14:textId="77777777" w:rsidR="00913843" w:rsidRPr="00787196" w:rsidRDefault="00913843" w:rsidP="00725DA9">
            <w:pPr>
              <w:spacing w:before="0" w:after="0" w:line="240" w:lineRule="auto"/>
              <w:rPr>
                <w:rFonts w:eastAsia="Calibri" w:cs="Arial"/>
                <w:b/>
                <w:bCs/>
                <w:sz w:val="18"/>
                <w:szCs w:val="20"/>
                <w:u w:val="single"/>
                <w:lang w:eastAsia="en-US" w:bidi="ar-SA"/>
              </w:rPr>
            </w:pPr>
          </w:p>
          <w:p w14:paraId="224D88EE" w14:textId="77777777" w:rsidR="00913843" w:rsidRPr="00787196" w:rsidRDefault="00913843" w:rsidP="00725DA9">
            <w:pPr>
              <w:spacing w:before="0" w:after="0" w:line="240" w:lineRule="auto"/>
              <w:rPr>
                <w:rFonts w:eastAsia="Calibri" w:cs="Arial"/>
                <w:b/>
                <w:bCs/>
                <w:sz w:val="18"/>
                <w:szCs w:val="20"/>
                <w:u w:val="single"/>
                <w:lang w:eastAsia="en-US" w:bidi="ar-SA"/>
              </w:rPr>
            </w:pPr>
          </w:p>
          <w:p w14:paraId="0EE5E854" w14:textId="77777777" w:rsidR="00725DA9" w:rsidRPr="00787196" w:rsidRDefault="00725DA9" w:rsidP="00725DA9">
            <w:pPr>
              <w:spacing w:before="0" w:after="0" w:line="240" w:lineRule="auto"/>
              <w:rPr>
                <w:rFonts w:eastAsia="Calibri" w:cs="Arial"/>
                <w:b/>
                <w:bCs/>
                <w:sz w:val="18"/>
                <w:szCs w:val="20"/>
                <w:u w:val="single"/>
                <w:lang w:eastAsia="en-US" w:bidi="ar-SA"/>
              </w:rPr>
            </w:pPr>
          </w:p>
          <w:p w14:paraId="6083E928" w14:textId="77777777" w:rsidR="00725DA9" w:rsidRPr="00787196" w:rsidRDefault="00725DA9" w:rsidP="00725DA9">
            <w:pPr>
              <w:spacing w:before="0" w:after="0" w:line="240" w:lineRule="auto"/>
              <w:rPr>
                <w:rFonts w:eastAsia="Calibri"/>
                <w:b/>
                <w:bCs/>
                <w:sz w:val="18"/>
                <w:szCs w:val="20"/>
                <w:u w:val="single"/>
                <w:lang w:eastAsia="en-US"/>
              </w:rPr>
            </w:pPr>
            <w:r w:rsidRPr="00787196">
              <w:rPr>
                <w:rFonts w:eastAsia="Calibri" w:cs="Arial"/>
                <w:b/>
                <w:bCs/>
                <w:sz w:val="18"/>
                <w:szCs w:val="20"/>
                <w:u w:val="single"/>
                <w:lang w:eastAsia="en-US" w:bidi="ar-SA"/>
              </w:rPr>
              <w:t>Please remember:</w:t>
            </w:r>
          </w:p>
          <w:p w14:paraId="3F94A070" w14:textId="77777777" w:rsidR="00725DA9" w:rsidRPr="00787196" w:rsidRDefault="00725DA9" w:rsidP="00725DA9">
            <w:pPr>
              <w:spacing w:before="0" w:after="0" w:line="240" w:lineRule="auto"/>
              <w:rPr>
                <w:rFonts w:eastAsia="Calibri"/>
                <w:b/>
                <w:bCs/>
                <w:sz w:val="18"/>
                <w:szCs w:val="20"/>
                <w:u w:val="single"/>
                <w:lang w:eastAsia="en-US"/>
              </w:rPr>
            </w:pPr>
          </w:p>
          <w:p w14:paraId="43DBBAA9" w14:textId="77777777" w:rsidR="00725DA9" w:rsidRPr="00787196" w:rsidRDefault="00725DA9" w:rsidP="00725DA9">
            <w:pPr>
              <w:numPr>
                <w:ilvl w:val="0"/>
                <w:numId w:val="16"/>
              </w:numPr>
              <w:spacing w:before="0" w:after="0" w:line="240" w:lineRule="auto"/>
              <w:rPr>
                <w:rFonts w:eastAsia="Calibri" w:cs="Arial"/>
                <w:sz w:val="16"/>
                <w:szCs w:val="18"/>
                <w:lang w:eastAsia="en-US" w:bidi="ar-SA"/>
              </w:rPr>
            </w:pPr>
            <w:r w:rsidRPr="00787196">
              <w:rPr>
                <w:rFonts w:eastAsia="Calibri" w:cs="Arial"/>
                <w:b/>
                <w:bCs/>
                <w:sz w:val="16"/>
                <w:szCs w:val="18"/>
                <w:u w:val="single"/>
                <w:lang w:eastAsia="en-US" w:bidi="ar-SA"/>
              </w:rPr>
              <w:t>Please don’t write your name</w:t>
            </w:r>
            <w:r w:rsidRPr="00787196">
              <w:rPr>
                <w:rFonts w:eastAsia="Calibri" w:cs="Arial"/>
                <w:sz w:val="16"/>
                <w:szCs w:val="18"/>
                <w:lang w:eastAsia="en-US" w:bidi="ar-SA"/>
              </w:rPr>
              <w:t xml:space="preserve"> on the questionnaire.</w:t>
            </w:r>
          </w:p>
          <w:p w14:paraId="5F94B44B" w14:textId="77777777" w:rsidR="00725DA9" w:rsidRPr="00787196" w:rsidRDefault="00725DA9" w:rsidP="00725DA9">
            <w:pPr>
              <w:numPr>
                <w:ilvl w:val="0"/>
                <w:numId w:val="16"/>
              </w:numPr>
              <w:spacing w:before="0" w:after="0" w:line="240" w:lineRule="auto"/>
              <w:rPr>
                <w:rFonts w:eastAsia="Calibri" w:cs="Arial"/>
                <w:sz w:val="16"/>
                <w:szCs w:val="18"/>
                <w:lang w:eastAsia="en-US" w:bidi="ar-SA"/>
              </w:rPr>
            </w:pPr>
            <w:r w:rsidRPr="00787196">
              <w:rPr>
                <w:rFonts w:eastAsia="Calibri" w:cs="Arial"/>
                <w:sz w:val="16"/>
                <w:szCs w:val="18"/>
                <w:lang w:eastAsia="en-US" w:bidi="ar-SA"/>
              </w:rPr>
              <w:t xml:space="preserve">This is </w:t>
            </w:r>
            <w:r w:rsidRPr="00787196">
              <w:rPr>
                <w:rFonts w:eastAsia="Calibri" w:cs="Arial"/>
                <w:sz w:val="16"/>
                <w:szCs w:val="18"/>
                <w:u w:val="single"/>
                <w:lang w:eastAsia="en-US" w:bidi="ar-SA"/>
              </w:rPr>
              <w:t>not a test</w:t>
            </w:r>
            <w:r w:rsidRPr="00787196">
              <w:rPr>
                <w:rFonts w:eastAsia="Calibri" w:cs="Arial"/>
                <w:sz w:val="16"/>
                <w:szCs w:val="18"/>
                <w:lang w:eastAsia="en-US" w:bidi="ar-SA"/>
              </w:rPr>
              <w:t xml:space="preserve"> and there are no right and wrong answers.</w:t>
            </w:r>
          </w:p>
          <w:p w14:paraId="66D58559" w14:textId="77777777" w:rsidR="00725DA9" w:rsidRPr="00787196" w:rsidRDefault="00725DA9" w:rsidP="00725DA9">
            <w:pPr>
              <w:numPr>
                <w:ilvl w:val="0"/>
                <w:numId w:val="16"/>
              </w:numPr>
              <w:spacing w:before="0" w:after="0" w:line="240" w:lineRule="auto"/>
              <w:rPr>
                <w:rFonts w:eastAsia="Calibri" w:cs="Arial"/>
                <w:sz w:val="16"/>
                <w:szCs w:val="18"/>
                <w:lang w:eastAsia="en-US" w:bidi="ar-SA"/>
              </w:rPr>
            </w:pPr>
            <w:r w:rsidRPr="00787196">
              <w:rPr>
                <w:rFonts w:eastAsia="Calibri" w:cs="Arial"/>
                <w:b/>
                <w:bCs/>
                <w:sz w:val="16"/>
                <w:szCs w:val="18"/>
                <w:u w:val="single"/>
                <w:lang w:eastAsia="en-US" w:bidi="ar-SA"/>
              </w:rPr>
              <w:t>Please don’t talk to anyone</w:t>
            </w:r>
            <w:r w:rsidRPr="00787196">
              <w:rPr>
                <w:rFonts w:eastAsia="Calibri" w:cs="Arial"/>
                <w:sz w:val="16"/>
                <w:szCs w:val="18"/>
                <w:lang w:eastAsia="en-US" w:bidi="ar-SA"/>
              </w:rPr>
              <w:t xml:space="preserve"> about the questions when you are answering them.</w:t>
            </w:r>
          </w:p>
          <w:p w14:paraId="28699AF3" w14:textId="77777777" w:rsidR="00725DA9" w:rsidRPr="00787196" w:rsidRDefault="00725DA9" w:rsidP="00725DA9">
            <w:pPr>
              <w:numPr>
                <w:ilvl w:val="0"/>
                <w:numId w:val="16"/>
              </w:numPr>
              <w:spacing w:before="0" w:after="0" w:line="240" w:lineRule="auto"/>
              <w:rPr>
                <w:rFonts w:eastAsia="Calibri" w:cs="Arial"/>
                <w:sz w:val="16"/>
                <w:szCs w:val="18"/>
                <w:lang w:eastAsia="en-US" w:bidi="ar-SA"/>
              </w:rPr>
            </w:pPr>
            <w:r w:rsidRPr="00787196">
              <w:rPr>
                <w:rFonts w:eastAsia="Calibri" w:cs="Arial"/>
                <w:sz w:val="16"/>
                <w:szCs w:val="18"/>
                <w:lang w:eastAsia="en-US" w:bidi="ar-SA"/>
              </w:rPr>
              <w:t>Read each question carefully and think about the experiences you have had in the past few weeks.</w:t>
            </w:r>
          </w:p>
          <w:p w14:paraId="766A1A2A" w14:textId="77777777" w:rsidR="00725DA9" w:rsidRPr="00787196" w:rsidRDefault="00725DA9" w:rsidP="00725DA9">
            <w:pPr>
              <w:numPr>
                <w:ilvl w:val="0"/>
                <w:numId w:val="16"/>
              </w:numPr>
              <w:spacing w:before="0" w:after="0" w:line="240" w:lineRule="auto"/>
              <w:rPr>
                <w:rFonts w:eastAsia="Calibri" w:cs="Arial"/>
                <w:sz w:val="16"/>
                <w:szCs w:val="18"/>
                <w:lang w:eastAsia="en-US" w:bidi="ar-SA"/>
              </w:rPr>
            </w:pPr>
            <w:r w:rsidRPr="00787196">
              <w:rPr>
                <w:rFonts w:eastAsia="Calibri" w:cs="Arial"/>
                <w:sz w:val="16"/>
                <w:szCs w:val="18"/>
                <w:lang w:eastAsia="en-US" w:bidi="ar-SA"/>
              </w:rPr>
              <w:t xml:space="preserve">When answering the questions </w:t>
            </w:r>
            <w:r w:rsidRPr="00787196">
              <w:rPr>
                <w:rFonts w:eastAsia="Calibri" w:cs="Arial"/>
                <w:b/>
                <w:bCs/>
                <w:sz w:val="16"/>
                <w:szCs w:val="18"/>
                <w:u w:val="single"/>
                <w:lang w:eastAsia="en-US" w:bidi="ar-SA"/>
              </w:rPr>
              <w:t>think about your daily life</w:t>
            </w:r>
            <w:r w:rsidRPr="00787196">
              <w:rPr>
                <w:rFonts w:eastAsia="Calibri" w:cs="Arial"/>
                <w:sz w:val="16"/>
                <w:szCs w:val="18"/>
                <w:lang w:eastAsia="en-US" w:bidi="ar-SA"/>
              </w:rPr>
              <w:t xml:space="preserve"> and answer as honestly as you can.</w:t>
            </w:r>
          </w:p>
          <w:p w14:paraId="5F7ABECF" w14:textId="77777777" w:rsidR="00725DA9" w:rsidRPr="00787196" w:rsidRDefault="00725DA9" w:rsidP="00725DA9">
            <w:pPr>
              <w:numPr>
                <w:ilvl w:val="0"/>
                <w:numId w:val="16"/>
              </w:numPr>
              <w:autoSpaceDE w:val="0"/>
              <w:autoSpaceDN w:val="0"/>
              <w:adjustRightInd w:val="0"/>
              <w:spacing w:before="0" w:after="0" w:line="240" w:lineRule="auto"/>
              <w:rPr>
                <w:rFonts w:eastAsia="Calibri" w:cs="Arial"/>
                <w:b/>
                <w:sz w:val="18"/>
                <w:szCs w:val="20"/>
                <w:lang w:eastAsia="en-US" w:bidi="ar-SA"/>
              </w:rPr>
            </w:pPr>
            <w:r w:rsidRPr="00787196">
              <w:rPr>
                <w:rFonts w:eastAsia="Calibri" w:cs="Arial"/>
                <w:sz w:val="16"/>
                <w:szCs w:val="18"/>
                <w:lang w:eastAsia="en-US" w:bidi="ar-SA"/>
              </w:rPr>
              <w:t xml:space="preserve">Please put a </w:t>
            </w:r>
            <w:r w:rsidRPr="00787196">
              <w:rPr>
                <w:rFonts w:eastAsia="Calibri" w:cs="Arial"/>
                <w:sz w:val="16"/>
                <w:szCs w:val="18"/>
                <w:lang w:eastAsia="en-US" w:bidi="ar-SA"/>
              </w:rPr>
              <w:sym w:font="Wingdings" w:char="F0FE"/>
            </w:r>
            <w:r w:rsidRPr="00787196">
              <w:rPr>
                <w:rFonts w:eastAsia="Calibri" w:cs="Arial"/>
                <w:sz w:val="16"/>
                <w:szCs w:val="18"/>
                <w:lang w:eastAsia="en-US" w:bidi="ar-SA"/>
              </w:rPr>
              <w:t xml:space="preserve"> in the box next to your answers</w:t>
            </w:r>
            <w:r w:rsidRPr="00787196">
              <w:rPr>
                <w:rFonts w:eastAsia="Calibri" w:cs="Arial"/>
                <w:sz w:val="18"/>
                <w:szCs w:val="20"/>
                <w:lang w:eastAsia="en-US" w:bidi="ar-SA"/>
              </w:rPr>
              <w:t>.</w:t>
            </w:r>
          </w:p>
          <w:p w14:paraId="02F6E74A" w14:textId="77777777" w:rsidR="00725DA9" w:rsidRPr="00787196" w:rsidRDefault="00725DA9" w:rsidP="00725DA9">
            <w:pPr>
              <w:autoSpaceDE w:val="0"/>
              <w:autoSpaceDN w:val="0"/>
              <w:adjustRightInd w:val="0"/>
              <w:spacing w:before="0" w:after="0" w:line="240" w:lineRule="auto"/>
              <w:ind w:left="720"/>
              <w:rPr>
                <w:rFonts w:eastAsia="Calibri" w:cs="Arial"/>
                <w:b/>
                <w:lang w:eastAsia="en-US" w:bidi="ar-SA"/>
              </w:rPr>
            </w:pPr>
          </w:p>
          <w:p w14:paraId="5513BE6D" w14:textId="77777777" w:rsidR="00725DA9" w:rsidRPr="00787196" w:rsidRDefault="00725DA9" w:rsidP="00725DA9">
            <w:pPr>
              <w:autoSpaceDE w:val="0"/>
              <w:autoSpaceDN w:val="0"/>
              <w:adjustRightInd w:val="0"/>
              <w:spacing w:before="0" w:after="0" w:line="240" w:lineRule="auto"/>
              <w:ind w:left="720"/>
              <w:rPr>
                <w:rFonts w:eastAsia="Calibri" w:cs="Arial"/>
                <w:b/>
                <w:szCs w:val="24"/>
                <w:lang w:eastAsia="en-US" w:bidi="ar-SA"/>
              </w:rPr>
            </w:pPr>
          </w:p>
          <w:p w14:paraId="717D2C72" w14:textId="77777777" w:rsidR="00725DA9" w:rsidRPr="00787196" w:rsidRDefault="00725DA9" w:rsidP="00725DA9">
            <w:pPr>
              <w:autoSpaceDE w:val="0"/>
              <w:autoSpaceDN w:val="0"/>
              <w:adjustRightInd w:val="0"/>
              <w:spacing w:before="0" w:after="0" w:line="240" w:lineRule="auto"/>
              <w:ind w:left="720"/>
              <w:rPr>
                <w:rFonts w:eastAsia="Calibri" w:cs="Arial"/>
                <w:b/>
                <w:szCs w:val="24"/>
                <w:lang w:eastAsia="en-US" w:bidi="ar-SA"/>
              </w:rPr>
            </w:pPr>
          </w:p>
          <w:p w14:paraId="6A1F01E1" w14:textId="77777777" w:rsidR="00725DA9" w:rsidRPr="00787196" w:rsidRDefault="00725DA9" w:rsidP="00725DA9">
            <w:pPr>
              <w:autoSpaceDE w:val="0"/>
              <w:autoSpaceDN w:val="0"/>
              <w:adjustRightInd w:val="0"/>
              <w:spacing w:before="0" w:after="0" w:line="240" w:lineRule="auto"/>
              <w:ind w:left="720"/>
              <w:rPr>
                <w:rFonts w:eastAsia="Calibri" w:cs="Arial"/>
                <w:b/>
                <w:szCs w:val="24"/>
                <w:lang w:eastAsia="en-US" w:bidi="ar-SA"/>
              </w:rPr>
            </w:pPr>
          </w:p>
          <w:p w14:paraId="2731414C" w14:textId="77777777" w:rsidR="00725DA9" w:rsidRPr="00787196" w:rsidRDefault="00725DA9" w:rsidP="00725DA9">
            <w:pPr>
              <w:autoSpaceDE w:val="0"/>
              <w:autoSpaceDN w:val="0"/>
              <w:adjustRightInd w:val="0"/>
              <w:spacing w:before="0" w:after="0" w:line="240" w:lineRule="auto"/>
              <w:rPr>
                <w:rFonts w:eastAsia="Calibri" w:cs="Arial"/>
                <w:b/>
                <w:szCs w:val="24"/>
                <w:lang w:eastAsia="en-US" w:bidi="ar-SA"/>
              </w:rPr>
            </w:pPr>
          </w:p>
          <w:p w14:paraId="28E268B2" w14:textId="77777777" w:rsidR="00725DA9" w:rsidRPr="00787196" w:rsidRDefault="00725DA9" w:rsidP="00725DA9">
            <w:pPr>
              <w:autoSpaceDE w:val="0"/>
              <w:autoSpaceDN w:val="0"/>
              <w:adjustRightInd w:val="0"/>
              <w:spacing w:before="0" w:after="0" w:line="240" w:lineRule="auto"/>
              <w:rPr>
                <w:rFonts w:eastAsia="Calibri" w:cs="Arial"/>
                <w:b/>
                <w:szCs w:val="24"/>
                <w:lang w:eastAsia="en-US" w:bidi="ar-SA"/>
              </w:rPr>
            </w:pPr>
          </w:p>
          <w:p w14:paraId="10D7381A" w14:textId="77777777" w:rsidR="00725DA9" w:rsidRPr="00787196" w:rsidRDefault="00725DA9" w:rsidP="00725DA9">
            <w:pPr>
              <w:autoSpaceDE w:val="0"/>
              <w:autoSpaceDN w:val="0"/>
              <w:adjustRightInd w:val="0"/>
              <w:spacing w:before="0" w:after="0" w:line="240" w:lineRule="auto"/>
              <w:rPr>
                <w:rFonts w:eastAsia="Calibri" w:cs="Arial"/>
                <w:b/>
                <w:szCs w:val="24"/>
                <w:lang w:eastAsia="en-US" w:bidi="ar-SA"/>
              </w:rPr>
            </w:pPr>
          </w:p>
          <w:p w14:paraId="27A2C326" w14:textId="77777777" w:rsidR="00725DA9" w:rsidRPr="00787196" w:rsidRDefault="00725DA9" w:rsidP="00725DA9">
            <w:pPr>
              <w:autoSpaceDE w:val="0"/>
              <w:autoSpaceDN w:val="0"/>
              <w:adjustRightInd w:val="0"/>
              <w:spacing w:before="0" w:after="0" w:line="240" w:lineRule="auto"/>
              <w:rPr>
                <w:rFonts w:eastAsia="Calibri" w:cs="Arial"/>
                <w:b/>
                <w:iCs/>
                <w:szCs w:val="32"/>
                <w:lang w:eastAsia="en-US" w:bidi="ar-SA"/>
              </w:rPr>
            </w:pPr>
            <w:r w:rsidRPr="00787196">
              <w:rPr>
                <w:noProof/>
              </w:rPr>
              <mc:AlternateContent>
                <mc:Choice Requires="wps">
                  <w:drawing>
                    <wp:anchor distT="0" distB="0" distL="114300" distR="114300" simplePos="0" relativeHeight="251725312" behindDoc="0" locked="0" layoutInCell="1" allowOverlap="1" wp14:anchorId="6186EBBF" wp14:editId="2271860C">
                      <wp:simplePos x="0" y="0"/>
                      <wp:positionH relativeFrom="column">
                        <wp:posOffset>3323590</wp:posOffset>
                      </wp:positionH>
                      <wp:positionV relativeFrom="paragraph">
                        <wp:posOffset>29845</wp:posOffset>
                      </wp:positionV>
                      <wp:extent cx="1622425" cy="285750"/>
                      <wp:effectExtent l="0" t="0" r="15875" b="19050"/>
                      <wp:wrapNone/>
                      <wp:docPr id="1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85750"/>
                              </a:xfrm>
                              <a:prstGeom prst="rect">
                                <a:avLst/>
                              </a:prstGeom>
                              <a:solidFill>
                                <a:srgbClr val="FFFFFF"/>
                              </a:solidFill>
                              <a:ln w="9525">
                                <a:solidFill>
                                  <a:srgbClr val="000000"/>
                                </a:solidFill>
                                <a:miter lim="800000"/>
                                <a:headEnd/>
                                <a:tailEnd/>
                              </a:ln>
                            </wps:spPr>
                            <wps:txbx>
                              <w:txbxContent>
                                <w:p w14:paraId="45C4E598"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2DA8D0DC"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40615D31" w14:textId="77777777" w:rsidR="006E7D7A" w:rsidRPr="00155E97" w:rsidRDefault="006E7D7A" w:rsidP="00725DA9">
                                  <w:pPr>
                                    <w:rPr>
                                      <w:lang w:val="fr-FR"/>
                                    </w:rPr>
                                  </w:pPr>
                                </w:p>
                                <w:p w14:paraId="7240EF66"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402D0AA6"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1AFE600B" w14:textId="77777777" w:rsidR="006E7D7A" w:rsidRPr="00155E97" w:rsidRDefault="006E7D7A" w:rsidP="00725DA9">
                                  <w:pPr>
                                    <w:rPr>
                                      <w:lang w:val="fr-FR"/>
                                    </w:rPr>
                                  </w:pPr>
                                </w:p>
                                <w:p w14:paraId="2BB74264"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307AB93E"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6F213ADD" w14:textId="77777777" w:rsidR="006E7D7A" w:rsidRPr="00155E97" w:rsidRDefault="006E7D7A" w:rsidP="00725DA9">
                                  <w:pPr>
                                    <w:rPr>
                                      <w:lang w:val="fr-FR"/>
                                    </w:rPr>
                                  </w:pPr>
                                </w:p>
                                <w:p w14:paraId="68DC2B17"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616E0677"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6EBBF" id="Text Box 267" o:spid="_x0000_s1210" type="#_x0000_t202" style="position:absolute;left:0;text-align:left;margin-left:261.7pt;margin-top:2.35pt;width:127.75pt;height: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">
                      <v:textbox>
                        <w:txbxContent>
                          <w:p w14:paraId="45C4E598"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2DA8D0DC"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40615D31" w14:textId="77777777" w:rsidR="006E7D7A" w:rsidRPr="00155E97" w:rsidRDefault="006E7D7A" w:rsidP="00725DA9">
                            <w:pPr>
                              <w:rPr>
                                <w:lang w:val="fr-FR"/>
                              </w:rPr>
                            </w:pPr>
                          </w:p>
                          <w:p w14:paraId="7240EF66"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402D0AA6"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1AFE600B" w14:textId="77777777" w:rsidR="006E7D7A" w:rsidRPr="00155E97" w:rsidRDefault="006E7D7A" w:rsidP="00725DA9">
                            <w:pPr>
                              <w:rPr>
                                <w:lang w:val="fr-FR"/>
                              </w:rPr>
                            </w:pPr>
                          </w:p>
                          <w:p w14:paraId="2BB74264"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307AB93E"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p w14:paraId="6F213ADD" w14:textId="77777777" w:rsidR="006E7D7A" w:rsidRPr="00155E97" w:rsidRDefault="006E7D7A" w:rsidP="00725DA9">
                            <w:pPr>
                              <w:rPr>
                                <w:lang w:val="fr-FR"/>
                              </w:rPr>
                            </w:pPr>
                          </w:p>
                          <w:p w14:paraId="68DC2B17"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p>
                          <w:p w14:paraId="616E0677" w14:textId="77777777" w:rsidR="006E7D7A" w:rsidRPr="00155E97" w:rsidRDefault="006E7D7A" w:rsidP="00725DA9">
                            <w:pPr>
                              <w:spacing w:before="0" w:after="0"/>
                              <w:rPr>
                                <w:lang w:val="fr-FR"/>
                              </w:rPr>
                            </w:pPr>
                            <w:r w:rsidRPr="00155E97">
                              <w:rPr>
                                <w:b/>
                                <w:sz w:val="20"/>
                                <w:szCs w:val="18"/>
                                <w:lang w:val="fr-FR"/>
                              </w:rPr>
                              <w:t>Date</w:t>
                            </w:r>
                            <w:r w:rsidRPr="00155E97">
                              <w:rPr>
                                <w:sz w:val="20"/>
                                <w:szCs w:val="18"/>
                                <w:lang w:val="fr-FR"/>
                              </w:rPr>
                              <w:t xml:space="preserve"> </w:t>
                            </w:r>
                            <w:r w:rsidRPr="00155E97">
                              <w:rPr>
                                <w:lang w:val="fr-FR"/>
                              </w:rPr>
                              <w:t>___/___/_</w:t>
                            </w:r>
                            <w:r w:rsidRPr="00155E97">
                              <w:rPr>
                                <w:u w:val="single"/>
                                <w:lang w:val="fr-FR"/>
                              </w:rPr>
                              <w:t>2014</w:t>
                            </w:r>
                            <w:r w:rsidRPr="00155E97">
                              <w:rPr>
                                <w:lang w:val="fr-FR"/>
                              </w:rPr>
                              <w:t>_</w:t>
                            </w:r>
                          </w:p>
                        </w:txbxContent>
                      </v:textbox>
                    </v:shape>
                  </w:pict>
                </mc:Fallback>
              </mc:AlternateContent>
            </w:r>
            <w:r w:rsidRPr="00787196">
              <w:rPr>
                <w:rFonts w:eastAsia="Calibri" w:cs="Arial"/>
                <w:b/>
                <w:szCs w:val="24"/>
                <w:lang w:eastAsia="en-US" w:bidi="ar-SA"/>
              </w:rPr>
              <w:t xml:space="preserve"> </w:t>
            </w:r>
            <w:r w:rsidRPr="00787196">
              <w:rPr>
                <w:rFonts w:eastAsia="Calibri" w:cs="Arial"/>
                <w:b/>
                <w:iCs/>
                <w:szCs w:val="32"/>
                <w:lang w:eastAsia="en-US" w:bidi="ar-SA"/>
              </w:rPr>
              <w:t>Please answer the following questions:</w:t>
            </w:r>
          </w:p>
          <w:p w14:paraId="2A2547AC" w14:textId="77777777" w:rsidR="00725DA9" w:rsidRPr="00787196" w:rsidRDefault="00725DA9" w:rsidP="00725DA9">
            <w:pPr>
              <w:autoSpaceDE w:val="0"/>
              <w:autoSpaceDN w:val="0"/>
              <w:adjustRightInd w:val="0"/>
              <w:spacing w:before="0" w:after="0" w:line="240" w:lineRule="auto"/>
              <w:rPr>
                <w:rFonts w:eastAsia="Calibri" w:cs="Arial"/>
                <w:b/>
                <w:iCs/>
                <w:szCs w:val="32"/>
                <w:lang w:eastAsia="en-US" w:bidi="ar-SA"/>
              </w:rPr>
            </w:pPr>
            <w:r w:rsidRPr="00787196">
              <w:rPr>
                <w:rFonts w:eastAsia="Calibri" w:cs="Arial"/>
                <w:iCs/>
                <w:sz w:val="20"/>
                <w:szCs w:val="24"/>
                <w:lang w:eastAsia="en-US" w:bidi="ar-SA"/>
              </w:rPr>
              <w:tab/>
            </w:r>
            <w:r w:rsidRPr="00787196">
              <w:rPr>
                <w:rFonts w:eastAsia="Calibri" w:cs="Arial"/>
                <w:iCs/>
                <w:sz w:val="20"/>
                <w:szCs w:val="24"/>
                <w:lang w:eastAsia="en-US" w:bidi="ar-SA"/>
              </w:rPr>
              <w:tab/>
            </w:r>
            <w:r w:rsidRPr="00787196">
              <w:rPr>
                <w:rFonts w:eastAsia="Calibri" w:cs="Arial"/>
                <w:iCs/>
                <w:sz w:val="20"/>
                <w:szCs w:val="24"/>
                <w:lang w:eastAsia="en-US" w:bidi="ar-SA"/>
              </w:rPr>
              <w:tab/>
            </w:r>
            <w:r w:rsidRPr="00787196">
              <w:rPr>
                <w:rFonts w:eastAsia="Calibri" w:cs="Arial"/>
                <w:iCs/>
                <w:sz w:val="20"/>
                <w:szCs w:val="24"/>
                <w:lang w:eastAsia="en-US" w:bidi="ar-SA"/>
              </w:rPr>
              <w:tab/>
            </w:r>
            <w:r w:rsidRPr="00787196">
              <w:rPr>
                <w:rFonts w:eastAsia="Calibri" w:cs="Arial"/>
                <w:iCs/>
                <w:sz w:val="20"/>
                <w:szCs w:val="24"/>
                <w:lang w:eastAsia="en-US" w:bidi="ar-SA"/>
              </w:rPr>
              <w:tab/>
            </w:r>
          </w:p>
          <w:p w14:paraId="733B542B" w14:textId="77777777" w:rsidR="00725DA9" w:rsidRPr="00787196" w:rsidRDefault="00725DA9" w:rsidP="00725DA9">
            <w:pPr>
              <w:pStyle w:val="ListParagraph"/>
              <w:numPr>
                <w:ilvl w:val="0"/>
                <w:numId w:val="21"/>
              </w:numPr>
              <w:spacing w:before="0" w:after="0" w:line="240" w:lineRule="auto"/>
              <w:ind w:left="284" w:hanging="284"/>
              <w:contextualSpacing w:val="0"/>
              <w:rPr>
                <w:rFonts w:eastAsia="Calibri" w:cs="Arial"/>
                <w:bCs/>
                <w:sz w:val="20"/>
                <w:szCs w:val="24"/>
                <w:lang w:eastAsia="en-US" w:bidi="ar-SA"/>
              </w:rPr>
            </w:pPr>
            <w:r w:rsidRPr="00787196">
              <w:rPr>
                <w:rFonts w:eastAsia="Calibri" w:cs="Arial"/>
                <w:bCs/>
                <w:sz w:val="20"/>
                <w:szCs w:val="24"/>
                <w:lang w:eastAsia="en-US" w:bidi="ar-SA"/>
              </w:rPr>
              <w:t>Your age ___________</w:t>
            </w:r>
          </w:p>
          <w:p w14:paraId="4618E8C9" w14:textId="77777777" w:rsidR="00725DA9" w:rsidRPr="00787196" w:rsidRDefault="00725DA9" w:rsidP="00725DA9">
            <w:pPr>
              <w:pStyle w:val="ListParagraph"/>
              <w:spacing w:before="0" w:after="0" w:line="240" w:lineRule="auto"/>
              <w:ind w:left="284"/>
              <w:rPr>
                <w:rFonts w:eastAsia="Calibri" w:cs="Arial"/>
                <w:bCs/>
                <w:sz w:val="20"/>
                <w:szCs w:val="24"/>
                <w:lang w:eastAsia="en-US" w:bidi="ar-SA"/>
              </w:rPr>
            </w:pPr>
          </w:p>
          <w:p w14:paraId="44A747E7" w14:textId="77777777" w:rsidR="00725DA9" w:rsidRPr="00787196" w:rsidRDefault="00725DA9" w:rsidP="00725DA9">
            <w:pPr>
              <w:pStyle w:val="ListParagraph"/>
              <w:numPr>
                <w:ilvl w:val="0"/>
                <w:numId w:val="21"/>
              </w:numPr>
              <w:spacing w:before="0" w:after="0" w:line="240" w:lineRule="auto"/>
              <w:ind w:left="284" w:hanging="284"/>
              <w:contextualSpacing w:val="0"/>
              <w:rPr>
                <w:rFonts w:eastAsia="Calibri" w:cs="Arial"/>
                <w:bCs/>
                <w:sz w:val="20"/>
                <w:szCs w:val="24"/>
                <w:lang w:eastAsia="en-US" w:bidi="ar-SA"/>
              </w:rPr>
            </w:pPr>
            <w:r w:rsidRPr="00787196">
              <w:rPr>
                <w:rFonts w:eastAsia="Calibri" w:cs="Arial"/>
                <w:bCs/>
                <w:sz w:val="20"/>
                <w:szCs w:val="24"/>
                <w:lang w:eastAsia="en-US" w:bidi="ar-SA"/>
              </w:rPr>
              <w:t xml:space="preserve"> Your marital status:</w:t>
            </w:r>
          </w:p>
          <w:p w14:paraId="607E3D6F" w14:textId="77777777" w:rsidR="00725DA9" w:rsidRPr="00787196" w:rsidRDefault="00725DA9" w:rsidP="00725DA9">
            <w:pPr>
              <w:pStyle w:val="ListParagraph"/>
              <w:numPr>
                <w:ilvl w:val="0"/>
                <w:numId w:val="17"/>
              </w:numPr>
              <w:tabs>
                <w:tab w:val="left" w:pos="1080"/>
              </w:tabs>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 xml:space="preserve">Married </w:t>
            </w:r>
          </w:p>
          <w:p w14:paraId="6607C754" w14:textId="77777777" w:rsidR="00725DA9" w:rsidRPr="00787196" w:rsidRDefault="00725DA9" w:rsidP="00725DA9">
            <w:pPr>
              <w:pStyle w:val="ListParagraph"/>
              <w:numPr>
                <w:ilvl w:val="0"/>
                <w:numId w:val="17"/>
              </w:numPr>
              <w:tabs>
                <w:tab w:val="left" w:pos="1080"/>
              </w:tabs>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Single</w:t>
            </w:r>
          </w:p>
          <w:p w14:paraId="5376D2F5" w14:textId="77777777" w:rsidR="00725DA9" w:rsidRPr="00787196" w:rsidRDefault="00725DA9" w:rsidP="00725DA9">
            <w:pPr>
              <w:pStyle w:val="ListParagraph"/>
              <w:numPr>
                <w:ilvl w:val="0"/>
                <w:numId w:val="17"/>
              </w:numPr>
              <w:tabs>
                <w:tab w:val="left" w:pos="1080"/>
              </w:tabs>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Divorced</w:t>
            </w:r>
          </w:p>
          <w:p w14:paraId="1087DAFF" w14:textId="77777777" w:rsidR="00725DA9" w:rsidRPr="00787196" w:rsidRDefault="00725DA9" w:rsidP="00725DA9">
            <w:pPr>
              <w:pStyle w:val="ListParagraph"/>
              <w:numPr>
                <w:ilvl w:val="0"/>
                <w:numId w:val="17"/>
              </w:numPr>
              <w:tabs>
                <w:tab w:val="left" w:pos="1080"/>
              </w:tabs>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Widowed</w:t>
            </w:r>
          </w:p>
          <w:p w14:paraId="46E921E2" w14:textId="77777777" w:rsidR="00725DA9" w:rsidRPr="00787196" w:rsidRDefault="00725DA9" w:rsidP="00725DA9">
            <w:pPr>
              <w:pStyle w:val="ListParagraph"/>
              <w:tabs>
                <w:tab w:val="left" w:pos="1080"/>
              </w:tabs>
              <w:spacing w:before="0" w:after="0" w:line="240" w:lineRule="auto"/>
              <w:ind w:left="777"/>
              <w:rPr>
                <w:rFonts w:eastAsia="Calibri" w:cs="Arial"/>
                <w:bCs/>
                <w:sz w:val="20"/>
                <w:szCs w:val="24"/>
                <w:lang w:eastAsia="en-US" w:bidi="ar-SA"/>
              </w:rPr>
            </w:pPr>
          </w:p>
          <w:p w14:paraId="78C5AC3F" w14:textId="77777777" w:rsidR="00725DA9" w:rsidRPr="00787196" w:rsidRDefault="00725DA9" w:rsidP="00725DA9">
            <w:pPr>
              <w:tabs>
                <w:tab w:val="left" w:pos="1080"/>
              </w:tabs>
              <w:spacing w:before="0" w:after="0" w:line="240" w:lineRule="auto"/>
              <w:contextualSpacing/>
              <w:rPr>
                <w:rFonts w:eastAsia="Calibri" w:cs="Arial"/>
                <w:bCs/>
                <w:sz w:val="20"/>
                <w:szCs w:val="24"/>
                <w:lang w:eastAsia="en-US" w:bidi="ar-SA"/>
              </w:rPr>
            </w:pPr>
            <w:r w:rsidRPr="00787196">
              <w:rPr>
                <w:rFonts w:eastAsia="Calibri" w:cs="Arial"/>
                <w:bCs/>
                <w:sz w:val="20"/>
                <w:szCs w:val="24"/>
                <w:lang w:eastAsia="en-US" w:bidi="ar-SA"/>
              </w:rPr>
              <w:t>3) What is your Occupation or Profession?</w:t>
            </w:r>
          </w:p>
          <w:p w14:paraId="526DE239"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Professional</w:t>
            </w:r>
          </w:p>
          <w:p w14:paraId="5C8C8FEE"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 xml:space="preserve">Semi-professional </w:t>
            </w:r>
          </w:p>
          <w:p w14:paraId="177A7488"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Clerical, shop-owner, farmer</w:t>
            </w:r>
          </w:p>
          <w:p w14:paraId="4FD53B6E"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Skilled worker</w:t>
            </w:r>
          </w:p>
          <w:p w14:paraId="4255C360"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Semi-skilled worker</w:t>
            </w:r>
          </w:p>
          <w:p w14:paraId="6F352099"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Unskilled worker</w:t>
            </w:r>
          </w:p>
          <w:p w14:paraId="64308EE8" w14:textId="77777777" w:rsidR="00725DA9" w:rsidRPr="00787196" w:rsidRDefault="00725DA9" w:rsidP="00725DA9">
            <w:pPr>
              <w:pStyle w:val="ListParagraph"/>
              <w:numPr>
                <w:ilvl w:val="0"/>
                <w:numId w:val="18"/>
              </w:numPr>
              <w:spacing w:before="0" w:after="0" w:line="240" w:lineRule="auto"/>
              <w:ind w:left="777" w:hanging="357"/>
              <w:rPr>
                <w:rFonts w:eastAsia="Calibri" w:cs="Arial"/>
                <w:bCs/>
                <w:sz w:val="20"/>
                <w:szCs w:val="24"/>
                <w:lang w:eastAsia="en-US" w:bidi="ar-SA"/>
              </w:rPr>
            </w:pPr>
            <w:r w:rsidRPr="00787196">
              <w:rPr>
                <w:rFonts w:eastAsia="Calibri" w:cs="Arial"/>
                <w:bCs/>
                <w:sz w:val="20"/>
                <w:szCs w:val="24"/>
                <w:lang w:eastAsia="en-US" w:bidi="ar-SA"/>
              </w:rPr>
              <w:t>Unemployed</w:t>
            </w:r>
          </w:p>
          <w:p w14:paraId="35E747E7" w14:textId="77777777" w:rsidR="00725DA9" w:rsidRPr="00787196" w:rsidRDefault="00725DA9" w:rsidP="00725DA9">
            <w:pPr>
              <w:pStyle w:val="ListParagraph"/>
              <w:spacing w:before="0" w:after="0" w:line="240" w:lineRule="auto"/>
              <w:ind w:left="777"/>
              <w:rPr>
                <w:rFonts w:eastAsia="Calibri" w:cs="Arial"/>
                <w:bCs/>
                <w:sz w:val="20"/>
                <w:szCs w:val="24"/>
                <w:lang w:eastAsia="en-US" w:bidi="ar-SA"/>
              </w:rPr>
            </w:pPr>
          </w:p>
          <w:p w14:paraId="04BE38CC" w14:textId="77777777" w:rsidR="00725DA9" w:rsidRPr="00787196" w:rsidRDefault="00725DA9" w:rsidP="00725DA9">
            <w:p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4) What is your approximate </w:t>
            </w:r>
            <w:r w:rsidRPr="00787196">
              <w:rPr>
                <w:rFonts w:eastAsia="Calibri" w:cs="Arial"/>
                <w:bCs/>
                <w:sz w:val="20"/>
                <w:szCs w:val="24"/>
                <w:u w:val="single"/>
                <w:lang w:eastAsia="en-US" w:bidi="ar-SA"/>
              </w:rPr>
              <w:t>monthly</w:t>
            </w:r>
            <w:r w:rsidRPr="00787196">
              <w:rPr>
                <w:rFonts w:eastAsia="Calibri" w:cs="Arial"/>
                <w:bCs/>
                <w:sz w:val="20"/>
                <w:szCs w:val="24"/>
                <w:lang w:eastAsia="en-US" w:bidi="ar-SA"/>
              </w:rPr>
              <w:t xml:space="preserve"> salary in Rupees (</w:t>
            </w:r>
            <w:r w:rsidRPr="00787196">
              <w:rPr>
                <w:rFonts w:eastAsia="Calibri" w:cs="Arial"/>
                <w:color w:val="444444"/>
                <w:shd w:val="clear" w:color="auto" w:fill="FFFFFF"/>
                <w:lang w:eastAsia="en-US" w:bidi="ar-SA"/>
              </w:rPr>
              <w:t>₹)</w:t>
            </w:r>
            <w:r w:rsidRPr="00787196">
              <w:rPr>
                <w:rFonts w:eastAsia="Calibri" w:cs="Arial"/>
                <w:bCs/>
                <w:sz w:val="20"/>
                <w:szCs w:val="24"/>
                <w:lang w:eastAsia="en-US" w:bidi="ar-SA"/>
              </w:rPr>
              <w:t>?</w:t>
            </w:r>
          </w:p>
          <w:p w14:paraId="10958F5A"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  =1520 or less</w:t>
            </w:r>
          </w:p>
          <w:p w14:paraId="54A92DBC"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 1521-4555</w:t>
            </w:r>
          </w:p>
          <w:p w14:paraId="794C6E6B"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 4556-7593</w:t>
            </w:r>
          </w:p>
          <w:p w14:paraId="0434F902"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 7594-11361</w:t>
            </w:r>
          </w:p>
          <w:p w14:paraId="7F417832"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11362-15187</w:t>
            </w:r>
          </w:p>
          <w:p w14:paraId="0DAD1865"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15188-30374</w:t>
            </w:r>
          </w:p>
          <w:p w14:paraId="448D827A"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30375 or more</w:t>
            </w:r>
          </w:p>
          <w:p w14:paraId="03D36D79" w14:textId="77777777" w:rsidR="00725DA9" w:rsidRPr="00787196" w:rsidRDefault="00725DA9" w:rsidP="00725DA9">
            <w:pPr>
              <w:pStyle w:val="ListParagraph"/>
              <w:spacing w:before="0" w:after="0" w:line="240" w:lineRule="auto"/>
              <w:rPr>
                <w:rFonts w:eastAsia="Calibri" w:cs="Arial"/>
                <w:bCs/>
                <w:sz w:val="20"/>
                <w:szCs w:val="24"/>
                <w:lang w:eastAsia="en-US" w:bidi="ar-SA"/>
              </w:rPr>
            </w:pPr>
          </w:p>
          <w:p w14:paraId="611B64B1" w14:textId="77777777" w:rsidR="00725DA9" w:rsidRPr="00787196" w:rsidRDefault="00725DA9" w:rsidP="00725DA9">
            <w:p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5) What is the level of education attained by you?</w:t>
            </w:r>
          </w:p>
          <w:p w14:paraId="72F2BACE"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Profession or Honours</w:t>
            </w:r>
          </w:p>
          <w:p w14:paraId="64F56F3D"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Graduate or post graduate</w:t>
            </w:r>
          </w:p>
          <w:p w14:paraId="36B9617C"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Intermediate or post high school diploma (polytechnic etc.)</w:t>
            </w:r>
          </w:p>
          <w:p w14:paraId="00DDA239"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High School certificate</w:t>
            </w:r>
          </w:p>
          <w:p w14:paraId="51A525D2"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Middle School certificate</w:t>
            </w:r>
          </w:p>
          <w:p w14:paraId="47A8BD36"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18"/>
                <w:lang w:eastAsia="en-US"/>
              </w:rPr>
              <w:t>Primary School certificate</w:t>
            </w:r>
          </w:p>
          <w:p w14:paraId="2F6F9058" w14:textId="77777777" w:rsidR="00725DA9" w:rsidRPr="00787196" w:rsidRDefault="00725DA9" w:rsidP="00725DA9">
            <w:pPr>
              <w:pStyle w:val="ListParagraph"/>
              <w:numPr>
                <w:ilvl w:val="0"/>
                <w:numId w:val="19"/>
              </w:numPr>
              <w:spacing w:before="0" w:after="0" w:line="240" w:lineRule="auto"/>
              <w:rPr>
                <w:rFonts w:eastAsia="Calibri" w:cs="Arial"/>
                <w:bCs/>
                <w:sz w:val="20"/>
                <w:szCs w:val="24"/>
                <w:lang w:eastAsia="en-US" w:bidi="ar-SA"/>
              </w:rPr>
            </w:pPr>
            <w:r w:rsidRPr="00787196">
              <w:rPr>
                <w:rFonts w:eastAsia="Calibri" w:cs="Arial"/>
                <w:bCs/>
                <w:sz w:val="18"/>
                <w:lang w:eastAsia="en-US"/>
              </w:rPr>
              <w:t>Illiterate</w:t>
            </w:r>
          </w:p>
          <w:p w14:paraId="66013DA2" w14:textId="77777777" w:rsidR="00725DA9" w:rsidRPr="00787196" w:rsidRDefault="00725DA9" w:rsidP="00725DA9">
            <w:pPr>
              <w:pStyle w:val="ListParagraph"/>
              <w:spacing w:before="0" w:after="0" w:line="240" w:lineRule="auto"/>
              <w:rPr>
                <w:rFonts w:eastAsia="Calibri" w:cs="Arial"/>
                <w:bCs/>
                <w:sz w:val="20"/>
                <w:szCs w:val="24"/>
                <w:lang w:eastAsia="en-US" w:bidi="ar-SA"/>
              </w:rPr>
            </w:pPr>
          </w:p>
          <w:p w14:paraId="58A65C7F" w14:textId="77777777" w:rsidR="00725DA9" w:rsidRPr="00787196" w:rsidRDefault="00725DA9" w:rsidP="00725DA9">
            <w:p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6) What is your religion?</w:t>
            </w:r>
          </w:p>
          <w:p w14:paraId="01375C84"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Hindu</w:t>
            </w:r>
          </w:p>
          <w:p w14:paraId="43E4E867"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Muslim</w:t>
            </w:r>
          </w:p>
          <w:p w14:paraId="3FB496F4"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Sikh</w:t>
            </w:r>
          </w:p>
          <w:p w14:paraId="0E0FE449"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Christian</w:t>
            </w:r>
          </w:p>
          <w:p w14:paraId="12B58F9A"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Other (please specify) ____________________________</w:t>
            </w:r>
          </w:p>
          <w:p w14:paraId="5A52BA92" w14:textId="77777777" w:rsidR="00725DA9" w:rsidRPr="00787196" w:rsidRDefault="00725DA9" w:rsidP="00725DA9">
            <w:pPr>
              <w:pStyle w:val="ListParagraph"/>
              <w:spacing w:before="0" w:after="0" w:line="240" w:lineRule="auto"/>
              <w:rPr>
                <w:rFonts w:eastAsia="Calibri" w:cs="Arial"/>
                <w:bCs/>
                <w:sz w:val="20"/>
                <w:szCs w:val="24"/>
                <w:lang w:eastAsia="en-US" w:bidi="ar-SA"/>
              </w:rPr>
            </w:pPr>
          </w:p>
          <w:p w14:paraId="32CC52A6" w14:textId="77777777" w:rsidR="00725DA9" w:rsidRPr="00787196" w:rsidRDefault="00725DA9" w:rsidP="00725DA9">
            <w:pPr>
              <w:spacing w:before="0" w:after="0" w:line="240" w:lineRule="auto"/>
              <w:contextualSpacing/>
              <w:rPr>
                <w:rFonts w:eastAsia="Calibri" w:cs="Arial"/>
                <w:bCs/>
                <w:sz w:val="20"/>
                <w:szCs w:val="24"/>
                <w:lang w:eastAsia="en-US" w:bidi="ar-SA"/>
              </w:rPr>
            </w:pPr>
            <w:r w:rsidRPr="00787196">
              <w:rPr>
                <w:rFonts w:eastAsia="Calibri" w:cs="Arial"/>
                <w:bCs/>
                <w:sz w:val="20"/>
                <w:szCs w:val="24"/>
                <w:lang w:eastAsia="en-US" w:bidi="ar-SA"/>
              </w:rPr>
              <w:t>7) Caste</w:t>
            </w:r>
          </w:p>
          <w:p w14:paraId="638B7B73"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Forward </w:t>
            </w:r>
          </w:p>
          <w:p w14:paraId="790BE01D"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Backward </w:t>
            </w:r>
          </w:p>
          <w:p w14:paraId="57A1A39B"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Most Backward </w:t>
            </w:r>
          </w:p>
          <w:p w14:paraId="6F0E60E0" w14:textId="77777777" w:rsidR="00725DA9" w:rsidRPr="00787196" w:rsidRDefault="00725DA9" w:rsidP="00725DA9">
            <w:pPr>
              <w:pStyle w:val="ListParagraph"/>
              <w:numPr>
                <w:ilvl w:val="0"/>
                <w:numId w:val="20"/>
              </w:numPr>
              <w:spacing w:before="0" w:after="0" w:line="240" w:lineRule="auto"/>
              <w:rPr>
                <w:rFonts w:eastAsia="Calibri" w:cs="Arial"/>
                <w:bCs/>
                <w:sz w:val="20"/>
                <w:szCs w:val="24"/>
                <w:lang w:eastAsia="en-US" w:bidi="ar-SA"/>
              </w:rPr>
            </w:pPr>
            <w:r w:rsidRPr="00787196">
              <w:rPr>
                <w:rFonts w:eastAsia="Calibri" w:cs="Arial"/>
                <w:bCs/>
                <w:sz w:val="20"/>
                <w:szCs w:val="24"/>
                <w:lang w:eastAsia="en-US" w:bidi="ar-SA"/>
              </w:rPr>
              <w:t xml:space="preserve">Scheduled Caste/ Tribe </w:t>
            </w:r>
          </w:p>
          <w:p w14:paraId="15A75CFA" w14:textId="77777777" w:rsidR="00725DA9" w:rsidRPr="00787196" w:rsidRDefault="00725DA9" w:rsidP="00725DA9">
            <w:pPr>
              <w:pStyle w:val="ListParagraph"/>
              <w:numPr>
                <w:ilvl w:val="0"/>
                <w:numId w:val="20"/>
              </w:numPr>
              <w:spacing w:before="0" w:after="0" w:line="240" w:lineRule="auto"/>
              <w:rPr>
                <w:rFonts w:eastAsia="Calibri" w:cs="Arial"/>
                <w:szCs w:val="24"/>
                <w:lang w:eastAsia="en-US" w:bidi="ar-SA"/>
              </w:rPr>
            </w:pPr>
            <w:r w:rsidRPr="00787196">
              <w:rPr>
                <w:rFonts w:eastAsia="Calibri" w:cs="Arial"/>
                <w:bCs/>
                <w:sz w:val="20"/>
                <w:szCs w:val="24"/>
                <w:lang w:eastAsia="en-US" w:bidi="ar-SA"/>
              </w:rPr>
              <w:t>Other (please specify) ________________________</w:t>
            </w:r>
          </w:p>
          <w:p w14:paraId="50A69000" w14:textId="77777777" w:rsidR="00725DA9" w:rsidRPr="00787196" w:rsidRDefault="00725DA9" w:rsidP="00725DA9">
            <w:pPr>
              <w:pStyle w:val="ListParagraph"/>
              <w:spacing w:before="0" w:after="0" w:line="240" w:lineRule="auto"/>
              <w:rPr>
                <w:rFonts w:eastAsia="Calibri" w:cs="Arial"/>
                <w:szCs w:val="24"/>
                <w:lang w:eastAsia="en-US" w:bidi="ar-SA"/>
              </w:rPr>
            </w:pPr>
          </w:p>
        </w:tc>
      </w:tr>
      <w:bookmarkEnd w:id="816"/>
    </w:tbl>
    <w:p w14:paraId="0DBB7264" w14:textId="77777777" w:rsidR="003C6579" w:rsidRPr="00787196" w:rsidRDefault="003C6579" w:rsidP="00513F57">
      <w:pPr>
        <w:spacing w:before="0" w:after="0"/>
        <w:rPr>
          <w:rFonts w:cs="Arial"/>
          <w:b/>
          <w:bCs/>
          <w:sz w:val="22"/>
          <w:szCs w:val="20"/>
        </w:rPr>
      </w:pPr>
    </w:p>
    <w:p w14:paraId="379D8939" w14:textId="77777777" w:rsidR="008E116F" w:rsidRPr="00787196" w:rsidRDefault="008E116F">
      <w:pPr>
        <w:spacing w:before="0" w:after="0" w:line="240" w:lineRule="auto"/>
        <w:jc w:val="left"/>
        <w:rPr>
          <w:rFonts w:cs="Arial"/>
          <w:b/>
          <w:bCs/>
          <w:sz w:val="22"/>
          <w:szCs w:val="20"/>
        </w:rPr>
      </w:pPr>
      <w:r w:rsidRPr="00787196">
        <w:rPr>
          <w:rFonts w:cs="Arial"/>
          <w:b/>
          <w:bCs/>
          <w:sz w:val="22"/>
          <w:szCs w:val="20"/>
        </w:rPr>
        <w:br w:type="page"/>
      </w:r>
    </w:p>
    <w:p w14:paraId="6B202DE2" w14:textId="3F6C44F0" w:rsidR="00062AE7" w:rsidRPr="00787196" w:rsidRDefault="00062AE7" w:rsidP="0093336F">
      <w:pPr>
        <w:spacing w:before="0" w:after="0"/>
        <w:ind w:right="45"/>
        <w:rPr>
          <w:rFonts w:cs="Arial"/>
          <w:b/>
          <w:bCs/>
          <w:sz w:val="22"/>
          <w:szCs w:val="20"/>
        </w:rPr>
      </w:pPr>
      <w:r w:rsidRPr="00787196">
        <w:rPr>
          <w:rFonts w:cs="Arial"/>
          <w:b/>
          <w:bCs/>
          <w:sz w:val="22"/>
          <w:szCs w:val="20"/>
        </w:rPr>
        <w:lastRenderedPageBreak/>
        <w:t>8.) Imagine this ladder pictures how Indian society is set up</w:t>
      </w:r>
    </w:p>
    <w:p w14:paraId="4C8D22D9" w14:textId="77777777" w:rsidR="00062AE7" w:rsidRPr="00787196" w:rsidRDefault="00062AE7" w:rsidP="00C119A5">
      <w:pPr>
        <w:numPr>
          <w:ilvl w:val="0"/>
          <w:numId w:val="22"/>
        </w:numPr>
        <w:spacing w:before="0" w:after="0" w:line="240" w:lineRule="auto"/>
        <w:ind w:right="45"/>
        <w:rPr>
          <w:rFonts w:cs="Arial"/>
          <w:sz w:val="22"/>
          <w:szCs w:val="20"/>
        </w:rPr>
      </w:pPr>
      <w:r w:rsidRPr="00787196">
        <w:rPr>
          <w:rFonts w:cs="Arial"/>
          <w:b/>
          <w:sz w:val="22"/>
          <w:szCs w:val="20"/>
        </w:rPr>
        <w:t>At the top of the ladder are the people who are best off</w:t>
      </w:r>
      <w:r w:rsidRPr="00787196">
        <w:rPr>
          <w:rFonts w:cs="Arial"/>
          <w:sz w:val="22"/>
          <w:szCs w:val="20"/>
        </w:rPr>
        <w:t xml:space="preserve"> –they have the most money, the highest amount of schooling, and the jobs that bring the most respect</w:t>
      </w:r>
    </w:p>
    <w:p w14:paraId="5D7EC076" w14:textId="77777777" w:rsidR="00062AE7" w:rsidRPr="00787196" w:rsidRDefault="00062AE7" w:rsidP="00C119A5">
      <w:pPr>
        <w:numPr>
          <w:ilvl w:val="0"/>
          <w:numId w:val="22"/>
        </w:numPr>
        <w:spacing w:before="0" w:after="0" w:line="240" w:lineRule="auto"/>
        <w:ind w:right="45"/>
        <w:rPr>
          <w:rFonts w:cs="Arial"/>
          <w:sz w:val="22"/>
          <w:szCs w:val="20"/>
        </w:rPr>
      </w:pPr>
      <w:r w:rsidRPr="00787196">
        <w:rPr>
          <w:rFonts w:cs="Arial"/>
          <w:b/>
          <w:sz w:val="22"/>
          <w:szCs w:val="20"/>
        </w:rPr>
        <w:t>At the bottom are the people who are worst off</w:t>
      </w:r>
      <w:r w:rsidRPr="00787196">
        <w:rPr>
          <w:rFonts w:cs="Arial"/>
          <w:sz w:val="22"/>
          <w:szCs w:val="20"/>
        </w:rPr>
        <w:t>-they have the least money, little or no education, no jobs or jobs that no one wants or respects</w:t>
      </w:r>
    </w:p>
    <w:p w14:paraId="62AA62B4" w14:textId="77777777" w:rsidR="00062AE7" w:rsidRPr="00787196" w:rsidRDefault="00062AE7" w:rsidP="0093336F">
      <w:pPr>
        <w:spacing w:before="0" w:after="0" w:line="240" w:lineRule="auto"/>
        <w:ind w:left="720" w:right="45"/>
        <w:rPr>
          <w:rFonts w:cs="Arial"/>
          <w:sz w:val="22"/>
          <w:szCs w:val="20"/>
        </w:rPr>
      </w:pPr>
    </w:p>
    <w:p w14:paraId="3D998C8D" w14:textId="77777777" w:rsidR="00062AE7" w:rsidRPr="00787196" w:rsidRDefault="00062AE7" w:rsidP="0093336F">
      <w:pPr>
        <w:spacing w:before="0" w:after="0" w:line="240" w:lineRule="auto"/>
        <w:ind w:right="45"/>
        <w:rPr>
          <w:rFonts w:cs="Arial"/>
          <w:sz w:val="22"/>
          <w:szCs w:val="20"/>
        </w:rPr>
      </w:pPr>
      <w:r w:rsidRPr="00787196">
        <w:rPr>
          <w:rFonts w:cs="Arial"/>
          <w:sz w:val="22"/>
          <w:szCs w:val="20"/>
        </w:rPr>
        <w:t>Now think where you would place yourself on the ladder in relation to other people around you.</w:t>
      </w:r>
    </w:p>
    <w:p w14:paraId="46B1CC0C" w14:textId="77777777" w:rsidR="00062AE7" w:rsidRPr="00787196" w:rsidRDefault="00062AE7" w:rsidP="0093336F">
      <w:pPr>
        <w:spacing w:before="0" w:after="0" w:line="240" w:lineRule="auto"/>
        <w:ind w:right="45"/>
        <w:rPr>
          <w:rFonts w:cs="Arial"/>
          <w:b/>
          <w:sz w:val="22"/>
          <w:szCs w:val="20"/>
        </w:rPr>
      </w:pPr>
      <w:r w:rsidRPr="00787196">
        <w:rPr>
          <w:rFonts w:cs="Arial"/>
          <w:b/>
          <w:sz w:val="22"/>
          <w:szCs w:val="20"/>
        </w:rPr>
        <w:t>Place “X” on the rung which best represents your position.</w:t>
      </w:r>
    </w:p>
    <w:p w14:paraId="2DEDC57F" w14:textId="77777777" w:rsidR="00062AE7" w:rsidRPr="00787196" w:rsidRDefault="00062AE7" w:rsidP="00513F57">
      <w:pPr>
        <w:spacing w:before="0" w:after="0" w:line="240" w:lineRule="auto"/>
        <w:rPr>
          <w:rFonts w:cs="Arial"/>
        </w:rPr>
      </w:pPr>
    </w:p>
    <w:p w14:paraId="15BE6A83" w14:textId="77777777" w:rsidR="00062AE7" w:rsidRPr="00787196" w:rsidRDefault="00062AE7" w:rsidP="00513F57">
      <w:pPr>
        <w:spacing w:before="0" w:after="0" w:line="240" w:lineRule="auto"/>
        <w:rPr>
          <w:rFonts w:cs="Arial"/>
        </w:rPr>
      </w:pPr>
    </w:p>
    <w:p w14:paraId="4508E11B" w14:textId="1369998A" w:rsidR="00062AE7"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18816" behindDoc="0" locked="0" layoutInCell="1" allowOverlap="1" wp14:anchorId="5EAF1D4D" wp14:editId="78304DFA">
                <wp:simplePos x="0" y="0"/>
                <wp:positionH relativeFrom="column">
                  <wp:posOffset>2244725</wp:posOffset>
                </wp:positionH>
                <wp:positionV relativeFrom="paragraph">
                  <wp:posOffset>33655</wp:posOffset>
                </wp:positionV>
                <wp:extent cx="2042160" cy="285115"/>
                <wp:effectExtent l="0" t="0" r="15240" b="19685"/>
                <wp:wrapNone/>
                <wp:docPr id="7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85115"/>
                        </a:xfrm>
                        <a:prstGeom prst="rect">
                          <a:avLst/>
                        </a:prstGeom>
                        <a:solidFill>
                          <a:srgbClr val="FFFFFF"/>
                        </a:solidFill>
                        <a:ln w="9525">
                          <a:solidFill>
                            <a:srgbClr val="000000"/>
                          </a:solidFill>
                          <a:miter lim="800000"/>
                          <a:headEnd/>
                          <a:tailEnd/>
                        </a:ln>
                      </wps:spPr>
                      <wps:txbx>
                        <w:txbxContent>
                          <w:p w14:paraId="6ABA1A18" w14:textId="77777777" w:rsidR="006E7D7A" w:rsidRPr="002E7F2F" w:rsidRDefault="006E7D7A" w:rsidP="007D1D34">
                            <w:pPr>
                              <w:spacing w:before="0" w:after="0"/>
                              <w:jc w:val="center"/>
                              <w:rPr>
                                <w:b/>
                                <w:szCs w:val="24"/>
                              </w:rPr>
                            </w:pPr>
                            <w:r w:rsidRPr="002E7F2F">
                              <w:rPr>
                                <w:b/>
                                <w:szCs w:val="24"/>
                              </w:rPr>
                              <w:t>BEST OFF PEOPLE</w:t>
                            </w:r>
                          </w:p>
                          <w:p w14:paraId="0087EE14" w14:textId="77777777" w:rsidR="006E7D7A" w:rsidRDefault="006E7D7A"/>
                          <w:p w14:paraId="79C52332" w14:textId="77777777" w:rsidR="006E7D7A" w:rsidRPr="002E7F2F" w:rsidRDefault="006E7D7A" w:rsidP="007D1D34">
                            <w:pPr>
                              <w:spacing w:before="0" w:after="0"/>
                              <w:jc w:val="center"/>
                              <w:rPr>
                                <w:b/>
                                <w:szCs w:val="24"/>
                              </w:rPr>
                            </w:pPr>
                            <w:r w:rsidRPr="002E7F2F">
                              <w:rPr>
                                <w:b/>
                                <w:szCs w:val="24"/>
                              </w:rPr>
                              <w:t>BEST OFF PEOPLE</w:t>
                            </w:r>
                          </w:p>
                          <w:p w14:paraId="1AE41C45" w14:textId="77777777" w:rsidR="006E7D7A" w:rsidRDefault="006E7D7A"/>
                          <w:p w14:paraId="3C1D3FAF" w14:textId="77777777" w:rsidR="006E7D7A" w:rsidRPr="002E7F2F" w:rsidRDefault="006E7D7A" w:rsidP="007D1D34">
                            <w:pPr>
                              <w:spacing w:before="0" w:after="0"/>
                              <w:jc w:val="center"/>
                              <w:rPr>
                                <w:b/>
                                <w:szCs w:val="24"/>
                              </w:rPr>
                            </w:pPr>
                            <w:r w:rsidRPr="002E7F2F">
                              <w:rPr>
                                <w:b/>
                                <w:szCs w:val="24"/>
                              </w:rPr>
                              <w:t>BEST OFF PEOPLE</w:t>
                            </w:r>
                          </w:p>
                          <w:p w14:paraId="4920F464" w14:textId="77777777" w:rsidR="006E7D7A" w:rsidRDefault="006E7D7A"/>
                          <w:p w14:paraId="104C75AD" w14:textId="77777777" w:rsidR="006E7D7A" w:rsidRPr="002E7F2F" w:rsidRDefault="006E7D7A" w:rsidP="007D1D34">
                            <w:pPr>
                              <w:spacing w:before="0" w:after="0"/>
                              <w:jc w:val="center"/>
                              <w:rPr>
                                <w:b/>
                                <w:szCs w:val="24"/>
                              </w:rPr>
                            </w:pPr>
                            <w:r w:rsidRPr="002E7F2F">
                              <w:rPr>
                                <w:b/>
                                <w:szCs w:val="24"/>
                              </w:rPr>
                              <w:t>BEST OFF PEOPLE</w:t>
                            </w:r>
                          </w:p>
                          <w:p w14:paraId="604B1D0D" w14:textId="77777777" w:rsidR="006E7D7A" w:rsidRDefault="006E7D7A"/>
                          <w:p w14:paraId="6978D5A0" w14:textId="77777777" w:rsidR="006E7D7A" w:rsidRPr="002E7F2F" w:rsidRDefault="006E7D7A" w:rsidP="007D1D34">
                            <w:pPr>
                              <w:spacing w:before="0" w:after="0"/>
                              <w:jc w:val="center"/>
                              <w:rPr>
                                <w:b/>
                                <w:szCs w:val="24"/>
                              </w:rPr>
                            </w:pPr>
                            <w:r w:rsidRPr="002E7F2F">
                              <w:rPr>
                                <w:b/>
                                <w:szCs w:val="24"/>
                              </w:rPr>
                              <w:t>BEST OFF PEOPLE</w:t>
                            </w:r>
                          </w:p>
                          <w:p w14:paraId="5BA842D3" w14:textId="77777777" w:rsidR="006E7D7A" w:rsidRDefault="006E7D7A"/>
                          <w:p w14:paraId="6118817A" w14:textId="77777777" w:rsidR="006E7D7A" w:rsidRPr="002E7F2F" w:rsidRDefault="006E7D7A" w:rsidP="007D1D34">
                            <w:pPr>
                              <w:spacing w:before="0" w:after="0"/>
                              <w:jc w:val="center"/>
                              <w:rPr>
                                <w:b/>
                                <w:szCs w:val="24"/>
                              </w:rPr>
                            </w:pPr>
                            <w:r w:rsidRPr="002E7F2F">
                              <w:rPr>
                                <w:b/>
                                <w:szCs w:val="24"/>
                              </w:rPr>
                              <w:t>BEST OFF PEOPLE</w:t>
                            </w:r>
                          </w:p>
                          <w:p w14:paraId="042C0396" w14:textId="77777777" w:rsidR="006E7D7A" w:rsidRDefault="006E7D7A"/>
                          <w:p w14:paraId="1B51C47A" w14:textId="77777777" w:rsidR="006E7D7A" w:rsidRPr="002E7F2F" w:rsidRDefault="006E7D7A" w:rsidP="007D1D34">
                            <w:pPr>
                              <w:spacing w:before="0" w:after="0"/>
                              <w:jc w:val="center"/>
                              <w:rPr>
                                <w:b/>
                                <w:szCs w:val="24"/>
                              </w:rPr>
                            </w:pPr>
                            <w:r w:rsidRPr="002E7F2F">
                              <w:rPr>
                                <w:b/>
                                <w:szCs w:val="24"/>
                              </w:rPr>
                              <w:t>BEST OFF PEOPLE</w:t>
                            </w:r>
                          </w:p>
                          <w:p w14:paraId="2AEB3365" w14:textId="77777777" w:rsidR="006E7D7A" w:rsidRDefault="006E7D7A"/>
                          <w:p w14:paraId="078679A3" w14:textId="77777777" w:rsidR="006E7D7A" w:rsidRPr="002E7F2F" w:rsidRDefault="006E7D7A" w:rsidP="007D1D34">
                            <w:pPr>
                              <w:spacing w:before="0" w:after="0"/>
                              <w:jc w:val="center"/>
                              <w:rPr>
                                <w:b/>
                                <w:szCs w:val="24"/>
                              </w:rPr>
                            </w:pPr>
                            <w:r w:rsidRPr="002E7F2F">
                              <w:rPr>
                                <w:b/>
                                <w:szCs w:val="24"/>
                              </w:rPr>
                              <w:t>BEST OFF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1D4D" id="Text Box 284" o:spid="_x0000_s1211" type="#_x0000_t202" style="position:absolute;left:0;text-align:left;margin-left:176.75pt;margin-top:2.65pt;width:160.8pt;height:22.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hRLwIAAFw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">
                <v:textbox>
                  <w:txbxContent>
                    <w:p w14:paraId="6ABA1A18" w14:textId="77777777" w:rsidR="006E7D7A" w:rsidRPr="002E7F2F" w:rsidRDefault="006E7D7A" w:rsidP="007D1D34">
                      <w:pPr>
                        <w:spacing w:before="0" w:after="0"/>
                        <w:jc w:val="center"/>
                        <w:rPr>
                          <w:b/>
                          <w:szCs w:val="24"/>
                        </w:rPr>
                      </w:pPr>
                      <w:r w:rsidRPr="002E7F2F">
                        <w:rPr>
                          <w:b/>
                          <w:szCs w:val="24"/>
                        </w:rPr>
                        <w:t>BEST OFF PEOPLE</w:t>
                      </w:r>
                    </w:p>
                    <w:p w14:paraId="0087EE14" w14:textId="77777777" w:rsidR="006E7D7A" w:rsidRDefault="006E7D7A"/>
                    <w:p w14:paraId="79C52332" w14:textId="77777777" w:rsidR="006E7D7A" w:rsidRPr="002E7F2F" w:rsidRDefault="006E7D7A" w:rsidP="007D1D34">
                      <w:pPr>
                        <w:spacing w:before="0" w:after="0"/>
                        <w:jc w:val="center"/>
                        <w:rPr>
                          <w:b/>
                          <w:szCs w:val="24"/>
                        </w:rPr>
                      </w:pPr>
                      <w:r w:rsidRPr="002E7F2F">
                        <w:rPr>
                          <w:b/>
                          <w:szCs w:val="24"/>
                        </w:rPr>
                        <w:t>BEST OFF PEOPLE</w:t>
                      </w:r>
                    </w:p>
                    <w:p w14:paraId="1AE41C45" w14:textId="77777777" w:rsidR="006E7D7A" w:rsidRDefault="006E7D7A"/>
                    <w:p w14:paraId="3C1D3FAF" w14:textId="77777777" w:rsidR="006E7D7A" w:rsidRPr="002E7F2F" w:rsidRDefault="006E7D7A" w:rsidP="007D1D34">
                      <w:pPr>
                        <w:spacing w:before="0" w:after="0"/>
                        <w:jc w:val="center"/>
                        <w:rPr>
                          <w:b/>
                          <w:szCs w:val="24"/>
                        </w:rPr>
                      </w:pPr>
                      <w:r w:rsidRPr="002E7F2F">
                        <w:rPr>
                          <w:b/>
                          <w:szCs w:val="24"/>
                        </w:rPr>
                        <w:t>BEST OFF PEOPLE</w:t>
                      </w:r>
                    </w:p>
                    <w:p w14:paraId="4920F464" w14:textId="77777777" w:rsidR="006E7D7A" w:rsidRDefault="006E7D7A"/>
                    <w:p w14:paraId="104C75AD" w14:textId="77777777" w:rsidR="006E7D7A" w:rsidRPr="002E7F2F" w:rsidRDefault="006E7D7A" w:rsidP="007D1D34">
                      <w:pPr>
                        <w:spacing w:before="0" w:after="0"/>
                        <w:jc w:val="center"/>
                        <w:rPr>
                          <w:b/>
                          <w:szCs w:val="24"/>
                        </w:rPr>
                      </w:pPr>
                      <w:r w:rsidRPr="002E7F2F">
                        <w:rPr>
                          <w:b/>
                          <w:szCs w:val="24"/>
                        </w:rPr>
                        <w:t>BEST OFF PEOPLE</w:t>
                      </w:r>
                    </w:p>
                    <w:p w14:paraId="604B1D0D" w14:textId="77777777" w:rsidR="006E7D7A" w:rsidRDefault="006E7D7A"/>
                    <w:p w14:paraId="6978D5A0" w14:textId="77777777" w:rsidR="006E7D7A" w:rsidRPr="002E7F2F" w:rsidRDefault="006E7D7A" w:rsidP="007D1D34">
                      <w:pPr>
                        <w:spacing w:before="0" w:after="0"/>
                        <w:jc w:val="center"/>
                        <w:rPr>
                          <w:b/>
                          <w:szCs w:val="24"/>
                        </w:rPr>
                      </w:pPr>
                      <w:r w:rsidRPr="002E7F2F">
                        <w:rPr>
                          <w:b/>
                          <w:szCs w:val="24"/>
                        </w:rPr>
                        <w:t>BEST OFF PEOPLE</w:t>
                      </w:r>
                    </w:p>
                    <w:p w14:paraId="5BA842D3" w14:textId="77777777" w:rsidR="006E7D7A" w:rsidRDefault="006E7D7A"/>
                    <w:p w14:paraId="6118817A" w14:textId="77777777" w:rsidR="006E7D7A" w:rsidRPr="002E7F2F" w:rsidRDefault="006E7D7A" w:rsidP="007D1D34">
                      <w:pPr>
                        <w:spacing w:before="0" w:after="0"/>
                        <w:jc w:val="center"/>
                        <w:rPr>
                          <w:b/>
                          <w:szCs w:val="24"/>
                        </w:rPr>
                      </w:pPr>
                      <w:r w:rsidRPr="002E7F2F">
                        <w:rPr>
                          <w:b/>
                          <w:szCs w:val="24"/>
                        </w:rPr>
                        <w:t>BEST OFF PEOPLE</w:t>
                      </w:r>
                    </w:p>
                    <w:p w14:paraId="042C0396" w14:textId="77777777" w:rsidR="006E7D7A" w:rsidRDefault="006E7D7A"/>
                    <w:p w14:paraId="1B51C47A" w14:textId="77777777" w:rsidR="006E7D7A" w:rsidRPr="002E7F2F" w:rsidRDefault="006E7D7A" w:rsidP="007D1D34">
                      <w:pPr>
                        <w:spacing w:before="0" w:after="0"/>
                        <w:jc w:val="center"/>
                        <w:rPr>
                          <w:b/>
                          <w:szCs w:val="24"/>
                        </w:rPr>
                      </w:pPr>
                      <w:r w:rsidRPr="002E7F2F">
                        <w:rPr>
                          <w:b/>
                          <w:szCs w:val="24"/>
                        </w:rPr>
                        <w:t>BEST OFF PEOPLE</w:t>
                      </w:r>
                    </w:p>
                    <w:p w14:paraId="2AEB3365" w14:textId="77777777" w:rsidR="006E7D7A" w:rsidRDefault="006E7D7A"/>
                    <w:p w14:paraId="078679A3" w14:textId="77777777" w:rsidR="006E7D7A" w:rsidRPr="002E7F2F" w:rsidRDefault="006E7D7A" w:rsidP="007D1D34">
                      <w:pPr>
                        <w:spacing w:before="0" w:after="0"/>
                        <w:jc w:val="center"/>
                        <w:rPr>
                          <w:b/>
                          <w:szCs w:val="24"/>
                        </w:rPr>
                      </w:pPr>
                      <w:r w:rsidRPr="002E7F2F">
                        <w:rPr>
                          <w:b/>
                          <w:szCs w:val="24"/>
                        </w:rPr>
                        <w:t>BEST OFF PEOPLE</w:t>
                      </w:r>
                    </w:p>
                  </w:txbxContent>
                </v:textbox>
              </v:shape>
            </w:pict>
          </mc:Fallback>
        </mc:AlternateContent>
      </w:r>
    </w:p>
    <w:p w14:paraId="00B0A786" w14:textId="299CA90E"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599360" behindDoc="0" locked="0" layoutInCell="1" allowOverlap="1" wp14:anchorId="7F03F14E" wp14:editId="702C64EE">
                <wp:simplePos x="0" y="0"/>
                <wp:positionH relativeFrom="column">
                  <wp:posOffset>1573530</wp:posOffset>
                </wp:positionH>
                <wp:positionV relativeFrom="paragraph">
                  <wp:posOffset>329565</wp:posOffset>
                </wp:positionV>
                <wp:extent cx="1619250" cy="5762625"/>
                <wp:effectExtent l="19050" t="0" r="38100" b="47625"/>
                <wp:wrapNone/>
                <wp:docPr id="6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57626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D9659" id="AutoShape 271" o:spid="_x0000_s1026" type="#_x0000_t32" style="position:absolute;margin-left:123.9pt;margin-top:25.95pt;width:127.5pt;height:453.75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" strokeweight="5pt"/>
            </w:pict>
          </mc:Fallback>
        </mc:AlternateContent>
      </w:r>
      <w:r w:rsidRPr="00787196">
        <w:rPr>
          <w:noProof/>
        </w:rPr>
        <mc:AlternateContent>
          <mc:Choice Requires="wps">
            <w:drawing>
              <wp:anchor distT="0" distB="0" distL="114300" distR="114300" simplePos="0" relativeHeight="251600384" behindDoc="0" locked="0" layoutInCell="1" allowOverlap="1" wp14:anchorId="554D3179" wp14:editId="7228FB10">
                <wp:simplePos x="0" y="0"/>
                <wp:positionH relativeFrom="column">
                  <wp:posOffset>3179445</wp:posOffset>
                </wp:positionH>
                <wp:positionV relativeFrom="paragraph">
                  <wp:posOffset>230505</wp:posOffset>
                </wp:positionV>
                <wp:extent cx="1552575" cy="5495925"/>
                <wp:effectExtent l="19050" t="0" r="47625" b="47625"/>
                <wp:wrapNone/>
                <wp:docPr id="67"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54959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99948" id="AutoShape 272" o:spid="_x0000_s1026" type="#_x0000_t32" style="position:absolute;margin-left:250.35pt;margin-top:18.15pt;width:122.25pt;height:432.7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" strokeweight="5pt"/>
            </w:pict>
          </mc:Fallback>
        </mc:AlternateContent>
      </w:r>
    </w:p>
    <w:p w14:paraId="14176393" w14:textId="456ABFC2"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1408" behindDoc="0" locked="0" layoutInCell="1" allowOverlap="1" wp14:anchorId="0D6FDDC8" wp14:editId="293497B7">
                <wp:simplePos x="0" y="0"/>
                <wp:positionH relativeFrom="column">
                  <wp:posOffset>3051810</wp:posOffset>
                </wp:positionH>
                <wp:positionV relativeFrom="paragraph">
                  <wp:posOffset>201295</wp:posOffset>
                </wp:positionV>
                <wp:extent cx="1591310" cy="332740"/>
                <wp:effectExtent l="0" t="0" r="27940" b="29210"/>
                <wp:wrapNone/>
                <wp:docPr id="6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31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B0AEF" id="AutoShape 273" o:spid="_x0000_s1026" type="#_x0000_t32" style="position:absolute;margin-left:240.3pt;margin-top:15.85pt;width:125.3pt;height:26.2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wPLQIAAE0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"/>
            </w:pict>
          </mc:Fallback>
        </mc:AlternateContent>
      </w:r>
    </w:p>
    <w:p w14:paraId="6053B21A" w14:textId="77777777" w:rsidR="00062AE7" w:rsidRPr="00787196" w:rsidRDefault="00062AE7" w:rsidP="00513F57">
      <w:pPr>
        <w:spacing w:before="0" w:after="0" w:line="240" w:lineRule="auto"/>
        <w:rPr>
          <w:rFonts w:cs="Arial"/>
          <w:sz w:val="48"/>
          <w:szCs w:val="48"/>
        </w:rPr>
      </w:pPr>
    </w:p>
    <w:p w14:paraId="05E48187" w14:textId="05EAB5A1"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2432" behindDoc="0" locked="0" layoutInCell="1" allowOverlap="1" wp14:anchorId="179BE793" wp14:editId="61AD078B">
                <wp:simplePos x="0" y="0"/>
                <wp:positionH relativeFrom="column">
                  <wp:posOffset>2921635</wp:posOffset>
                </wp:positionH>
                <wp:positionV relativeFrom="paragraph">
                  <wp:posOffset>-635</wp:posOffset>
                </wp:positionV>
                <wp:extent cx="1543050" cy="355600"/>
                <wp:effectExtent l="0" t="0" r="19050" b="25400"/>
                <wp:wrapNone/>
                <wp:docPr id="65"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67CA7" id="AutoShape 274" o:spid="_x0000_s1026" type="#_x0000_t32" style="position:absolute;margin-left:230.05pt;margin-top:-.05pt;width:121.5pt;height:28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"/>
            </w:pict>
          </mc:Fallback>
        </mc:AlternateContent>
      </w:r>
    </w:p>
    <w:p w14:paraId="2A49CD65" w14:textId="14A66DDA"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3456" behindDoc="0" locked="0" layoutInCell="1" allowOverlap="1" wp14:anchorId="530FA26E" wp14:editId="460744F3">
                <wp:simplePos x="0" y="0"/>
                <wp:positionH relativeFrom="column">
                  <wp:posOffset>2779395</wp:posOffset>
                </wp:positionH>
                <wp:positionV relativeFrom="paragraph">
                  <wp:posOffset>146685</wp:posOffset>
                </wp:positionV>
                <wp:extent cx="1567180" cy="415925"/>
                <wp:effectExtent l="0" t="0" r="33020" b="22225"/>
                <wp:wrapNone/>
                <wp:docPr id="64"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718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4109C" id="AutoShape 275" o:spid="_x0000_s1026" type="#_x0000_t32" style="position:absolute;margin-left:218.85pt;margin-top:11.55pt;width:123.4pt;height:32.75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bKwIAAE0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"/>
            </w:pict>
          </mc:Fallback>
        </mc:AlternateContent>
      </w:r>
    </w:p>
    <w:p w14:paraId="6C595BC1" w14:textId="77777777" w:rsidR="00062AE7" w:rsidRPr="00787196" w:rsidRDefault="00062AE7" w:rsidP="00513F57">
      <w:pPr>
        <w:spacing w:before="0" w:after="0" w:line="240" w:lineRule="auto"/>
        <w:rPr>
          <w:rFonts w:cs="Arial"/>
          <w:sz w:val="48"/>
          <w:szCs w:val="48"/>
        </w:rPr>
      </w:pPr>
    </w:p>
    <w:p w14:paraId="3B21E091" w14:textId="5E9992D5"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4480" behindDoc="0" locked="0" layoutInCell="1" allowOverlap="1" wp14:anchorId="19D7405D" wp14:editId="1FECF5DF">
                <wp:simplePos x="0" y="0"/>
                <wp:positionH relativeFrom="column">
                  <wp:posOffset>2541270</wp:posOffset>
                </wp:positionH>
                <wp:positionV relativeFrom="paragraph">
                  <wp:posOffset>15875</wp:posOffset>
                </wp:positionV>
                <wp:extent cx="1614805" cy="379730"/>
                <wp:effectExtent l="0" t="0" r="23495" b="20320"/>
                <wp:wrapNone/>
                <wp:docPr id="16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805"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C2B5B" id="AutoShape 276" o:spid="_x0000_s1026" type="#_x0000_t32" style="position:absolute;margin-left:200.1pt;margin-top:1.25pt;width:127.15pt;height:29.9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wzLgIAAE4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"/>
            </w:pict>
          </mc:Fallback>
        </mc:AlternateContent>
      </w:r>
    </w:p>
    <w:p w14:paraId="1DB0F26B" w14:textId="242D9D53"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5504" behindDoc="0" locked="0" layoutInCell="1" allowOverlap="1" wp14:anchorId="71CCE090" wp14:editId="60A12C73">
                <wp:simplePos x="0" y="0"/>
                <wp:positionH relativeFrom="column">
                  <wp:posOffset>2398395</wp:posOffset>
                </wp:positionH>
                <wp:positionV relativeFrom="paragraph">
                  <wp:posOffset>151765</wp:posOffset>
                </wp:positionV>
                <wp:extent cx="1664335" cy="415290"/>
                <wp:effectExtent l="0" t="0" r="31115" b="22860"/>
                <wp:wrapNone/>
                <wp:docPr id="162"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433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0908A" id="AutoShape 277" o:spid="_x0000_s1026" type="#_x0000_t32" style="position:absolute;margin-left:188.85pt;margin-top:11.95pt;width:131.05pt;height:32.7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"/>
            </w:pict>
          </mc:Fallback>
        </mc:AlternateContent>
      </w:r>
    </w:p>
    <w:p w14:paraId="2850C13F" w14:textId="77777777" w:rsidR="00062AE7" w:rsidRPr="00787196" w:rsidRDefault="00062AE7" w:rsidP="00513F57">
      <w:pPr>
        <w:spacing w:before="0" w:after="0" w:line="240" w:lineRule="auto"/>
        <w:rPr>
          <w:rFonts w:cs="Arial"/>
          <w:sz w:val="48"/>
          <w:szCs w:val="48"/>
        </w:rPr>
      </w:pPr>
    </w:p>
    <w:p w14:paraId="3D126794" w14:textId="5F069514"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09600" behindDoc="0" locked="0" layoutInCell="1" allowOverlap="1" wp14:anchorId="5BCFD7AB" wp14:editId="223319B6">
                <wp:simplePos x="0" y="0"/>
                <wp:positionH relativeFrom="column">
                  <wp:posOffset>2244090</wp:posOffset>
                </wp:positionH>
                <wp:positionV relativeFrom="paragraph">
                  <wp:posOffset>45720</wp:posOffset>
                </wp:positionV>
                <wp:extent cx="1640840" cy="391795"/>
                <wp:effectExtent l="0" t="0" r="35560" b="27305"/>
                <wp:wrapNone/>
                <wp:docPr id="161"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0840"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A2306" id="AutoShape 278" o:spid="_x0000_s1026" type="#_x0000_t32" style="position:absolute;margin-left:176.7pt;margin-top:3.6pt;width:129.2pt;height:30.8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"/>
            </w:pict>
          </mc:Fallback>
        </mc:AlternateContent>
      </w:r>
    </w:p>
    <w:p w14:paraId="061C5C81" w14:textId="70C8AC0C" w:rsidR="00062AE7"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11648" behindDoc="0" locked="0" layoutInCell="1" allowOverlap="1" wp14:anchorId="4F918F91" wp14:editId="1D6E1E1B">
                <wp:simplePos x="0" y="0"/>
                <wp:positionH relativeFrom="column">
                  <wp:posOffset>2101850</wp:posOffset>
                </wp:positionH>
                <wp:positionV relativeFrom="paragraph">
                  <wp:posOffset>241300</wp:posOffset>
                </wp:positionV>
                <wp:extent cx="1604645" cy="391795"/>
                <wp:effectExtent l="0" t="0" r="33655" b="27305"/>
                <wp:wrapNone/>
                <wp:docPr id="160"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4645"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1079D" id="AutoShape 279" o:spid="_x0000_s1026" type="#_x0000_t32" style="position:absolute;margin-left:165.5pt;margin-top:19pt;width:126.35pt;height:30.85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"/>
            </w:pict>
          </mc:Fallback>
        </mc:AlternateContent>
      </w:r>
    </w:p>
    <w:p w14:paraId="09157C23" w14:textId="77777777" w:rsidR="00062AE7" w:rsidRPr="00787196" w:rsidRDefault="00062AE7" w:rsidP="00513F57">
      <w:pPr>
        <w:spacing w:before="0" w:after="0" w:line="240" w:lineRule="auto"/>
        <w:rPr>
          <w:rFonts w:cs="Arial"/>
        </w:rPr>
      </w:pPr>
    </w:p>
    <w:p w14:paraId="1847F1D5" w14:textId="77777777" w:rsidR="00062AE7" w:rsidRPr="00787196" w:rsidRDefault="00062AE7" w:rsidP="00513F57">
      <w:pPr>
        <w:spacing w:before="0" w:after="0" w:line="240" w:lineRule="auto"/>
        <w:rPr>
          <w:rFonts w:cs="Arial"/>
        </w:rPr>
      </w:pPr>
    </w:p>
    <w:p w14:paraId="1B1524D0" w14:textId="0EDEE168" w:rsidR="00062AE7"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12672" behindDoc="0" locked="0" layoutInCell="1" allowOverlap="1" wp14:anchorId="1E3D7C5A" wp14:editId="2485B41F">
                <wp:simplePos x="0" y="0"/>
                <wp:positionH relativeFrom="column">
                  <wp:posOffset>1983105</wp:posOffset>
                </wp:positionH>
                <wp:positionV relativeFrom="paragraph">
                  <wp:posOffset>107315</wp:posOffset>
                </wp:positionV>
                <wp:extent cx="1644015" cy="371475"/>
                <wp:effectExtent l="0" t="0" r="32385" b="28575"/>
                <wp:wrapNone/>
                <wp:docPr id="63"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01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3FD29" id="AutoShape 280" o:spid="_x0000_s1026" type="#_x0000_t32" style="position:absolute;margin-left:156.15pt;margin-top:8.45pt;width:129.45pt;height:29.2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LFLQ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"/>
            </w:pict>
          </mc:Fallback>
        </mc:AlternateContent>
      </w:r>
    </w:p>
    <w:p w14:paraId="15320E64" w14:textId="77777777" w:rsidR="00062AE7" w:rsidRPr="00787196" w:rsidRDefault="00062AE7" w:rsidP="00513F57">
      <w:pPr>
        <w:spacing w:before="0" w:after="0" w:line="240" w:lineRule="auto"/>
        <w:rPr>
          <w:rFonts w:cs="Arial"/>
        </w:rPr>
      </w:pPr>
    </w:p>
    <w:p w14:paraId="3C5EC91A" w14:textId="77777777" w:rsidR="00062AE7" w:rsidRPr="00787196" w:rsidRDefault="00062AE7" w:rsidP="00513F57">
      <w:pPr>
        <w:spacing w:before="0" w:after="0" w:line="240" w:lineRule="auto"/>
        <w:rPr>
          <w:rFonts w:cs="Arial"/>
        </w:rPr>
      </w:pPr>
    </w:p>
    <w:p w14:paraId="1B55BBD2" w14:textId="3A146A61" w:rsidR="00062AE7"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14720" behindDoc="0" locked="0" layoutInCell="1" allowOverlap="1" wp14:anchorId="37D857E5" wp14:editId="385BD996">
                <wp:simplePos x="0" y="0"/>
                <wp:positionH relativeFrom="column">
                  <wp:posOffset>1865630</wp:posOffset>
                </wp:positionH>
                <wp:positionV relativeFrom="paragraph">
                  <wp:posOffset>121920</wp:posOffset>
                </wp:positionV>
                <wp:extent cx="1533525" cy="342900"/>
                <wp:effectExtent l="0" t="0" r="28575" b="19050"/>
                <wp:wrapNone/>
                <wp:docPr id="6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1188F" id="AutoShape 281" o:spid="_x0000_s1026" type="#_x0000_t32" style="position:absolute;margin-left:146.9pt;margin-top:9.6pt;width:120.75pt;height:27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"/>
            </w:pict>
          </mc:Fallback>
        </mc:AlternateContent>
      </w:r>
    </w:p>
    <w:p w14:paraId="431324CE" w14:textId="77777777" w:rsidR="00062AE7" w:rsidRPr="00787196" w:rsidRDefault="00062AE7" w:rsidP="00513F57">
      <w:pPr>
        <w:spacing w:before="0" w:after="0" w:line="240" w:lineRule="auto"/>
        <w:rPr>
          <w:rFonts w:cs="Arial"/>
        </w:rPr>
      </w:pPr>
    </w:p>
    <w:p w14:paraId="5077D18B" w14:textId="77777777" w:rsidR="00062AE7" w:rsidRPr="00787196" w:rsidRDefault="00062AE7" w:rsidP="00513F57">
      <w:pPr>
        <w:spacing w:before="0" w:after="0" w:line="240" w:lineRule="auto"/>
        <w:rPr>
          <w:rFonts w:cs="Arial"/>
        </w:rPr>
      </w:pPr>
    </w:p>
    <w:p w14:paraId="1FAEB21E" w14:textId="6503A9EB" w:rsidR="00062AE7"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15744" behindDoc="0" locked="0" layoutInCell="1" allowOverlap="1" wp14:anchorId="01B0C5CF" wp14:editId="36B71E8B">
                <wp:simplePos x="0" y="0"/>
                <wp:positionH relativeFrom="column">
                  <wp:posOffset>1722120</wp:posOffset>
                </wp:positionH>
                <wp:positionV relativeFrom="paragraph">
                  <wp:posOffset>106045</wp:posOffset>
                </wp:positionV>
                <wp:extent cx="1595755" cy="333375"/>
                <wp:effectExtent l="0" t="0" r="23495" b="28575"/>
                <wp:wrapNone/>
                <wp:docPr id="6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575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05D33" id="AutoShape 282" o:spid="_x0000_s1026" type="#_x0000_t32" style="position:absolute;margin-left:135.6pt;margin-top:8.35pt;width:125.65pt;height:26.2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"/>
            </w:pict>
          </mc:Fallback>
        </mc:AlternateContent>
      </w:r>
    </w:p>
    <w:p w14:paraId="0BF3DC9A" w14:textId="77777777" w:rsidR="00062AE7" w:rsidRPr="00787196" w:rsidRDefault="00062AE7" w:rsidP="00513F57">
      <w:pPr>
        <w:spacing w:before="0" w:after="0" w:line="240" w:lineRule="auto"/>
        <w:rPr>
          <w:rFonts w:cs="Arial"/>
        </w:rPr>
      </w:pPr>
    </w:p>
    <w:p w14:paraId="2562C029" w14:textId="77777777" w:rsidR="005E2DF1" w:rsidRPr="00787196" w:rsidRDefault="005E2DF1" w:rsidP="00513F57">
      <w:pPr>
        <w:spacing w:before="0" w:after="0" w:line="240" w:lineRule="auto"/>
        <w:rPr>
          <w:rFonts w:cs="Arial"/>
        </w:rPr>
      </w:pPr>
    </w:p>
    <w:p w14:paraId="3F4F07E9" w14:textId="77777777" w:rsidR="000B710C" w:rsidRPr="00787196" w:rsidRDefault="000B710C" w:rsidP="00513F57">
      <w:pPr>
        <w:spacing w:before="0" w:after="0" w:line="240" w:lineRule="auto"/>
        <w:rPr>
          <w:rFonts w:cs="Arial"/>
        </w:rPr>
      </w:pPr>
    </w:p>
    <w:p w14:paraId="4FF85F2E" w14:textId="387A1A48" w:rsidR="00062AE7"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17792" behindDoc="0" locked="0" layoutInCell="1" allowOverlap="1" wp14:anchorId="75A152F7" wp14:editId="770EBA4E">
                <wp:simplePos x="0" y="0"/>
                <wp:positionH relativeFrom="column">
                  <wp:posOffset>2112143</wp:posOffset>
                </wp:positionH>
                <wp:positionV relativeFrom="paragraph">
                  <wp:posOffset>80636</wp:posOffset>
                </wp:positionV>
                <wp:extent cx="2047875" cy="330200"/>
                <wp:effectExtent l="0" t="0" r="28575" b="12700"/>
                <wp:wrapNone/>
                <wp:docPr id="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30200"/>
                        </a:xfrm>
                        <a:prstGeom prst="rect">
                          <a:avLst/>
                        </a:prstGeom>
                        <a:solidFill>
                          <a:srgbClr val="FFFFFF"/>
                        </a:solidFill>
                        <a:ln w="9525">
                          <a:solidFill>
                            <a:srgbClr val="000000"/>
                          </a:solidFill>
                          <a:miter lim="800000"/>
                          <a:headEnd/>
                          <a:tailEnd/>
                        </a:ln>
                      </wps:spPr>
                      <wps:txbx>
                        <w:txbxContent>
                          <w:p w14:paraId="07E5285C" w14:textId="77777777" w:rsidR="006E7D7A" w:rsidRPr="00A44C07" w:rsidRDefault="006E7D7A" w:rsidP="00976254">
                            <w:pPr>
                              <w:spacing w:before="0" w:after="0"/>
                              <w:jc w:val="center"/>
                              <w:rPr>
                                <w:b/>
                                <w:szCs w:val="24"/>
                              </w:rPr>
                            </w:pPr>
                            <w:r w:rsidRPr="00A44C07">
                              <w:rPr>
                                <w:b/>
                                <w:szCs w:val="24"/>
                              </w:rPr>
                              <w:t>WORST OFF PEOPLE</w:t>
                            </w:r>
                          </w:p>
                          <w:p w14:paraId="7D4A16A7" w14:textId="77777777" w:rsidR="006E7D7A" w:rsidRDefault="006E7D7A"/>
                          <w:p w14:paraId="1E53FE94" w14:textId="77777777" w:rsidR="006E7D7A" w:rsidRPr="00A44C07" w:rsidRDefault="006E7D7A" w:rsidP="00976254">
                            <w:pPr>
                              <w:spacing w:before="0" w:after="0"/>
                              <w:jc w:val="center"/>
                              <w:rPr>
                                <w:b/>
                                <w:szCs w:val="24"/>
                              </w:rPr>
                            </w:pPr>
                            <w:r w:rsidRPr="00A44C07">
                              <w:rPr>
                                <w:b/>
                                <w:szCs w:val="24"/>
                              </w:rPr>
                              <w:t>WORST OFF PEOPLE</w:t>
                            </w:r>
                          </w:p>
                          <w:p w14:paraId="175A3BA0" w14:textId="77777777" w:rsidR="006E7D7A" w:rsidRDefault="006E7D7A"/>
                          <w:p w14:paraId="7BAE2404" w14:textId="77777777" w:rsidR="006E7D7A" w:rsidRPr="00A44C07" w:rsidRDefault="006E7D7A" w:rsidP="00976254">
                            <w:pPr>
                              <w:spacing w:before="0" w:after="0"/>
                              <w:jc w:val="center"/>
                              <w:rPr>
                                <w:b/>
                                <w:szCs w:val="24"/>
                              </w:rPr>
                            </w:pPr>
                            <w:r w:rsidRPr="00A44C07">
                              <w:rPr>
                                <w:b/>
                                <w:szCs w:val="24"/>
                              </w:rPr>
                              <w:t>WORST OFF PEOPLE</w:t>
                            </w:r>
                          </w:p>
                          <w:p w14:paraId="62A8A4D0" w14:textId="77777777" w:rsidR="006E7D7A" w:rsidRDefault="006E7D7A"/>
                          <w:p w14:paraId="7AC7A709" w14:textId="77777777" w:rsidR="006E7D7A" w:rsidRPr="00A44C07" w:rsidRDefault="006E7D7A" w:rsidP="00976254">
                            <w:pPr>
                              <w:spacing w:before="0" w:after="0"/>
                              <w:jc w:val="center"/>
                              <w:rPr>
                                <w:b/>
                                <w:szCs w:val="24"/>
                              </w:rPr>
                            </w:pPr>
                            <w:r w:rsidRPr="00A44C07">
                              <w:rPr>
                                <w:b/>
                                <w:szCs w:val="24"/>
                              </w:rPr>
                              <w:t>WORST OFF PEOPLE</w:t>
                            </w:r>
                          </w:p>
                          <w:p w14:paraId="585FFE8D" w14:textId="77777777" w:rsidR="006E7D7A" w:rsidRDefault="006E7D7A"/>
                          <w:p w14:paraId="3475369E" w14:textId="77777777" w:rsidR="006E7D7A" w:rsidRPr="00A44C07" w:rsidRDefault="006E7D7A" w:rsidP="00976254">
                            <w:pPr>
                              <w:spacing w:before="0" w:after="0"/>
                              <w:jc w:val="center"/>
                              <w:rPr>
                                <w:b/>
                                <w:szCs w:val="24"/>
                              </w:rPr>
                            </w:pPr>
                            <w:r w:rsidRPr="00A44C07">
                              <w:rPr>
                                <w:b/>
                                <w:szCs w:val="24"/>
                              </w:rPr>
                              <w:t>WORST OFF PEOPLE</w:t>
                            </w:r>
                          </w:p>
                          <w:p w14:paraId="0FBD09E4" w14:textId="77777777" w:rsidR="006E7D7A" w:rsidRDefault="006E7D7A"/>
                          <w:p w14:paraId="62313609" w14:textId="77777777" w:rsidR="006E7D7A" w:rsidRPr="00A44C07" w:rsidRDefault="006E7D7A" w:rsidP="00976254">
                            <w:pPr>
                              <w:spacing w:before="0" w:after="0"/>
                              <w:jc w:val="center"/>
                              <w:rPr>
                                <w:b/>
                                <w:szCs w:val="24"/>
                              </w:rPr>
                            </w:pPr>
                            <w:r w:rsidRPr="00A44C07">
                              <w:rPr>
                                <w:b/>
                                <w:szCs w:val="24"/>
                              </w:rPr>
                              <w:t>WORST OFF PEOPLE</w:t>
                            </w:r>
                          </w:p>
                          <w:p w14:paraId="14F2D8AE" w14:textId="77777777" w:rsidR="006E7D7A" w:rsidRDefault="006E7D7A"/>
                          <w:p w14:paraId="3AA090CE" w14:textId="77777777" w:rsidR="006E7D7A" w:rsidRPr="00A44C07" w:rsidRDefault="006E7D7A" w:rsidP="00976254">
                            <w:pPr>
                              <w:spacing w:before="0" w:after="0"/>
                              <w:jc w:val="center"/>
                              <w:rPr>
                                <w:b/>
                                <w:szCs w:val="24"/>
                              </w:rPr>
                            </w:pPr>
                            <w:r w:rsidRPr="00A44C07">
                              <w:rPr>
                                <w:b/>
                                <w:szCs w:val="24"/>
                              </w:rPr>
                              <w:t>WORST OFF PEOPLE</w:t>
                            </w:r>
                          </w:p>
                          <w:p w14:paraId="3CDFF8F1" w14:textId="77777777" w:rsidR="006E7D7A" w:rsidRDefault="006E7D7A"/>
                          <w:p w14:paraId="72538D34" w14:textId="77777777" w:rsidR="006E7D7A" w:rsidRPr="00A44C07" w:rsidRDefault="006E7D7A" w:rsidP="00976254">
                            <w:pPr>
                              <w:spacing w:before="0" w:after="0"/>
                              <w:jc w:val="center"/>
                              <w:rPr>
                                <w:b/>
                                <w:szCs w:val="24"/>
                              </w:rPr>
                            </w:pPr>
                            <w:r w:rsidRPr="00A44C07">
                              <w:rPr>
                                <w:b/>
                                <w:szCs w:val="24"/>
                              </w:rPr>
                              <w:t>WORST OFF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52F7" id="Text Box 283" o:spid="_x0000_s1212" type="#_x0000_t202" style="position:absolute;left:0;text-align:left;margin-left:166.3pt;margin-top:6.35pt;width:161.25pt;height:2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nWMAIAAFw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">
                <v:textbox>
                  <w:txbxContent>
                    <w:p w14:paraId="07E5285C" w14:textId="77777777" w:rsidR="006E7D7A" w:rsidRPr="00A44C07" w:rsidRDefault="006E7D7A" w:rsidP="00976254">
                      <w:pPr>
                        <w:spacing w:before="0" w:after="0"/>
                        <w:jc w:val="center"/>
                        <w:rPr>
                          <w:b/>
                          <w:szCs w:val="24"/>
                        </w:rPr>
                      </w:pPr>
                      <w:r w:rsidRPr="00A44C07">
                        <w:rPr>
                          <w:b/>
                          <w:szCs w:val="24"/>
                        </w:rPr>
                        <w:t>WORST OFF PEOPLE</w:t>
                      </w:r>
                    </w:p>
                    <w:p w14:paraId="7D4A16A7" w14:textId="77777777" w:rsidR="006E7D7A" w:rsidRDefault="006E7D7A"/>
                    <w:p w14:paraId="1E53FE94" w14:textId="77777777" w:rsidR="006E7D7A" w:rsidRPr="00A44C07" w:rsidRDefault="006E7D7A" w:rsidP="00976254">
                      <w:pPr>
                        <w:spacing w:before="0" w:after="0"/>
                        <w:jc w:val="center"/>
                        <w:rPr>
                          <w:b/>
                          <w:szCs w:val="24"/>
                        </w:rPr>
                      </w:pPr>
                      <w:r w:rsidRPr="00A44C07">
                        <w:rPr>
                          <w:b/>
                          <w:szCs w:val="24"/>
                        </w:rPr>
                        <w:t>WORST OFF PEOPLE</w:t>
                      </w:r>
                    </w:p>
                    <w:p w14:paraId="175A3BA0" w14:textId="77777777" w:rsidR="006E7D7A" w:rsidRDefault="006E7D7A"/>
                    <w:p w14:paraId="7BAE2404" w14:textId="77777777" w:rsidR="006E7D7A" w:rsidRPr="00A44C07" w:rsidRDefault="006E7D7A" w:rsidP="00976254">
                      <w:pPr>
                        <w:spacing w:before="0" w:after="0"/>
                        <w:jc w:val="center"/>
                        <w:rPr>
                          <w:b/>
                          <w:szCs w:val="24"/>
                        </w:rPr>
                      </w:pPr>
                      <w:r w:rsidRPr="00A44C07">
                        <w:rPr>
                          <w:b/>
                          <w:szCs w:val="24"/>
                        </w:rPr>
                        <w:t>WORST OFF PEOPLE</w:t>
                      </w:r>
                    </w:p>
                    <w:p w14:paraId="62A8A4D0" w14:textId="77777777" w:rsidR="006E7D7A" w:rsidRDefault="006E7D7A"/>
                    <w:p w14:paraId="7AC7A709" w14:textId="77777777" w:rsidR="006E7D7A" w:rsidRPr="00A44C07" w:rsidRDefault="006E7D7A" w:rsidP="00976254">
                      <w:pPr>
                        <w:spacing w:before="0" w:after="0"/>
                        <w:jc w:val="center"/>
                        <w:rPr>
                          <w:b/>
                          <w:szCs w:val="24"/>
                        </w:rPr>
                      </w:pPr>
                      <w:r w:rsidRPr="00A44C07">
                        <w:rPr>
                          <w:b/>
                          <w:szCs w:val="24"/>
                        </w:rPr>
                        <w:t>WORST OFF PEOPLE</w:t>
                      </w:r>
                    </w:p>
                    <w:p w14:paraId="585FFE8D" w14:textId="77777777" w:rsidR="006E7D7A" w:rsidRDefault="006E7D7A"/>
                    <w:p w14:paraId="3475369E" w14:textId="77777777" w:rsidR="006E7D7A" w:rsidRPr="00A44C07" w:rsidRDefault="006E7D7A" w:rsidP="00976254">
                      <w:pPr>
                        <w:spacing w:before="0" w:after="0"/>
                        <w:jc w:val="center"/>
                        <w:rPr>
                          <w:b/>
                          <w:szCs w:val="24"/>
                        </w:rPr>
                      </w:pPr>
                      <w:r w:rsidRPr="00A44C07">
                        <w:rPr>
                          <w:b/>
                          <w:szCs w:val="24"/>
                        </w:rPr>
                        <w:t>WORST OFF PEOPLE</w:t>
                      </w:r>
                    </w:p>
                    <w:p w14:paraId="0FBD09E4" w14:textId="77777777" w:rsidR="006E7D7A" w:rsidRDefault="006E7D7A"/>
                    <w:p w14:paraId="62313609" w14:textId="77777777" w:rsidR="006E7D7A" w:rsidRPr="00A44C07" w:rsidRDefault="006E7D7A" w:rsidP="00976254">
                      <w:pPr>
                        <w:spacing w:before="0" w:after="0"/>
                        <w:jc w:val="center"/>
                        <w:rPr>
                          <w:b/>
                          <w:szCs w:val="24"/>
                        </w:rPr>
                      </w:pPr>
                      <w:r w:rsidRPr="00A44C07">
                        <w:rPr>
                          <w:b/>
                          <w:szCs w:val="24"/>
                        </w:rPr>
                        <w:t>WORST OFF PEOPLE</w:t>
                      </w:r>
                    </w:p>
                    <w:p w14:paraId="14F2D8AE" w14:textId="77777777" w:rsidR="006E7D7A" w:rsidRDefault="006E7D7A"/>
                    <w:p w14:paraId="3AA090CE" w14:textId="77777777" w:rsidR="006E7D7A" w:rsidRPr="00A44C07" w:rsidRDefault="006E7D7A" w:rsidP="00976254">
                      <w:pPr>
                        <w:spacing w:before="0" w:after="0"/>
                        <w:jc w:val="center"/>
                        <w:rPr>
                          <w:b/>
                          <w:szCs w:val="24"/>
                        </w:rPr>
                      </w:pPr>
                      <w:r w:rsidRPr="00A44C07">
                        <w:rPr>
                          <w:b/>
                          <w:szCs w:val="24"/>
                        </w:rPr>
                        <w:t>WORST OFF PEOPLE</w:t>
                      </w:r>
                    </w:p>
                    <w:p w14:paraId="3CDFF8F1" w14:textId="77777777" w:rsidR="006E7D7A" w:rsidRDefault="006E7D7A"/>
                    <w:p w14:paraId="72538D34" w14:textId="77777777" w:rsidR="006E7D7A" w:rsidRPr="00A44C07" w:rsidRDefault="006E7D7A" w:rsidP="00976254">
                      <w:pPr>
                        <w:spacing w:before="0" w:after="0"/>
                        <w:jc w:val="center"/>
                        <w:rPr>
                          <w:b/>
                          <w:szCs w:val="24"/>
                        </w:rPr>
                      </w:pPr>
                      <w:r w:rsidRPr="00A44C07">
                        <w:rPr>
                          <w:b/>
                          <w:szCs w:val="24"/>
                        </w:rPr>
                        <w:t>WORST OFF PEOPLE</w:t>
                      </w:r>
                    </w:p>
                  </w:txbxContent>
                </v:textbox>
              </v:shape>
            </w:pict>
          </mc:Fallback>
        </mc:AlternateContent>
      </w:r>
    </w:p>
    <w:p w14:paraId="68CFCE15" w14:textId="77777777" w:rsidR="00062AE7" w:rsidRPr="00787196" w:rsidRDefault="00062AE7" w:rsidP="00513F57">
      <w:pPr>
        <w:spacing w:before="0" w:after="0" w:line="240" w:lineRule="auto"/>
        <w:rPr>
          <w:rFonts w:cs="Arial"/>
          <w:b/>
        </w:rPr>
      </w:pPr>
      <w:r w:rsidRPr="00787196">
        <w:rPr>
          <w:rFonts w:cs="Arial"/>
          <w:b/>
        </w:rPr>
        <w:t>Concern about your mouth and teeth</w:t>
      </w:r>
    </w:p>
    <w:p w14:paraId="0721E80E" w14:textId="77777777" w:rsidR="00EB4264" w:rsidRPr="00787196" w:rsidRDefault="00EB4264" w:rsidP="00513F57">
      <w:pPr>
        <w:spacing w:before="0" w:after="0" w:line="240" w:lineRule="auto"/>
        <w:rPr>
          <w:rFonts w:cs="Arial"/>
          <w:bCs/>
        </w:rPr>
      </w:pPr>
    </w:p>
    <w:p w14:paraId="3AD00E32" w14:textId="22753BC7" w:rsidR="00062AE7" w:rsidRPr="00787196" w:rsidRDefault="00062AE7" w:rsidP="00513F57">
      <w:pPr>
        <w:spacing w:before="0" w:after="0" w:line="240" w:lineRule="auto"/>
        <w:rPr>
          <w:rFonts w:cs="Arial"/>
          <w:bCs/>
        </w:rPr>
      </w:pPr>
      <w:r w:rsidRPr="00787196">
        <w:rPr>
          <w:rFonts w:cs="Arial"/>
          <w:bCs/>
        </w:rPr>
        <w:t xml:space="preserve">The following questions in the scale ask about the level of concern and needs you have upon your mouth and teeth in daily life. There are no correct answers to any of these questions, rather a range of acceptable views. For </w:t>
      </w:r>
      <w:r w:rsidR="000B710C" w:rsidRPr="00787196">
        <w:rPr>
          <w:rFonts w:cs="Arial"/>
          <w:bCs/>
        </w:rPr>
        <w:t>example,</w:t>
      </w:r>
      <w:r w:rsidRPr="00787196">
        <w:rPr>
          <w:rFonts w:cs="Arial"/>
          <w:bCs/>
        </w:rPr>
        <w:t xml:space="preserve"> some people think mouth and teeth are very important, whereas some people think they </w:t>
      </w:r>
      <w:r w:rsidR="00EB4264" w:rsidRPr="00787196">
        <w:rPr>
          <w:rFonts w:cs="Arial"/>
          <w:bCs/>
        </w:rPr>
        <w:t>a</w:t>
      </w:r>
      <w:r w:rsidRPr="00787196">
        <w:rPr>
          <w:rFonts w:cs="Arial"/>
          <w:bCs/>
        </w:rPr>
        <w:t xml:space="preserve">re not </w:t>
      </w:r>
      <w:r w:rsidR="00F36BFF" w:rsidRPr="00787196">
        <w:rPr>
          <w:rFonts w:cs="Arial"/>
          <w:bCs/>
        </w:rPr>
        <w:t>important. Please</w:t>
      </w:r>
      <w:r w:rsidRPr="00787196">
        <w:rPr>
          <w:rFonts w:cs="Arial"/>
          <w:bCs/>
        </w:rPr>
        <w:t xml:space="preserve"> tick an appropriate choice that you best agree with.  </w:t>
      </w:r>
    </w:p>
    <w:tbl>
      <w:tblPr>
        <w:tblpPr w:leftFromText="180" w:rightFromText="180" w:vertAnchor="page" w:horzAnchor="margin" w:tblpY="4115"/>
        <w:tblW w:w="83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61"/>
        <w:gridCol w:w="1369"/>
        <w:gridCol w:w="788"/>
        <w:gridCol w:w="1014"/>
        <w:gridCol w:w="993"/>
        <w:gridCol w:w="1169"/>
      </w:tblGrid>
      <w:tr w:rsidR="00062AE7" w:rsidRPr="00787196" w14:paraId="4F25F9C2" w14:textId="77777777" w:rsidTr="000B710C">
        <w:trPr>
          <w:trHeight w:val="671"/>
        </w:trPr>
        <w:tc>
          <w:tcPr>
            <w:tcW w:w="3061" w:type="dxa"/>
            <w:shd w:val="clear" w:color="auto" w:fill="auto"/>
            <w:vAlign w:val="center"/>
          </w:tcPr>
          <w:p w14:paraId="5ABD54FA" w14:textId="77777777" w:rsidR="00062AE7" w:rsidRPr="00787196" w:rsidRDefault="00062AE7" w:rsidP="005C2A75">
            <w:pPr>
              <w:spacing w:before="0" w:after="0" w:line="240" w:lineRule="auto"/>
              <w:rPr>
                <w:rFonts w:eastAsia="Calibri" w:cs="Arial"/>
                <w:lang w:eastAsia="en-US" w:bidi="ar-SA"/>
              </w:rPr>
            </w:pPr>
          </w:p>
        </w:tc>
        <w:tc>
          <w:tcPr>
            <w:tcW w:w="1369" w:type="dxa"/>
            <w:shd w:val="clear" w:color="auto" w:fill="auto"/>
            <w:vAlign w:val="center"/>
          </w:tcPr>
          <w:p w14:paraId="2C71D93B" w14:textId="77777777" w:rsidR="00062AE7" w:rsidRPr="00787196" w:rsidRDefault="00062AE7" w:rsidP="005C2A75">
            <w:pPr>
              <w:spacing w:before="0" w:after="0" w:line="240" w:lineRule="auto"/>
              <w:jc w:val="center"/>
              <w:rPr>
                <w:rFonts w:eastAsia="Calibri" w:cs="Arial"/>
                <w:bCs/>
                <w:sz w:val="18"/>
                <w:szCs w:val="18"/>
                <w:lang w:eastAsia="en-US" w:bidi="ar-SA"/>
              </w:rPr>
            </w:pPr>
            <w:r w:rsidRPr="00787196">
              <w:rPr>
                <w:rFonts w:eastAsia="Calibri" w:cs="Arial"/>
                <w:bCs/>
                <w:sz w:val="18"/>
                <w:szCs w:val="18"/>
                <w:lang w:eastAsia="en-US" w:bidi="ar-SA"/>
              </w:rPr>
              <w:t>Strongly agree</w:t>
            </w:r>
          </w:p>
        </w:tc>
        <w:tc>
          <w:tcPr>
            <w:tcW w:w="788" w:type="dxa"/>
            <w:shd w:val="clear" w:color="auto" w:fill="auto"/>
            <w:vAlign w:val="center"/>
          </w:tcPr>
          <w:p w14:paraId="26A7812E" w14:textId="77777777" w:rsidR="00062AE7" w:rsidRPr="00787196" w:rsidRDefault="00062AE7" w:rsidP="005C2A75">
            <w:pPr>
              <w:spacing w:before="0" w:after="0" w:line="240" w:lineRule="auto"/>
              <w:jc w:val="center"/>
              <w:rPr>
                <w:rFonts w:eastAsia="Calibri" w:cs="Arial"/>
                <w:bCs/>
                <w:sz w:val="18"/>
                <w:szCs w:val="18"/>
                <w:lang w:eastAsia="en-US" w:bidi="ar-SA"/>
              </w:rPr>
            </w:pPr>
            <w:r w:rsidRPr="00787196">
              <w:rPr>
                <w:rFonts w:eastAsia="Calibri" w:cs="Arial"/>
                <w:bCs/>
                <w:sz w:val="18"/>
                <w:szCs w:val="18"/>
                <w:lang w:eastAsia="en-US" w:bidi="ar-SA"/>
              </w:rPr>
              <w:t>Agree</w:t>
            </w:r>
          </w:p>
        </w:tc>
        <w:tc>
          <w:tcPr>
            <w:tcW w:w="1014" w:type="dxa"/>
            <w:shd w:val="clear" w:color="auto" w:fill="auto"/>
            <w:vAlign w:val="center"/>
          </w:tcPr>
          <w:p w14:paraId="031385E6" w14:textId="77777777" w:rsidR="00062AE7" w:rsidRPr="00787196" w:rsidRDefault="00062AE7" w:rsidP="005C2A75">
            <w:pPr>
              <w:spacing w:before="0" w:after="0" w:line="240" w:lineRule="auto"/>
              <w:jc w:val="center"/>
              <w:rPr>
                <w:rFonts w:eastAsia="Calibri" w:cs="Arial"/>
                <w:bCs/>
                <w:sz w:val="18"/>
                <w:szCs w:val="18"/>
                <w:lang w:eastAsia="en-US" w:bidi="ar-SA"/>
              </w:rPr>
            </w:pPr>
            <w:r w:rsidRPr="00787196">
              <w:rPr>
                <w:rFonts w:eastAsia="Calibri" w:cs="Arial"/>
                <w:bCs/>
                <w:sz w:val="18"/>
                <w:szCs w:val="18"/>
                <w:lang w:eastAsia="en-US" w:bidi="ar-SA"/>
              </w:rPr>
              <w:t>Neither agree or disagree</w:t>
            </w:r>
          </w:p>
        </w:tc>
        <w:tc>
          <w:tcPr>
            <w:tcW w:w="993" w:type="dxa"/>
            <w:shd w:val="clear" w:color="auto" w:fill="auto"/>
            <w:vAlign w:val="center"/>
          </w:tcPr>
          <w:p w14:paraId="1F048746" w14:textId="77777777" w:rsidR="00062AE7" w:rsidRPr="00787196" w:rsidRDefault="00062AE7" w:rsidP="005C2A75">
            <w:pPr>
              <w:spacing w:before="0" w:after="0" w:line="240" w:lineRule="auto"/>
              <w:jc w:val="center"/>
              <w:rPr>
                <w:rFonts w:eastAsia="Calibri" w:cs="Arial"/>
                <w:bCs/>
                <w:sz w:val="18"/>
                <w:szCs w:val="18"/>
                <w:lang w:eastAsia="en-US" w:bidi="ar-SA"/>
              </w:rPr>
            </w:pPr>
            <w:r w:rsidRPr="00787196">
              <w:rPr>
                <w:rFonts w:eastAsia="Calibri" w:cs="Arial"/>
                <w:bCs/>
                <w:sz w:val="18"/>
                <w:szCs w:val="18"/>
                <w:lang w:eastAsia="en-US" w:bidi="ar-SA"/>
              </w:rPr>
              <w:t>Disagree</w:t>
            </w:r>
          </w:p>
        </w:tc>
        <w:tc>
          <w:tcPr>
            <w:tcW w:w="1169" w:type="dxa"/>
            <w:shd w:val="clear" w:color="auto" w:fill="auto"/>
            <w:vAlign w:val="center"/>
          </w:tcPr>
          <w:p w14:paraId="0BC63D2F" w14:textId="77777777" w:rsidR="00062AE7" w:rsidRPr="00787196" w:rsidRDefault="00062AE7" w:rsidP="005C2A75">
            <w:pPr>
              <w:spacing w:before="0" w:after="0" w:line="240" w:lineRule="auto"/>
              <w:jc w:val="center"/>
              <w:rPr>
                <w:rFonts w:eastAsia="Calibri" w:cs="Arial"/>
                <w:bCs/>
                <w:sz w:val="18"/>
                <w:szCs w:val="18"/>
                <w:lang w:eastAsia="en-US" w:bidi="ar-SA"/>
              </w:rPr>
            </w:pPr>
            <w:r w:rsidRPr="00787196">
              <w:rPr>
                <w:rFonts w:eastAsia="Calibri" w:cs="Arial"/>
                <w:bCs/>
                <w:sz w:val="18"/>
                <w:szCs w:val="18"/>
                <w:lang w:eastAsia="en-US" w:bidi="ar-SA"/>
              </w:rPr>
              <w:t>Strongly disagree</w:t>
            </w:r>
          </w:p>
        </w:tc>
      </w:tr>
      <w:tr w:rsidR="00062AE7" w:rsidRPr="00787196" w14:paraId="25E1D34A" w14:textId="77777777" w:rsidTr="000B710C">
        <w:trPr>
          <w:trHeight w:val="948"/>
        </w:trPr>
        <w:tc>
          <w:tcPr>
            <w:tcW w:w="3061" w:type="dxa"/>
            <w:shd w:val="clear" w:color="auto" w:fill="auto"/>
            <w:vAlign w:val="center"/>
          </w:tcPr>
          <w:p w14:paraId="7EEB5E77"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9. My teeth are only important to me if they stop me from eating</w:t>
            </w:r>
          </w:p>
        </w:tc>
        <w:tc>
          <w:tcPr>
            <w:tcW w:w="1369" w:type="dxa"/>
            <w:shd w:val="clear" w:color="auto" w:fill="auto"/>
            <w:vAlign w:val="center"/>
          </w:tcPr>
          <w:p w14:paraId="2693F704" w14:textId="77777777" w:rsidR="00062AE7" w:rsidRPr="00787196" w:rsidRDefault="007D6B7F" w:rsidP="005C2A75">
            <w:pPr>
              <w:spacing w:before="0" w:after="0" w:line="240" w:lineRule="auto"/>
              <w:jc w:val="center"/>
              <w:rPr>
                <w:rFonts w:eastAsia="Calibri" w:cs="Arial"/>
                <w:b/>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bookmarkStart w:id="817" w:name="Check8"/>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bookmarkEnd w:id="817"/>
          </w:p>
        </w:tc>
        <w:tc>
          <w:tcPr>
            <w:tcW w:w="788" w:type="dxa"/>
            <w:shd w:val="clear" w:color="auto" w:fill="auto"/>
            <w:vAlign w:val="center"/>
          </w:tcPr>
          <w:p w14:paraId="15780AA1"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393C827A"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616660CE"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2F9C9A8D"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6890322B" w14:textId="77777777" w:rsidTr="000B710C">
        <w:trPr>
          <w:trHeight w:val="1086"/>
        </w:trPr>
        <w:tc>
          <w:tcPr>
            <w:tcW w:w="3061" w:type="dxa"/>
            <w:shd w:val="clear" w:color="auto" w:fill="auto"/>
            <w:vAlign w:val="center"/>
          </w:tcPr>
          <w:p w14:paraId="63737CF8"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10. I would not worry about having trouble with my mouth and teeth</w:t>
            </w:r>
          </w:p>
        </w:tc>
        <w:tc>
          <w:tcPr>
            <w:tcW w:w="1369" w:type="dxa"/>
            <w:shd w:val="clear" w:color="auto" w:fill="auto"/>
            <w:vAlign w:val="center"/>
          </w:tcPr>
          <w:p w14:paraId="608E340C"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788" w:type="dxa"/>
            <w:shd w:val="clear" w:color="auto" w:fill="auto"/>
            <w:vAlign w:val="center"/>
          </w:tcPr>
          <w:p w14:paraId="4A6F9729"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3606E1D4"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41124500"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74EDF9AC"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48AB4859" w14:textId="77777777" w:rsidTr="000B710C">
        <w:trPr>
          <w:trHeight w:val="1269"/>
        </w:trPr>
        <w:tc>
          <w:tcPr>
            <w:tcW w:w="3061" w:type="dxa"/>
            <w:shd w:val="clear" w:color="auto" w:fill="auto"/>
            <w:vAlign w:val="center"/>
          </w:tcPr>
          <w:p w14:paraId="7EE19108"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11. I am not bothered if people are put off by the appearance of my mouth and teeth</w:t>
            </w:r>
          </w:p>
        </w:tc>
        <w:tc>
          <w:tcPr>
            <w:tcW w:w="1369" w:type="dxa"/>
            <w:shd w:val="clear" w:color="auto" w:fill="auto"/>
            <w:vAlign w:val="center"/>
          </w:tcPr>
          <w:p w14:paraId="2E85D1F3"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788" w:type="dxa"/>
            <w:shd w:val="clear" w:color="auto" w:fill="auto"/>
            <w:vAlign w:val="center"/>
          </w:tcPr>
          <w:p w14:paraId="5ED41C6F"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0A53C145"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4A2A199B"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4C252939"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3355727E" w14:textId="77777777" w:rsidTr="000B710C">
        <w:trPr>
          <w:trHeight w:val="890"/>
        </w:trPr>
        <w:tc>
          <w:tcPr>
            <w:tcW w:w="3061" w:type="dxa"/>
            <w:shd w:val="clear" w:color="auto" w:fill="auto"/>
            <w:vAlign w:val="center"/>
          </w:tcPr>
          <w:p w14:paraId="6E035399"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12. Having nice teeth can make you feel good about yourself</w:t>
            </w:r>
          </w:p>
        </w:tc>
        <w:tc>
          <w:tcPr>
            <w:tcW w:w="1369" w:type="dxa"/>
            <w:shd w:val="clear" w:color="auto" w:fill="auto"/>
            <w:vAlign w:val="center"/>
          </w:tcPr>
          <w:p w14:paraId="10AB098C"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788" w:type="dxa"/>
            <w:shd w:val="clear" w:color="auto" w:fill="auto"/>
            <w:vAlign w:val="center"/>
          </w:tcPr>
          <w:p w14:paraId="0C9A082B"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0C3817F7"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5EFC1700"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080B44A7"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749DA659" w14:textId="77777777" w:rsidTr="000B710C">
        <w:trPr>
          <w:trHeight w:val="971"/>
        </w:trPr>
        <w:tc>
          <w:tcPr>
            <w:tcW w:w="3061" w:type="dxa"/>
            <w:shd w:val="clear" w:color="auto" w:fill="auto"/>
            <w:vAlign w:val="center"/>
          </w:tcPr>
          <w:p w14:paraId="70160B9C"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13. A nice smile can help you get on in life</w:t>
            </w:r>
          </w:p>
        </w:tc>
        <w:tc>
          <w:tcPr>
            <w:tcW w:w="1369" w:type="dxa"/>
            <w:shd w:val="clear" w:color="auto" w:fill="auto"/>
            <w:vAlign w:val="center"/>
          </w:tcPr>
          <w:p w14:paraId="18C85696"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788" w:type="dxa"/>
            <w:shd w:val="clear" w:color="auto" w:fill="auto"/>
            <w:vAlign w:val="center"/>
          </w:tcPr>
          <w:p w14:paraId="58AE7628"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37F7C92E"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37EDABB9"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33E1B305"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24E60F3C" w14:textId="77777777" w:rsidTr="000B710C">
        <w:trPr>
          <w:trHeight w:val="1009"/>
        </w:trPr>
        <w:tc>
          <w:tcPr>
            <w:tcW w:w="3061" w:type="dxa"/>
            <w:shd w:val="clear" w:color="auto" w:fill="auto"/>
            <w:vAlign w:val="center"/>
          </w:tcPr>
          <w:p w14:paraId="5F0394DF" w14:textId="77777777" w:rsidR="00062AE7" w:rsidRPr="00787196" w:rsidRDefault="00062AE7" w:rsidP="00BE03CB">
            <w:pPr>
              <w:spacing w:before="0" w:after="0" w:line="240" w:lineRule="auto"/>
              <w:jc w:val="left"/>
              <w:rPr>
                <w:rFonts w:eastAsia="Calibri" w:cs="Arial"/>
                <w:bCs/>
                <w:sz w:val="20"/>
                <w:lang w:eastAsia="en-US" w:bidi="ar-SA"/>
              </w:rPr>
            </w:pPr>
            <w:r w:rsidRPr="00787196">
              <w:rPr>
                <w:rFonts w:eastAsia="Calibri" w:cs="Arial"/>
                <w:bCs/>
                <w:sz w:val="20"/>
                <w:lang w:eastAsia="en-US" w:bidi="ar-SA"/>
              </w:rPr>
              <w:t>14.  My mouth and teeth really matter to me</w:t>
            </w:r>
          </w:p>
        </w:tc>
        <w:tc>
          <w:tcPr>
            <w:tcW w:w="1369" w:type="dxa"/>
            <w:shd w:val="clear" w:color="auto" w:fill="auto"/>
            <w:vAlign w:val="center"/>
          </w:tcPr>
          <w:p w14:paraId="2773289F"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788" w:type="dxa"/>
            <w:shd w:val="clear" w:color="auto" w:fill="auto"/>
            <w:vAlign w:val="center"/>
          </w:tcPr>
          <w:p w14:paraId="07EA2E09"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14" w:type="dxa"/>
            <w:shd w:val="clear" w:color="auto" w:fill="auto"/>
            <w:vAlign w:val="center"/>
          </w:tcPr>
          <w:p w14:paraId="3DF4D3AE"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3" w:type="dxa"/>
            <w:shd w:val="clear" w:color="auto" w:fill="auto"/>
            <w:vAlign w:val="center"/>
          </w:tcPr>
          <w:p w14:paraId="74698DD4"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169" w:type="dxa"/>
            <w:shd w:val="clear" w:color="auto" w:fill="auto"/>
            <w:vAlign w:val="center"/>
          </w:tcPr>
          <w:p w14:paraId="1072F322" w14:textId="77777777" w:rsidR="00062AE7" w:rsidRPr="00787196" w:rsidRDefault="007D6B7F" w:rsidP="005C2A75">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062AE7"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062AE7" w:rsidRPr="00787196" w14:paraId="2BAEB87D" w14:textId="77777777" w:rsidTr="000B710C">
        <w:trPr>
          <w:trHeight w:val="860"/>
        </w:trPr>
        <w:tc>
          <w:tcPr>
            <w:tcW w:w="3061" w:type="dxa"/>
            <w:shd w:val="clear" w:color="auto" w:fill="auto"/>
            <w:vAlign w:val="center"/>
          </w:tcPr>
          <w:p w14:paraId="28E326E6" w14:textId="77777777" w:rsidR="00062AE7" w:rsidRPr="00787196" w:rsidRDefault="00062AE7" w:rsidP="005C2A75">
            <w:pPr>
              <w:spacing w:before="0" w:after="0" w:line="240" w:lineRule="auto"/>
              <w:rPr>
                <w:rFonts w:eastAsia="Calibri" w:cs="Arial"/>
                <w:b/>
                <w:sz w:val="20"/>
                <w:lang w:eastAsia="en-US" w:bidi="ar-SA"/>
              </w:rPr>
            </w:pPr>
          </w:p>
        </w:tc>
        <w:tc>
          <w:tcPr>
            <w:tcW w:w="1369" w:type="dxa"/>
            <w:shd w:val="clear" w:color="auto" w:fill="auto"/>
            <w:vAlign w:val="center"/>
          </w:tcPr>
          <w:p w14:paraId="2D57FE94" w14:textId="77777777" w:rsidR="00062AE7" w:rsidRPr="00787196" w:rsidRDefault="00062AE7" w:rsidP="005C2A75">
            <w:pPr>
              <w:spacing w:before="0" w:after="0" w:line="240" w:lineRule="auto"/>
              <w:jc w:val="center"/>
              <w:rPr>
                <w:rFonts w:eastAsia="Calibri" w:cs="Arial"/>
                <w:sz w:val="18"/>
                <w:szCs w:val="20"/>
                <w:lang w:eastAsia="en-US" w:bidi="ar-SA"/>
              </w:rPr>
            </w:pPr>
            <w:r w:rsidRPr="00787196">
              <w:rPr>
                <w:rFonts w:eastAsia="Calibri" w:cs="Arial"/>
                <w:sz w:val="18"/>
                <w:szCs w:val="20"/>
                <w:lang w:eastAsia="en-US" w:bidi="ar-SA"/>
              </w:rPr>
              <w:t>Strongly agree</w:t>
            </w:r>
          </w:p>
        </w:tc>
        <w:tc>
          <w:tcPr>
            <w:tcW w:w="788" w:type="dxa"/>
            <w:shd w:val="clear" w:color="auto" w:fill="auto"/>
            <w:vAlign w:val="center"/>
          </w:tcPr>
          <w:p w14:paraId="23CE3003" w14:textId="77777777" w:rsidR="00062AE7" w:rsidRPr="00787196" w:rsidRDefault="00062AE7" w:rsidP="005C2A75">
            <w:pPr>
              <w:spacing w:before="0" w:after="0" w:line="240" w:lineRule="auto"/>
              <w:jc w:val="center"/>
              <w:rPr>
                <w:rFonts w:eastAsia="Calibri" w:cs="Arial"/>
                <w:sz w:val="18"/>
                <w:szCs w:val="20"/>
                <w:lang w:eastAsia="en-US" w:bidi="ar-SA"/>
              </w:rPr>
            </w:pPr>
            <w:r w:rsidRPr="00787196">
              <w:rPr>
                <w:rFonts w:eastAsia="Calibri" w:cs="Arial"/>
                <w:sz w:val="18"/>
                <w:szCs w:val="20"/>
                <w:lang w:eastAsia="en-US" w:bidi="ar-SA"/>
              </w:rPr>
              <w:t>Agree</w:t>
            </w:r>
          </w:p>
        </w:tc>
        <w:tc>
          <w:tcPr>
            <w:tcW w:w="1014" w:type="dxa"/>
            <w:shd w:val="clear" w:color="auto" w:fill="auto"/>
            <w:vAlign w:val="center"/>
          </w:tcPr>
          <w:p w14:paraId="38149811" w14:textId="77777777" w:rsidR="00062AE7" w:rsidRPr="00787196" w:rsidRDefault="00062AE7" w:rsidP="005C2A75">
            <w:pPr>
              <w:spacing w:before="0" w:after="0" w:line="240" w:lineRule="auto"/>
              <w:jc w:val="center"/>
              <w:rPr>
                <w:rFonts w:eastAsia="Calibri" w:cs="Arial"/>
                <w:sz w:val="18"/>
                <w:szCs w:val="20"/>
                <w:lang w:eastAsia="en-US" w:bidi="ar-SA"/>
              </w:rPr>
            </w:pPr>
            <w:r w:rsidRPr="00787196">
              <w:rPr>
                <w:rFonts w:eastAsia="Calibri" w:cs="Arial"/>
                <w:sz w:val="18"/>
                <w:szCs w:val="20"/>
                <w:lang w:eastAsia="en-US" w:bidi="ar-SA"/>
              </w:rPr>
              <w:t>Neither agree or disagree</w:t>
            </w:r>
          </w:p>
        </w:tc>
        <w:tc>
          <w:tcPr>
            <w:tcW w:w="993" w:type="dxa"/>
            <w:shd w:val="clear" w:color="auto" w:fill="auto"/>
            <w:vAlign w:val="center"/>
          </w:tcPr>
          <w:p w14:paraId="091A87C4" w14:textId="77777777" w:rsidR="00062AE7" w:rsidRPr="00787196" w:rsidRDefault="00062AE7" w:rsidP="005C2A75">
            <w:pPr>
              <w:spacing w:before="0" w:after="0" w:line="240" w:lineRule="auto"/>
              <w:jc w:val="center"/>
              <w:rPr>
                <w:rFonts w:eastAsia="Calibri" w:cs="Arial"/>
                <w:sz w:val="18"/>
                <w:szCs w:val="20"/>
                <w:lang w:eastAsia="en-US" w:bidi="ar-SA"/>
              </w:rPr>
            </w:pPr>
            <w:r w:rsidRPr="00787196">
              <w:rPr>
                <w:rFonts w:eastAsia="Calibri" w:cs="Arial"/>
                <w:sz w:val="18"/>
                <w:szCs w:val="20"/>
                <w:lang w:eastAsia="en-US" w:bidi="ar-SA"/>
              </w:rPr>
              <w:t>Disagree</w:t>
            </w:r>
          </w:p>
        </w:tc>
        <w:tc>
          <w:tcPr>
            <w:tcW w:w="1169" w:type="dxa"/>
            <w:shd w:val="clear" w:color="auto" w:fill="auto"/>
            <w:vAlign w:val="center"/>
          </w:tcPr>
          <w:p w14:paraId="59D71789" w14:textId="77777777" w:rsidR="00062AE7" w:rsidRPr="00787196" w:rsidRDefault="00062AE7" w:rsidP="005C2A75">
            <w:pPr>
              <w:spacing w:before="0" w:after="0" w:line="240" w:lineRule="auto"/>
              <w:jc w:val="center"/>
              <w:rPr>
                <w:rFonts w:eastAsia="Calibri" w:cs="Arial"/>
                <w:sz w:val="18"/>
                <w:szCs w:val="20"/>
                <w:lang w:eastAsia="en-US" w:bidi="ar-SA"/>
              </w:rPr>
            </w:pPr>
            <w:r w:rsidRPr="00787196">
              <w:rPr>
                <w:rFonts w:eastAsia="Calibri" w:cs="Arial"/>
                <w:sz w:val="18"/>
                <w:szCs w:val="20"/>
                <w:lang w:eastAsia="en-US" w:bidi="ar-SA"/>
              </w:rPr>
              <w:t>Strongly disagree</w:t>
            </w:r>
          </w:p>
        </w:tc>
      </w:tr>
    </w:tbl>
    <w:p w14:paraId="68E86574" w14:textId="77777777" w:rsidR="00062AE7" w:rsidRPr="00787196" w:rsidRDefault="00062AE7" w:rsidP="00513F57">
      <w:pPr>
        <w:spacing w:before="0" w:after="0"/>
        <w:rPr>
          <w:rFonts w:cs="Arial"/>
          <w:bCs/>
        </w:rPr>
      </w:pPr>
      <w:r w:rsidRPr="00787196">
        <w:rPr>
          <w:rFonts w:cs="Arial"/>
          <w:bCs/>
        </w:rPr>
        <w:br w:type="page"/>
      </w:r>
    </w:p>
    <w:tbl>
      <w:tblPr>
        <w:tblpPr w:leftFromText="180" w:rightFromText="180" w:vertAnchor="page" w:horzAnchor="margin" w:tblpY="3354"/>
        <w:tblW w:w="4602"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21"/>
        <w:gridCol w:w="1214"/>
        <w:gridCol w:w="1335"/>
        <w:gridCol w:w="1453"/>
        <w:gridCol w:w="1296"/>
      </w:tblGrid>
      <w:tr w:rsidR="00062AE7" w:rsidRPr="00787196" w14:paraId="051BA370" w14:textId="77777777" w:rsidTr="00913843">
        <w:trPr>
          <w:trHeight w:val="713"/>
        </w:trPr>
        <w:tc>
          <w:tcPr>
            <w:tcW w:w="1612" w:type="pct"/>
          </w:tcPr>
          <w:p w14:paraId="36890F5F" w14:textId="77777777" w:rsidR="00062AE7" w:rsidRPr="00787196" w:rsidRDefault="00062AE7" w:rsidP="00913843">
            <w:pPr>
              <w:spacing w:before="0" w:after="0"/>
              <w:rPr>
                <w:rFonts w:cs="Arial"/>
              </w:rPr>
            </w:pPr>
          </w:p>
        </w:tc>
        <w:tc>
          <w:tcPr>
            <w:tcW w:w="776" w:type="pct"/>
            <w:vAlign w:val="center"/>
          </w:tcPr>
          <w:p w14:paraId="431F8F7F" w14:textId="77777777" w:rsidR="00062AE7" w:rsidRPr="00787196" w:rsidRDefault="00062AE7" w:rsidP="00913843">
            <w:pPr>
              <w:spacing w:before="0" w:after="0"/>
              <w:jc w:val="center"/>
              <w:rPr>
                <w:rFonts w:cs="Arial"/>
                <w:bCs/>
                <w:sz w:val="18"/>
                <w:szCs w:val="18"/>
              </w:rPr>
            </w:pPr>
            <w:r w:rsidRPr="00787196">
              <w:rPr>
                <w:rFonts w:cs="Arial"/>
                <w:bCs/>
                <w:sz w:val="18"/>
                <w:szCs w:val="18"/>
              </w:rPr>
              <w:t>Definitely true</w:t>
            </w:r>
          </w:p>
        </w:tc>
        <w:tc>
          <w:tcPr>
            <w:tcW w:w="854" w:type="pct"/>
            <w:vAlign w:val="center"/>
          </w:tcPr>
          <w:p w14:paraId="2CD0C8C4" w14:textId="77777777" w:rsidR="00062AE7" w:rsidRPr="00787196" w:rsidRDefault="00062AE7" w:rsidP="00913843">
            <w:pPr>
              <w:spacing w:before="0" w:after="0"/>
              <w:jc w:val="center"/>
              <w:rPr>
                <w:rFonts w:cs="Arial"/>
                <w:bCs/>
                <w:sz w:val="18"/>
                <w:szCs w:val="18"/>
              </w:rPr>
            </w:pPr>
            <w:r w:rsidRPr="00787196">
              <w:rPr>
                <w:rFonts w:cs="Arial"/>
                <w:bCs/>
                <w:sz w:val="18"/>
                <w:szCs w:val="18"/>
              </w:rPr>
              <w:t>Somewhat true</w:t>
            </w:r>
          </w:p>
        </w:tc>
        <w:tc>
          <w:tcPr>
            <w:tcW w:w="929" w:type="pct"/>
            <w:vAlign w:val="center"/>
          </w:tcPr>
          <w:p w14:paraId="60B2C192" w14:textId="77777777" w:rsidR="00062AE7" w:rsidRPr="00787196" w:rsidRDefault="00062AE7" w:rsidP="00913843">
            <w:pPr>
              <w:spacing w:before="0" w:after="0"/>
              <w:jc w:val="center"/>
              <w:rPr>
                <w:rFonts w:cs="Arial"/>
                <w:bCs/>
                <w:sz w:val="18"/>
                <w:szCs w:val="18"/>
              </w:rPr>
            </w:pPr>
            <w:r w:rsidRPr="00787196">
              <w:rPr>
                <w:rFonts w:cs="Arial"/>
                <w:bCs/>
                <w:sz w:val="18"/>
                <w:szCs w:val="18"/>
              </w:rPr>
              <w:t>Somewhat false</w:t>
            </w:r>
          </w:p>
        </w:tc>
        <w:tc>
          <w:tcPr>
            <w:tcW w:w="829" w:type="pct"/>
            <w:vAlign w:val="center"/>
          </w:tcPr>
          <w:p w14:paraId="44B8EAFC" w14:textId="77777777" w:rsidR="00062AE7" w:rsidRPr="00787196" w:rsidRDefault="00062AE7" w:rsidP="00913843">
            <w:pPr>
              <w:spacing w:before="0" w:after="0"/>
              <w:jc w:val="center"/>
              <w:rPr>
                <w:rFonts w:cs="Arial"/>
                <w:bCs/>
                <w:sz w:val="18"/>
                <w:szCs w:val="18"/>
              </w:rPr>
            </w:pPr>
            <w:r w:rsidRPr="00787196">
              <w:rPr>
                <w:rFonts w:cs="Arial"/>
                <w:bCs/>
                <w:sz w:val="18"/>
                <w:szCs w:val="18"/>
              </w:rPr>
              <w:t>Definitely false</w:t>
            </w:r>
          </w:p>
        </w:tc>
      </w:tr>
      <w:tr w:rsidR="00062AE7" w:rsidRPr="00787196" w14:paraId="45D59141" w14:textId="77777777" w:rsidTr="00913843">
        <w:trPr>
          <w:cantSplit/>
          <w:trHeight w:val="710"/>
        </w:trPr>
        <w:tc>
          <w:tcPr>
            <w:tcW w:w="1612" w:type="pct"/>
            <w:vAlign w:val="center"/>
          </w:tcPr>
          <w:p w14:paraId="1059A3A8" w14:textId="77777777" w:rsidR="00062AE7" w:rsidRPr="00787196" w:rsidRDefault="00062AE7" w:rsidP="00913843">
            <w:pPr>
              <w:spacing w:before="0" w:after="0"/>
              <w:jc w:val="left"/>
              <w:rPr>
                <w:rFonts w:cs="Arial"/>
                <w:sz w:val="18"/>
                <w:szCs w:val="18"/>
              </w:rPr>
            </w:pPr>
            <w:r w:rsidRPr="00787196">
              <w:rPr>
                <w:rFonts w:cs="Arial"/>
                <w:sz w:val="18"/>
                <w:szCs w:val="18"/>
              </w:rPr>
              <w:t>15. Having more aches and pains is an accepted part of aging</w:t>
            </w:r>
          </w:p>
        </w:tc>
        <w:tc>
          <w:tcPr>
            <w:tcW w:w="776" w:type="pct"/>
            <w:vAlign w:val="center"/>
          </w:tcPr>
          <w:p w14:paraId="59E81EB3"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bookmarkStart w:id="818" w:name="Check2"/>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bookmarkEnd w:id="818"/>
          </w:p>
        </w:tc>
        <w:tc>
          <w:tcPr>
            <w:tcW w:w="854" w:type="pct"/>
            <w:vAlign w:val="center"/>
          </w:tcPr>
          <w:p w14:paraId="38EE9B7C"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34CFB173"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1ED7549B"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2196B5C0" w14:textId="77777777" w:rsidTr="00913843">
        <w:trPr>
          <w:cantSplit/>
          <w:trHeight w:val="937"/>
        </w:trPr>
        <w:tc>
          <w:tcPr>
            <w:tcW w:w="1612" w:type="pct"/>
            <w:vAlign w:val="center"/>
          </w:tcPr>
          <w:p w14:paraId="2D324760" w14:textId="77777777" w:rsidR="00062AE7" w:rsidRPr="00787196" w:rsidRDefault="00062AE7" w:rsidP="00913843">
            <w:pPr>
              <w:spacing w:before="0" w:after="0"/>
              <w:jc w:val="left"/>
              <w:rPr>
                <w:rFonts w:cs="Arial"/>
                <w:sz w:val="18"/>
                <w:szCs w:val="18"/>
              </w:rPr>
            </w:pPr>
            <w:r w:rsidRPr="00787196">
              <w:rPr>
                <w:rFonts w:cs="Arial"/>
                <w:sz w:val="18"/>
                <w:szCs w:val="18"/>
              </w:rPr>
              <w:t>16. The human body is like a car: When it gets old, it gets worn out.</w:t>
            </w:r>
          </w:p>
        </w:tc>
        <w:tc>
          <w:tcPr>
            <w:tcW w:w="776" w:type="pct"/>
            <w:vAlign w:val="center"/>
          </w:tcPr>
          <w:p w14:paraId="7CE902C4"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121C11B1"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59DF69C6"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6AE9ACCA"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5D5B7A65" w14:textId="77777777" w:rsidTr="00913843">
        <w:trPr>
          <w:cantSplit/>
          <w:trHeight w:val="841"/>
        </w:trPr>
        <w:tc>
          <w:tcPr>
            <w:tcW w:w="1612" w:type="pct"/>
            <w:vAlign w:val="center"/>
          </w:tcPr>
          <w:p w14:paraId="2DC73DAD" w14:textId="77777777" w:rsidR="00062AE7" w:rsidRPr="00787196" w:rsidRDefault="00062AE7" w:rsidP="00913843">
            <w:pPr>
              <w:spacing w:before="0" w:after="0"/>
              <w:jc w:val="left"/>
              <w:rPr>
                <w:rFonts w:cs="Arial"/>
                <w:sz w:val="18"/>
                <w:szCs w:val="18"/>
              </w:rPr>
            </w:pPr>
            <w:r w:rsidRPr="00787196">
              <w:rPr>
                <w:rFonts w:cs="Arial"/>
                <w:sz w:val="18"/>
                <w:szCs w:val="18"/>
              </w:rPr>
              <w:t>17. Every year that people age, their energy levels go down a little more</w:t>
            </w:r>
          </w:p>
        </w:tc>
        <w:tc>
          <w:tcPr>
            <w:tcW w:w="776" w:type="pct"/>
            <w:vAlign w:val="center"/>
          </w:tcPr>
          <w:p w14:paraId="4F95CECB"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412B1D62"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2E131810"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2D8EE106"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29625217" w14:textId="77777777" w:rsidTr="00913843">
        <w:trPr>
          <w:cantSplit/>
          <w:trHeight w:val="910"/>
        </w:trPr>
        <w:tc>
          <w:tcPr>
            <w:tcW w:w="1612" w:type="pct"/>
            <w:vAlign w:val="center"/>
          </w:tcPr>
          <w:p w14:paraId="19735F04" w14:textId="77777777" w:rsidR="00062AE7" w:rsidRPr="00787196" w:rsidRDefault="00062AE7" w:rsidP="00913843">
            <w:pPr>
              <w:spacing w:before="0" w:after="0"/>
              <w:jc w:val="left"/>
              <w:rPr>
                <w:rFonts w:cs="Arial"/>
                <w:sz w:val="18"/>
                <w:szCs w:val="18"/>
              </w:rPr>
            </w:pPr>
            <w:r w:rsidRPr="00787196">
              <w:rPr>
                <w:rFonts w:cs="Arial"/>
                <w:sz w:val="18"/>
                <w:szCs w:val="18"/>
              </w:rPr>
              <w:t>18. I expect that as I get older I will spend less time with friends and family</w:t>
            </w:r>
          </w:p>
        </w:tc>
        <w:tc>
          <w:tcPr>
            <w:tcW w:w="776" w:type="pct"/>
            <w:vAlign w:val="center"/>
          </w:tcPr>
          <w:p w14:paraId="7A10ECA0"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76529D99"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5A74F0F0"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534C18DA"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03763988" w14:textId="77777777" w:rsidTr="00913843">
        <w:trPr>
          <w:cantSplit/>
          <w:trHeight w:val="887"/>
        </w:trPr>
        <w:tc>
          <w:tcPr>
            <w:tcW w:w="1612" w:type="pct"/>
            <w:vAlign w:val="center"/>
          </w:tcPr>
          <w:p w14:paraId="3BF40F9A" w14:textId="77777777" w:rsidR="00062AE7" w:rsidRPr="00787196" w:rsidRDefault="00062AE7" w:rsidP="00913843">
            <w:pPr>
              <w:spacing w:before="0" w:after="0"/>
              <w:jc w:val="left"/>
              <w:rPr>
                <w:rFonts w:cs="Arial"/>
                <w:sz w:val="18"/>
                <w:szCs w:val="18"/>
              </w:rPr>
            </w:pPr>
            <w:r w:rsidRPr="00787196">
              <w:rPr>
                <w:rFonts w:cs="Arial"/>
                <w:sz w:val="18"/>
                <w:szCs w:val="18"/>
              </w:rPr>
              <w:t>19. Being lonely is just something that happens when people get old.</w:t>
            </w:r>
          </w:p>
        </w:tc>
        <w:tc>
          <w:tcPr>
            <w:tcW w:w="776" w:type="pct"/>
            <w:vAlign w:val="center"/>
          </w:tcPr>
          <w:p w14:paraId="1D075938"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3DF67DC1"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344328BC"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0F7E830D"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74A46A65" w14:textId="77777777" w:rsidTr="00913843">
        <w:trPr>
          <w:cantSplit/>
          <w:trHeight w:val="664"/>
        </w:trPr>
        <w:tc>
          <w:tcPr>
            <w:tcW w:w="1612" w:type="pct"/>
            <w:vAlign w:val="center"/>
          </w:tcPr>
          <w:p w14:paraId="6989C589" w14:textId="77777777" w:rsidR="00062AE7" w:rsidRPr="00787196" w:rsidRDefault="00062AE7" w:rsidP="00913843">
            <w:pPr>
              <w:spacing w:before="0" w:after="0"/>
              <w:jc w:val="left"/>
              <w:rPr>
                <w:rFonts w:cs="Arial"/>
                <w:sz w:val="18"/>
                <w:szCs w:val="18"/>
              </w:rPr>
            </w:pPr>
            <w:r w:rsidRPr="00787196">
              <w:rPr>
                <w:rFonts w:cs="Arial"/>
                <w:sz w:val="18"/>
                <w:szCs w:val="18"/>
              </w:rPr>
              <w:t>20. As people get older they worry more</w:t>
            </w:r>
          </w:p>
        </w:tc>
        <w:tc>
          <w:tcPr>
            <w:tcW w:w="776" w:type="pct"/>
            <w:vAlign w:val="center"/>
          </w:tcPr>
          <w:p w14:paraId="656BFC46"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7AB9EBA8"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49929141"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16DB42F5"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5B73EBD4" w14:textId="77777777" w:rsidTr="00913843">
        <w:trPr>
          <w:cantSplit/>
          <w:trHeight w:val="793"/>
        </w:trPr>
        <w:tc>
          <w:tcPr>
            <w:tcW w:w="1612" w:type="pct"/>
            <w:vAlign w:val="center"/>
          </w:tcPr>
          <w:p w14:paraId="6292AA23" w14:textId="77777777" w:rsidR="00062AE7" w:rsidRPr="00787196" w:rsidRDefault="00062AE7" w:rsidP="00913843">
            <w:pPr>
              <w:spacing w:before="0" w:after="0"/>
              <w:jc w:val="left"/>
              <w:rPr>
                <w:rFonts w:cs="Arial"/>
                <w:sz w:val="18"/>
                <w:szCs w:val="18"/>
              </w:rPr>
            </w:pPr>
            <w:r w:rsidRPr="00787196">
              <w:rPr>
                <w:rFonts w:cs="Arial"/>
                <w:sz w:val="18"/>
                <w:szCs w:val="18"/>
              </w:rPr>
              <w:t>21. Its normal to be depressed when you are old</w:t>
            </w:r>
          </w:p>
        </w:tc>
        <w:tc>
          <w:tcPr>
            <w:tcW w:w="776" w:type="pct"/>
            <w:vAlign w:val="center"/>
          </w:tcPr>
          <w:p w14:paraId="2F95EDE3"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25D3E9E5"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4DC0B428"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74CC44AF"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3004AF92" w14:textId="77777777" w:rsidTr="00913843">
        <w:trPr>
          <w:cantSplit/>
          <w:trHeight w:val="745"/>
        </w:trPr>
        <w:tc>
          <w:tcPr>
            <w:tcW w:w="1612" w:type="pct"/>
            <w:vAlign w:val="center"/>
          </w:tcPr>
          <w:p w14:paraId="092B0068" w14:textId="77777777" w:rsidR="00062AE7" w:rsidRPr="00787196" w:rsidRDefault="00062AE7" w:rsidP="00913843">
            <w:pPr>
              <w:spacing w:before="0" w:after="0"/>
              <w:jc w:val="left"/>
              <w:rPr>
                <w:rFonts w:cs="Arial"/>
                <w:sz w:val="18"/>
                <w:szCs w:val="18"/>
              </w:rPr>
            </w:pPr>
            <w:r w:rsidRPr="00787196">
              <w:rPr>
                <w:rFonts w:cs="Arial"/>
                <w:sz w:val="18"/>
                <w:szCs w:val="18"/>
              </w:rPr>
              <w:t>22. I expect that as I get older I will become more forgetful.</w:t>
            </w:r>
          </w:p>
        </w:tc>
        <w:tc>
          <w:tcPr>
            <w:tcW w:w="776" w:type="pct"/>
            <w:vAlign w:val="center"/>
          </w:tcPr>
          <w:p w14:paraId="51BB47D5"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18BF9D1C"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09FAEFC6"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7ACD4609"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6D5E61CA" w14:textId="77777777" w:rsidTr="00913843">
        <w:trPr>
          <w:cantSplit/>
          <w:trHeight w:val="756"/>
        </w:trPr>
        <w:tc>
          <w:tcPr>
            <w:tcW w:w="1612" w:type="pct"/>
            <w:vAlign w:val="center"/>
          </w:tcPr>
          <w:p w14:paraId="3ED047E2" w14:textId="77777777" w:rsidR="00062AE7" w:rsidRPr="00787196" w:rsidRDefault="00062AE7" w:rsidP="00913843">
            <w:pPr>
              <w:spacing w:before="0" w:after="0"/>
              <w:jc w:val="left"/>
              <w:rPr>
                <w:rFonts w:cs="Arial"/>
                <w:sz w:val="18"/>
                <w:szCs w:val="18"/>
              </w:rPr>
            </w:pPr>
            <w:r w:rsidRPr="00787196">
              <w:rPr>
                <w:rFonts w:cs="Arial"/>
                <w:sz w:val="18"/>
                <w:szCs w:val="18"/>
              </w:rPr>
              <w:t>23. It is an accepted part of aging to have trouble remembering name.</w:t>
            </w:r>
          </w:p>
        </w:tc>
        <w:tc>
          <w:tcPr>
            <w:tcW w:w="776" w:type="pct"/>
            <w:vAlign w:val="center"/>
          </w:tcPr>
          <w:p w14:paraId="57628CC1"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7ABEB847"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01B078C7"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6A161CDE"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1E568AC5" w14:textId="77777777" w:rsidTr="00913843">
        <w:trPr>
          <w:cantSplit/>
          <w:trHeight w:val="868"/>
        </w:trPr>
        <w:tc>
          <w:tcPr>
            <w:tcW w:w="1612" w:type="pct"/>
            <w:vAlign w:val="center"/>
          </w:tcPr>
          <w:p w14:paraId="58DA7DDD" w14:textId="77777777" w:rsidR="00062AE7" w:rsidRPr="00787196" w:rsidRDefault="00062AE7" w:rsidP="00913843">
            <w:pPr>
              <w:spacing w:before="0" w:after="0"/>
              <w:jc w:val="left"/>
              <w:rPr>
                <w:rFonts w:cs="Arial"/>
                <w:sz w:val="18"/>
                <w:szCs w:val="18"/>
              </w:rPr>
            </w:pPr>
            <w:r w:rsidRPr="00787196">
              <w:rPr>
                <w:rFonts w:cs="Arial"/>
                <w:sz w:val="18"/>
                <w:szCs w:val="18"/>
              </w:rPr>
              <w:t>24. Forgetfulness is a natural occurrence just from growing old</w:t>
            </w:r>
          </w:p>
        </w:tc>
        <w:tc>
          <w:tcPr>
            <w:tcW w:w="776" w:type="pct"/>
            <w:vAlign w:val="center"/>
          </w:tcPr>
          <w:p w14:paraId="511B6E50"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2463C38A"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22513BC2"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216E44EA"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1FA90253" w14:textId="77777777" w:rsidTr="00913843">
        <w:trPr>
          <w:cantSplit/>
          <w:trHeight w:val="664"/>
        </w:trPr>
        <w:tc>
          <w:tcPr>
            <w:tcW w:w="1612" w:type="pct"/>
            <w:vAlign w:val="center"/>
          </w:tcPr>
          <w:p w14:paraId="79165F29" w14:textId="77777777" w:rsidR="00062AE7" w:rsidRPr="00787196" w:rsidRDefault="00062AE7" w:rsidP="00913843">
            <w:pPr>
              <w:spacing w:before="0" w:after="0"/>
              <w:jc w:val="left"/>
              <w:rPr>
                <w:rFonts w:cs="Arial"/>
                <w:sz w:val="18"/>
                <w:szCs w:val="18"/>
              </w:rPr>
            </w:pPr>
            <w:r w:rsidRPr="00787196">
              <w:rPr>
                <w:rFonts w:cs="Arial"/>
                <w:sz w:val="18"/>
                <w:szCs w:val="18"/>
              </w:rPr>
              <w:t>25. It is impossible to escape the mental slowness that happens with ageing.</w:t>
            </w:r>
          </w:p>
        </w:tc>
        <w:tc>
          <w:tcPr>
            <w:tcW w:w="776" w:type="pct"/>
            <w:vAlign w:val="center"/>
          </w:tcPr>
          <w:p w14:paraId="6A4D9F8E"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54" w:type="pct"/>
            <w:vAlign w:val="center"/>
          </w:tcPr>
          <w:p w14:paraId="3EEEE793"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929" w:type="pct"/>
            <w:vAlign w:val="center"/>
          </w:tcPr>
          <w:p w14:paraId="6E36B5D6"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c>
          <w:tcPr>
            <w:tcW w:w="829" w:type="pct"/>
            <w:vAlign w:val="center"/>
          </w:tcPr>
          <w:p w14:paraId="43EABEDD" w14:textId="77777777" w:rsidR="00062AE7" w:rsidRPr="00787196" w:rsidRDefault="007D6B7F" w:rsidP="00913843">
            <w:pPr>
              <w:spacing w:before="0" w:after="0"/>
              <w:jc w:val="center"/>
              <w:rPr>
                <w:rFonts w:cs="Arial"/>
                <w:sz w:val="18"/>
                <w:szCs w:val="18"/>
              </w:rPr>
            </w:pPr>
            <w:r w:rsidRPr="00787196">
              <w:rPr>
                <w:rFonts w:cs="Arial"/>
                <w:sz w:val="18"/>
                <w:szCs w:val="18"/>
              </w:rPr>
              <w:fldChar w:fldCharType="begin">
                <w:ffData>
                  <w:name w:val="Check2"/>
                  <w:enabled/>
                  <w:calcOnExit w:val="0"/>
                  <w:checkBox>
                    <w:sizeAuto/>
                    <w:default w:val="0"/>
                  </w:checkBox>
                </w:ffData>
              </w:fldChar>
            </w:r>
            <w:r w:rsidR="00062AE7" w:rsidRPr="00787196">
              <w:rPr>
                <w:rFonts w:cs="Arial"/>
                <w:sz w:val="18"/>
                <w:szCs w:val="18"/>
              </w:rPr>
              <w:instrText xml:space="preserve"> FORMCHECKBOX </w:instrText>
            </w:r>
            <w:r w:rsidR="006E7D7A">
              <w:rPr>
                <w:rFonts w:cs="Arial"/>
                <w:sz w:val="18"/>
                <w:szCs w:val="18"/>
              </w:rPr>
            </w:r>
            <w:r w:rsidR="006E7D7A">
              <w:rPr>
                <w:rFonts w:cs="Arial"/>
                <w:sz w:val="18"/>
                <w:szCs w:val="18"/>
              </w:rPr>
              <w:fldChar w:fldCharType="separate"/>
            </w:r>
            <w:r w:rsidRPr="00787196">
              <w:rPr>
                <w:rFonts w:cs="Arial"/>
                <w:sz w:val="18"/>
                <w:szCs w:val="18"/>
              </w:rPr>
              <w:fldChar w:fldCharType="end"/>
            </w:r>
          </w:p>
        </w:tc>
      </w:tr>
      <w:tr w:rsidR="00062AE7" w:rsidRPr="00787196" w14:paraId="04F7E206" w14:textId="77777777" w:rsidTr="00913843">
        <w:trPr>
          <w:cantSplit/>
          <w:trHeight w:val="639"/>
        </w:trPr>
        <w:tc>
          <w:tcPr>
            <w:tcW w:w="1612" w:type="pct"/>
          </w:tcPr>
          <w:p w14:paraId="31CADC0E" w14:textId="77777777" w:rsidR="00062AE7" w:rsidRPr="00787196" w:rsidRDefault="00062AE7" w:rsidP="00913843">
            <w:pPr>
              <w:spacing w:before="0" w:after="0"/>
              <w:rPr>
                <w:rFonts w:cs="Arial"/>
              </w:rPr>
            </w:pPr>
          </w:p>
        </w:tc>
        <w:tc>
          <w:tcPr>
            <w:tcW w:w="776" w:type="pct"/>
            <w:vAlign w:val="center"/>
          </w:tcPr>
          <w:p w14:paraId="4E68DDE0" w14:textId="77777777" w:rsidR="00062AE7" w:rsidRPr="00787196" w:rsidRDefault="00062AE7" w:rsidP="00913843">
            <w:pPr>
              <w:spacing w:before="0" w:after="0"/>
              <w:jc w:val="center"/>
              <w:rPr>
                <w:rFonts w:cs="Arial"/>
                <w:bCs/>
                <w:sz w:val="18"/>
                <w:szCs w:val="18"/>
              </w:rPr>
            </w:pPr>
            <w:r w:rsidRPr="00787196">
              <w:rPr>
                <w:rFonts w:cs="Arial"/>
                <w:bCs/>
                <w:sz w:val="18"/>
                <w:szCs w:val="18"/>
              </w:rPr>
              <w:t>Definitely true</w:t>
            </w:r>
          </w:p>
        </w:tc>
        <w:tc>
          <w:tcPr>
            <w:tcW w:w="854" w:type="pct"/>
            <w:vAlign w:val="center"/>
          </w:tcPr>
          <w:p w14:paraId="2814BD95" w14:textId="77777777" w:rsidR="00062AE7" w:rsidRPr="00787196" w:rsidRDefault="00062AE7" w:rsidP="00913843">
            <w:pPr>
              <w:spacing w:before="0" w:after="0"/>
              <w:jc w:val="center"/>
              <w:rPr>
                <w:rFonts w:cs="Arial"/>
                <w:bCs/>
                <w:sz w:val="18"/>
                <w:szCs w:val="18"/>
              </w:rPr>
            </w:pPr>
            <w:r w:rsidRPr="00787196">
              <w:rPr>
                <w:rFonts w:cs="Arial"/>
                <w:bCs/>
                <w:sz w:val="18"/>
                <w:szCs w:val="18"/>
              </w:rPr>
              <w:t>Somewhat true</w:t>
            </w:r>
          </w:p>
        </w:tc>
        <w:tc>
          <w:tcPr>
            <w:tcW w:w="929" w:type="pct"/>
            <w:vAlign w:val="center"/>
          </w:tcPr>
          <w:p w14:paraId="3EB9C37D" w14:textId="77777777" w:rsidR="00062AE7" w:rsidRPr="00787196" w:rsidRDefault="00062AE7" w:rsidP="00913843">
            <w:pPr>
              <w:spacing w:before="0" w:after="0"/>
              <w:jc w:val="center"/>
              <w:rPr>
                <w:rFonts w:cs="Arial"/>
                <w:bCs/>
                <w:sz w:val="18"/>
                <w:szCs w:val="18"/>
              </w:rPr>
            </w:pPr>
            <w:r w:rsidRPr="00787196">
              <w:rPr>
                <w:rFonts w:cs="Arial"/>
                <w:bCs/>
                <w:sz w:val="18"/>
                <w:szCs w:val="18"/>
              </w:rPr>
              <w:t>Somewhat false</w:t>
            </w:r>
          </w:p>
        </w:tc>
        <w:tc>
          <w:tcPr>
            <w:tcW w:w="829" w:type="pct"/>
            <w:vAlign w:val="center"/>
          </w:tcPr>
          <w:p w14:paraId="778D5B63" w14:textId="77777777" w:rsidR="00062AE7" w:rsidRPr="00787196" w:rsidRDefault="00062AE7" w:rsidP="00913843">
            <w:pPr>
              <w:spacing w:before="0" w:after="0"/>
              <w:jc w:val="center"/>
              <w:rPr>
                <w:rFonts w:cs="Arial"/>
                <w:bCs/>
                <w:sz w:val="18"/>
                <w:szCs w:val="18"/>
              </w:rPr>
            </w:pPr>
            <w:r w:rsidRPr="00787196">
              <w:rPr>
                <w:rFonts w:cs="Arial"/>
                <w:bCs/>
                <w:sz w:val="18"/>
                <w:szCs w:val="18"/>
              </w:rPr>
              <w:t>Definitely false</w:t>
            </w:r>
          </w:p>
        </w:tc>
      </w:tr>
    </w:tbl>
    <w:p w14:paraId="06DA1E7F" w14:textId="77777777" w:rsidR="00913843" w:rsidRPr="00787196" w:rsidRDefault="00062AE7" w:rsidP="00513F57">
      <w:pPr>
        <w:spacing w:before="0" w:after="0"/>
        <w:rPr>
          <w:rFonts w:cs="Arial"/>
          <w:b/>
          <w:bCs/>
        </w:rPr>
      </w:pPr>
      <w:r w:rsidRPr="00787196">
        <w:rPr>
          <w:rFonts w:cs="Arial"/>
          <w:b/>
          <w:bCs/>
        </w:rPr>
        <w:t>Ageing a</w:t>
      </w:r>
      <w:r w:rsidR="00913843" w:rsidRPr="00787196">
        <w:rPr>
          <w:rFonts w:cs="Arial"/>
          <w:b/>
          <w:bCs/>
        </w:rPr>
        <w:t>nd your expectations (ERA - 12)</w:t>
      </w:r>
    </w:p>
    <w:p w14:paraId="64408ED0" w14:textId="78D09759" w:rsidR="00595B7A" w:rsidRPr="00787196" w:rsidRDefault="00062AE7" w:rsidP="00513F57">
      <w:pPr>
        <w:spacing w:before="0" w:after="0"/>
        <w:rPr>
          <w:rFonts w:cs="Arial"/>
          <w:b/>
          <w:bCs/>
        </w:rPr>
      </w:pPr>
      <w:r w:rsidRPr="00787196">
        <w:rPr>
          <w:rFonts w:cs="Arial"/>
          <w:sz w:val="18"/>
          <w:szCs w:val="16"/>
        </w:rPr>
        <w:t>The following questions in the scale ask about your views on the process of ageing and your expectations as you get older. Please tick one choice for each of the following questions to the level you agree with each statements.</w:t>
      </w:r>
      <w:r w:rsidR="00595B7A" w:rsidRPr="00787196">
        <w:rPr>
          <w:rFonts w:cs="Arial"/>
          <w:sz w:val="18"/>
          <w:szCs w:val="16"/>
        </w:rPr>
        <w:br w:type="page"/>
      </w:r>
    </w:p>
    <w:tbl>
      <w:tblPr>
        <w:tblpPr w:leftFromText="180" w:rightFromText="180" w:vertAnchor="text" w:horzAnchor="margin" w:tblpY="297"/>
        <w:tblW w:w="8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044"/>
        <w:gridCol w:w="1002"/>
        <w:gridCol w:w="1196"/>
        <w:gridCol w:w="1121"/>
        <w:gridCol w:w="1071"/>
        <w:gridCol w:w="1236"/>
      </w:tblGrid>
      <w:tr w:rsidR="00C6213B" w:rsidRPr="00787196" w14:paraId="33E40CD9" w14:textId="77777777" w:rsidTr="00D54487">
        <w:trPr>
          <w:trHeight w:val="1402"/>
        </w:trPr>
        <w:tc>
          <w:tcPr>
            <w:tcW w:w="447" w:type="dxa"/>
            <w:tcBorders>
              <w:bottom w:val="single" w:sz="4" w:space="0" w:color="000000"/>
              <w:right w:val="nil"/>
            </w:tcBorders>
            <w:shd w:val="clear" w:color="auto" w:fill="auto"/>
          </w:tcPr>
          <w:p w14:paraId="1BB3AE96" w14:textId="77777777" w:rsidR="00C6213B" w:rsidRPr="00787196" w:rsidRDefault="00C6213B" w:rsidP="005C2A75">
            <w:pPr>
              <w:pStyle w:val="ListParagraph"/>
              <w:autoSpaceDE w:val="0"/>
              <w:autoSpaceDN w:val="0"/>
              <w:adjustRightInd w:val="0"/>
              <w:spacing w:before="0" w:after="0"/>
              <w:ind w:left="0"/>
              <w:rPr>
                <w:rFonts w:eastAsia="Calibri" w:cs="Arial"/>
                <w:szCs w:val="24"/>
                <w:lang w:eastAsia="en-US" w:bidi="ar-SA"/>
              </w:rPr>
            </w:pPr>
          </w:p>
          <w:p w14:paraId="573D6EFB" w14:textId="77777777" w:rsidR="00C6213B" w:rsidRPr="00787196" w:rsidRDefault="00C6213B" w:rsidP="005C2A75">
            <w:pPr>
              <w:pStyle w:val="ListParagraph"/>
              <w:autoSpaceDE w:val="0"/>
              <w:autoSpaceDN w:val="0"/>
              <w:adjustRightInd w:val="0"/>
              <w:spacing w:before="0" w:after="0"/>
              <w:ind w:left="0"/>
              <w:rPr>
                <w:rFonts w:eastAsia="Calibri" w:cs="Arial"/>
                <w:szCs w:val="24"/>
                <w:lang w:eastAsia="en-US" w:bidi="ar-SA"/>
              </w:rPr>
            </w:pPr>
          </w:p>
        </w:tc>
        <w:tc>
          <w:tcPr>
            <w:tcW w:w="7670" w:type="dxa"/>
            <w:gridSpan w:val="6"/>
            <w:tcBorders>
              <w:left w:val="nil"/>
              <w:bottom w:val="single" w:sz="4" w:space="0" w:color="000000"/>
            </w:tcBorders>
            <w:shd w:val="clear" w:color="auto" w:fill="auto"/>
          </w:tcPr>
          <w:p w14:paraId="6AD77FC1" w14:textId="77777777" w:rsidR="00C6213B" w:rsidRPr="00787196" w:rsidRDefault="00C6213B" w:rsidP="005C2A75">
            <w:pPr>
              <w:autoSpaceDE w:val="0"/>
              <w:autoSpaceDN w:val="0"/>
              <w:adjustRightInd w:val="0"/>
              <w:spacing w:before="0" w:after="0" w:line="240" w:lineRule="auto"/>
              <w:rPr>
                <w:rFonts w:eastAsia="Calibri" w:cs="Arial"/>
                <w:b/>
                <w:sz w:val="20"/>
                <w:szCs w:val="20"/>
                <w:lang w:eastAsia="en-US" w:bidi="ar-SA"/>
              </w:rPr>
            </w:pPr>
          </w:p>
          <w:p w14:paraId="684CF085" w14:textId="77777777" w:rsidR="00C6213B" w:rsidRPr="00787196" w:rsidRDefault="00C6213B" w:rsidP="005C2A75">
            <w:pPr>
              <w:autoSpaceDE w:val="0"/>
              <w:autoSpaceDN w:val="0"/>
              <w:adjustRightInd w:val="0"/>
              <w:spacing w:before="0" w:after="0" w:line="240" w:lineRule="auto"/>
              <w:rPr>
                <w:rFonts w:eastAsia="Calibri" w:cs="Arial"/>
                <w:b/>
                <w:sz w:val="20"/>
                <w:szCs w:val="20"/>
                <w:lang w:eastAsia="en-US" w:bidi="ar-SA"/>
              </w:rPr>
            </w:pPr>
            <w:r w:rsidRPr="00787196">
              <w:rPr>
                <w:rFonts w:eastAsia="Calibri" w:cs="Arial"/>
                <w:b/>
                <w:sz w:val="20"/>
                <w:szCs w:val="20"/>
                <w:lang w:eastAsia="en-US" w:bidi="ar-SA"/>
              </w:rPr>
              <w:t>QUESTIONS ABOUT YOUR FEELINGS AND THOUGHTS</w:t>
            </w:r>
          </w:p>
          <w:p w14:paraId="6AB3FD40" w14:textId="77777777" w:rsidR="008652A2" w:rsidRPr="00787196" w:rsidRDefault="00C6213B" w:rsidP="005C2A75">
            <w:pPr>
              <w:autoSpaceDE w:val="0"/>
              <w:autoSpaceDN w:val="0"/>
              <w:adjustRightInd w:val="0"/>
              <w:spacing w:before="0" w:after="0" w:line="240" w:lineRule="auto"/>
              <w:rPr>
                <w:rFonts w:eastAsia="Calibri" w:cs="Arial"/>
                <w:sz w:val="20"/>
                <w:szCs w:val="20"/>
                <w:lang w:eastAsia="en-US" w:bidi="ar-SA"/>
              </w:rPr>
            </w:pPr>
            <w:r w:rsidRPr="00787196">
              <w:rPr>
                <w:rFonts w:eastAsia="Calibri" w:cs="Arial"/>
                <w:sz w:val="20"/>
                <w:szCs w:val="20"/>
                <w:lang w:eastAsia="en-US" w:bidi="ar-SA"/>
              </w:rPr>
              <w:t xml:space="preserve">The questions in this scale ask you about your feelings and thoughts </w:t>
            </w:r>
            <w:r w:rsidRPr="00787196">
              <w:rPr>
                <w:rFonts w:eastAsia="Calibri" w:cs="Arial"/>
                <w:b/>
                <w:bCs/>
                <w:sz w:val="20"/>
                <w:szCs w:val="20"/>
                <w:lang w:eastAsia="en-US" w:bidi="ar-SA"/>
              </w:rPr>
              <w:t>during the last month</w:t>
            </w:r>
            <w:r w:rsidRPr="00787196">
              <w:rPr>
                <w:rFonts w:eastAsia="Calibri" w:cs="Arial"/>
                <w:sz w:val="20"/>
                <w:szCs w:val="20"/>
                <w:lang w:eastAsia="en-US" w:bidi="ar-SA"/>
              </w:rPr>
              <w:t xml:space="preserve">. In each case, you will be asked to indicate </w:t>
            </w:r>
            <w:r w:rsidRPr="00787196">
              <w:rPr>
                <w:rFonts w:eastAsia="Calibri" w:cs="Arial"/>
                <w:i/>
                <w:iCs/>
                <w:sz w:val="20"/>
                <w:szCs w:val="20"/>
                <w:lang w:eastAsia="en-US" w:bidi="ar-SA"/>
              </w:rPr>
              <w:t xml:space="preserve">how often </w:t>
            </w:r>
            <w:r w:rsidRPr="00787196">
              <w:rPr>
                <w:rFonts w:eastAsia="Calibri" w:cs="Arial"/>
                <w:sz w:val="20"/>
                <w:szCs w:val="20"/>
                <w:lang w:eastAsia="en-US" w:bidi="ar-SA"/>
              </w:rPr>
              <w:t>you felt or thought a certain way. Although some questions are similar, there are differences between them and you should treat each one as a separate question. For each question tick</w:t>
            </w:r>
            <w:r w:rsidRPr="00787196">
              <w:rPr>
                <w:rFonts w:eastAsia="Calibri" w:cs="Arial"/>
                <w:sz w:val="20"/>
                <w:szCs w:val="20"/>
                <w:lang w:eastAsia="en-US" w:bidi="ar-SA"/>
              </w:rPr>
              <w:sym w:font="Wingdings" w:char="F0FE"/>
            </w:r>
            <w:r w:rsidRPr="00787196">
              <w:rPr>
                <w:rFonts w:eastAsia="Calibri" w:cs="Arial"/>
                <w:sz w:val="20"/>
                <w:szCs w:val="20"/>
                <w:lang w:eastAsia="en-US" w:bidi="ar-SA"/>
              </w:rPr>
              <w:t>the number which you feel is appropriate.</w:t>
            </w:r>
          </w:p>
          <w:p w14:paraId="16075F69" w14:textId="77777777" w:rsidR="00C6213B" w:rsidRPr="00787196" w:rsidRDefault="00C6213B" w:rsidP="005C2A75">
            <w:pPr>
              <w:autoSpaceDE w:val="0"/>
              <w:autoSpaceDN w:val="0"/>
              <w:adjustRightInd w:val="0"/>
              <w:spacing w:before="0" w:after="0" w:line="240" w:lineRule="auto"/>
              <w:rPr>
                <w:rFonts w:eastAsia="Calibri" w:cs="Arial"/>
                <w:sz w:val="20"/>
                <w:szCs w:val="20"/>
                <w:lang w:eastAsia="en-US" w:bidi="ar-SA"/>
              </w:rPr>
            </w:pPr>
            <w:r w:rsidRPr="00787196">
              <w:rPr>
                <w:rFonts w:eastAsia="Calibri" w:cs="Arial"/>
                <w:b/>
                <w:sz w:val="20"/>
                <w:szCs w:val="20"/>
                <w:lang w:eastAsia="en-US" w:bidi="ar-SA"/>
              </w:rPr>
              <w:t xml:space="preserve">PLEASE TICK ONLY ONE ANSWER </w:t>
            </w:r>
          </w:p>
        </w:tc>
      </w:tr>
      <w:tr w:rsidR="00C6213B" w:rsidRPr="00787196" w14:paraId="4E65AFCF" w14:textId="77777777" w:rsidTr="00D54487">
        <w:trPr>
          <w:trHeight w:val="545"/>
        </w:trPr>
        <w:tc>
          <w:tcPr>
            <w:tcW w:w="447" w:type="dxa"/>
            <w:tcBorders>
              <w:bottom w:val="single" w:sz="4" w:space="0" w:color="000000"/>
              <w:right w:val="nil"/>
            </w:tcBorders>
            <w:shd w:val="clear" w:color="auto" w:fill="auto"/>
          </w:tcPr>
          <w:p w14:paraId="4ECDA22B" w14:textId="77777777" w:rsidR="00C6213B" w:rsidRPr="00787196" w:rsidRDefault="00C6213B" w:rsidP="005C2A75">
            <w:pPr>
              <w:pStyle w:val="ListParagraph"/>
              <w:autoSpaceDE w:val="0"/>
              <w:autoSpaceDN w:val="0"/>
              <w:adjustRightInd w:val="0"/>
              <w:spacing w:beforeLines="200" w:before="480" w:after="0"/>
              <w:ind w:left="0"/>
              <w:rPr>
                <w:rFonts w:eastAsia="Calibri" w:cs="Arial"/>
                <w:b/>
                <w:szCs w:val="24"/>
                <w:lang w:eastAsia="en-US" w:bidi="ar-SA"/>
              </w:rPr>
            </w:pPr>
          </w:p>
        </w:tc>
        <w:tc>
          <w:tcPr>
            <w:tcW w:w="2044" w:type="dxa"/>
            <w:tcBorders>
              <w:left w:val="nil"/>
              <w:bottom w:val="single" w:sz="4" w:space="0" w:color="auto"/>
              <w:right w:val="nil"/>
            </w:tcBorders>
            <w:shd w:val="clear" w:color="auto" w:fill="auto"/>
          </w:tcPr>
          <w:p w14:paraId="41D33472" w14:textId="77777777" w:rsidR="00C6213B" w:rsidRPr="00787196" w:rsidRDefault="00C6213B" w:rsidP="005C2A75">
            <w:pPr>
              <w:autoSpaceDE w:val="0"/>
              <w:autoSpaceDN w:val="0"/>
              <w:adjustRightInd w:val="0"/>
              <w:spacing w:beforeLines="200" w:before="480" w:after="0" w:line="240" w:lineRule="auto"/>
              <w:contextualSpacing/>
              <w:rPr>
                <w:rFonts w:eastAsia="Calibri" w:cs="Arial"/>
                <w:bCs/>
                <w:sz w:val="20"/>
                <w:szCs w:val="20"/>
                <w:lang w:eastAsia="en-US" w:bidi="ar-SA"/>
              </w:rPr>
            </w:pPr>
          </w:p>
        </w:tc>
        <w:tc>
          <w:tcPr>
            <w:tcW w:w="1002" w:type="dxa"/>
            <w:tcBorders>
              <w:left w:val="nil"/>
              <w:bottom w:val="single" w:sz="4" w:space="0" w:color="auto"/>
              <w:right w:val="nil"/>
            </w:tcBorders>
            <w:shd w:val="clear" w:color="auto" w:fill="auto"/>
            <w:vAlign w:val="center"/>
          </w:tcPr>
          <w:p w14:paraId="5E8FD7AC"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0- Never</w:t>
            </w:r>
          </w:p>
        </w:tc>
        <w:tc>
          <w:tcPr>
            <w:tcW w:w="1196" w:type="dxa"/>
            <w:tcBorders>
              <w:left w:val="nil"/>
              <w:bottom w:val="single" w:sz="4" w:space="0" w:color="auto"/>
              <w:right w:val="nil"/>
            </w:tcBorders>
            <w:shd w:val="clear" w:color="auto" w:fill="auto"/>
            <w:vAlign w:val="center"/>
          </w:tcPr>
          <w:p w14:paraId="4F51CEA7"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1- Almost Never</w:t>
            </w:r>
          </w:p>
        </w:tc>
        <w:tc>
          <w:tcPr>
            <w:tcW w:w="1121" w:type="dxa"/>
            <w:tcBorders>
              <w:left w:val="nil"/>
              <w:bottom w:val="single" w:sz="4" w:space="0" w:color="auto"/>
              <w:right w:val="nil"/>
            </w:tcBorders>
            <w:shd w:val="clear" w:color="auto" w:fill="auto"/>
            <w:vAlign w:val="center"/>
          </w:tcPr>
          <w:p w14:paraId="1071CF76"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2- Some times</w:t>
            </w:r>
          </w:p>
        </w:tc>
        <w:tc>
          <w:tcPr>
            <w:tcW w:w="1071" w:type="dxa"/>
            <w:tcBorders>
              <w:left w:val="nil"/>
              <w:bottom w:val="single" w:sz="4" w:space="0" w:color="auto"/>
              <w:right w:val="nil"/>
            </w:tcBorders>
            <w:shd w:val="clear" w:color="auto" w:fill="auto"/>
            <w:vAlign w:val="center"/>
          </w:tcPr>
          <w:p w14:paraId="79309FD4"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3- Fairly Often</w:t>
            </w:r>
          </w:p>
        </w:tc>
        <w:tc>
          <w:tcPr>
            <w:tcW w:w="1233" w:type="dxa"/>
            <w:tcBorders>
              <w:left w:val="nil"/>
              <w:bottom w:val="single" w:sz="4" w:space="0" w:color="auto"/>
            </w:tcBorders>
            <w:shd w:val="clear" w:color="auto" w:fill="auto"/>
            <w:vAlign w:val="center"/>
          </w:tcPr>
          <w:p w14:paraId="59709089"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4 - Very Often</w:t>
            </w:r>
          </w:p>
        </w:tc>
      </w:tr>
      <w:tr w:rsidR="00C6213B" w:rsidRPr="00787196" w14:paraId="59E7C6D7" w14:textId="77777777" w:rsidTr="00D54487">
        <w:trPr>
          <w:trHeight w:val="1050"/>
        </w:trPr>
        <w:tc>
          <w:tcPr>
            <w:tcW w:w="447" w:type="dxa"/>
            <w:tcBorders>
              <w:top w:val="nil"/>
              <w:bottom w:val="nil"/>
              <w:right w:val="single" w:sz="4" w:space="0" w:color="auto"/>
            </w:tcBorders>
            <w:shd w:val="clear" w:color="auto" w:fill="auto"/>
            <w:vAlign w:val="center"/>
          </w:tcPr>
          <w:p w14:paraId="2E168273" w14:textId="77777777" w:rsidR="00C6213B" w:rsidRPr="00787196" w:rsidRDefault="00C6213B" w:rsidP="005C2A75">
            <w:pPr>
              <w:spacing w:before="0" w:after="0" w:line="240" w:lineRule="auto"/>
              <w:rPr>
                <w:rFonts w:eastAsia="Calibri" w:cs="Arial"/>
                <w:sz w:val="20"/>
                <w:szCs w:val="20"/>
                <w:lang w:eastAsia="en-US" w:bidi="ar-SA"/>
              </w:rPr>
            </w:pPr>
            <w:r w:rsidRPr="00787196">
              <w:rPr>
                <w:rFonts w:eastAsia="Calibri" w:cs="Arial"/>
                <w:sz w:val="20"/>
                <w:szCs w:val="20"/>
                <w:lang w:eastAsia="en-US" w:bidi="ar-SA"/>
              </w:rPr>
              <w:t>2</w:t>
            </w:r>
            <w:r w:rsidR="008652A2" w:rsidRPr="00787196">
              <w:rPr>
                <w:rFonts w:eastAsia="Calibri" w:cs="Arial"/>
                <w:sz w:val="20"/>
                <w:szCs w:val="20"/>
                <w:lang w:eastAsia="en-US" w:bidi="ar-SA"/>
              </w:rPr>
              <w:t>6</w:t>
            </w:r>
          </w:p>
        </w:tc>
        <w:tc>
          <w:tcPr>
            <w:tcW w:w="2044" w:type="dxa"/>
            <w:tcBorders>
              <w:top w:val="single" w:sz="4" w:space="0" w:color="auto"/>
              <w:left w:val="single" w:sz="4" w:space="0" w:color="auto"/>
              <w:bottom w:val="nil"/>
              <w:right w:val="nil"/>
            </w:tcBorders>
            <w:shd w:val="clear" w:color="auto" w:fill="auto"/>
            <w:vAlign w:val="center"/>
          </w:tcPr>
          <w:p w14:paraId="30973EFC" w14:textId="77777777" w:rsidR="00C6213B" w:rsidRPr="00787196" w:rsidRDefault="00C6213B" w:rsidP="00BE03CB">
            <w:pPr>
              <w:autoSpaceDE w:val="0"/>
              <w:autoSpaceDN w:val="0"/>
              <w:adjustRightInd w:val="0"/>
              <w:spacing w:beforeLines="200" w:before="480" w:after="0" w:line="240" w:lineRule="auto"/>
              <w:contextualSpacing/>
              <w:jc w:val="left"/>
              <w:rPr>
                <w:rFonts w:eastAsia="Calibri" w:cs="Arial"/>
                <w:bCs/>
                <w:sz w:val="20"/>
                <w:szCs w:val="20"/>
                <w:lang w:eastAsia="en-US" w:bidi="ar-SA"/>
              </w:rPr>
            </w:pPr>
          </w:p>
          <w:p w14:paraId="35580EC8" w14:textId="77777777" w:rsidR="00C6213B" w:rsidRPr="00787196" w:rsidRDefault="00C6213B" w:rsidP="00BE03CB">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In the last month, how often have you felt that you were unable to control the important things in your life?</w:t>
            </w:r>
          </w:p>
          <w:p w14:paraId="0E3BE234" w14:textId="77777777" w:rsidR="00C6213B" w:rsidRPr="00787196" w:rsidRDefault="00C6213B" w:rsidP="00BE03CB">
            <w:pPr>
              <w:autoSpaceDE w:val="0"/>
              <w:autoSpaceDN w:val="0"/>
              <w:adjustRightInd w:val="0"/>
              <w:spacing w:beforeLines="200" w:before="480" w:after="0" w:line="240" w:lineRule="auto"/>
              <w:contextualSpacing/>
              <w:jc w:val="left"/>
              <w:rPr>
                <w:rFonts w:eastAsia="Calibri" w:cs="Arial"/>
                <w:bCs/>
                <w:sz w:val="20"/>
                <w:szCs w:val="20"/>
                <w:lang w:eastAsia="en-US" w:bidi="ar-SA"/>
              </w:rPr>
            </w:pPr>
          </w:p>
        </w:tc>
        <w:tc>
          <w:tcPr>
            <w:tcW w:w="1002" w:type="dxa"/>
            <w:tcBorders>
              <w:top w:val="single" w:sz="4" w:space="0" w:color="auto"/>
              <w:left w:val="nil"/>
              <w:bottom w:val="nil"/>
              <w:right w:val="nil"/>
            </w:tcBorders>
            <w:shd w:val="clear" w:color="auto" w:fill="auto"/>
            <w:vAlign w:val="center"/>
          </w:tcPr>
          <w:p w14:paraId="2A61ACAC" w14:textId="77777777" w:rsidR="00C6213B" w:rsidRPr="00787196" w:rsidRDefault="007D6B7F" w:rsidP="005C2A75">
            <w:pPr>
              <w:autoSpaceDE w:val="0"/>
              <w:autoSpaceDN w:val="0"/>
              <w:adjustRightInd w:val="0"/>
              <w:spacing w:beforeLines="200" w:before="480" w:after="0" w:line="240" w:lineRule="auto"/>
              <w:contextualSpacing/>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bookmarkStart w:id="819" w:name="Check3"/>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bookmarkEnd w:id="819"/>
          </w:p>
        </w:tc>
        <w:tc>
          <w:tcPr>
            <w:tcW w:w="1196" w:type="dxa"/>
            <w:tcBorders>
              <w:top w:val="single" w:sz="4" w:space="0" w:color="auto"/>
              <w:left w:val="nil"/>
              <w:bottom w:val="nil"/>
              <w:right w:val="nil"/>
            </w:tcBorders>
            <w:shd w:val="clear" w:color="auto" w:fill="auto"/>
            <w:vAlign w:val="center"/>
          </w:tcPr>
          <w:p w14:paraId="002A1CC7"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21" w:type="dxa"/>
            <w:tcBorders>
              <w:top w:val="single" w:sz="4" w:space="0" w:color="auto"/>
              <w:left w:val="nil"/>
              <w:bottom w:val="nil"/>
              <w:right w:val="nil"/>
            </w:tcBorders>
            <w:shd w:val="clear" w:color="auto" w:fill="auto"/>
            <w:vAlign w:val="center"/>
          </w:tcPr>
          <w:p w14:paraId="6A9EAD0C"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071" w:type="dxa"/>
            <w:tcBorders>
              <w:top w:val="single" w:sz="4" w:space="0" w:color="auto"/>
              <w:left w:val="nil"/>
              <w:bottom w:val="nil"/>
              <w:right w:val="nil"/>
            </w:tcBorders>
            <w:shd w:val="clear" w:color="auto" w:fill="auto"/>
            <w:vAlign w:val="center"/>
          </w:tcPr>
          <w:p w14:paraId="64618C63"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233" w:type="dxa"/>
            <w:tcBorders>
              <w:top w:val="single" w:sz="4" w:space="0" w:color="auto"/>
              <w:left w:val="nil"/>
              <w:bottom w:val="nil"/>
            </w:tcBorders>
            <w:shd w:val="clear" w:color="auto" w:fill="auto"/>
            <w:vAlign w:val="center"/>
          </w:tcPr>
          <w:p w14:paraId="0D5390D4"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r>
      <w:tr w:rsidR="00C6213B" w:rsidRPr="00787196" w14:paraId="67CC6C1D" w14:textId="77777777" w:rsidTr="00D54487">
        <w:trPr>
          <w:trHeight w:val="1569"/>
        </w:trPr>
        <w:tc>
          <w:tcPr>
            <w:tcW w:w="447" w:type="dxa"/>
            <w:tcBorders>
              <w:top w:val="nil"/>
              <w:bottom w:val="nil"/>
              <w:right w:val="single" w:sz="4" w:space="0" w:color="auto"/>
            </w:tcBorders>
            <w:shd w:val="clear" w:color="auto" w:fill="auto"/>
            <w:vAlign w:val="center"/>
          </w:tcPr>
          <w:p w14:paraId="2BC41E4B" w14:textId="77777777" w:rsidR="00C6213B" w:rsidRPr="00787196" w:rsidRDefault="008652A2" w:rsidP="005C2A75">
            <w:pPr>
              <w:spacing w:before="0" w:after="0" w:line="240" w:lineRule="auto"/>
              <w:rPr>
                <w:rFonts w:eastAsia="Calibri" w:cs="Arial"/>
                <w:sz w:val="20"/>
                <w:szCs w:val="20"/>
                <w:lang w:eastAsia="en-US" w:bidi="ar-SA"/>
              </w:rPr>
            </w:pPr>
            <w:r w:rsidRPr="00787196">
              <w:rPr>
                <w:rFonts w:eastAsia="Calibri" w:cs="Arial"/>
                <w:sz w:val="20"/>
                <w:szCs w:val="20"/>
                <w:lang w:eastAsia="en-US" w:bidi="ar-SA"/>
              </w:rPr>
              <w:t>27</w:t>
            </w:r>
          </w:p>
        </w:tc>
        <w:tc>
          <w:tcPr>
            <w:tcW w:w="2044" w:type="dxa"/>
            <w:tcBorders>
              <w:top w:val="nil"/>
              <w:left w:val="single" w:sz="4" w:space="0" w:color="auto"/>
              <w:bottom w:val="nil"/>
              <w:right w:val="nil"/>
            </w:tcBorders>
            <w:shd w:val="clear" w:color="auto" w:fill="auto"/>
            <w:vAlign w:val="center"/>
          </w:tcPr>
          <w:p w14:paraId="1DCAE436" w14:textId="77777777" w:rsidR="00C6213B" w:rsidRPr="00787196" w:rsidRDefault="00C6213B" w:rsidP="00BE03CB">
            <w:pPr>
              <w:autoSpaceDE w:val="0"/>
              <w:autoSpaceDN w:val="0"/>
              <w:adjustRightInd w:val="0"/>
              <w:spacing w:before="0" w:after="0" w:line="240" w:lineRule="auto"/>
              <w:jc w:val="left"/>
              <w:rPr>
                <w:rFonts w:eastAsia="Calibri" w:cs="Arial"/>
                <w:bCs/>
                <w:sz w:val="20"/>
                <w:szCs w:val="20"/>
                <w:lang w:eastAsia="en-US" w:bidi="ar-SA"/>
              </w:rPr>
            </w:pPr>
            <w:r w:rsidRPr="00787196">
              <w:rPr>
                <w:rFonts w:eastAsia="Calibri" w:cs="Arial"/>
                <w:bCs/>
                <w:sz w:val="20"/>
                <w:szCs w:val="20"/>
                <w:lang w:eastAsia="en-US" w:bidi="ar-SA"/>
              </w:rPr>
              <w:t>In the last month, how often have you felt confident about your ability to handle your personal problems?</w:t>
            </w:r>
          </w:p>
        </w:tc>
        <w:tc>
          <w:tcPr>
            <w:tcW w:w="1002" w:type="dxa"/>
            <w:tcBorders>
              <w:top w:val="nil"/>
              <w:left w:val="nil"/>
              <w:bottom w:val="nil"/>
              <w:right w:val="nil"/>
            </w:tcBorders>
            <w:shd w:val="clear" w:color="auto" w:fill="auto"/>
            <w:vAlign w:val="center"/>
          </w:tcPr>
          <w:p w14:paraId="0BA1B19B"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96" w:type="dxa"/>
            <w:tcBorders>
              <w:top w:val="nil"/>
              <w:left w:val="nil"/>
              <w:bottom w:val="nil"/>
              <w:right w:val="nil"/>
            </w:tcBorders>
            <w:shd w:val="clear" w:color="auto" w:fill="auto"/>
            <w:vAlign w:val="center"/>
          </w:tcPr>
          <w:p w14:paraId="55272D72"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21" w:type="dxa"/>
            <w:tcBorders>
              <w:top w:val="nil"/>
              <w:left w:val="nil"/>
              <w:bottom w:val="nil"/>
              <w:right w:val="nil"/>
            </w:tcBorders>
            <w:shd w:val="clear" w:color="auto" w:fill="auto"/>
            <w:vAlign w:val="center"/>
          </w:tcPr>
          <w:p w14:paraId="5B0759B6"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071" w:type="dxa"/>
            <w:tcBorders>
              <w:top w:val="nil"/>
              <w:left w:val="nil"/>
              <w:bottom w:val="nil"/>
              <w:right w:val="nil"/>
            </w:tcBorders>
            <w:shd w:val="clear" w:color="auto" w:fill="auto"/>
            <w:vAlign w:val="center"/>
          </w:tcPr>
          <w:p w14:paraId="44097927"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233" w:type="dxa"/>
            <w:tcBorders>
              <w:top w:val="nil"/>
              <w:left w:val="nil"/>
              <w:bottom w:val="nil"/>
            </w:tcBorders>
            <w:shd w:val="clear" w:color="auto" w:fill="auto"/>
            <w:vAlign w:val="center"/>
          </w:tcPr>
          <w:p w14:paraId="3A79A56F"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r>
      <w:tr w:rsidR="00C6213B" w:rsidRPr="00787196" w14:paraId="33F3903A" w14:textId="77777777" w:rsidTr="00D54487">
        <w:trPr>
          <w:trHeight w:val="545"/>
        </w:trPr>
        <w:tc>
          <w:tcPr>
            <w:tcW w:w="447" w:type="dxa"/>
            <w:tcBorders>
              <w:top w:val="nil"/>
              <w:bottom w:val="nil"/>
              <w:right w:val="single" w:sz="4" w:space="0" w:color="auto"/>
            </w:tcBorders>
            <w:shd w:val="clear" w:color="auto" w:fill="auto"/>
            <w:vAlign w:val="center"/>
          </w:tcPr>
          <w:p w14:paraId="285C77BE" w14:textId="77777777" w:rsidR="00C6213B" w:rsidRPr="00787196" w:rsidRDefault="008652A2" w:rsidP="005C2A75">
            <w:pPr>
              <w:spacing w:before="0" w:after="0" w:line="240" w:lineRule="auto"/>
              <w:rPr>
                <w:rFonts w:eastAsia="Calibri" w:cs="Arial"/>
                <w:sz w:val="20"/>
                <w:szCs w:val="20"/>
                <w:lang w:eastAsia="en-US" w:bidi="ar-SA"/>
              </w:rPr>
            </w:pPr>
            <w:r w:rsidRPr="00787196">
              <w:rPr>
                <w:rFonts w:eastAsia="Calibri" w:cs="Arial"/>
                <w:sz w:val="20"/>
                <w:szCs w:val="20"/>
                <w:lang w:eastAsia="en-US" w:bidi="ar-SA"/>
              </w:rPr>
              <w:t>28</w:t>
            </w:r>
          </w:p>
        </w:tc>
        <w:tc>
          <w:tcPr>
            <w:tcW w:w="2044" w:type="dxa"/>
            <w:tcBorders>
              <w:top w:val="nil"/>
              <w:left w:val="single" w:sz="4" w:space="0" w:color="auto"/>
              <w:bottom w:val="nil"/>
              <w:right w:val="nil"/>
            </w:tcBorders>
            <w:shd w:val="clear" w:color="auto" w:fill="auto"/>
            <w:vAlign w:val="center"/>
          </w:tcPr>
          <w:p w14:paraId="7E6A7A61" w14:textId="77777777" w:rsidR="00C6213B" w:rsidRPr="00787196" w:rsidRDefault="00C6213B" w:rsidP="00BE03CB">
            <w:pPr>
              <w:autoSpaceDE w:val="0"/>
              <w:autoSpaceDN w:val="0"/>
              <w:adjustRightInd w:val="0"/>
              <w:spacing w:before="0" w:after="0" w:line="240" w:lineRule="auto"/>
              <w:jc w:val="left"/>
              <w:rPr>
                <w:rFonts w:eastAsia="Calibri" w:cs="Arial"/>
                <w:bCs/>
                <w:sz w:val="20"/>
                <w:szCs w:val="20"/>
                <w:lang w:eastAsia="en-US" w:bidi="ar-SA"/>
              </w:rPr>
            </w:pPr>
          </w:p>
          <w:p w14:paraId="55E5CA95" w14:textId="77777777" w:rsidR="00C6213B" w:rsidRPr="00787196" w:rsidRDefault="00C6213B" w:rsidP="00BE03CB">
            <w:pPr>
              <w:autoSpaceDE w:val="0"/>
              <w:autoSpaceDN w:val="0"/>
              <w:adjustRightInd w:val="0"/>
              <w:spacing w:before="0" w:after="0" w:line="240" w:lineRule="auto"/>
              <w:jc w:val="left"/>
              <w:rPr>
                <w:rFonts w:eastAsia="Calibri" w:cs="Arial"/>
                <w:bCs/>
                <w:sz w:val="20"/>
                <w:szCs w:val="20"/>
                <w:lang w:eastAsia="en-US" w:bidi="ar-SA"/>
              </w:rPr>
            </w:pPr>
            <w:r w:rsidRPr="00787196">
              <w:rPr>
                <w:rFonts w:eastAsia="Calibri" w:cs="Arial"/>
                <w:bCs/>
                <w:sz w:val="20"/>
                <w:szCs w:val="20"/>
                <w:lang w:eastAsia="en-US" w:bidi="ar-SA"/>
              </w:rPr>
              <w:t>In the last month, how often have you felt that things were going your way?</w:t>
            </w:r>
          </w:p>
          <w:p w14:paraId="6B998CF8" w14:textId="77777777" w:rsidR="00C6213B" w:rsidRPr="00787196" w:rsidRDefault="00C6213B" w:rsidP="00BE03CB">
            <w:pPr>
              <w:autoSpaceDE w:val="0"/>
              <w:autoSpaceDN w:val="0"/>
              <w:adjustRightInd w:val="0"/>
              <w:spacing w:beforeLines="200" w:before="480" w:after="0" w:line="240" w:lineRule="auto"/>
              <w:contextualSpacing/>
              <w:jc w:val="left"/>
              <w:rPr>
                <w:rFonts w:eastAsia="Calibri" w:cs="Arial"/>
                <w:bCs/>
                <w:sz w:val="20"/>
                <w:szCs w:val="20"/>
                <w:lang w:eastAsia="en-US" w:bidi="ar-SA"/>
              </w:rPr>
            </w:pPr>
          </w:p>
        </w:tc>
        <w:tc>
          <w:tcPr>
            <w:tcW w:w="1002" w:type="dxa"/>
            <w:tcBorders>
              <w:top w:val="nil"/>
              <w:left w:val="nil"/>
              <w:bottom w:val="nil"/>
              <w:right w:val="nil"/>
            </w:tcBorders>
            <w:shd w:val="clear" w:color="auto" w:fill="auto"/>
            <w:vAlign w:val="center"/>
          </w:tcPr>
          <w:p w14:paraId="7CC1F3EF"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96" w:type="dxa"/>
            <w:tcBorders>
              <w:top w:val="nil"/>
              <w:left w:val="nil"/>
              <w:bottom w:val="nil"/>
              <w:right w:val="nil"/>
            </w:tcBorders>
            <w:shd w:val="clear" w:color="auto" w:fill="auto"/>
            <w:vAlign w:val="center"/>
          </w:tcPr>
          <w:p w14:paraId="37B8231E"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21" w:type="dxa"/>
            <w:tcBorders>
              <w:top w:val="nil"/>
              <w:left w:val="nil"/>
              <w:bottom w:val="nil"/>
              <w:right w:val="nil"/>
            </w:tcBorders>
            <w:shd w:val="clear" w:color="auto" w:fill="auto"/>
            <w:vAlign w:val="center"/>
          </w:tcPr>
          <w:p w14:paraId="2E280327"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071" w:type="dxa"/>
            <w:tcBorders>
              <w:top w:val="nil"/>
              <w:left w:val="nil"/>
              <w:bottom w:val="nil"/>
              <w:right w:val="nil"/>
            </w:tcBorders>
            <w:shd w:val="clear" w:color="auto" w:fill="auto"/>
            <w:vAlign w:val="center"/>
          </w:tcPr>
          <w:p w14:paraId="500DAD0F"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233" w:type="dxa"/>
            <w:tcBorders>
              <w:top w:val="nil"/>
              <w:left w:val="nil"/>
              <w:bottom w:val="nil"/>
            </w:tcBorders>
            <w:shd w:val="clear" w:color="auto" w:fill="auto"/>
            <w:vAlign w:val="center"/>
          </w:tcPr>
          <w:p w14:paraId="37B4F3A3"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r>
      <w:tr w:rsidR="00C6213B" w:rsidRPr="00787196" w14:paraId="2680EDD5" w14:textId="77777777" w:rsidTr="00D54487">
        <w:trPr>
          <w:trHeight w:val="545"/>
        </w:trPr>
        <w:tc>
          <w:tcPr>
            <w:tcW w:w="447" w:type="dxa"/>
            <w:tcBorders>
              <w:top w:val="nil"/>
              <w:bottom w:val="single" w:sz="4" w:space="0" w:color="000000"/>
              <w:right w:val="single" w:sz="4" w:space="0" w:color="auto"/>
            </w:tcBorders>
            <w:shd w:val="clear" w:color="auto" w:fill="auto"/>
            <w:vAlign w:val="center"/>
          </w:tcPr>
          <w:p w14:paraId="21F0DD02" w14:textId="77777777" w:rsidR="00C6213B" w:rsidRPr="00787196" w:rsidRDefault="008652A2" w:rsidP="005C2A75">
            <w:pPr>
              <w:spacing w:before="0" w:after="0" w:line="240" w:lineRule="auto"/>
              <w:rPr>
                <w:rFonts w:eastAsia="Calibri" w:cs="Arial"/>
                <w:sz w:val="20"/>
                <w:szCs w:val="20"/>
                <w:lang w:eastAsia="en-US" w:bidi="ar-SA"/>
              </w:rPr>
            </w:pPr>
            <w:r w:rsidRPr="00787196">
              <w:rPr>
                <w:rFonts w:eastAsia="Calibri" w:cs="Arial"/>
                <w:sz w:val="20"/>
                <w:szCs w:val="20"/>
                <w:lang w:eastAsia="en-US" w:bidi="ar-SA"/>
              </w:rPr>
              <w:t>29</w:t>
            </w:r>
          </w:p>
        </w:tc>
        <w:tc>
          <w:tcPr>
            <w:tcW w:w="2044" w:type="dxa"/>
            <w:tcBorders>
              <w:top w:val="nil"/>
              <w:left w:val="single" w:sz="4" w:space="0" w:color="auto"/>
              <w:bottom w:val="single" w:sz="4" w:space="0" w:color="auto"/>
              <w:right w:val="nil"/>
            </w:tcBorders>
            <w:shd w:val="clear" w:color="auto" w:fill="auto"/>
            <w:vAlign w:val="center"/>
          </w:tcPr>
          <w:p w14:paraId="305B6AB2" w14:textId="77777777" w:rsidR="00C6213B" w:rsidRPr="00787196" w:rsidRDefault="00C6213B" w:rsidP="00BE03CB">
            <w:pPr>
              <w:autoSpaceDE w:val="0"/>
              <w:autoSpaceDN w:val="0"/>
              <w:adjustRightInd w:val="0"/>
              <w:spacing w:before="0" w:after="0" w:line="240" w:lineRule="auto"/>
              <w:jc w:val="left"/>
              <w:rPr>
                <w:rFonts w:eastAsia="Calibri" w:cs="Arial"/>
                <w:bCs/>
                <w:sz w:val="20"/>
                <w:szCs w:val="20"/>
                <w:lang w:eastAsia="en-US" w:bidi="ar-SA"/>
              </w:rPr>
            </w:pPr>
          </w:p>
          <w:p w14:paraId="3E1907C1" w14:textId="77777777" w:rsidR="00C6213B" w:rsidRPr="00787196" w:rsidRDefault="00C6213B" w:rsidP="00BE03CB">
            <w:pPr>
              <w:autoSpaceDE w:val="0"/>
              <w:autoSpaceDN w:val="0"/>
              <w:adjustRightInd w:val="0"/>
              <w:spacing w:before="0" w:after="0" w:line="240" w:lineRule="auto"/>
              <w:jc w:val="left"/>
              <w:rPr>
                <w:rFonts w:eastAsia="Calibri" w:cs="Arial"/>
                <w:bCs/>
                <w:sz w:val="20"/>
                <w:szCs w:val="20"/>
                <w:lang w:eastAsia="en-US" w:bidi="ar-SA"/>
              </w:rPr>
            </w:pPr>
            <w:r w:rsidRPr="00787196">
              <w:rPr>
                <w:rFonts w:eastAsia="Calibri" w:cs="Arial"/>
                <w:bCs/>
                <w:sz w:val="20"/>
                <w:szCs w:val="20"/>
                <w:lang w:eastAsia="en-US" w:bidi="ar-SA"/>
              </w:rPr>
              <w:t>In the last month, how often have you felt difficulties were piling up so high that you could not overcome them?</w:t>
            </w:r>
          </w:p>
          <w:p w14:paraId="614B4FD4" w14:textId="77777777" w:rsidR="00C6213B" w:rsidRPr="00787196" w:rsidRDefault="00C6213B" w:rsidP="00BE03CB">
            <w:pPr>
              <w:autoSpaceDE w:val="0"/>
              <w:autoSpaceDN w:val="0"/>
              <w:adjustRightInd w:val="0"/>
              <w:spacing w:beforeLines="200" w:before="480" w:after="0" w:line="240" w:lineRule="auto"/>
              <w:contextualSpacing/>
              <w:jc w:val="left"/>
              <w:rPr>
                <w:rFonts w:eastAsia="Calibri" w:cs="Arial"/>
                <w:bCs/>
                <w:sz w:val="20"/>
                <w:szCs w:val="20"/>
                <w:lang w:eastAsia="en-US" w:bidi="ar-SA"/>
              </w:rPr>
            </w:pPr>
          </w:p>
        </w:tc>
        <w:tc>
          <w:tcPr>
            <w:tcW w:w="1002" w:type="dxa"/>
            <w:tcBorders>
              <w:top w:val="nil"/>
              <w:left w:val="nil"/>
              <w:bottom w:val="single" w:sz="4" w:space="0" w:color="auto"/>
              <w:right w:val="nil"/>
            </w:tcBorders>
            <w:shd w:val="clear" w:color="auto" w:fill="auto"/>
            <w:vAlign w:val="center"/>
          </w:tcPr>
          <w:p w14:paraId="21425441"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96" w:type="dxa"/>
            <w:tcBorders>
              <w:top w:val="nil"/>
              <w:left w:val="nil"/>
              <w:bottom w:val="single" w:sz="4" w:space="0" w:color="auto"/>
              <w:right w:val="nil"/>
            </w:tcBorders>
            <w:shd w:val="clear" w:color="auto" w:fill="auto"/>
            <w:vAlign w:val="center"/>
          </w:tcPr>
          <w:p w14:paraId="08A70C19"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121" w:type="dxa"/>
            <w:tcBorders>
              <w:top w:val="nil"/>
              <w:left w:val="nil"/>
              <w:bottom w:val="single" w:sz="4" w:space="0" w:color="auto"/>
              <w:right w:val="nil"/>
            </w:tcBorders>
            <w:shd w:val="clear" w:color="auto" w:fill="auto"/>
            <w:vAlign w:val="center"/>
          </w:tcPr>
          <w:p w14:paraId="0B87BD54"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071" w:type="dxa"/>
            <w:tcBorders>
              <w:top w:val="nil"/>
              <w:left w:val="nil"/>
              <w:bottom w:val="single" w:sz="4" w:space="0" w:color="auto"/>
              <w:right w:val="nil"/>
            </w:tcBorders>
            <w:shd w:val="clear" w:color="auto" w:fill="auto"/>
            <w:vAlign w:val="center"/>
          </w:tcPr>
          <w:p w14:paraId="7176F35D"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c>
          <w:tcPr>
            <w:tcW w:w="1233" w:type="dxa"/>
            <w:tcBorders>
              <w:top w:val="nil"/>
              <w:left w:val="nil"/>
              <w:bottom w:val="single" w:sz="4" w:space="0" w:color="auto"/>
            </w:tcBorders>
            <w:shd w:val="clear" w:color="auto" w:fill="auto"/>
            <w:vAlign w:val="center"/>
          </w:tcPr>
          <w:p w14:paraId="7B632B4C" w14:textId="77777777" w:rsidR="00C6213B" w:rsidRPr="00787196" w:rsidRDefault="007D6B7F" w:rsidP="005C2A75">
            <w:pPr>
              <w:spacing w:before="0" w:after="0" w:line="240" w:lineRule="auto"/>
              <w:jc w:val="center"/>
              <w:rPr>
                <w:rFonts w:eastAsia="Calibri" w:cs="Arial"/>
                <w:bCs/>
                <w:sz w:val="20"/>
                <w:szCs w:val="20"/>
                <w:lang w:eastAsia="en-US" w:bidi="ar-SA"/>
              </w:rPr>
            </w:pPr>
            <w:r w:rsidRPr="00787196">
              <w:rPr>
                <w:rFonts w:eastAsia="Calibri" w:cs="Arial"/>
                <w:bCs/>
                <w:sz w:val="20"/>
                <w:szCs w:val="20"/>
                <w:lang w:eastAsia="en-US" w:bidi="ar-SA"/>
              </w:rPr>
              <w:fldChar w:fldCharType="begin">
                <w:ffData>
                  <w:name w:val="Check3"/>
                  <w:enabled/>
                  <w:calcOnExit w:val="0"/>
                  <w:checkBox>
                    <w:sizeAuto/>
                    <w:default w:val="0"/>
                  </w:checkBox>
                </w:ffData>
              </w:fldChar>
            </w:r>
            <w:r w:rsidR="00C6213B" w:rsidRPr="00787196">
              <w:rPr>
                <w:rFonts w:eastAsia="Calibri" w:cs="Arial"/>
                <w:bCs/>
                <w:sz w:val="20"/>
                <w:szCs w:val="20"/>
                <w:lang w:eastAsia="en-US" w:bidi="ar-SA"/>
              </w:rPr>
              <w:instrText xml:space="preserve"> FORMCHECKBOX </w:instrText>
            </w:r>
            <w:r w:rsidR="006E7D7A">
              <w:rPr>
                <w:rFonts w:eastAsia="Calibri" w:cs="Arial"/>
                <w:bCs/>
                <w:sz w:val="20"/>
                <w:szCs w:val="20"/>
                <w:lang w:eastAsia="en-US" w:bidi="ar-SA"/>
              </w:rPr>
            </w:r>
            <w:r w:rsidR="006E7D7A">
              <w:rPr>
                <w:rFonts w:eastAsia="Calibri" w:cs="Arial"/>
                <w:bCs/>
                <w:sz w:val="20"/>
                <w:szCs w:val="20"/>
                <w:lang w:eastAsia="en-US" w:bidi="ar-SA"/>
              </w:rPr>
              <w:fldChar w:fldCharType="separate"/>
            </w:r>
            <w:r w:rsidRPr="00787196">
              <w:rPr>
                <w:rFonts w:eastAsia="Calibri" w:cs="Arial"/>
                <w:bCs/>
                <w:sz w:val="20"/>
                <w:szCs w:val="20"/>
                <w:lang w:eastAsia="en-US" w:bidi="ar-SA"/>
              </w:rPr>
              <w:fldChar w:fldCharType="end"/>
            </w:r>
          </w:p>
        </w:tc>
      </w:tr>
      <w:tr w:rsidR="00C6213B" w:rsidRPr="00787196" w14:paraId="3D97C8A9" w14:textId="77777777" w:rsidTr="00D54487">
        <w:trPr>
          <w:trHeight w:val="545"/>
        </w:trPr>
        <w:tc>
          <w:tcPr>
            <w:tcW w:w="447" w:type="dxa"/>
            <w:tcBorders>
              <w:right w:val="nil"/>
            </w:tcBorders>
            <w:shd w:val="clear" w:color="auto" w:fill="auto"/>
          </w:tcPr>
          <w:p w14:paraId="3B30DB85" w14:textId="77777777" w:rsidR="00C6213B" w:rsidRPr="00787196" w:rsidRDefault="00C6213B" w:rsidP="005C2A75">
            <w:pPr>
              <w:pStyle w:val="ListParagraph"/>
              <w:autoSpaceDE w:val="0"/>
              <w:autoSpaceDN w:val="0"/>
              <w:adjustRightInd w:val="0"/>
              <w:spacing w:beforeLines="200" w:before="480" w:after="0"/>
              <w:ind w:left="0"/>
              <w:rPr>
                <w:rFonts w:eastAsia="Calibri" w:cs="Arial"/>
                <w:b/>
                <w:szCs w:val="24"/>
                <w:lang w:eastAsia="en-US" w:bidi="ar-SA"/>
              </w:rPr>
            </w:pPr>
          </w:p>
        </w:tc>
        <w:tc>
          <w:tcPr>
            <w:tcW w:w="2044" w:type="dxa"/>
            <w:tcBorders>
              <w:top w:val="single" w:sz="4" w:space="0" w:color="auto"/>
              <w:left w:val="nil"/>
              <w:right w:val="nil"/>
            </w:tcBorders>
            <w:shd w:val="clear" w:color="auto" w:fill="auto"/>
          </w:tcPr>
          <w:p w14:paraId="5C6260AB" w14:textId="77777777" w:rsidR="00C6213B" w:rsidRPr="00787196" w:rsidRDefault="00C6213B" w:rsidP="005C2A75">
            <w:pPr>
              <w:autoSpaceDE w:val="0"/>
              <w:autoSpaceDN w:val="0"/>
              <w:adjustRightInd w:val="0"/>
              <w:spacing w:beforeLines="200" w:before="480" w:after="0" w:line="240" w:lineRule="auto"/>
              <w:contextualSpacing/>
              <w:rPr>
                <w:rFonts w:eastAsia="Calibri" w:cs="Arial"/>
                <w:bCs/>
                <w:sz w:val="20"/>
                <w:szCs w:val="20"/>
                <w:lang w:eastAsia="en-US" w:bidi="ar-SA"/>
              </w:rPr>
            </w:pPr>
          </w:p>
        </w:tc>
        <w:tc>
          <w:tcPr>
            <w:tcW w:w="1002" w:type="dxa"/>
            <w:tcBorders>
              <w:top w:val="single" w:sz="4" w:space="0" w:color="auto"/>
              <w:left w:val="nil"/>
              <w:right w:val="nil"/>
            </w:tcBorders>
            <w:shd w:val="clear" w:color="auto" w:fill="auto"/>
            <w:vAlign w:val="center"/>
          </w:tcPr>
          <w:p w14:paraId="45237AC7"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0- Never</w:t>
            </w:r>
          </w:p>
        </w:tc>
        <w:tc>
          <w:tcPr>
            <w:tcW w:w="1196" w:type="dxa"/>
            <w:tcBorders>
              <w:top w:val="single" w:sz="4" w:space="0" w:color="auto"/>
              <w:left w:val="nil"/>
              <w:right w:val="nil"/>
            </w:tcBorders>
            <w:shd w:val="clear" w:color="auto" w:fill="auto"/>
            <w:vAlign w:val="center"/>
          </w:tcPr>
          <w:p w14:paraId="7D2A0B64"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1- Almost Never</w:t>
            </w:r>
          </w:p>
        </w:tc>
        <w:tc>
          <w:tcPr>
            <w:tcW w:w="1121" w:type="dxa"/>
            <w:tcBorders>
              <w:top w:val="single" w:sz="4" w:space="0" w:color="auto"/>
              <w:left w:val="nil"/>
              <w:right w:val="nil"/>
            </w:tcBorders>
            <w:shd w:val="clear" w:color="auto" w:fill="auto"/>
            <w:vAlign w:val="center"/>
          </w:tcPr>
          <w:p w14:paraId="5103F922"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2- Some times</w:t>
            </w:r>
          </w:p>
        </w:tc>
        <w:tc>
          <w:tcPr>
            <w:tcW w:w="1071" w:type="dxa"/>
            <w:tcBorders>
              <w:top w:val="single" w:sz="4" w:space="0" w:color="auto"/>
              <w:left w:val="nil"/>
              <w:right w:val="nil"/>
            </w:tcBorders>
            <w:shd w:val="clear" w:color="auto" w:fill="auto"/>
            <w:vAlign w:val="center"/>
          </w:tcPr>
          <w:p w14:paraId="2079664B"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3- Fairly Often</w:t>
            </w:r>
          </w:p>
        </w:tc>
        <w:tc>
          <w:tcPr>
            <w:tcW w:w="1233" w:type="dxa"/>
            <w:tcBorders>
              <w:top w:val="single" w:sz="4" w:space="0" w:color="auto"/>
              <w:left w:val="nil"/>
            </w:tcBorders>
            <w:shd w:val="clear" w:color="auto" w:fill="auto"/>
            <w:vAlign w:val="center"/>
          </w:tcPr>
          <w:p w14:paraId="6C561606" w14:textId="77777777" w:rsidR="00C6213B" w:rsidRPr="00787196" w:rsidRDefault="00C6213B" w:rsidP="00D54487">
            <w:pPr>
              <w:autoSpaceDE w:val="0"/>
              <w:autoSpaceDN w:val="0"/>
              <w:adjustRightInd w:val="0"/>
              <w:spacing w:beforeLines="200" w:before="480" w:after="0" w:line="240" w:lineRule="auto"/>
              <w:contextualSpacing/>
              <w:jc w:val="left"/>
              <w:rPr>
                <w:rFonts w:eastAsia="Calibri" w:cs="Arial"/>
                <w:bCs/>
                <w:sz w:val="20"/>
                <w:szCs w:val="20"/>
                <w:lang w:eastAsia="en-US" w:bidi="ar-SA"/>
              </w:rPr>
            </w:pPr>
            <w:r w:rsidRPr="00787196">
              <w:rPr>
                <w:rFonts w:eastAsia="Calibri" w:cs="Arial"/>
                <w:bCs/>
                <w:sz w:val="20"/>
                <w:szCs w:val="20"/>
                <w:lang w:eastAsia="en-US" w:bidi="ar-SA"/>
              </w:rPr>
              <w:t>4 - Very Often</w:t>
            </w:r>
          </w:p>
        </w:tc>
      </w:tr>
    </w:tbl>
    <w:p w14:paraId="02F9C534" w14:textId="36B6E6AB" w:rsidR="00062AE7" w:rsidRPr="00787196" w:rsidRDefault="00062AE7" w:rsidP="00513F57">
      <w:pPr>
        <w:spacing w:before="0" w:after="0"/>
        <w:rPr>
          <w:rFonts w:cs="Arial"/>
          <w:sz w:val="16"/>
          <w:szCs w:val="16"/>
        </w:rPr>
      </w:pPr>
      <w:r w:rsidRPr="00787196">
        <w:rPr>
          <w:rFonts w:cs="Arial"/>
          <w:sz w:val="21"/>
          <w:szCs w:val="18"/>
        </w:rPr>
        <w:br w:type="page"/>
      </w:r>
      <w:r w:rsidR="00913843" w:rsidRPr="00787196">
        <w:rPr>
          <w:rFonts w:cs="Arial"/>
          <w:sz w:val="16"/>
          <w:szCs w:val="16"/>
        </w:rPr>
        <w:lastRenderedPageBreak/>
        <w:t xml:space="preserve">COPING Strategies- </w:t>
      </w:r>
      <w:r w:rsidRPr="00787196">
        <w:rPr>
          <w:rFonts w:cs="Arial"/>
          <w:sz w:val="16"/>
          <w:szCs w:val="16"/>
        </w:rPr>
        <w:t>CAN YOU TELL US HOW YOU MANAGE THE STRESS IN</w:t>
      </w:r>
      <w:r w:rsidRPr="00787196">
        <w:rPr>
          <w:rFonts w:cs="Arial"/>
          <w:sz w:val="14"/>
          <w:szCs w:val="14"/>
        </w:rPr>
        <w:t xml:space="preserve"> YOUR LIFE DUE TO MISSING TEETH/DENTURES? PLEASE INDICATE BY INSERTING ‘X’ IN THE APPROPRIATE BOX</w:t>
      </w:r>
    </w:p>
    <w:tbl>
      <w:tblPr>
        <w:tblpPr w:leftFromText="180" w:rightFromText="180" w:vertAnchor="page" w:horzAnchor="margin" w:tblpY="2226"/>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9"/>
        <w:gridCol w:w="1284"/>
        <w:gridCol w:w="1634"/>
        <w:gridCol w:w="1284"/>
        <w:gridCol w:w="1168"/>
      </w:tblGrid>
      <w:tr w:rsidR="00062AE7" w:rsidRPr="00787196" w14:paraId="1CD12861" w14:textId="77777777" w:rsidTr="00D54487">
        <w:trPr>
          <w:trHeight w:val="526"/>
        </w:trPr>
        <w:tc>
          <w:tcPr>
            <w:tcW w:w="3009" w:type="dxa"/>
            <w:tcBorders>
              <w:bottom w:val="single" w:sz="4" w:space="0" w:color="000000"/>
              <w:right w:val="nil"/>
            </w:tcBorders>
            <w:shd w:val="clear" w:color="auto" w:fill="auto"/>
          </w:tcPr>
          <w:p w14:paraId="430F0C25" w14:textId="77777777" w:rsidR="00062AE7" w:rsidRPr="00787196" w:rsidRDefault="00062AE7" w:rsidP="005C2A75">
            <w:pPr>
              <w:spacing w:before="0" w:after="0" w:line="240" w:lineRule="auto"/>
              <w:rPr>
                <w:rFonts w:eastAsia="Calibri" w:cs="Arial"/>
                <w:sz w:val="20"/>
                <w:szCs w:val="20"/>
                <w:lang w:eastAsia="en-US" w:bidi="ar-SA"/>
              </w:rPr>
            </w:pPr>
          </w:p>
        </w:tc>
        <w:tc>
          <w:tcPr>
            <w:tcW w:w="1284" w:type="dxa"/>
            <w:tcBorders>
              <w:left w:val="nil"/>
              <w:bottom w:val="single" w:sz="4" w:space="0" w:color="000000"/>
              <w:right w:val="nil"/>
            </w:tcBorders>
            <w:shd w:val="clear" w:color="auto" w:fill="auto"/>
            <w:vAlign w:val="center"/>
          </w:tcPr>
          <w:p w14:paraId="3351C062"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Not at all</w:t>
            </w:r>
          </w:p>
        </w:tc>
        <w:tc>
          <w:tcPr>
            <w:tcW w:w="1634" w:type="dxa"/>
            <w:tcBorders>
              <w:left w:val="nil"/>
              <w:bottom w:val="single" w:sz="4" w:space="0" w:color="000000"/>
              <w:right w:val="nil"/>
            </w:tcBorders>
            <w:shd w:val="clear" w:color="auto" w:fill="auto"/>
            <w:vAlign w:val="center"/>
          </w:tcPr>
          <w:p w14:paraId="624E5162"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A little bit</w:t>
            </w:r>
          </w:p>
        </w:tc>
        <w:tc>
          <w:tcPr>
            <w:tcW w:w="1284" w:type="dxa"/>
            <w:tcBorders>
              <w:left w:val="nil"/>
              <w:bottom w:val="single" w:sz="4" w:space="0" w:color="000000"/>
              <w:right w:val="nil"/>
            </w:tcBorders>
            <w:shd w:val="clear" w:color="auto" w:fill="auto"/>
            <w:vAlign w:val="center"/>
          </w:tcPr>
          <w:p w14:paraId="7194F803"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iCs/>
                <w:sz w:val="18"/>
                <w:szCs w:val="18"/>
                <w:lang w:eastAsia="en-US" w:bidi="ar-SA"/>
              </w:rPr>
              <w:t>A medium amount</w:t>
            </w:r>
          </w:p>
        </w:tc>
        <w:tc>
          <w:tcPr>
            <w:tcW w:w="1168" w:type="dxa"/>
            <w:tcBorders>
              <w:left w:val="nil"/>
              <w:bottom w:val="single" w:sz="4" w:space="0" w:color="000000"/>
            </w:tcBorders>
            <w:shd w:val="clear" w:color="auto" w:fill="auto"/>
            <w:vAlign w:val="center"/>
          </w:tcPr>
          <w:p w14:paraId="7AFB7C01" w14:textId="77777777" w:rsidR="00062AE7" w:rsidRPr="00787196" w:rsidRDefault="00062AE7" w:rsidP="005C2A75">
            <w:pPr>
              <w:spacing w:before="0" w:after="0" w:line="240" w:lineRule="auto"/>
              <w:jc w:val="center"/>
              <w:rPr>
                <w:rFonts w:eastAsia="Calibri" w:cs="Arial"/>
                <w:i/>
                <w:sz w:val="18"/>
                <w:szCs w:val="18"/>
                <w:lang w:eastAsia="en-US" w:bidi="ar-SA"/>
              </w:rPr>
            </w:pPr>
            <w:r w:rsidRPr="00787196">
              <w:rPr>
                <w:rFonts w:eastAsia="Calibri" w:cs="Arial"/>
                <w:iCs/>
                <w:sz w:val="18"/>
                <w:szCs w:val="18"/>
                <w:lang w:eastAsia="en-US" w:bidi="ar-SA"/>
              </w:rPr>
              <w:t>A lot</w:t>
            </w:r>
          </w:p>
        </w:tc>
      </w:tr>
      <w:tr w:rsidR="00062AE7" w:rsidRPr="00787196" w14:paraId="2C0BF64F" w14:textId="77777777" w:rsidTr="00D54487">
        <w:trPr>
          <w:trHeight w:val="1065"/>
        </w:trPr>
        <w:tc>
          <w:tcPr>
            <w:tcW w:w="3009" w:type="dxa"/>
            <w:tcBorders>
              <w:bottom w:val="nil"/>
              <w:right w:val="nil"/>
            </w:tcBorders>
            <w:shd w:val="clear" w:color="auto" w:fill="auto"/>
            <w:vAlign w:val="center"/>
          </w:tcPr>
          <w:p w14:paraId="1F06C803"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062AE7" w:rsidRPr="00787196">
              <w:rPr>
                <w:rFonts w:eastAsia="Calibri" w:cs="Arial"/>
                <w:sz w:val="18"/>
                <w:szCs w:val="18"/>
                <w:lang w:eastAsia="en-US" w:bidi="ar-SA"/>
              </w:rPr>
              <w:t>0.    I have been concentrating my efforts on doing something about the situation l am in.</w:t>
            </w:r>
          </w:p>
        </w:tc>
        <w:tc>
          <w:tcPr>
            <w:tcW w:w="1284" w:type="dxa"/>
            <w:tcBorders>
              <w:left w:val="nil"/>
              <w:bottom w:val="nil"/>
              <w:right w:val="nil"/>
            </w:tcBorders>
            <w:shd w:val="clear" w:color="auto" w:fill="auto"/>
            <w:vAlign w:val="center"/>
          </w:tcPr>
          <w:p w14:paraId="6233EC7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bookmarkStart w:id="820" w:name="Check4"/>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bookmarkEnd w:id="820"/>
          </w:p>
        </w:tc>
        <w:tc>
          <w:tcPr>
            <w:tcW w:w="1634" w:type="dxa"/>
            <w:tcBorders>
              <w:left w:val="nil"/>
              <w:bottom w:val="nil"/>
              <w:right w:val="nil"/>
            </w:tcBorders>
            <w:shd w:val="clear" w:color="auto" w:fill="auto"/>
            <w:vAlign w:val="center"/>
          </w:tcPr>
          <w:p w14:paraId="7D034EB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left w:val="nil"/>
              <w:bottom w:val="nil"/>
              <w:right w:val="nil"/>
            </w:tcBorders>
            <w:shd w:val="clear" w:color="auto" w:fill="auto"/>
            <w:vAlign w:val="center"/>
          </w:tcPr>
          <w:p w14:paraId="02F0D41A"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left w:val="nil"/>
              <w:bottom w:val="nil"/>
            </w:tcBorders>
            <w:shd w:val="clear" w:color="auto" w:fill="auto"/>
            <w:vAlign w:val="center"/>
          </w:tcPr>
          <w:p w14:paraId="6C058D5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21EDFF1" w14:textId="77777777" w:rsidTr="00D54487">
        <w:trPr>
          <w:trHeight w:val="1063"/>
        </w:trPr>
        <w:tc>
          <w:tcPr>
            <w:tcW w:w="3009" w:type="dxa"/>
            <w:tcBorders>
              <w:top w:val="nil"/>
              <w:bottom w:val="nil"/>
              <w:right w:val="nil"/>
            </w:tcBorders>
            <w:shd w:val="clear" w:color="auto" w:fill="auto"/>
            <w:vAlign w:val="center"/>
          </w:tcPr>
          <w:p w14:paraId="61F50BFD"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062AE7" w:rsidRPr="00787196">
              <w:rPr>
                <w:rFonts w:eastAsia="Calibri" w:cs="Arial"/>
                <w:sz w:val="18"/>
                <w:szCs w:val="18"/>
                <w:lang w:eastAsia="en-US" w:bidi="ar-SA"/>
              </w:rPr>
              <w:t>1.     I have been taking action to try make the situation better</w:t>
            </w:r>
          </w:p>
        </w:tc>
        <w:tc>
          <w:tcPr>
            <w:tcW w:w="1284" w:type="dxa"/>
            <w:tcBorders>
              <w:top w:val="nil"/>
              <w:left w:val="nil"/>
              <w:bottom w:val="nil"/>
              <w:right w:val="nil"/>
            </w:tcBorders>
            <w:shd w:val="clear" w:color="auto" w:fill="auto"/>
            <w:vAlign w:val="center"/>
          </w:tcPr>
          <w:p w14:paraId="10D9DA34"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094C8F2"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36EDAD6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572218D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9983E83" w14:textId="77777777" w:rsidTr="00D54487">
        <w:trPr>
          <w:trHeight w:val="944"/>
        </w:trPr>
        <w:tc>
          <w:tcPr>
            <w:tcW w:w="3009" w:type="dxa"/>
            <w:tcBorders>
              <w:top w:val="nil"/>
              <w:bottom w:val="nil"/>
              <w:right w:val="nil"/>
            </w:tcBorders>
            <w:shd w:val="clear" w:color="auto" w:fill="auto"/>
            <w:vAlign w:val="center"/>
          </w:tcPr>
          <w:p w14:paraId="05820E79"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062AE7" w:rsidRPr="00787196">
              <w:rPr>
                <w:rFonts w:eastAsia="Calibri" w:cs="Arial"/>
                <w:sz w:val="18"/>
                <w:szCs w:val="18"/>
                <w:lang w:eastAsia="en-US" w:bidi="ar-SA"/>
              </w:rPr>
              <w:t>2.     I have been trying to come up with a strategy about what to do.</w:t>
            </w:r>
          </w:p>
        </w:tc>
        <w:tc>
          <w:tcPr>
            <w:tcW w:w="1284" w:type="dxa"/>
            <w:tcBorders>
              <w:top w:val="nil"/>
              <w:left w:val="nil"/>
              <w:bottom w:val="nil"/>
              <w:right w:val="nil"/>
            </w:tcBorders>
            <w:shd w:val="clear" w:color="auto" w:fill="auto"/>
            <w:vAlign w:val="center"/>
          </w:tcPr>
          <w:p w14:paraId="6971FD5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5510D41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01A535E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3A116D3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3199DB8" w14:textId="77777777" w:rsidTr="00D54487">
        <w:trPr>
          <w:trHeight w:val="944"/>
        </w:trPr>
        <w:tc>
          <w:tcPr>
            <w:tcW w:w="3009" w:type="dxa"/>
            <w:tcBorders>
              <w:top w:val="nil"/>
              <w:bottom w:val="nil"/>
              <w:right w:val="nil"/>
            </w:tcBorders>
            <w:shd w:val="clear" w:color="auto" w:fill="auto"/>
            <w:vAlign w:val="center"/>
          </w:tcPr>
          <w:p w14:paraId="70A2F0DE"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F940E9" w:rsidRPr="00787196">
              <w:rPr>
                <w:rFonts w:eastAsia="Calibri" w:cs="Arial"/>
                <w:sz w:val="18"/>
                <w:szCs w:val="18"/>
                <w:lang w:eastAsia="en-US" w:bidi="ar-SA"/>
              </w:rPr>
              <w:t xml:space="preserve">3.  </w:t>
            </w:r>
            <w:r w:rsidR="00062AE7" w:rsidRPr="00787196">
              <w:rPr>
                <w:rFonts w:eastAsia="Calibri" w:cs="Arial"/>
                <w:sz w:val="18"/>
                <w:szCs w:val="18"/>
                <w:lang w:eastAsia="en-US" w:bidi="ar-SA"/>
              </w:rPr>
              <w:t>I've been thinking hard about what steps to take.</w:t>
            </w:r>
          </w:p>
        </w:tc>
        <w:tc>
          <w:tcPr>
            <w:tcW w:w="1284" w:type="dxa"/>
            <w:tcBorders>
              <w:top w:val="nil"/>
              <w:left w:val="nil"/>
              <w:bottom w:val="nil"/>
              <w:right w:val="nil"/>
            </w:tcBorders>
            <w:shd w:val="clear" w:color="auto" w:fill="auto"/>
            <w:vAlign w:val="center"/>
          </w:tcPr>
          <w:p w14:paraId="35FF673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2227787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5F45D5C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152838D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B1FABAE" w14:textId="77777777" w:rsidTr="00D54487">
        <w:trPr>
          <w:trHeight w:val="1079"/>
        </w:trPr>
        <w:tc>
          <w:tcPr>
            <w:tcW w:w="3009" w:type="dxa"/>
            <w:tcBorders>
              <w:top w:val="nil"/>
              <w:bottom w:val="nil"/>
              <w:right w:val="nil"/>
            </w:tcBorders>
            <w:shd w:val="clear" w:color="auto" w:fill="auto"/>
            <w:vAlign w:val="center"/>
          </w:tcPr>
          <w:p w14:paraId="48C48139"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F940E9" w:rsidRPr="00787196">
              <w:rPr>
                <w:rFonts w:eastAsia="Calibri" w:cs="Arial"/>
                <w:sz w:val="18"/>
                <w:szCs w:val="18"/>
                <w:lang w:eastAsia="en-US" w:bidi="ar-SA"/>
              </w:rPr>
              <w:t xml:space="preserve">4.  </w:t>
            </w:r>
            <w:r w:rsidR="00062AE7" w:rsidRPr="00787196">
              <w:rPr>
                <w:rFonts w:eastAsia="Calibri" w:cs="Arial"/>
                <w:sz w:val="18"/>
                <w:szCs w:val="18"/>
                <w:lang w:eastAsia="en-US" w:bidi="ar-SA"/>
              </w:rPr>
              <w:t>I've been trying to see it in a different light, to make it seem more positive.</w:t>
            </w:r>
          </w:p>
        </w:tc>
        <w:tc>
          <w:tcPr>
            <w:tcW w:w="1284" w:type="dxa"/>
            <w:tcBorders>
              <w:top w:val="nil"/>
              <w:left w:val="nil"/>
              <w:bottom w:val="nil"/>
              <w:right w:val="nil"/>
            </w:tcBorders>
            <w:shd w:val="clear" w:color="auto" w:fill="auto"/>
            <w:vAlign w:val="center"/>
          </w:tcPr>
          <w:p w14:paraId="359E385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1E3D97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6D197F3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06335A6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374D0DA9" w14:textId="77777777" w:rsidTr="00D54487">
        <w:trPr>
          <w:trHeight w:val="799"/>
        </w:trPr>
        <w:tc>
          <w:tcPr>
            <w:tcW w:w="3009" w:type="dxa"/>
            <w:tcBorders>
              <w:top w:val="nil"/>
              <w:bottom w:val="nil"/>
              <w:right w:val="nil"/>
            </w:tcBorders>
            <w:shd w:val="clear" w:color="auto" w:fill="auto"/>
            <w:vAlign w:val="center"/>
          </w:tcPr>
          <w:p w14:paraId="090A2DF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F940E9" w:rsidRPr="00787196">
              <w:rPr>
                <w:rFonts w:eastAsia="Calibri" w:cs="Arial"/>
                <w:sz w:val="18"/>
                <w:szCs w:val="18"/>
                <w:lang w:eastAsia="en-US" w:bidi="ar-SA"/>
              </w:rPr>
              <w:t xml:space="preserve">5.  </w:t>
            </w:r>
            <w:r w:rsidR="00062AE7" w:rsidRPr="00787196">
              <w:rPr>
                <w:rFonts w:eastAsia="Calibri" w:cs="Arial"/>
                <w:sz w:val="18"/>
                <w:szCs w:val="18"/>
                <w:lang w:eastAsia="en-US" w:bidi="ar-SA"/>
              </w:rPr>
              <w:t>I've been looking for something good in what is happening</w:t>
            </w:r>
          </w:p>
        </w:tc>
        <w:tc>
          <w:tcPr>
            <w:tcW w:w="1284" w:type="dxa"/>
            <w:tcBorders>
              <w:top w:val="nil"/>
              <w:left w:val="nil"/>
              <w:bottom w:val="nil"/>
              <w:right w:val="nil"/>
            </w:tcBorders>
            <w:shd w:val="clear" w:color="auto" w:fill="auto"/>
            <w:vAlign w:val="center"/>
          </w:tcPr>
          <w:p w14:paraId="669345C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3AE9FC8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3D8A8BB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071E7A7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F31BCE6" w14:textId="77777777" w:rsidTr="00D54487">
        <w:trPr>
          <w:trHeight w:val="801"/>
        </w:trPr>
        <w:tc>
          <w:tcPr>
            <w:tcW w:w="3009" w:type="dxa"/>
            <w:tcBorders>
              <w:top w:val="nil"/>
              <w:bottom w:val="nil"/>
              <w:right w:val="nil"/>
            </w:tcBorders>
            <w:shd w:val="clear" w:color="auto" w:fill="auto"/>
            <w:vAlign w:val="center"/>
          </w:tcPr>
          <w:p w14:paraId="2211CB7C"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F940E9" w:rsidRPr="00787196">
              <w:rPr>
                <w:rFonts w:eastAsia="Calibri" w:cs="Arial"/>
                <w:sz w:val="18"/>
                <w:szCs w:val="18"/>
                <w:lang w:eastAsia="en-US" w:bidi="ar-SA"/>
              </w:rPr>
              <w:t xml:space="preserve">6.  </w:t>
            </w:r>
            <w:r w:rsidR="00062AE7" w:rsidRPr="00787196">
              <w:rPr>
                <w:rFonts w:eastAsia="Calibri" w:cs="Arial"/>
                <w:sz w:val="18"/>
                <w:szCs w:val="18"/>
                <w:lang w:eastAsia="en-US" w:bidi="ar-SA"/>
              </w:rPr>
              <w:t>I've been accepting the reality of the fact that it has happened.</w:t>
            </w:r>
          </w:p>
        </w:tc>
        <w:tc>
          <w:tcPr>
            <w:tcW w:w="1284" w:type="dxa"/>
            <w:tcBorders>
              <w:top w:val="nil"/>
              <w:left w:val="nil"/>
              <w:bottom w:val="nil"/>
              <w:right w:val="nil"/>
            </w:tcBorders>
            <w:shd w:val="clear" w:color="auto" w:fill="auto"/>
            <w:vAlign w:val="center"/>
          </w:tcPr>
          <w:p w14:paraId="1FB82BA4"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776EF30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766DC262"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6BC7130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2D0AD7BE" w14:textId="77777777" w:rsidTr="00D54487">
        <w:trPr>
          <w:trHeight w:val="801"/>
        </w:trPr>
        <w:tc>
          <w:tcPr>
            <w:tcW w:w="3009" w:type="dxa"/>
            <w:tcBorders>
              <w:top w:val="nil"/>
              <w:bottom w:val="nil"/>
              <w:right w:val="nil"/>
            </w:tcBorders>
            <w:shd w:val="clear" w:color="auto" w:fill="auto"/>
            <w:vAlign w:val="center"/>
          </w:tcPr>
          <w:p w14:paraId="422896CD"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6D0362" w:rsidRPr="00787196">
              <w:rPr>
                <w:rFonts w:eastAsia="Calibri" w:cs="Arial"/>
                <w:sz w:val="18"/>
                <w:szCs w:val="18"/>
                <w:lang w:eastAsia="en-US" w:bidi="ar-SA"/>
              </w:rPr>
              <w:t xml:space="preserve">7.  </w:t>
            </w:r>
            <w:r w:rsidR="00062AE7" w:rsidRPr="00787196">
              <w:rPr>
                <w:rFonts w:eastAsia="Calibri" w:cs="Arial"/>
                <w:sz w:val="18"/>
                <w:szCs w:val="18"/>
                <w:lang w:eastAsia="en-US" w:bidi="ar-SA"/>
              </w:rPr>
              <w:t>I've been learning to live with it.</w:t>
            </w:r>
          </w:p>
        </w:tc>
        <w:tc>
          <w:tcPr>
            <w:tcW w:w="1284" w:type="dxa"/>
            <w:tcBorders>
              <w:top w:val="nil"/>
              <w:left w:val="nil"/>
              <w:bottom w:val="nil"/>
              <w:right w:val="nil"/>
            </w:tcBorders>
            <w:shd w:val="clear" w:color="auto" w:fill="auto"/>
            <w:vAlign w:val="center"/>
          </w:tcPr>
          <w:p w14:paraId="2A2E08B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43124BC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2FF2A4B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0AA668B0"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B41CE07" w14:textId="77777777" w:rsidTr="00D54487">
        <w:trPr>
          <w:trHeight w:val="801"/>
        </w:trPr>
        <w:tc>
          <w:tcPr>
            <w:tcW w:w="3009" w:type="dxa"/>
            <w:tcBorders>
              <w:top w:val="nil"/>
              <w:bottom w:val="nil"/>
              <w:right w:val="nil"/>
            </w:tcBorders>
            <w:shd w:val="clear" w:color="auto" w:fill="auto"/>
            <w:vAlign w:val="center"/>
          </w:tcPr>
          <w:p w14:paraId="14036985"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6D0362" w:rsidRPr="00787196">
              <w:rPr>
                <w:rFonts w:eastAsia="Calibri" w:cs="Arial"/>
                <w:sz w:val="18"/>
                <w:szCs w:val="18"/>
                <w:lang w:eastAsia="en-US" w:bidi="ar-SA"/>
              </w:rPr>
              <w:t xml:space="preserve">8.  </w:t>
            </w:r>
            <w:r w:rsidR="00062AE7" w:rsidRPr="00787196">
              <w:rPr>
                <w:rFonts w:eastAsia="Calibri" w:cs="Arial"/>
                <w:sz w:val="18"/>
                <w:szCs w:val="18"/>
                <w:lang w:eastAsia="en-US" w:bidi="ar-SA"/>
              </w:rPr>
              <w:t>I've been making jokes about it.</w:t>
            </w:r>
          </w:p>
        </w:tc>
        <w:tc>
          <w:tcPr>
            <w:tcW w:w="1284" w:type="dxa"/>
            <w:tcBorders>
              <w:top w:val="nil"/>
              <w:left w:val="nil"/>
              <w:bottom w:val="nil"/>
              <w:right w:val="nil"/>
            </w:tcBorders>
            <w:shd w:val="clear" w:color="auto" w:fill="auto"/>
            <w:vAlign w:val="center"/>
          </w:tcPr>
          <w:p w14:paraId="61F3D07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6190FAB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11EFDD2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3A041FB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5BA5EE4" w14:textId="77777777" w:rsidTr="00D54487">
        <w:trPr>
          <w:trHeight w:val="801"/>
        </w:trPr>
        <w:tc>
          <w:tcPr>
            <w:tcW w:w="3009" w:type="dxa"/>
            <w:tcBorders>
              <w:top w:val="nil"/>
              <w:bottom w:val="nil"/>
              <w:right w:val="nil"/>
            </w:tcBorders>
            <w:shd w:val="clear" w:color="auto" w:fill="auto"/>
            <w:vAlign w:val="center"/>
          </w:tcPr>
          <w:p w14:paraId="3689C9D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3</w:t>
            </w:r>
            <w:r w:rsidR="006D0362" w:rsidRPr="00787196">
              <w:rPr>
                <w:rFonts w:eastAsia="Calibri" w:cs="Arial"/>
                <w:sz w:val="18"/>
                <w:szCs w:val="18"/>
                <w:lang w:eastAsia="en-US" w:bidi="ar-SA"/>
              </w:rPr>
              <w:t xml:space="preserve">9.  </w:t>
            </w:r>
            <w:r w:rsidR="00062AE7" w:rsidRPr="00787196">
              <w:rPr>
                <w:rFonts w:eastAsia="Calibri" w:cs="Arial"/>
                <w:sz w:val="18"/>
                <w:szCs w:val="18"/>
                <w:lang w:eastAsia="en-US" w:bidi="ar-SA"/>
              </w:rPr>
              <w:t>I've been making fun of the situation.</w:t>
            </w:r>
          </w:p>
        </w:tc>
        <w:tc>
          <w:tcPr>
            <w:tcW w:w="1284" w:type="dxa"/>
            <w:tcBorders>
              <w:top w:val="nil"/>
              <w:left w:val="nil"/>
              <w:bottom w:val="nil"/>
              <w:right w:val="nil"/>
            </w:tcBorders>
            <w:shd w:val="clear" w:color="auto" w:fill="auto"/>
            <w:vAlign w:val="center"/>
          </w:tcPr>
          <w:p w14:paraId="5F1235F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58AE442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3078DE0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27E9F720"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0CFAA63" w14:textId="77777777" w:rsidTr="00D54487">
        <w:trPr>
          <w:trHeight w:val="801"/>
        </w:trPr>
        <w:tc>
          <w:tcPr>
            <w:tcW w:w="3009" w:type="dxa"/>
            <w:tcBorders>
              <w:top w:val="nil"/>
              <w:bottom w:val="nil"/>
              <w:right w:val="nil"/>
            </w:tcBorders>
            <w:shd w:val="clear" w:color="auto" w:fill="auto"/>
            <w:vAlign w:val="center"/>
          </w:tcPr>
          <w:p w14:paraId="69D7299E"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6D0362" w:rsidRPr="00787196">
              <w:rPr>
                <w:rFonts w:eastAsia="Calibri" w:cs="Arial"/>
                <w:sz w:val="18"/>
                <w:szCs w:val="18"/>
                <w:lang w:eastAsia="en-US" w:bidi="ar-SA"/>
              </w:rPr>
              <w:t xml:space="preserve">0.  </w:t>
            </w:r>
            <w:r w:rsidR="00062AE7" w:rsidRPr="00787196">
              <w:rPr>
                <w:rFonts w:eastAsia="Calibri" w:cs="Arial"/>
                <w:sz w:val="18"/>
                <w:szCs w:val="18"/>
                <w:lang w:eastAsia="en-US" w:bidi="ar-SA"/>
              </w:rPr>
              <w:t>I've been trying to find comfort in my religion or spiritual beliefs.</w:t>
            </w:r>
          </w:p>
        </w:tc>
        <w:tc>
          <w:tcPr>
            <w:tcW w:w="1284" w:type="dxa"/>
            <w:tcBorders>
              <w:top w:val="nil"/>
              <w:left w:val="nil"/>
              <w:bottom w:val="nil"/>
              <w:right w:val="nil"/>
            </w:tcBorders>
            <w:shd w:val="clear" w:color="auto" w:fill="auto"/>
            <w:vAlign w:val="center"/>
          </w:tcPr>
          <w:p w14:paraId="7E64759A"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6F0081AA"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017B462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71400A1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01657F59" w14:textId="77777777" w:rsidTr="00D54487">
        <w:trPr>
          <w:trHeight w:val="801"/>
        </w:trPr>
        <w:tc>
          <w:tcPr>
            <w:tcW w:w="3009" w:type="dxa"/>
            <w:tcBorders>
              <w:top w:val="nil"/>
              <w:bottom w:val="nil"/>
              <w:right w:val="nil"/>
            </w:tcBorders>
            <w:shd w:val="clear" w:color="auto" w:fill="auto"/>
            <w:vAlign w:val="center"/>
          </w:tcPr>
          <w:p w14:paraId="79C86669"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6D0362" w:rsidRPr="00787196">
              <w:rPr>
                <w:rFonts w:eastAsia="Calibri" w:cs="Arial"/>
                <w:sz w:val="18"/>
                <w:szCs w:val="18"/>
                <w:lang w:eastAsia="en-US" w:bidi="ar-SA"/>
              </w:rPr>
              <w:t xml:space="preserve">1. </w:t>
            </w:r>
            <w:r w:rsidR="00062AE7" w:rsidRPr="00787196">
              <w:rPr>
                <w:rFonts w:eastAsia="Calibri" w:cs="Arial"/>
                <w:sz w:val="18"/>
                <w:szCs w:val="18"/>
                <w:lang w:eastAsia="en-US" w:bidi="ar-SA"/>
              </w:rPr>
              <w:t>I've been praying or meditating.</w:t>
            </w:r>
          </w:p>
        </w:tc>
        <w:tc>
          <w:tcPr>
            <w:tcW w:w="1284" w:type="dxa"/>
            <w:tcBorders>
              <w:top w:val="nil"/>
              <w:left w:val="nil"/>
              <w:bottom w:val="nil"/>
              <w:right w:val="nil"/>
            </w:tcBorders>
            <w:shd w:val="clear" w:color="auto" w:fill="auto"/>
            <w:vAlign w:val="center"/>
          </w:tcPr>
          <w:p w14:paraId="180DD12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651E1E62"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4F80858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10900D9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067017FB" w14:textId="77777777" w:rsidTr="00D54487">
        <w:trPr>
          <w:trHeight w:val="801"/>
        </w:trPr>
        <w:tc>
          <w:tcPr>
            <w:tcW w:w="3009" w:type="dxa"/>
            <w:tcBorders>
              <w:top w:val="nil"/>
              <w:bottom w:val="nil"/>
              <w:right w:val="nil"/>
            </w:tcBorders>
            <w:shd w:val="clear" w:color="auto" w:fill="auto"/>
            <w:vAlign w:val="center"/>
          </w:tcPr>
          <w:p w14:paraId="2DD31CA0"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AD52EB" w:rsidRPr="00787196">
              <w:rPr>
                <w:rFonts w:eastAsia="Calibri" w:cs="Arial"/>
                <w:sz w:val="18"/>
                <w:szCs w:val="18"/>
                <w:lang w:eastAsia="en-US" w:bidi="ar-SA"/>
              </w:rPr>
              <w:t xml:space="preserve">2. </w:t>
            </w:r>
            <w:r w:rsidR="00062AE7" w:rsidRPr="00787196">
              <w:rPr>
                <w:rFonts w:eastAsia="Calibri" w:cs="Arial"/>
                <w:sz w:val="18"/>
                <w:szCs w:val="18"/>
                <w:lang w:eastAsia="en-US" w:bidi="ar-SA"/>
              </w:rPr>
              <w:t>I've been getting emotional support from others.</w:t>
            </w:r>
          </w:p>
        </w:tc>
        <w:tc>
          <w:tcPr>
            <w:tcW w:w="1284" w:type="dxa"/>
            <w:tcBorders>
              <w:top w:val="nil"/>
              <w:left w:val="nil"/>
              <w:bottom w:val="nil"/>
              <w:right w:val="nil"/>
            </w:tcBorders>
            <w:shd w:val="clear" w:color="auto" w:fill="auto"/>
            <w:vAlign w:val="center"/>
          </w:tcPr>
          <w:p w14:paraId="16FDEEC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26BF418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124163F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71A5F334"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4005A2B" w14:textId="77777777" w:rsidTr="00D54487">
        <w:trPr>
          <w:trHeight w:val="801"/>
        </w:trPr>
        <w:tc>
          <w:tcPr>
            <w:tcW w:w="3009" w:type="dxa"/>
            <w:tcBorders>
              <w:top w:val="nil"/>
              <w:bottom w:val="nil"/>
              <w:right w:val="nil"/>
            </w:tcBorders>
            <w:shd w:val="clear" w:color="auto" w:fill="auto"/>
            <w:vAlign w:val="center"/>
          </w:tcPr>
          <w:p w14:paraId="15549A47"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lastRenderedPageBreak/>
              <w:t>4</w:t>
            </w:r>
            <w:r w:rsidR="00954F4D" w:rsidRPr="00787196">
              <w:rPr>
                <w:rFonts w:eastAsia="Calibri" w:cs="Arial"/>
                <w:sz w:val="18"/>
                <w:szCs w:val="18"/>
                <w:lang w:eastAsia="en-US" w:bidi="ar-SA"/>
              </w:rPr>
              <w:t xml:space="preserve">3.  </w:t>
            </w:r>
            <w:r w:rsidR="00062AE7" w:rsidRPr="00787196">
              <w:rPr>
                <w:rFonts w:eastAsia="Calibri" w:cs="Arial"/>
                <w:sz w:val="18"/>
                <w:szCs w:val="18"/>
                <w:lang w:eastAsia="en-US" w:bidi="ar-SA"/>
              </w:rPr>
              <w:t>I've been getting comfort and understanding from someone.</w:t>
            </w:r>
          </w:p>
        </w:tc>
        <w:tc>
          <w:tcPr>
            <w:tcW w:w="1284" w:type="dxa"/>
            <w:tcBorders>
              <w:top w:val="nil"/>
              <w:left w:val="nil"/>
              <w:bottom w:val="nil"/>
              <w:right w:val="nil"/>
            </w:tcBorders>
            <w:shd w:val="clear" w:color="auto" w:fill="auto"/>
            <w:vAlign w:val="center"/>
          </w:tcPr>
          <w:p w14:paraId="69AF621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085222E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5212EED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3B624510"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1B70EC2C" w14:textId="77777777" w:rsidTr="00D54487">
        <w:trPr>
          <w:trHeight w:val="801"/>
        </w:trPr>
        <w:tc>
          <w:tcPr>
            <w:tcW w:w="3009" w:type="dxa"/>
            <w:tcBorders>
              <w:top w:val="nil"/>
              <w:bottom w:val="nil"/>
              <w:right w:val="nil"/>
            </w:tcBorders>
            <w:shd w:val="clear" w:color="auto" w:fill="auto"/>
            <w:vAlign w:val="center"/>
          </w:tcPr>
          <w:p w14:paraId="5C8FF7EA"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954F4D" w:rsidRPr="00787196">
              <w:rPr>
                <w:rFonts w:eastAsia="Calibri" w:cs="Arial"/>
                <w:sz w:val="18"/>
                <w:szCs w:val="18"/>
                <w:lang w:eastAsia="en-US" w:bidi="ar-SA"/>
              </w:rPr>
              <w:t xml:space="preserve">4.  </w:t>
            </w:r>
            <w:r w:rsidR="00062AE7" w:rsidRPr="00787196">
              <w:rPr>
                <w:rFonts w:eastAsia="Calibri" w:cs="Arial"/>
                <w:sz w:val="18"/>
                <w:szCs w:val="18"/>
                <w:lang w:eastAsia="en-US" w:bidi="ar-SA"/>
              </w:rPr>
              <w:t>I've been trying to get advice or help from other people about what to do.</w:t>
            </w:r>
          </w:p>
        </w:tc>
        <w:tc>
          <w:tcPr>
            <w:tcW w:w="1284" w:type="dxa"/>
            <w:tcBorders>
              <w:top w:val="nil"/>
              <w:left w:val="nil"/>
              <w:bottom w:val="nil"/>
              <w:right w:val="nil"/>
            </w:tcBorders>
            <w:shd w:val="clear" w:color="auto" w:fill="auto"/>
            <w:vAlign w:val="center"/>
          </w:tcPr>
          <w:p w14:paraId="1A26B31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59B2109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1F342FE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301E74B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842D5ED" w14:textId="77777777" w:rsidTr="00D54487">
        <w:trPr>
          <w:trHeight w:val="801"/>
        </w:trPr>
        <w:tc>
          <w:tcPr>
            <w:tcW w:w="3009" w:type="dxa"/>
            <w:tcBorders>
              <w:top w:val="nil"/>
              <w:bottom w:val="nil"/>
              <w:right w:val="nil"/>
            </w:tcBorders>
            <w:shd w:val="clear" w:color="auto" w:fill="auto"/>
            <w:vAlign w:val="center"/>
          </w:tcPr>
          <w:p w14:paraId="56211D57"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03196E" w:rsidRPr="00787196">
              <w:rPr>
                <w:rFonts w:eastAsia="Calibri" w:cs="Arial"/>
                <w:sz w:val="18"/>
                <w:szCs w:val="18"/>
                <w:lang w:eastAsia="en-US" w:bidi="ar-SA"/>
              </w:rPr>
              <w:t xml:space="preserve">5.  </w:t>
            </w:r>
            <w:r w:rsidR="00062AE7" w:rsidRPr="00787196">
              <w:rPr>
                <w:rFonts w:eastAsia="Calibri" w:cs="Arial"/>
                <w:sz w:val="18"/>
                <w:szCs w:val="18"/>
                <w:lang w:eastAsia="en-US" w:bidi="ar-SA"/>
              </w:rPr>
              <w:t>I've been getting help and advice from other people.</w:t>
            </w:r>
          </w:p>
        </w:tc>
        <w:tc>
          <w:tcPr>
            <w:tcW w:w="1284" w:type="dxa"/>
            <w:tcBorders>
              <w:top w:val="nil"/>
              <w:left w:val="nil"/>
              <w:bottom w:val="nil"/>
              <w:right w:val="nil"/>
            </w:tcBorders>
            <w:shd w:val="clear" w:color="auto" w:fill="auto"/>
            <w:vAlign w:val="center"/>
          </w:tcPr>
          <w:p w14:paraId="4F6F65C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7FA04E9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43F40C1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048187C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CBDE16A" w14:textId="77777777" w:rsidTr="00D54487">
        <w:trPr>
          <w:trHeight w:val="801"/>
        </w:trPr>
        <w:tc>
          <w:tcPr>
            <w:tcW w:w="3009" w:type="dxa"/>
            <w:tcBorders>
              <w:top w:val="nil"/>
              <w:bottom w:val="nil"/>
              <w:right w:val="nil"/>
            </w:tcBorders>
            <w:shd w:val="clear" w:color="auto" w:fill="auto"/>
            <w:vAlign w:val="center"/>
          </w:tcPr>
          <w:p w14:paraId="3715CFD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03196E" w:rsidRPr="00787196">
              <w:rPr>
                <w:rFonts w:eastAsia="Calibri" w:cs="Arial"/>
                <w:sz w:val="18"/>
                <w:szCs w:val="18"/>
                <w:lang w:eastAsia="en-US" w:bidi="ar-SA"/>
              </w:rPr>
              <w:t xml:space="preserve">6.  </w:t>
            </w:r>
            <w:r w:rsidR="00062AE7" w:rsidRPr="00787196">
              <w:rPr>
                <w:rFonts w:eastAsia="Calibri" w:cs="Arial"/>
                <w:sz w:val="18"/>
                <w:szCs w:val="18"/>
                <w:lang w:eastAsia="en-US" w:bidi="ar-SA"/>
              </w:rPr>
              <w:t>I've been turning to work or other activities to take my mind off things</w:t>
            </w:r>
          </w:p>
        </w:tc>
        <w:tc>
          <w:tcPr>
            <w:tcW w:w="1284" w:type="dxa"/>
            <w:tcBorders>
              <w:top w:val="nil"/>
              <w:left w:val="nil"/>
              <w:bottom w:val="nil"/>
              <w:right w:val="nil"/>
            </w:tcBorders>
            <w:shd w:val="clear" w:color="auto" w:fill="auto"/>
            <w:vAlign w:val="center"/>
          </w:tcPr>
          <w:p w14:paraId="5AD471B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231B027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5E3AAE0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0C32323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3C89DEBF" w14:textId="77777777" w:rsidTr="00D54487">
        <w:trPr>
          <w:trHeight w:val="801"/>
        </w:trPr>
        <w:tc>
          <w:tcPr>
            <w:tcW w:w="3009" w:type="dxa"/>
            <w:tcBorders>
              <w:top w:val="nil"/>
              <w:bottom w:val="nil"/>
              <w:right w:val="nil"/>
            </w:tcBorders>
            <w:shd w:val="clear" w:color="auto" w:fill="auto"/>
            <w:vAlign w:val="center"/>
          </w:tcPr>
          <w:p w14:paraId="1B7D9380"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632681" w:rsidRPr="00787196">
              <w:rPr>
                <w:rFonts w:eastAsia="Calibri" w:cs="Arial"/>
                <w:sz w:val="18"/>
                <w:szCs w:val="18"/>
                <w:lang w:eastAsia="en-US" w:bidi="ar-SA"/>
              </w:rPr>
              <w:t xml:space="preserve">7.  </w:t>
            </w:r>
            <w:r w:rsidR="00062AE7" w:rsidRPr="00787196">
              <w:rPr>
                <w:rFonts w:eastAsia="Calibri" w:cs="Arial"/>
                <w:sz w:val="18"/>
                <w:szCs w:val="18"/>
                <w:lang w:eastAsia="en-US" w:bidi="ar-SA"/>
              </w:rPr>
              <w:t>I've been doing something to think about it less, such as going Io movies, watching TV, reading, daydreaming, sleeping, or shopping.</w:t>
            </w:r>
          </w:p>
        </w:tc>
        <w:tc>
          <w:tcPr>
            <w:tcW w:w="1284" w:type="dxa"/>
            <w:tcBorders>
              <w:top w:val="nil"/>
              <w:left w:val="nil"/>
              <w:bottom w:val="nil"/>
              <w:right w:val="nil"/>
            </w:tcBorders>
            <w:shd w:val="clear" w:color="auto" w:fill="auto"/>
            <w:vAlign w:val="center"/>
          </w:tcPr>
          <w:p w14:paraId="3B904FD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2A54E49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15D2791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467CCB2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60FA83F0" w14:textId="77777777" w:rsidTr="00D54487">
        <w:trPr>
          <w:trHeight w:val="801"/>
        </w:trPr>
        <w:tc>
          <w:tcPr>
            <w:tcW w:w="3009" w:type="dxa"/>
            <w:tcBorders>
              <w:top w:val="nil"/>
              <w:bottom w:val="nil"/>
              <w:right w:val="nil"/>
            </w:tcBorders>
            <w:shd w:val="clear" w:color="auto" w:fill="auto"/>
            <w:vAlign w:val="center"/>
          </w:tcPr>
          <w:p w14:paraId="103327D9"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632681" w:rsidRPr="00787196">
              <w:rPr>
                <w:rFonts w:eastAsia="Calibri" w:cs="Arial"/>
                <w:sz w:val="18"/>
                <w:szCs w:val="18"/>
                <w:lang w:eastAsia="en-US" w:bidi="ar-SA"/>
              </w:rPr>
              <w:t xml:space="preserve">8.  </w:t>
            </w:r>
            <w:r w:rsidR="00062AE7" w:rsidRPr="00787196">
              <w:rPr>
                <w:rFonts w:eastAsia="Calibri" w:cs="Arial"/>
                <w:sz w:val="18"/>
                <w:szCs w:val="18"/>
                <w:lang w:eastAsia="en-US" w:bidi="ar-SA"/>
              </w:rPr>
              <w:t>I've been saying to myself "this isn't real”</w:t>
            </w:r>
          </w:p>
        </w:tc>
        <w:tc>
          <w:tcPr>
            <w:tcW w:w="1284" w:type="dxa"/>
            <w:tcBorders>
              <w:top w:val="nil"/>
              <w:left w:val="nil"/>
              <w:bottom w:val="nil"/>
              <w:right w:val="nil"/>
            </w:tcBorders>
            <w:shd w:val="clear" w:color="auto" w:fill="auto"/>
            <w:vAlign w:val="center"/>
          </w:tcPr>
          <w:p w14:paraId="158C56D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43ED74D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07A82F0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5A21E27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A184C37" w14:textId="77777777" w:rsidTr="00D54487">
        <w:trPr>
          <w:trHeight w:val="801"/>
        </w:trPr>
        <w:tc>
          <w:tcPr>
            <w:tcW w:w="3009" w:type="dxa"/>
            <w:tcBorders>
              <w:top w:val="nil"/>
              <w:bottom w:val="nil"/>
              <w:right w:val="nil"/>
            </w:tcBorders>
            <w:shd w:val="clear" w:color="auto" w:fill="auto"/>
            <w:vAlign w:val="center"/>
          </w:tcPr>
          <w:p w14:paraId="05A486AD"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4</w:t>
            </w:r>
            <w:r w:rsidR="00632681" w:rsidRPr="00787196">
              <w:rPr>
                <w:rFonts w:eastAsia="Calibri" w:cs="Arial"/>
                <w:sz w:val="18"/>
                <w:szCs w:val="18"/>
                <w:lang w:eastAsia="en-US" w:bidi="ar-SA"/>
              </w:rPr>
              <w:t xml:space="preserve">9.  </w:t>
            </w:r>
            <w:r w:rsidR="00062AE7" w:rsidRPr="00787196">
              <w:rPr>
                <w:rFonts w:eastAsia="Calibri" w:cs="Arial"/>
                <w:sz w:val="18"/>
                <w:szCs w:val="18"/>
                <w:lang w:eastAsia="en-US" w:bidi="ar-SA"/>
              </w:rPr>
              <w:t>I've been refusing to believe that it has happened.</w:t>
            </w:r>
          </w:p>
        </w:tc>
        <w:tc>
          <w:tcPr>
            <w:tcW w:w="1284" w:type="dxa"/>
            <w:tcBorders>
              <w:top w:val="nil"/>
              <w:left w:val="nil"/>
              <w:bottom w:val="nil"/>
              <w:right w:val="nil"/>
            </w:tcBorders>
            <w:shd w:val="clear" w:color="auto" w:fill="auto"/>
            <w:vAlign w:val="center"/>
          </w:tcPr>
          <w:p w14:paraId="13CF515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36F92A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3A59DEA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24C0235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792CADD" w14:textId="77777777" w:rsidTr="00D54487">
        <w:trPr>
          <w:trHeight w:val="801"/>
        </w:trPr>
        <w:tc>
          <w:tcPr>
            <w:tcW w:w="3009" w:type="dxa"/>
            <w:tcBorders>
              <w:top w:val="nil"/>
              <w:bottom w:val="nil"/>
              <w:right w:val="nil"/>
            </w:tcBorders>
            <w:shd w:val="clear" w:color="auto" w:fill="auto"/>
            <w:vAlign w:val="center"/>
          </w:tcPr>
          <w:p w14:paraId="1130E01B"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632681" w:rsidRPr="00787196">
              <w:rPr>
                <w:rFonts w:eastAsia="Calibri" w:cs="Arial"/>
                <w:sz w:val="18"/>
                <w:szCs w:val="18"/>
                <w:lang w:eastAsia="en-US" w:bidi="ar-SA"/>
              </w:rPr>
              <w:t xml:space="preserve">0.  </w:t>
            </w:r>
            <w:r w:rsidR="00062AE7" w:rsidRPr="00787196">
              <w:rPr>
                <w:rFonts w:eastAsia="Calibri" w:cs="Arial"/>
                <w:sz w:val="18"/>
                <w:szCs w:val="18"/>
                <w:lang w:eastAsia="en-US" w:bidi="ar-SA"/>
              </w:rPr>
              <w:t>I've been saying things to let my unpleasant feelings escape.</w:t>
            </w:r>
          </w:p>
        </w:tc>
        <w:tc>
          <w:tcPr>
            <w:tcW w:w="1284" w:type="dxa"/>
            <w:tcBorders>
              <w:top w:val="nil"/>
              <w:left w:val="nil"/>
              <w:bottom w:val="nil"/>
              <w:right w:val="nil"/>
            </w:tcBorders>
            <w:shd w:val="clear" w:color="auto" w:fill="auto"/>
            <w:vAlign w:val="center"/>
          </w:tcPr>
          <w:p w14:paraId="1B1224A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2215FBE2"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406CCA5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289A6EA0"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38D7338" w14:textId="77777777" w:rsidTr="00D54487">
        <w:trPr>
          <w:trHeight w:val="801"/>
        </w:trPr>
        <w:tc>
          <w:tcPr>
            <w:tcW w:w="3009" w:type="dxa"/>
            <w:tcBorders>
              <w:top w:val="nil"/>
              <w:bottom w:val="nil"/>
              <w:right w:val="nil"/>
            </w:tcBorders>
            <w:shd w:val="clear" w:color="auto" w:fill="auto"/>
            <w:vAlign w:val="center"/>
          </w:tcPr>
          <w:p w14:paraId="657D58D9"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B56276" w:rsidRPr="00787196">
              <w:rPr>
                <w:rFonts w:eastAsia="Calibri" w:cs="Arial"/>
                <w:sz w:val="18"/>
                <w:szCs w:val="18"/>
                <w:lang w:eastAsia="en-US" w:bidi="ar-SA"/>
              </w:rPr>
              <w:t xml:space="preserve">1.  </w:t>
            </w:r>
            <w:r w:rsidR="00062AE7" w:rsidRPr="00787196">
              <w:rPr>
                <w:rFonts w:eastAsia="Calibri" w:cs="Arial"/>
                <w:sz w:val="18"/>
                <w:szCs w:val="18"/>
                <w:lang w:eastAsia="en-US" w:bidi="ar-SA"/>
              </w:rPr>
              <w:t>I’ve been expressing my negative feelings.</w:t>
            </w:r>
          </w:p>
        </w:tc>
        <w:tc>
          <w:tcPr>
            <w:tcW w:w="1284" w:type="dxa"/>
            <w:tcBorders>
              <w:top w:val="nil"/>
              <w:left w:val="nil"/>
              <w:bottom w:val="nil"/>
              <w:right w:val="nil"/>
            </w:tcBorders>
            <w:shd w:val="clear" w:color="auto" w:fill="auto"/>
            <w:vAlign w:val="center"/>
          </w:tcPr>
          <w:p w14:paraId="14C67180"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BFCE7D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5057AAC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4E3F758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62309395" w14:textId="77777777" w:rsidTr="00D54487">
        <w:trPr>
          <w:trHeight w:val="801"/>
        </w:trPr>
        <w:tc>
          <w:tcPr>
            <w:tcW w:w="3009" w:type="dxa"/>
            <w:tcBorders>
              <w:top w:val="nil"/>
              <w:bottom w:val="nil"/>
              <w:right w:val="nil"/>
            </w:tcBorders>
            <w:shd w:val="clear" w:color="auto" w:fill="auto"/>
            <w:vAlign w:val="center"/>
          </w:tcPr>
          <w:p w14:paraId="148A12B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B56276" w:rsidRPr="00787196">
              <w:rPr>
                <w:rFonts w:eastAsia="Calibri" w:cs="Arial"/>
                <w:sz w:val="18"/>
                <w:szCs w:val="18"/>
                <w:lang w:eastAsia="en-US" w:bidi="ar-SA"/>
              </w:rPr>
              <w:t xml:space="preserve">2.  </w:t>
            </w:r>
            <w:r w:rsidR="00062AE7" w:rsidRPr="00787196">
              <w:rPr>
                <w:rFonts w:eastAsia="Calibri" w:cs="Arial"/>
                <w:sz w:val="18"/>
                <w:szCs w:val="18"/>
                <w:lang w:eastAsia="en-US" w:bidi="ar-SA"/>
              </w:rPr>
              <w:t>I've been using alcohol or other drugs to make myself feel better.</w:t>
            </w:r>
          </w:p>
        </w:tc>
        <w:tc>
          <w:tcPr>
            <w:tcW w:w="1284" w:type="dxa"/>
            <w:tcBorders>
              <w:top w:val="nil"/>
              <w:left w:val="nil"/>
              <w:bottom w:val="nil"/>
              <w:right w:val="nil"/>
            </w:tcBorders>
            <w:shd w:val="clear" w:color="auto" w:fill="auto"/>
            <w:vAlign w:val="center"/>
          </w:tcPr>
          <w:p w14:paraId="0FFDF65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CE02FFD"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5F9DC23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4230B8D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161F2EC6" w14:textId="77777777" w:rsidTr="00D54487">
        <w:trPr>
          <w:trHeight w:val="801"/>
        </w:trPr>
        <w:tc>
          <w:tcPr>
            <w:tcW w:w="3009" w:type="dxa"/>
            <w:tcBorders>
              <w:top w:val="nil"/>
              <w:bottom w:val="nil"/>
              <w:right w:val="nil"/>
            </w:tcBorders>
            <w:shd w:val="clear" w:color="auto" w:fill="auto"/>
            <w:vAlign w:val="center"/>
          </w:tcPr>
          <w:p w14:paraId="7C9A95CA"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B56276" w:rsidRPr="00787196">
              <w:rPr>
                <w:rFonts w:eastAsia="Calibri" w:cs="Arial"/>
                <w:sz w:val="18"/>
                <w:szCs w:val="18"/>
                <w:lang w:eastAsia="en-US" w:bidi="ar-SA"/>
              </w:rPr>
              <w:t xml:space="preserve">3. </w:t>
            </w:r>
            <w:r w:rsidR="00062AE7" w:rsidRPr="00787196">
              <w:rPr>
                <w:rFonts w:eastAsia="Calibri" w:cs="Arial"/>
                <w:sz w:val="18"/>
                <w:szCs w:val="18"/>
                <w:lang w:eastAsia="en-US" w:bidi="ar-SA"/>
              </w:rPr>
              <w:t>I've been using alcohol or other drugs to help me get through it.</w:t>
            </w:r>
          </w:p>
        </w:tc>
        <w:tc>
          <w:tcPr>
            <w:tcW w:w="1284" w:type="dxa"/>
            <w:tcBorders>
              <w:top w:val="nil"/>
              <w:left w:val="nil"/>
              <w:bottom w:val="nil"/>
              <w:right w:val="nil"/>
            </w:tcBorders>
            <w:shd w:val="clear" w:color="auto" w:fill="auto"/>
            <w:vAlign w:val="center"/>
          </w:tcPr>
          <w:p w14:paraId="51715E5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053D287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1646368C"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1EA7601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5A8B833" w14:textId="77777777" w:rsidTr="00D54487">
        <w:trPr>
          <w:trHeight w:val="801"/>
        </w:trPr>
        <w:tc>
          <w:tcPr>
            <w:tcW w:w="3009" w:type="dxa"/>
            <w:tcBorders>
              <w:top w:val="nil"/>
              <w:bottom w:val="nil"/>
              <w:right w:val="nil"/>
            </w:tcBorders>
            <w:shd w:val="clear" w:color="auto" w:fill="auto"/>
            <w:vAlign w:val="center"/>
          </w:tcPr>
          <w:p w14:paraId="45522D88"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B56276" w:rsidRPr="00787196">
              <w:rPr>
                <w:rFonts w:eastAsia="Calibri" w:cs="Arial"/>
                <w:sz w:val="18"/>
                <w:szCs w:val="18"/>
                <w:lang w:eastAsia="en-US" w:bidi="ar-SA"/>
              </w:rPr>
              <w:t xml:space="preserve">4.  </w:t>
            </w:r>
            <w:r w:rsidR="00062AE7" w:rsidRPr="00787196">
              <w:rPr>
                <w:rFonts w:eastAsia="Calibri" w:cs="Arial"/>
                <w:sz w:val="18"/>
                <w:szCs w:val="18"/>
                <w:lang w:eastAsia="en-US" w:bidi="ar-SA"/>
              </w:rPr>
              <w:t>I’ve been giving up trying to deal with it</w:t>
            </w:r>
          </w:p>
        </w:tc>
        <w:tc>
          <w:tcPr>
            <w:tcW w:w="1284" w:type="dxa"/>
            <w:tcBorders>
              <w:top w:val="nil"/>
              <w:left w:val="nil"/>
              <w:bottom w:val="nil"/>
              <w:right w:val="nil"/>
            </w:tcBorders>
            <w:shd w:val="clear" w:color="auto" w:fill="auto"/>
            <w:vAlign w:val="center"/>
          </w:tcPr>
          <w:p w14:paraId="7CA99EC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123E5454"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7C35C7F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3646654B"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2D6BA1DA" w14:textId="77777777" w:rsidTr="00D54487">
        <w:trPr>
          <w:trHeight w:val="801"/>
        </w:trPr>
        <w:tc>
          <w:tcPr>
            <w:tcW w:w="3009" w:type="dxa"/>
            <w:tcBorders>
              <w:top w:val="nil"/>
              <w:bottom w:val="nil"/>
              <w:right w:val="nil"/>
            </w:tcBorders>
            <w:shd w:val="clear" w:color="auto" w:fill="auto"/>
            <w:vAlign w:val="center"/>
          </w:tcPr>
          <w:p w14:paraId="74AF6114"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B56276" w:rsidRPr="00787196">
              <w:rPr>
                <w:rFonts w:eastAsia="Calibri" w:cs="Arial"/>
                <w:sz w:val="18"/>
                <w:szCs w:val="18"/>
                <w:lang w:eastAsia="en-US" w:bidi="ar-SA"/>
              </w:rPr>
              <w:t xml:space="preserve">5.  </w:t>
            </w:r>
            <w:r w:rsidR="00062AE7" w:rsidRPr="00787196">
              <w:rPr>
                <w:rFonts w:eastAsia="Calibri" w:cs="Arial"/>
                <w:sz w:val="18"/>
                <w:szCs w:val="18"/>
                <w:lang w:eastAsia="en-US" w:bidi="ar-SA"/>
              </w:rPr>
              <w:t>I’ve been giving up the attempt to cope.</w:t>
            </w:r>
          </w:p>
        </w:tc>
        <w:tc>
          <w:tcPr>
            <w:tcW w:w="1284" w:type="dxa"/>
            <w:tcBorders>
              <w:top w:val="nil"/>
              <w:left w:val="nil"/>
              <w:bottom w:val="nil"/>
              <w:right w:val="nil"/>
            </w:tcBorders>
            <w:shd w:val="clear" w:color="auto" w:fill="auto"/>
            <w:vAlign w:val="center"/>
          </w:tcPr>
          <w:p w14:paraId="072C3355"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45B9E91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0831084E"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5C185B18"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E17CBAC" w14:textId="77777777" w:rsidTr="00D54487">
        <w:trPr>
          <w:trHeight w:val="801"/>
        </w:trPr>
        <w:tc>
          <w:tcPr>
            <w:tcW w:w="3009" w:type="dxa"/>
            <w:tcBorders>
              <w:top w:val="nil"/>
              <w:bottom w:val="nil"/>
              <w:right w:val="nil"/>
            </w:tcBorders>
            <w:shd w:val="clear" w:color="auto" w:fill="auto"/>
            <w:vAlign w:val="center"/>
          </w:tcPr>
          <w:p w14:paraId="152D04E2"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8E44C8" w:rsidRPr="00787196">
              <w:rPr>
                <w:rFonts w:eastAsia="Calibri" w:cs="Arial"/>
                <w:sz w:val="18"/>
                <w:szCs w:val="18"/>
                <w:lang w:eastAsia="en-US" w:bidi="ar-SA"/>
              </w:rPr>
              <w:t xml:space="preserve">6.  </w:t>
            </w:r>
            <w:r w:rsidR="00062AE7" w:rsidRPr="00787196">
              <w:rPr>
                <w:rFonts w:eastAsia="Calibri" w:cs="Arial"/>
                <w:sz w:val="18"/>
                <w:szCs w:val="18"/>
                <w:lang w:eastAsia="en-US" w:bidi="ar-SA"/>
              </w:rPr>
              <w:t>I’ve been criticizing myself.</w:t>
            </w:r>
          </w:p>
        </w:tc>
        <w:tc>
          <w:tcPr>
            <w:tcW w:w="1284" w:type="dxa"/>
            <w:tcBorders>
              <w:top w:val="nil"/>
              <w:left w:val="nil"/>
              <w:bottom w:val="nil"/>
              <w:right w:val="nil"/>
            </w:tcBorders>
            <w:shd w:val="clear" w:color="auto" w:fill="auto"/>
            <w:vAlign w:val="center"/>
          </w:tcPr>
          <w:p w14:paraId="7B212006"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nil"/>
              <w:right w:val="nil"/>
            </w:tcBorders>
            <w:shd w:val="clear" w:color="auto" w:fill="auto"/>
            <w:vAlign w:val="center"/>
          </w:tcPr>
          <w:p w14:paraId="40D682C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nil"/>
              <w:right w:val="nil"/>
            </w:tcBorders>
            <w:shd w:val="clear" w:color="auto" w:fill="auto"/>
            <w:vAlign w:val="center"/>
          </w:tcPr>
          <w:p w14:paraId="0064358F"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nil"/>
            </w:tcBorders>
            <w:shd w:val="clear" w:color="auto" w:fill="auto"/>
            <w:vAlign w:val="center"/>
          </w:tcPr>
          <w:p w14:paraId="1F676EF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4436DF8B" w14:textId="77777777" w:rsidTr="00D54487">
        <w:trPr>
          <w:trHeight w:val="801"/>
        </w:trPr>
        <w:tc>
          <w:tcPr>
            <w:tcW w:w="3009" w:type="dxa"/>
            <w:tcBorders>
              <w:top w:val="nil"/>
              <w:bottom w:val="single" w:sz="4" w:space="0" w:color="000000"/>
              <w:right w:val="nil"/>
            </w:tcBorders>
            <w:shd w:val="clear" w:color="auto" w:fill="auto"/>
            <w:vAlign w:val="center"/>
          </w:tcPr>
          <w:p w14:paraId="51ED6F95"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w:t>
            </w:r>
            <w:r w:rsidR="008E44C8" w:rsidRPr="00787196">
              <w:rPr>
                <w:rFonts w:eastAsia="Calibri" w:cs="Arial"/>
                <w:sz w:val="18"/>
                <w:szCs w:val="18"/>
                <w:lang w:eastAsia="en-US" w:bidi="ar-SA"/>
              </w:rPr>
              <w:t xml:space="preserve">7.  </w:t>
            </w:r>
            <w:r w:rsidR="00062AE7" w:rsidRPr="00787196">
              <w:rPr>
                <w:rFonts w:eastAsia="Calibri" w:cs="Arial"/>
                <w:sz w:val="18"/>
                <w:szCs w:val="18"/>
                <w:lang w:eastAsia="en-US" w:bidi="ar-SA"/>
              </w:rPr>
              <w:t>I’ve been blaming myself for things that happened.</w:t>
            </w:r>
          </w:p>
        </w:tc>
        <w:tc>
          <w:tcPr>
            <w:tcW w:w="1284" w:type="dxa"/>
            <w:tcBorders>
              <w:top w:val="nil"/>
              <w:left w:val="nil"/>
              <w:bottom w:val="single" w:sz="4" w:space="0" w:color="000000"/>
              <w:right w:val="nil"/>
            </w:tcBorders>
            <w:shd w:val="clear" w:color="auto" w:fill="auto"/>
            <w:vAlign w:val="center"/>
          </w:tcPr>
          <w:p w14:paraId="1CDE88C3"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634" w:type="dxa"/>
            <w:tcBorders>
              <w:top w:val="nil"/>
              <w:left w:val="nil"/>
              <w:bottom w:val="single" w:sz="4" w:space="0" w:color="000000"/>
              <w:right w:val="nil"/>
            </w:tcBorders>
            <w:shd w:val="clear" w:color="auto" w:fill="auto"/>
            <w:vAlign w:val="center"/>
          </w:tcPr>
          <w:p w14:paraId="20316E51"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4" w:type="dxa"/>
            <w:tcBorders>
              <w:top w:val="nil"/>
              <w:left w:val="nil"/>
              <w:bottom w:val="single" w:sz="4" w:space="0" w:color="000000"/>
              <w:right w:val="nil"/>
            </w:tcBorders>
            <w:shd w:val="clear" w:color="auto" w:fill="auto"/>
            <w:vAlign w:val="center"/>
          </w:tcPr>
          <w:p w14:paraId="2361EC39"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8" w:type="dxa"/>
            <w:tcBorders>
              <w:top w:val="nil"/>
              <w:left w:val="nil"/>
              <w:bottom w:val="single" w:sz="4" w:space="0" w:color="000000"/>
            </w:tcBorders>
            <w:shd w:val="clear" w:color="auto" w:fill="auto"/>
            <w:vAlign w:val="center"/>
          </w:tcPr>
          <w:p w14:paraId="7EB01587" w14:textId="77777777" w:rsidR="00062AE7" w:rsidRPr="00787196" w:rsidRDefault="007D6B7F"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4"/>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8D41B1A" w14:textId="77777777" w:rsidTr="00D54487">
        <w:trPr>
          <w:trHeight w:val="801"/>
        </w:trPr>
        <w:tc>
          <w:tcPr>
            <w:tcW w:w="3009" w:type="dxa"/>
            <w:tcBorders>
              <w:right w:val="nil"/>
            </w:tcBorders>
            <w:shd w:val="clear" w:color="auto" w:fill="auto"/>
          </w:tcPr>
          <w:p w14:paraId="082AA8F2" w14:textId="77777777" w:rsidR="00062AE7" w:rsidRPr="00787196" w:rsidRDefault="00062AE7" w:rsidP="005C2A75">
            <w:pPr>
              <w:spacing w:before="0" w:after="0" w:line="240" w:lineRule="auto"/>
              <w:rPr>
                <w:rFonts w:eastAsia="Calibri" w:cs="Arial"/>
                <w:sz w:val="18"/>
                <w:szCs w:val="18"/>
                <w:lang w:eastAsia="en-US" w:bidi="ar-SA"/>
              </w:rPr>
            </w:pPr>
          </w:p>
        </w:tc>
        <w:tc>
          <w:tcPr>
            <w:tcW w:w="1284" w:type="dxa"/>
            <w:tcBorders>
              <w:left w:val="nil"/>
              <w:right w:val="nil"/>
            </w:tcBorders>
            <w:shd w:val="clear" w:color="auto" w:fill="auto"/>
            <w:vAlign w:val="center"/>
          </w:tcPr>
          <w:p w14:paraId="67A01065"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Not at all</w:t>
            </w:r>
          </w:p>
        </w:tc>
        <w:tc>
          <w:tcPr>
            <w:tcW w:w="1634" w:type="dxa"/>
            <w:tcBorders>
              <w:left w:val="nil"/>
              <w:right w:val="nil"/>
            </w:tcBorders>
            <w:shd w:val="clear" w:color="auto" w:fill="auto"/>
            <w:vAlign w:val="center"/>
          </w:tcPr>
          <w:p w14:paraId="02A1F3A6"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A little bit</w:t>
            </w:r>
          </w:p>
        </w:tc>
        <w:tc>
          <w:tcPr>
            <w:tcW w:w="1284" w:type="dxa"/>
            <w:tcBorders>
              <w:left w:val="nil"/>
              <w:right w:val="nil"/>
            </w:tcBorders>
            <w:shd w:val="clear" w:color="auto" w:fill="auto"/>
            <w:vAlign w:val="center"/>
          </w:tcPr>
          <w:p w14:paraId="1A0CCB93"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A medium amount</w:t>
            </w:r>
          </w:p>
        </w:tc>
        <w:tc>
          <w:tcPr>
            <w:tcW w:w="1168" w:type="dxa"/>
            <w:tcBorders>
              <w:left w:val="nil"/>
            </w:tcBorders>
            <w:shd w:val="clear" w:color="auto" w:fill="auto"/>
            <w:vAlign w:val="center"/>
          </w:tcPr>
          <w:p w14:paraId="77EA7695" w14:textId="77777777" w:rsidR="00062AE7" w:rsidRPr="00787196" w:rsidRDefault="00062AE7"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A lot</w:t>
            </w:r>
          </w:p>
        </w:tc>
      </w:tr>
    </w:tbl>
    <w:p w14:paraId="7C20A0B7" w14:textId="77777777" w:rsidR="00062AE7" w:rsidRPr="00787196" w:rsidRDefault="00062AE7" w:rsidP="000D41AC">
      <w:pPr>
        <w:spacing w:before="0" w:after="0"/>
        <w:rPr>
          <w:rFonts w:cs="Arial"/>
          <w:b/>
          <w:sz w:val="20"/>
          <w:szCs w:val="18"/>
        </w:rPr>
      </w:pPr>
      <w:r w:rsidRPr="00787196">
        <w:rPr>
          <w:rFonts w:cs="Arial"/>
        </w:rPr>
        <w:br w:type="page"/>
      </w:r>
      <w:r w:rsidRPr="00787196">
        <w:rPr>
          <w:rFonts w:cs="Arial"/>
          <w:b/>
          <w:bCs/>
          <w:sz w:val="16"/>
          <w:szCs w:val="12"/>
        </w:rPr>
        <w:lastRenderedPageBreak/>
        <w:t>ORAL HEALTH RELATED QUALITY OF LIFE – EDENT</w:t>
      </w:r>
    </w:p>
    <w:p w14:paraId="0AC27875" w14:textId="77777777" w:rsidR="00062AE7" w:rsidRPr="00787196" w:rsidRDefault="00062AE7" w:rsidP="00513F57">
      <w:pPr>
        <w:spacing w:before="0" w:after="0" w:line="240" w:lineRule="auto"/>
        <w:rPr>
          <w:rFonts w:cs="Arial"/>
          <w:sz w:val="16"/>
          <w:szCs w:val="16"/>
        </w:rPr>
      </w:pPr>
      <w:r w:rsidRPr="00787196">
        <w:rPr>
          <w:rFonts w:cs="Arial"/>
          <w:sz w:val="16"/>
          <w:szCs w:val="16"/>
        </w:rPr>
        <w:t xml:space="preserve">We are interested in knowing how much the Quality of your life has been influenced by the condition you experience. Please read the following questions and tick </w:t>
      </w:r>
      <w:r w:rsidRPr="00787196">
        <w:rPr>
          <w:rFonts w:cs="Arial"/>
          <w:sz w:val="16"/>
          <w:szCs w:val="16"/>
        </w:rPr>
        <w:sym w:font="Wingdings" w:char="F0FE"/>
      </w:r>
      <w:r w:rsidRPr="00787196">
        <w:rPr>
          <w:rFonts w:cs="Arial"/>
          <w:sz w:val="16"/>
          <w:szCs w:val="16"/>
        </w:rPr>
        <w:t xml:space="preserve"> the response that most closely describes your </w:t>
      </w:r>
      <w:r w:rsidRPr="00787196">
        <w:rPr>
          <w:rFonts w:cs="Arial"/>
          <w:sz w:val="16"/>
          <w:szCs w:val="16"/>
          <w:u w:val="single"/>
        </w:rPr>
        <w:t xml:space="preserve">current </w:t>
      </w:r>
      <w:r w:rsidRPr="00787196">
        <w:rPr>
          <w:rFonts w:cs="Arial"/>
          <w:sz w:val="16"/>
          <w:szCs w:val="16"/>
        </w:rPr>
        <w:t>situation</w:t>
      </w:r>
    </w:p>
    <w:tbl>
      <w:tblPr>
        <w:tblpPr w:leftFromText="180" w:rightFromText="180" w:vertAnchor="page" w:horzAnchor="margin" w:tblpY="2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981"/>
        <w:gridCol w:w="990"/>
        <w:gridCol w:w="1323"/>
        <w:gridCol w:w="968"/>
        <w:gridCol w:w="1050"/>
      </w:tblGrid>
      <w:tr w:rsidR="00062AE7" w:rsidRPr="00787196" w14:paraId="12A8ED3C" w14:textId="77777777" w:rsidTr="00D54487">
        <w:trPr>
          <w:trHeight w:val="722"/>
        </w:trPr>
        <w:tc>
          <w:tcPr>
            <w:tcW w:w="2952" w:type="dxa"/>
            <w:tcBorders>
              <w:bottom w:val="nil"/>
              <w:right w:val="nil"/>
            </w:tcBorders>
            <w:shd w:val="clear" w:color="auto" w:fill="auto"/>
            <w:vAlign w:val="center"/>
          </w:tcPr>
          <w:p w14:paraId="6193CA3D" w14:textId="77777777" w:rsidR="00062AE7" w:rsidRPr="00787196" w:rsidRDefault="00062AE7" w:rsidP="005C2A75">
            <w:pPr>
              <w:spacing w:before="0" w:after="0" w:line="240" w:lineRule="auto"/>
              <w:rPr>
                <w:rFonts w:eastAsia="Calibri" w:cs="Arial"/>
                <w:sz w:val="20"/>
                <w:szCs w:val="20"/>
                <w:lang w:eastAsia="en-US" w:bidi="ar-SA"/>
              </w:rPr>
            </w:pPr>
          </w:p>
        </w:tc>
        <w:tc>
          <w:tcPr>
            <w:tcW w:w="981" w:type="dxa"/>
            <w:tcBorders>
              <w:left w:val="nil"/>
              <w:bottom w:val="nil"/>
              <w:right w:val="nil"/>
            </w:tcBorders>
            <w:shd w:val="clear" w:color="auto" w:fill="auto"/>
            <w:vAlign w:val="center"/>
          </w:tcPr>
          <w:p w14:paraId="7DC266AA" w14:textId="77777777" w:rsidR="00062AE7" w:rsidRPr="00787196" w:rsidRDefault="00062AE7" w:rsidP="00D54487">
            <w:pPr>
              <w:spacing w:before="0" w:after="0" w:line="240" w:lineRule="auto"/>
              <w:jc w:val="left"/>
              <w:rPr>
                <w:rFonts w:eastAsia="Calibri" w:cs="Arial"/>
                <w:sz w:val="20"/>
                <w:szCs w:val="20"/>
                <w:lang w:eastAsia="en-US" w:bidi="ar-SA"/>
              </w:rPr>
            </w:pPr>
            <w:r w:rsidRPr="00787196">
              <w:rPr>
                <w:rFonts w:eastAsia="Calibri" w:cs="Arial"/>
                <w:sz w:val="20"/>
                <w:szCs w:val="20"/>
                <w:lang w:eastAsia="en-US" w:bidi="ar-SA"/>
              </w:rPr>
              <w:t>never</w:t>
            </w:r>
          </w:p>
        </w:tc>
        <w:tc>
          <w:tcPr>
            <w:tcW w:w="990" w:type="dxa"/>
            <w:tcBorders>
              <w:left w:val="nil"/>
              <w:bottom w:val="nil"/>
              <w:right w:val="nil"/>
            </w:tcBorders>
            <w:shd w:val="clear" w:color="auto" w:fill="auto"/>
            <w:vAlign w:val="center"/>
          </w:tcPr>
          <w:p w14:paraId="25E9862A" w14:textId="77777777" w:rsidR="00062AE7" w:rsidRPr="00787196" w:rsidRDefault="00062AE7" w:rsidP="00D54487">
            <w:pPr>
              <w:spacing w:before="0" w:after="0" w:line="240" w:lineRule="auto"/>
              <w:jc w:val="left"/>
              <w:rPr>
                <w:rFonts w:eastAsia="Calibri" w:cs="Arial"/>
                <w:sz w:val="20"/>
                <w:szCs w:val="20"/>
                <w:lang w:eastAsia="en-US" w:bidi="ar-SA"/>
              </w:rPr>
            </w:pPr>
            <w:r w:rsidRPr="00787196">
              <w:rPr>
                <w:rFonts w:eastAsia="Calibri" w:cs="Arial"/>
                <w:sz w:val="20"/>
                <w:szCs w:val="20"/>
                <w:lang w:eastAsia="en-US" w:bidi="ar-SA"/>
              </w:rPr>
              <w:t>hardly</w:t>
            </w:r>
          </w:p>
          <w:p w14:paraId="0ACCBD39" w14:textId="77777777" w:rsidR="00062AE7" w:rsidRPr="00787196" w:rsidRDefault="00062AE7" w:rsidP="00D54487">
            <w:pPr>
              <w:spacing w:before="0" w:after="0" w:line="240" w:lineRule="auto"/>
              <w:jc w:val="left"/>
              <w:rPr>
                <w:rFonts w:eastAsia="Calibri" w:cs="Arial"/>
                <w:sz w:val="20"/>
                <w:szCs w:val="20"/>
                <w:lang w:eastAsia="en-US" w:bidi="ar-SA"/>
              </w:rPr>
            </w:pPr>
            <w:r w:rsidRPr="00787196">
              <w:rPr>
                <w:rFonts w:eastAsia="Calibri" w:cs="Arial"/>
                <w:sz w:val="20"/>
                <w:szCs w:val="20"/>
                <w:lang w:eastAsia="en-US" w:bidi="ar-SA"/>
              </w:rPr>
              <w:t>ever</w:t>
            </w:r>
          </w:p>
        </w:tc>
        <w:tc>
          <w:tcPr>
            <w:tcW w:w="1323" w:type="dxa"/>
            <w:tcBorders>
              <w:left w:val="nil"/>
              <w:bottom w:val="nil"/>
              <w:right w:val="nil"/>
            </w:tcBorders>
            <w:shd w:val="clear" w:color="auto" w:fill="auto"/>
            <w:vAlign w:val="center"/>
          </w:tcPr>
          <w:p w14:paraId="6B83DD84" w14:textId="77777777" w:rsidR="00062AE7" w:rsidRPr="00787196" w:rsidRDefault="00062AE7" w:rsidP="00D54487">
            <w:pPr>
              <w:spacing w:before="0" w:after="0" w:line="240" w:lineRule="auto"/>
              <w:jc w:val="left"/>
              <w:rPr>
                <w:rFonts w:eastAsia="Calibri" w:cs="Arial"/>
                <w:sz w:val="20"/>
                <w:szCs w:val="20"/>
                <w:lang w:eastAsia="en-US" w:bidi="ar-SA"/>
              </w:rPr>
            </w:pPr>
            <w:r w:rsidRPr="00787196">
              <w:rPr>
                <w:rFonts w:eastAsia="Calibri" w:cs="Arial"/>
                <w:sz w:val="20"/>
                <w:szCs w:val="20"/>
                <w:lang w:eastAsia="en-US" w:bidi="ar-SA"/>
              </w:rPr>
              <w:t>occasionally</w:t>
            </w:r>
          </w:p>
        </w:tc>
        <w:tc>
          <w:tcPr>
            <w:tcW w:w="968" w:type="dxa"/>
            <w:tcBorders>
              <w:left w:val="nil"/>
              <w:bottom w:val="nil"/>
              <w:right w:val="nil"/>
            </w:tcBorders>
            <w:shd w:val="clear" w:color="auto" w:fill="auto"/>
            <w:vAlign w:val="center"/>
          </w:tcPr>
          <w:p w14:paraId="3CD5F86E" w14:textId="77777777" w:rsidR="00062AE7" w:rsidRPr="00787196" w:rsidRDefault="00062AE7" w:rsidP="00D54487">
            <w:pPr>
              <w:spacing w:before="0" w:after="0" w:line="240" w:lineRule="auto"/>
              <w:jc w:val="left"/>
              <w:rPr>
                <w:rFonts w:eastAsia="Calibri" w:cs="Arial"/>
                <w:sz w:val="20"/>
                <w:szCs w:val="20"/>
                <w:lang w:eastAsia="en-US" w:bidi="ar-SA"/>
              </w:rPr>
            </w:pPr>
            <w:r w:rsidRPr="00787196">
              <w:rPr>
                <w:rFonts w:eastAsia="Calibri" w:cs="Arial"/>
                <w:sz w:val="20"/>
                <w:szCs w:val="20"/>
                <w:lang w:eastAsia="en-US" w:bidi="ar-SA"/>
              </w:rPr>
              <w:t>fairly often</w:t>
            </w:r>
          </w:p>
        </w:tc>
        <w:tc>
          <w:tcPr>
            <w:tcW w:w="1050" w:type="dxa"/>
            <w:tcBorders>
              <w:left w:val="nil"/>
              <w:bottom w:val="nil"/>
            </w:tcBorders>
            <w:shd w:val="clear" w:color="auto" w:fill="auto"/>
            <w:vAlign w:val="center"/>
          </w:tcPr>
          <w:p w14:paraId="77A867F4"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very often</w:t>
            </w:r>
          </w:p>
        </w:tc>
      </w:tr>
      <w:tr w:rsidR="00062AE7" w:rsidRPr="00787196" w14:paraId="6BD854CD" w14:textId="77777777" w:rsidTr="00D54487">
        <w:trPr>
          <w:trHeight w:val="1168"/>
        </w:trPr>
        <w:tc>
          <w:tcPr>
            <w:tcW w:w="2952" w:type="dxa"/>
            <w:tcBorders>
              <w:top w:val="nil"/>
              <w:bottom w:val="nil"/>
              <w:right w:val="nil"/>
            </w:tcBorders>
            <w:shd w:val="clear" w:color="auto" w:fill="auto"/>
            <w:vAlign w:val="center"/>
          </w:tcPr>
          <w:p w14:paraId="75A1D85B"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58</w:t>
            </w:r>
            <w:r w:rsidR="00062AE7" w:rsidRPr="00787196">
              <w:rPr>
                <w:rFonts w:eastAsia="Calibri" w:cs="Arial"/>
                <w:sz w:val="18"/>
                <w:szCs w:val="18"/>
                <w:lang w:eastAsia="en-US" w:bidi="ar-SA"/>
              </w:rPr>
              <w:t>. Have you had difficulty chewing any foods because of problems with your teeth, mouth or dentures?</w:t>
            </w:r>
          </w:p>
        </w:tc>
        <w:tc>
          <w:tcPr>
            <w:tcW w:w="981" w:type="dxa"/>
            <w:tcBorders>
              <w:top w:val="nil"/>
              <w:left w:val="nil"/>
              <w:bottom w:val="nil"/>
              <w:right w:val="nil"/>
            </w:tcBorders>
            <w:shd w:val="clear" w:color="auto" w:fill="auto"/>
            <w:vAlign w:val="center"/>
          </w:tcPr>
          <w:p w14:paraId="5CF618C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bookmarkStart w:id="821" w:name="Check6"/>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bookmarkEnd w:id="821"/>
          </w:p>
        </w:tc>
        <w:tc>
          <w:tcPr>
            <w:tcW w:w="990" w:type="dxa"/>
            <w:tcBorders>
              <w:top w:val="nil"/>
              <w:left w:val="nil"/>
              <w:bottom w:val="nil"/>
              <w:right w:val="nil"/>
            </w:tcBorders>
            <w:shd w:val="clear" w:color="auto" w:fill="auto"/>
            <w:vAlign w:val="center"/>
          </w:tcPr>
          <w:p w14:paraId="6821CF6D"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741F84D3"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783798FF"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07F562B4"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76F02350" w14:textId="77777777" w:rsidTr="00D54487">
        <w:trPr>
          <w:trHeight w:val="955"/>
        </w:trPr>
        <w:tc>
          <w:tcPr>
            <w:tcW w:w="2952" w:type="dxa"/>
            <w:tcBorders>
              <w:top w:val="nil"/>
              <w:bottom w:val="nil"/>
              <w:right w:val="nil"/>
            </w:tcBorders>
            <w:shd w:val="clear" w:color="auto" w:fill="auto"/>
            <w:vAlign w:val="center"/>
          </w:tcPr>
          <w:p w14:paraId="653A2C44"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59</w:t>
            </w:r>
            <w:r w:rsidR="00062AE7" w:rsidRPr="00787196">
              <w:rPr>
                <w:rFonts w:eastAsia="Calibri" w:cs="Arial"/>
                <w:sz w:val="18"/>
                <w:szCs w:val="18"/>
                <w:lang w:eastAsia="en-US" w:bidi="ar-SA"/>
              </w:rPr>
              <w:t>. Have you had food catching in your teeth or dentures?</w:t>
            </w:r>
          </w:p>
        </w:tc>
        <w:tc>
          <w:tcPr>
            <w:tcW w:w="981" w:type="dxa"/>
            <w:tcBorders>
              <w:top w:val="nil"/>
              <w:left w:val="nil"/>
              <w:bottom w:val="nil"/>
              <w:right w:val="nil"/>
            </w:tcBorders>
            <w:shd w:val="clear" w:color="auto" w:fill="auto"/>
            <w:vAlign w:val="center"/>
          </w:tcPr>
          <w:p w14:paraId="03C106D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1F3053A7"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1C05F693"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2BD1352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13EFF0A8"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2E6B9C53" w14:textId="77777777" w:rsidTr="00D54487">
        <w:trPr>
          <w:trHeight w:val="1106"/>
        </w:trPr>
        <w:tc>
          <w:tcPr>
            <w:tcW w:w="2952" w:type="dxa"/>
            <w:tcBorders>
              <w:top w:val="nil"/>
              <w:bottom w:val="nil"/>
              <w:right w:val="nil"/>
            </w:tcBorders>
            <w:shd w:val="clear" w:color="auto" w:fill="auto"/>
            <w:vAlign w:val="center"/>
          </w:tcPr>
          <w:p w14:paraId="75879C6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60</w:t>
            </w:r>
            <w:r w:rsidR="00062AE7" w:rsidRPr="00787196">
              <w:rPr>
                <w:rFonts w:eastAsia="Calibri" w:cs="Arial"/>
                <w:sz w:val="18"/>
                <w:szCs w:val="18"/>
                <w:lang w:eastAsia="en-US" w:bidi="ar-SA"/>
              </w:rPr>
              <w:t>. Have you felt that your dentures have not been fitting properly?</w:t>
            </w:r>
          </w:p>
        </w:tc>
        <w:tc>
          <w:tcPr>
            <w:tcW w:w="981" w:type="dxa"/>
            <w:tcBorders>
              <w:top w:val="nil"/>
              <w:left w:val="nil"/>
              <w:bottom w:val="nil"/>
              <w:right w:val="nil"/>
            </w:tcBorders>
            <w:shd w:val="clear" w:color="auto" w:fill="auto"/>
            <w:vAlign w:val="center"/>
          </w:tcPr>
          <w:p w14:paraId="6E894F93"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24BEA0FB"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40328A4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6DEFE8D6"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27C43D2D"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7931A7BF" w14:textId="77777777" w:rsidTr="00D54487">
        <w:trPr>
          <w:trHeight w:val="823"/>
        </w:trPr>
        <w:tc>
          <w:tcPr>
            <w:tcW w:w="2952" w:type="dxa"/>
            <w:tcBorders>
              <w:top w:val="nil"/>
              <w:bottom w:val="nil"/>
              <w:right w:val="nil"/>
            </w:tcBorders>
            <w:shd w:val="clear" w:color="auto" w:fill="auto"/>
            <w:vAlign w:val="center"/>
          </w:tcPr>
          <w:p w14:paraId="7158DFBC"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61</w:t>
            </w:r>
            <w:r w:rsidR="00062AE7" w:rsidRPr="00787196">
              <w:rPr>
                <w:rFonts w:eastAsia="Calibri" w:cs="Arial"/>
                <w:sz w:val="18"/>
                <w:szCs w:val="18"/>
                <w:lang w:eastAsia="en-US" w:bidi="ar-SA"/>
              </w:rPr>
              <w:t>. Have you had painful aching in your mouth?</w:t>
            </w:r>
          </w:p>
        </w:tc>
        <w:tc>
          <w:tcPr>
            <w:tcW w:w="981" w:type="dxa"/>
            <w:tcBorders>
              <w:top w:val="nil"/>
              <w:left w:val="nil"/>
              <w:bottom w:val="nil"/>
              <w:right w:val="nil"/>
            </w:tcBorders>
            <w:shd w:val="clear" w:color="auto" w:fill="auto"/>
            <w:vAlign w:val="center"/>
          </w:tcPr>
          <w:p w14:paraId="798C295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111B5DDB"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61EC4D4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415DC23C"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44F15409"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139F4791" w14:textId="77777777" w:rsidTr="00D54487">
        <w:trPr>
          <w:trHeight w:val="1368"/>
        </w:trPr>
        <w:tc>
          <w:tcPr>
            <w:tcW w:w="2952" w:type="dxa"/>
            <w:tcBorders>
              <w:top w:val="nil"/>
              <w:bottom w:val="nil"/>
              <w:right w:val="nil"/>
            </w:tcBorders>
            <w:shd w:val="clear" w:color="auto" w:fill="auto"/>
            <w:vAlign w:val="center"/>
          </w:tcPr>
          <w:p w14:paraId="00FD395C"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62.</w:t>
            </w:r>
            <w:r w:rsidR="00062AE7" w:rsidRPr="00787196">
              <w:rPr>
                <w:rFonts w:eastAsia="Calibri" w:cs="Arial"/>
                <w:sz w:val="18"/>
                <w:szCs w:val="18"/>
                <w:lang w:eastAsia="en-US" w:bidi="ar-SA"/>
              </w:rPr>
              <w:t xml:space="preserve"> Have you found it uncomfortable to eat any foods because of problems with your teeth?</w:t>
            </w:r>
          </w:p>
        </w:tc>
        <w:tc>
          <w:tcPr>
            <w:tcW w:w="981" w:type="dxa"/>
            <w:tcBorders>
              <w:top w:val="nil"/>
              <w:left w:val="nil"/>
              <w:bottom w:val="nil"/>
              <w:right w:val="nil"/>
            </w:tcBorders>
            <w:shd w:val="clear" w:color="auto" w:fill="auto"/>
            <w:vAlign w:val="center"/>
          </w:tcPr>
          <w:p w14:paraId="0D8E325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232E5574"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43910F4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2F05027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6E3C1FDD"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4D0D7C12" w14:textId="77777777" w:rsidTr="00D54487">
        <w:trPr>
          <w:trHeight w:val="809"/>
        </w:trPr>
        <w:tc>
          <w:tcPr>
            <w:tcW w:w="2952" w:type="dxa"/>
            <w:tcBorders>
              <w:top w:val="nil"/>
              <w:bottom w:val="nil"/>
              <w:right w:val="nil"/>
            </w:tcBorders>
            <w:shd w:val="clear" w:color="auto" w:fill="auto"/>
            <w:vAlign w:val="center"/>
          </w:tcPr>
          <w:p w14:paraId="608936E7"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63</w:t>
            </w:r>
            <w:r w:rsidR="00062AE7" w:rsidRPr="00787196">
              <w:rPr>
                <w:rFonts w:eastAsia="Calibri" w:cs="Arial"/>
                <w:sz w:val="18"/>
                <w:szCs w:val="18"/>
                <w:lang w:eastAsia="en-US" w:bidi="ar-SA"/>
              </w:rPr>
              <w:t>. Have you had sore spots in your mouth?</w:t>
            </w:r>
          </w:p>
        </w:tc>
        <w:tc>
          <w:tcPr>
            <w:tcW w:w="981" w:type="dxa"/>
            <w:tcBorders>
              <w:top w:val="nil"/>
              <w:left w:val="nil"/>
              <w:bottom w:val="nil"/>
              <w:right w:val="nil"/>
            </w:tcBorders>
            <w:shd w:val="clear" w:color="auto" w:fill="auto"/>
            <w:vAlign w:val="center"/>
          </w:tcPr>
          <w:p w14:paraId="0B0C22B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6B9CCEC6"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79B56B47"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3FE16B9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45EA6ABC"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50B364A8" w14:textId="77777777" w:rsidTr="00D54487">
        <w:trPr>
          <w:trHeight w:val="822"/>
        </w:trPr>
        <w:tc>
          <w:tcPr>
            <w:tcW w:w="2952" w:type="dxa"/>
            <w:tcBorders>
              <w:top w:val="nil"/>
              <w:bottom w:val="nil"/>
              <w:right w:val="nil"/>
            </w:tcBorders>
            <w:shd w:val="clear" w:color="auto" w:fill="auto"/>
            <w:vAlign w:val="center"/>
          </w:tcPr>
          <w:p w14:paraId="195DAD36"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64</w:t>
            </w:r>
            <w:r w:rsidR="00062AE7" w:rsidRPr="00787196">
              <w:rPr>
                <w:rFonts w:eastAsia="Calibri" w:cs="Arial"/>
                <w:sz w:val="18"/>
                <w:szCs w:val="18"/>
                <w:lang w:eastAsia="en-US" w:bidi="ar-SA"/>
              </w:rPr>
              <w:t>. Have you had uncomfortable dentures?</w:t>
            </w:r>
          </w:p>
        </w:tc>
        <w:tc>
          <w:tcPr>
            <w:tcW w:w="981" w:type="dxa"/>
            <w:tcBorders>
              <w:top w:val="nil"/>
              <w:left w:val="nil"/>
              <w:bottom w:val="nil"/>
              <w:right w:val="nil"/>
            </w:tcBorders>
            <w:shd w:val="clear" w:color="auto" w:fill="auto"/>
            <w:vAlign w:val="center"/>
          </w:tcPr>
          <w:p w14:paraId="39CAAEF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2FA6CBA4"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2CDF15DD"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05569D7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66E3EACB"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63F3C50A" w14:textId="77777777" w:rsidTr="00D54487">
        <w:trPr>
          <w:trHeight w:val="862"/>
        </w:trPr>
        <w:tc>
          <w:tcPr>
            <w:tcW w:w="2952" w:type="dxa"/>
            <w:tcBorders>
              <w:top w:val="nil"/>
              <w:bottom w:val="nil"/>
              <w:right w:val="nil"/>
            </w:tcBorders>
            <w:shd w:val="clear" w:color="auto" w:fill="auto"/>
            <w:vAlign w:val="center"/>
          </w:tcPr>
          <w:p w14:paraId="0D2964FD"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65</w:t>
            </w:r>
            <w:r w:rsidR="00062AE7" w:rsidRPr="00787196">
              <w:rPr>
                <w:rFonts w:eastAsia="Calibri" w:cs="Arial"/>
                <w:sz w:val="18"/>
                <w:szCs w:val="18"/>
                <w:lang w:eastAsia="en-US" w:bidi="ar-SA"/>
              </w:rPr>
              <w:t>. Have you been worried by dental problems?</w:t>
            </w:r>
          </w:p>
        </w:tc>
        <w:tc>
          <w:tcPr>
            <w:tcW w:w="981" w:type="dxa"/>
            <w:tcBorders>
              <w:top w:val="nil"/>
              <w:left w:val="nil"/>
              <w:bottom w:val="nil"/>
              <w:right w:val="nil"/>
            </w:tcBorders>
            <w:shd w:val="clear" w:color="auto" w:fill="auto"/>
            <w:vAlign w:val="center"/>
          </w:tcPr>
          <w:p w14:paraId="0813FD3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01E6603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7E058553"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34D8CA93"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7BE038E6"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0DBC7AD4" w14:textId="77777777" w:rsidTr="00D54487">
        <w:trPr>
          <w:trHeight w:val="741"/>
        </w:trPr>
        <w:tc>
          <w:tcPr>
            <w:tcW w:w="2952" w:type="dxa"/>
            <w:tcBorders>
              <w:top w:val="nil"/>
              <w:bottom w:val="nil"/>
              <w:right w:val="nil"/>
            </w:tcBorders>
            <w:shd w:val="clear" w:color="auto" w:fill="auto"/>
            <w:vAlign w:val="center"/>
          </w:tcPr>
          <w:p w14:paraId="19DB09A5"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66</w:t>
            </w:r>
            <w:r w:rsidR="00062AE7" w:rsidRPr="00787196">
              <w:rPr>
                <w:rFonts w:eastAsia="Calibri" w:cs="Arial"/>
                <w:sz w:val="18"/>
                <w:szCs w:val="18"/>
                <w:lang w:eastAsia="en-US" w:bidi="ar-SA"/>
              </w:rPr>
              <w:t>. Have you been self-conscious because of your teeth, mouth or dentures?</w:t>
            </w:r>
          </w:p>
        </w:tc>
        <w:tc>
          <w:tcPr>
            <w:tcW w:w="981" w:type="dxa"/>
            <w:tcBorders>
              <w:top w:val="nil"/>
              <w:left w:val="nil"/>
              <w:bottom w:val="nil"/>
              <w:right w:val="nil"/>
            </w:tcBorders>
            <w:shd w:val="clear" w:color="auto" w:fill="auto"/>
            <w:vAlign w:val="center"/>
          </w:tcPr>
          <w:p w14:paraId="030DBFD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41850D6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285FAC52"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79627AFC"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52151466"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3BEEF6BD" w14:textId="77777777" w:rsidTr="00D54487">
        <w:trPr>
          <w:trHeight w:val="1457"/>
        </w:trPr>
        <w:tc>
          <w:tcPr>
            <w:tcW w:w="2952" w:type="dxa"/>
            <w:tcBorders>
              <w:top w:val="nil"/>
              <w:bottom w:val="nil"/>
              <w:right w:val="nil"/>
            </w:tcBorders>
            <w:shd w:val="clear" w:color="auto" w:fill="auto"/>
            <w:vAlign w:val="center"/>
          </w:tcPr>
          <w:p w14:paraId="12C0CE77"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67</w:t>
            </w:r>
            <w:r w:rsidR="00062AE7" w:rsidRPr="00787196">
              <w:rPr>
                <w:rFonts w:eastAsia="Calibri" w:cs="Arial"/>
                <w:sz w:val="18"/>
                <w:szCs w:val="18"/>
                <w:lang w:eastAsia="en-US" w:bidi="ar-SA"/>
              </w:rPr>
              <w:t>. Have you had to avoid eating some foods because of problems with your teeth, mouth or dentures?</w:t>
            </w:r>
          </w:p>
        </w:tc>
        <w:tc>
          <w:tcPr>
            <w:tcW w:w="981" w:type="dxa"/>
            <w:tcBorders>
              <w:top w:val="nil"/>
              <w:left w:val="nil"/>
              <w:bottom w:val="nil"/>
              <w:right w:val="nil"/>
            </w:tcBorders>
            <w:shd w:val="clear" w:color="auto" w:fill="auto"/>
            <w:vAlign w:val="center"/>
          </w:tcPr>
          <w:p w14:paraId="09BD6E98"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43487C02"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4ECA3ACF"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3F3EE81F"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6B5BCDB1"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16E64A2B" w14:textId="77777777" w:rsidTr="00D54487">
        <w:trPr>
          <w:trHeight w:val="75"/>
        </w:trPr>
        <w:tc>
          <w:tcPr>
            <w:tcW w:w="2952" w:type="dxa"/>
            <w:tcBorders>
              <w:top w:val="nil"/>
              <w:bottom w:val="single" w:sz="4" w:space="0" w:color="auto"/>
              <w:right w:val="nil"/>
            </w:tcBorders>
            <w:shd w:val="clear" w:color="auto" w:fill="auto"/>
            <w:vAlign w:val="center"/>
          </w:tcPr>
          <w:p w14:paraId="597C78D1"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68</w:t>
            </w:r>
            <w:r w:rsidR="00062AE7" w:rsidRPr="00787196">
              <w:rPr>
                <w:rFonts w:eastAsia="Calibri" w:cs="Arial"/>
                <w:sz w:val="18"/>
                <w:szCs w:val="18"/>
                <w:lang w:eastAsia="en-US" w:bidi="ar-SA"/>
              </w:rPr>
              <w:t xml:space="preserve">. Have you been unable to eat with your dentures because of problems with them? </w:t>
            </w:r>
          </w:p>
        </w:tc>
        <w:tc>
          <w:tcPr>
            <w:tcW w:w="981" w:type="dxa"/>
            <w:tcBorders>
              <w:top w:val="nil"/>
              <w:left w:val="nil"/>
              <w:bottom w:val="single" w:sz="4" w:space="0" w:color="auto"/>
              <w:right w:val="nil"/>
            </w:tcBorders>
            <w:shd w:val="clear" w:color="auto" w:fill="auto"/>
            <w:vAlign w:val="center"/>
          </w:tcPr>
          <w:p w14:paraId="1733C0B2"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single" w:sz="4" w:space="0" w:color="auto"/>
              <w:right w:val="nil"/>
            </w:tcBorders>
            <w:shd w:val="clear" w:color="auto" w:fill="auto"/>
            <w:vAlign w:val="center"/>
          </w:tcPr>
          <w:p w14:paraId="37742D2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single" w:sz="4" w:space="0" w:color="auto"/>
              <w:right w:val="nil"/>
            </w:tcBorders>
            <w:shd w:val="clear" w:color="auto" w:fill="auto"/>
            <w:vAlign w:val="center"/>
          </w:tcPr>
          <w:p w14:paraId="7EF6003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single" w:sz="4" w:space="0" w:color="auto"/>
              <w:right w:val="nil"/>
            </w:tcBorders>
            <w:shd w:val="clear" w:color="auto" w:fill="auto"/>
            <w:vAlign w:val="center"/>
          </w:tcPr>
          <w:p w14:paraId="3E74561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single" w:sz="4" w:space="0" w:color="auto"/>
            </w:tcBorders>
            <w:shd w:val="clear" w:color="auto" w:fill="auto"/>
            <w:vAlign w:val="center"/>
          </w:tcPr>
          <w:p w14:paraId="10187FAA"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4AEDDFC2" w14:textId="77777777" w:rsidTr="00D54487">
        <w:trPr>
          <w:trHeight w:val="1481"/>
        </w:trPr>
        <w:tc>
          <w:tcPr>
            <w:tcW w:w="2952" w:type="dxa"/>
            <w:tcBorders>
              <w:top w:val="single" w:sz="4" w:space="0" w:color="auto"/>
              <w:bottom w:val="nil"/>
              <w:right w:val="nil"/>
            </w:tcBorders>
            <w:shd w:val="clear" w:color="auto" w:fill="auto"/>
            <w:vAlign w:val="center"/>
          </w:tcPr>
          <w:p w14:paraId="1BB809F2"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lastRenderedPageBreak/>
              <w:t>69</w:t>
            </w:r>
            <w:r w:rsidR="00062AE7" w:rsidRPr="00787196">
              <w:rPr>
                <w:rFonts w:eastAsia="Calibri" w:cs="Arial"/>
                <w:sz w:val="18"/>
                <w:szCs w:val="18"/>
                <w:lang w:eastAsia="en-US" w:bidi="ar-SA"/>
              </w:rPr>
              <w:t>. Have you had to interrupt meals because of problems with your teeth, mouth or dentures?</w:t>
            </w:r>
          </w:p>
        </w:tc>
        <w:tc>
          <w:tcPr>
            <w:tcW w:w="981" w:type="dxa"/>
            <w:tcBorders>
              <w:top w:val="single" w:sz="4" w:space="0" w:color="auto"/>
              <w:left w:val="nil"/>
              <w:bottom w:val="nil"/>
              <w:right w:val="nil"/>
            </w:tcBorders>
            <w:shd w:val="clear" w:color="auto" w:fill="auto"/>
            <w:vAlign w:val="center"/>
          </w:tcPr>
          <w:p w14:paraId="7E6256D6"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single" w:sz="4" w:space="0" w:color="auto"/>
              <w:left w:val="nil"/>
              <w:bottom w:val="nil"/>
              <w:right w:val="nil"/>
            </w:tcBorders>
            <w:shd w:val="clear" w:color="auto" w:fill="auto"/>
            <w:vAlign w:val="center"/>
          </w:tcPr>
          <w:p w14:paraId="1DAA4C5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single" w:sz="4" w:space="0" w:color="auto"/>
              <w:left w:val="nil"/>
              <w:bottom w:val="nil"/>
              <w:right w:val="nil"/>
            </w:tcBorders>
            <w:shd w:val="clear" w:color="auto" w:fill="auto"/>
            <w:vAlign w:val="center"/>
          </w:tcPr>
          <w:p w14:paraId="293FCEDF"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single" w:sz="4" w:space="0" w:color="auto"/>
              <w:left w:val="nil"/>
              <w:bottom w:val="nil"/>
              <w:right w:val="nil"/>
            </w:tcBorders>
            <w:shd w:val="clear" w:color="auto" w:fill="auto"/>
            <w:vAlign w:val="center"/>
          </w:tcPr>
          <w:p w14:paraId="0FF0010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single" w:sz="4" w:space="0" w:color="auto"/>
              <w:left w:val="nil"/>
              <w:bottom w:val="nil"/>
            </w:tcBorders>
            <w:shd w:val="clear" w:color="auto" w:fill="auto"/>
            <w:vAlign w:val="center"/>
          </w:tcPr>
          <w:p w14:paraId="05633B7D"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07F45142" w14:textId="77777777" w:rsidTr="00D54487">
        <w:trPr>
          <w:trHeight w:val="1013"/>
        </w:trPr>
        <w:tc>
          <w:tcPr>
            <w:tcW w:w="2952" w:type="dxa"/>
            <w:tcBorders>
              <w:top w:val="nil"/>
              <w:bottom w:val="nil"/>
              <w:right w:val="nil"/>
            </w:tcBorders>
            <w:shd w:val="clear" w:color="auto" w:fill="auto"/>
            <w:vAlign w:val="center"/>
          </w:tcPr>
          <w:p w14:paraId="22ADFBE8"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70</w:t>
            </w:r>
            <w:r w:rsidR="00062AE7" w:rsidRPr="00787196">
              <w:rPr>
                <w:rFonts w:eastAsia="Calibri" w:cs="Arial"/>
                <w:sz w:val="18"/>
                <w:szCs w:val="18"/>
                <w:lang w:eastAsia="en-US" w:bidi="ar-SA"/>
              </w:rPr>
              <w:t>. Have you been upset because of problems with your teeth, mouth or dentures?</w:t>
            </w:r>
          </w:p>
        </w:tc>
        <w:tc>
          <w:tcPr>
            <w:tcW w:w="981" w:type="dxa"/>
            <w:tcBorders>
              <w:top w:val="nil"/>
              <w:left w:val="nil"/>
              <w:bottom w:val="nil"/>
              <w:right w:val="nil"/>
            </w:tcBorders>
            <w:shd w:val="clear" w:color="auto" w:fill="auto"/>
            <w:vAlign w:val="center"/>
          </w:tcPr>
          <w:p w14:paraId="07A5B260"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7AB8BE1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1C61D240"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6FCB9CD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714BE746"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3043A0B7" w14:textId="77777777" w:rsidTr="00D54487">
        <w:trPr>
          <w:trHeight w:val="1462"/>
        </w:trPr>
        <w:tc>
          <w:tcPr>
            <w:tcW w:w="2952" w:type="dxa"/>
            <w:tcBorders>
              <w:top w:val="nil"/>
              <w:bottom w:val="nil"/>
              <w:right w:val="nil"/>
            </w:tcBorders>
            <w:shd w:val="clear" w:color="auto" w:fill="auto"/>
            <w:vAlign w:val="center"/>
          </w:tcPr>
          <w:p w14:paraId="42DE08F3"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71</w:t>
            </w:r>
            <w:r w:rsidR="00062AE7" w:rsidRPr="00787196">
              <w:rPr>
                <w:rFonts w:eastAsia="Calibri" w:cs="Arial"/>
                <w:sz w:val="18"/>
                <w:szCs w:val="18"/>
                <w:lang w:eastAsia="en-US" w:bidi="ar-SA"/>
              </w:rPr>
              <w:t>. Have you been a bit embarrassed because of problems with your teeth, mouth or dentures?</w:t>
            </w:r>
          </w:p>
        </w:tc>
        <w:tc>
          <w:tcPr>
            <w:tcW w:w="981" w:type="dxa"/>
            <w:tcBorders>
              <w:top w:val="nil"/>
              <w:left w:val="nil"/>
              <w:bottom w:val="nil"/>
              <w:right w:val="nil"/>
            </w:tcBorders>
            <w:shd w:val="clear" w:color="auto" w:fill="auto"/>
            <w:vAlign w:val="center"/>
          </w:tcPr>
          <w:p w14:paraId="5B0A200D"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2E7C816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797CBE07"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4193178A"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42FAF2DB"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5661BBF1" w14:textId="77777777" w:rsidTr="00D54487">
        <w:trPr>
          <w:trHeight w:val="1160"/>
        </w:trPr>
        <w:tc>
          <w:tcPr>
            <w:tcW w:w="2952" w:type="dxa"/>
            <w:tcBorders>
              <w:top w:val="nil"/>
              <w:bottom w:val="nil"/>
              <w:right w:val="nil"/>
            </w:tcBorders>
            <w:shd w:val="clear" w:color="auto" w:fill="auto"/>
            <w:vAlign w:val="center"/>
          </w:tcPr>
          <w:p w14:paraId="2D794833"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72</w:t>
            </w:r>
            <w:r w:rsidR="00062AE7" w:rsidRPr="00787196">
              <w:rPr>
                <w:rFonts w:eastAsia="Calibri" w:cs="Arial"/>
                <w:sz w:val="18"/>
                <w:szCs w:val="18"/>
                <w:lang w:eastAsia="en-US" w:bidi="ar-SA"/>
              </w:rPr>
              <w:t>. Have you avoided going out because of problems with your teeth, mouth or dentures?</w:t>
            </w:r>
          </w:p>
        </w:tc>
        <w:tc>
          <w:tcPr>
            <w:tcW w:w="981" w:type="dxa"/>
            <w:tcBorders>
              <w:top w:val="nil"/>
              <w:left w:val="nil"/>
              <w:bottom w:val="nil"/>
              <w:right w:val="nil"/>
            </w:tcBorders>
            <w:shd w:val="clear" w:color="auto" w:fill="auto"/>
            <w:vAlign w:val="center"/>
          </w:tcPr>
          <w:p w14:paraId="20D39D74"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714C253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113C59B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5349A37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4B109645"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3C357E6D" w14:textId="77777777" w:rsidTr="00D54487">
        <w:trPr>
          <w:trHeight w:val="1470"/>
        </w:trPr>
        <w:tc>
          <w:tcPr>
            <w:tcW w:w="2952" w:type="dxa"/>
            <w:tcBorders>
              <w:top w:val="nil"/>
              <w:bottom w:val="nil"/>
              <w:right w:val="nil"/>
            </w:tcBorders>
            <w:shd w:val="clear" w:color="auto" w:fill="auto"/>
            <w:vAlign w:val="center"/>
          </w:tcPr>
          <w:p w14:paraId="7E73F572"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73</w:t>
            </w:r>
            <w:r w:rsidR="00062AE7" w:rsidRPr="00787196">
              <w:rPr>
                <w:rFonts w:eastAsia="Calibri" w:cs="Arial"/>
                <w:sz w:val="18"/>
                <w:szCs w:val="18"/>
                <w:lang w:eastAsia="en-US" w:bidi="ar-SA"/>
              </w:rPr>
              <w:t>. Have you been less tolerant of your spouse or family because of problems with your mouth, teeth or dentures?</w:t>
            </w:r>
          </w:p>
        </w:tc>
        <w:tc>
          <w:tcPr>
            <w:tcW w:w="981" w:type="dxa"/>
            <w:tcBorders>
              <w:top w:val="nil"/>
              <w:left w:val="nil"/>
              <w:bottom w:val="nil"/>
              <w:right w:val="nil"/>
            </w:tcBorders>
            <w:shd w:val="clear" w:color="auto" w:fill="auto"/>
            <w:vAlign w:val="center"/>
          </w:tcPr>
          <w:p w14:paraId="419C220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1DD1697D"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05C8B42F"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7FB52565"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636887FA"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3A241CF5" w14:textId="77777777" w:rsidTr="00D54487">
        <w:trPr>
          <w:trHeight w:val="1461"/>
        </w:trPr>
        <w:tc>
          <w:tcPr>
            <w:tcW w:w="2952" w:type="dxa"/>
            <w:tcBorders>
              <w:top w:val="nil"/>
              <w:bottom w:val="nil"/>
              <w:right w:val="nil"/>
            </w:tcBorders>
            <w:shd w:val="clear" w:color="auto" w:fill="auto"/>
            <w:vAlign w:val="center"/>
          </w:tcPr>
          <w:p w14:paraId="6B3FF80F"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74</w:t>
            </w:r>
            <w:r w:rsidR="00062AE7" w:rsidRPr="00787196">
              <w:rPr>
                <w:rFonts w:eastAsia="Calibri" w:cs="Arial"/>
                <w:sz w:val="18"/>
                <w:szCs w:val="18"/>
                <w:lang w:eastAsia="en-US" w:bidi="ar-SA"/>
              </w:rPr>
              <w:t>. Have you been a bit irritable with other people because of problems with your teeth, mouth or dentures?</w:t>
            </w:r>
          </w:p>
        </w:tc>
        <w:tc>
          <w:tcPr>
            <w:tcW w:w="981" w:type="dxa"/>
            <w:tcBorders>
              <w:top w:val="nil"/>
              <w:left w:val="nil"/>
              <w:bottom w:val="nil"/>
              <w:right w:val="nil"/>
            </w:tcBorders>
            <w:shd w:val="clear" w:color="auto" w:fill="auto"/>
            <w:vAlign w:val="center"/>
          </w:tcPr>
          <w:p w14:paraId="101C36D6"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25706C10"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64EE5DC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278F9AF1"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4B37E39F"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54F3CDE2" w14:textId="77777777" w:rsidTr="00D54487">
        <w:trPr>
          <w:trHeight w:val="1468"/>
        </w:trPr>
        <w:tc>
          <w:tcPr>
            <w:tcW w:w="2952" w:type="dxa"/>
            <w:tcBorders>
              <w:top w:val="nil"/>
              <w:bottom w:val="nil"/>
              <w:right w:val="nil"/>
            </w:tcBorders>
            <w:shd w:val="clear" w:color="auto" w:fill="auto"/>
            <w:vAlign w:val="center"/>
          </w:tcPr>
          <w:p w14:paraId="1677C6D0"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75</w:t>
            </w:r>
            <w:r w:rsidR="00062AE7" w:rsidRPr="00787196">
              <w:rPr>
                <w:rFonts w:eastAsia="Calibri" w:cs="Arial"/>
                <w:sz w:val="18"/>
                <w:szCs w:val="18"/>
                <w:lang w:eastAsia="en-US" w:bidi="ar-SA"/>
              </w:rPr>
              <w:t>. Have you been unable to enjoy other people’s company as much because of problems with your teeth, mouth or dentures?</w:t>
            </w:r>
          </w:p>
        </w:tc>
        <w:tc>
          <w:tcPr>
            <w:tcW w:w="981" w:type="dxa"/>
            <w:tcBorders>
              <w:top w:val="nil"/>
              <w:left w:val="nil"/>
              <w:bottom w:val="nil"/>
              <w:right w:val="nil"/>
            </w:tcBorders>
            <w:shd w:val="clear" w:color="auto" w:fill="auto"/>
            <w:vAlign w:val="center"/>
          </w:tcPr>
          <w:p w14:paraId="0C12CAF2"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48004DED"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4EBA56C9"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5DA0471E"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68D52B87"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67B01142" w14:textId="77777777" w:rsidTr="00D54487">
        <w:trPr>
          <w:trHeight w:val="1312"/>
        </w:trPr>
        <w:tc>
          <w:tcPr>
            <w:tcW w:w="2952" w:type="dxa"/>
            <w:tcBorders>
              <w:top w:val="nil"/>
              <w:bottom w:val="nil"/>
              <w:right w:val="nil"/>
            </w:tcBorders>
            <w:shd w:val="clear" w:color="auto" w:fill="auto"/>
            <w:vAlign w:val="center"/>
          </w:tcPr>
          <w:p w14:paraId="282E29E6"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76</w:t>
            </w:r>
            <w:r w:rsidR="00062AE7" w:rsidRPr="00787196">
              <w:rPr>
                <w:rFonts w:eastAsia="Calibri" w:cs="Arial"/>
                <w:sz w:val="18"/>
                <w:szCs w:val="18"/>
                <w:lang w:eastAsia="en-US" w:bidi="ar-SA"/>
              </w:rPr>
              <w:t>. Have you felt that life in general was less satisfying because of problems with your teeth, mouth or dentures?</w:t>
            </w:r>
          </w:p>
        </w:tc>
        <w:tc>
          <w:tcPr>
            <w:tcW w:w="981" w:type="dxa"/>
            <w:tcBorders>
              <w:top w:val="nil"/>
              <w:left w:val="nil"/>
              <w:bottom w:val="nil"/>
              <w:right w:val="nil"/>
            </w:tcBorders>
            <w:shd w:val="clear" w:color="auto" w:fill="auto"/>
            <w:vAlign w:val="center"/>
          </w:tcPr>
          <w:p w14:paraId="0E0A2B62"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90" w:type="dxa"/>
            <w:tcBorders>
              <w:top w:val="nil"/>
              <w:left w:val="nil"/>
              <w:bottom w:val="nil"/>
              <w:right w:val="nil"/>
            </w:tcBorders>
            <w:shd w:val="clear" w:color="auto" w:fill="auto"/>
            <w:vAlign w:val="center"/>
          </w:tcPr>
          <w:p w14:paraId="372F0560"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23" w:type="dxa"/>
            <w:tcBorders>
              <w:top w:val="nil"/>
              <w:left w:val="nil"/>
              <w:bottom w:val="nil"/>
              <w:right w:val="nil"/>
            </w:tcBorders>
            <w:shd w:val="clear" w:color="auto" w:fill="auto"/>
            <w:vAlign w:val="center"/>
          </w:tcPr>
          <w:p w14:paraId="21EE0540"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68" w:type="dxa"/>
            <w:tcBorders>
              <w:top w:val="nil"/>
              <w:left w:val="nil"/>
              <w:bottom w:val="nil"/>
              <w:right w:val="nil"/>
            </w:tcBorders>
            <w:shd w:val="clear" w:color="auto" w:fill="auto"/>
            <w:vAlign w:val="center"/>
          </w:tcPr>
          <w:p w14:paraId="434C25C4" w14:textId="77777777" w:rsidR="00062AE7" w:rsidRPr="00787196" w:rsidRDefault="007D6B7F" w:rsidP="00D54487">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062AE7"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0" w:type="dxa"/>
            <w:tcBorders>
              <w:top w:val="nil"/>
              <w:left w:val="nil"/>
              <w:bottom w:val="nil"/>
            </w:tcBorders>
            <w:shd w:val="clear" w:color="auto" w:fill="auto"/>
            <w:vAlign w:val="center"/>
          </w:tcPr>
          <w:p w14:paraId="5B51AEE9" w14:textId="77777777" w:rsidR="00062AE7" w:rsidRPr="00787196" w:rsidRDefault="007D6B7F" w:rsidP="00D54487">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062AE7"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062AE7" w:rsidRPr="00787196" w14:paraId="267CCEF3" w14:textId="77777777" w:rsidTr="00D54487">
        <w:trPr>
          <w:trHeight w:val="418"/>
        </w:trPr>
        <w:tc>
          <w:tcPr>
            <w:tcW w:w="2952" w:type="dxa"/>
            <w:tcBorders>
              <w:top w:val="nil"/>
              <w:right w:val="nil"/>
            </w:tcBorders>
            <w:shd w:val="clear" w:color="auto" w:fill="auto"/>
          </w:tcPr>
          <w:p w14:paraId="68931167" w14:textId="77777777" w:rsidR="00062AE7" w:rsidRPr="00787196" w:rsidRDefault="00062AE7" w:rsidP="005C2A75">
            <w:pPr>
              <w:spacing w:before="0" w:after="0"/>
              <w:rPr>
                <w:rFonts w:eastAsia="Calibri" w:cs="Arial"/>
                <w:sz w:val="20"/>
                <w:lang w:eastAsia="en-US" w:bidi="ar-SA"/>
              </w:rPr>
            </w:pPr>
          </w:p>
        </w:tc>
        <w:tc>
          <w:tcPr>
            <w:tcW w:w="981" w:type="dxa"/>
            <w:tcBorders>
              <w:top w:val="nil"/>
              <w:left w:val="nil"/>
              <w:right w:val="nil"/>
            </w:tcBorders>
            <w:shd w:val="clear" w:color="auto" w:fill="auto"/>
            <w:vAlign w:val="center"/>
          </w:tcPr>
          <w:p w14:paraId="6D0F82FE"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never</w:t>
            </w:r>
          </w:p>
        </w:tc>
        <w:tc>
          <w:tcPr>
            <w:tcW w:w="990" w:type="dxa"/>
            <w:tcBorders>
              <w:top w:val="nil"/>
              <w:left w:val="nil"/>
              <w:right w:val="nil"/>
            </w:tcBorders>
            <w:shd w:val="clear" w:color="auto" w:fill="auto"/>
            <w:vAlign w:val="center"/>
          </w:tcPr>
          <w:p w14:paraId="07213DAB"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hardly</w:t>
            </w:r>
          </w:p>
          <w:p w14:paraId="2147721C"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ever</w:t>
            </w:r>
          </w:p>
        </w:tc>
        <w:tc>
          <w:tcPr>
            <w:tcW w:w="1323" w:type="dxa"/>
            <w:tcBorders>
              <w:top w:val="nil"/>
              <w:left w:val="nil"/>
              <w:right w:val="nil"/>
            </w:tcBorders>
            <w:shd w:val="clear" w:color="auto" w:fill="auto"/>
            <w:vAlign w:val="center"/>
          </w:tcPr>
          <w:p w14:paraId="4CF15D5C"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occasionally</w:t>
            </w:r>
          </w:p>
        </w:tc>
        <w:tc>
          <w:tcPr>
            <w:tcW w:w="968" w:type="dxa"/>
            <w:tcBorders>
              <w:top w:val="nil"/>
              <w:left w:val="nil"/>
              <w:right w:val="nil"/>
            </w:tcBorders>
            <w:shd w:val="clear" w:color="auto" w:fill="auto"/>
            <w:vAlign w:val="center"/>
          </w:tcPr>
          <w:p w14:paraId="62976D4F"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fairly often</w:t>
            </w:r>
          </w:p>
        </w:tc>
        <w:tc>
          <w:tcPr>
            <w:tcW w:w="1050" w:type="dxa"/>
            <w:tcBorders>
              <w:top w:val="nil"/>
              <w:left w:val="nil"/>
            </w:tcBorders>
            <w:shd w:val="clear" w:color="auto" w:fill="auto"/>
            <w:vAlign w:val="center"/>
          </w:tcPr>
          <w:p w14:paraId="66495633" w14:textId="77777777" w:rsidR="00062AE7" w:rsidRPr="00787196" w:rsidRDefault="00062AE7" w:rsidP="00D54487">
            <w:pPr>
              <w:spacing w:before="0" w:after="0"/>
              <w:jc w:val="left"/>
              <w:rPr>
                <w:rFonts w:eastAsia="Calibri" w:cs="Arial"/>
                <w:sz w:val="20"/>
                <w:lang w:eastAsia="en-US" w:bidi="ar-SA"/>
              </w:rPr>
            </w:pPr>
            <w:r w:rsidRPr="00787196">
              <w:rPr>
                <w:rFonts w:eastAsia="Calibri" w:cs="Arial"/>
                <w:sz w:val="20"/>
                <w:lang w:eastAsia="en-US" w:bidi="ar-SA"/>
              </w:rPr>
              <w:t>very often</w:t>
            </w:r>
          </w:p>
        </w:tc>
      </w:tr>
    </w:tbl>
    <w:p w14:paraId="1D1C13C0" w14:textId="77777777" w:rsidR="00062AE7" w:rsidRPr="00787196" w:rsidRDefault="00062AE7" w:rsidP="00513F57">
      <w:pPr>
        <w:spacing w:before="0" w:after="0"/>
        <w:rPr>
          <w:rFonts w:cs="Arial"/>
        </w:rPr>
      </w:pPr>
    </w:p>
    <w:p w14:paraId="592E6D90" w14:textId="77777777" w:rsidR="00062AE7" w:rsidRPr="00787196" w:rsidRDefault="00062AE7" w:rsidP="00513F57">
      <w:pPr>
        <w:spacing w:before="0" w:after="0"/>
        <w:rPr>
          <w:rFonts w:cs="Arial"/>
          <w:b/>
          <w:bCs/>
          <w:sz w:val="28"/>
          <w:szCs w:val="24"/>
        </w:rPr>
      </w:pPr>
      <w:r w:rsidRPr="00787196">
        <w:rPr>
          <w:rFonts w:cs="Arial"/>
        </w:rPr>
        <w:br w:type="page"/>
      </w:r>
    </w:p>
    <w:tbl>
      <w:tblPr>
        <w:tblpPr w:leftFromText="180" w:rightFromText="180" w:vertAnchor="page" w:horzAnchor="margin" w:tblpY="2676"/>
        <w:tblW w:w="8333"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756"/>
        <w:gridCol w:w="1043"/>
        <w:gridCol w:w="1044"/>
        <w:gridCol w:w="1160"/>
        <w:gridCol w:w="1043"/>
        <w:gridCol w:w="1287"/>
      </w:tblGrid>
      <w:tr w:rsidR="000D41AC" w:rsidRPr="00787196" w14:paraId="1256348E" w14:textId="77777777" w:rsidTr="00D54487">
        <w:trPr>
          <w:trHeight w:val="540"/>
        </w:trPr>
        <w:tc>
          <w:tcPr>
            <w:tcW w:w="2756" w:type="dxa"/>
            <w:shd w:val="clear" w:color="auto" w:fill="auto"/>
          </w:tcPr>
          <w:p w14:paraId="652E0BB8" w14:textId="77777777" w:rsidR="000D41AC" w:rsidRPr="00787196" w:rsidRDefault="000D41AC" w:rsidP="005C2A75">
            <w:pPr>
              <w:spacing w:before="0" w:after="0" w:line="240" w:lineRule="auto"/>
              <w:rPr>
                <w:rFonts w:eastAsia="Calibri" w:cs="Arial"/>
                <w:sz w:val="20"/>
                <w:szCs w:val="20"/>
                <w:lang w:eastAsia="en-US" w:bidi="ar-SA"/>
              </w:rPr>
            </w:pPr>
          </w:p>
        </w:tc>
        <w:tc>
          <w:tcPr>
            <w:tcW w:w="1043" w:type="dxa"/>
            <w:shd w:val="clear" w:color="auto" w:fill="auto"/>
            <w:vAlign w:val="center"/>
          </w:tcPr>
          <w:p w14:paraId="32848CF4"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Totally satisfied</w:t>
            </w:r>
          </w:p>
        </w:tc>
        <w:tc>
          <w:tcPr>
            <w:tcW w:w="1044" w:type="dxa"/>
            <w:shd w:val="clear" w:color="auto" w:fill="auto"/>
            <w:vAlign w:val="center"/>
          </w:tcPr>
          <w:p w14:paraId="222030D4"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160" w:type="dxa"/>
            <w:shd w:val="clear" w:color="auto" w:fill="auto"/>
            <w:vAlign w:val="center"/>
          </w:tcPr>
          <w:p w14:paraId="47FDF3BB"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043" w:type="dxa"/>
            <w:shd w:val="clear" w:color="auto" w:fill="auto"/>
            <w:vAlign w:val="center"/>
          </w:tcPr>
          <w:p w14:paraId="747C280B"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287" w:type="dxa"/>
            <w:shd w:val="clear" w:color="auto" w:fill="auto"/>
            <w:vAlign w:val="center"/>
          </w:tcPr>
          <w:p w14:paraId="5A192967"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Totally dissatisfied</w:t>
            </w:r>
          </w:p>
        </w:tc>
      </w:tr>
      <w:tr w:rsidR="000D41AC" w:rsidRPr="00787196" w14:paraId="476D145C" w14:textId="77777777" w:rsidTr="00D54487">
        <w:trPr>
          <w:trHeight w:val="135"/>
        </w:trPr>
        <w:tc>
          <w:tcPr>
            <w:tcW w:w="2756" w:type="dxa"/>
            <w:shd w:val="clear" w:color="auto" w:fill="auto"/>
          </w:tcPr>
          <w:p w14:paraId="102AE0CA" w14:textId="77777777" w:rsidR="000D41AC" w:rsidRPr="00787196" w:rsidRDefault="000D41AC" w:rsidP="005C2A75">
            <w:pPr>
              <w:spacing w:before="0" w:after="0" w:line="240" w:lineRule="auto"/>
              <w:rPr>
                <w:rFonts w:eastAsia="Calibri" w:cs="Arial"/>
                <w:sz w:val="18"/>
                <w:szCs w:val="18"/>
                <w:lang w:eastAsia="en-US" w:bidi="ar-SA"/>
              </w:rPr>
            </w:pPr>
          </w:p>
        </w:tc>
        <w:tc>
          <w:tcPr>
            <w:tcW w:w="1043" w:type="dxa"/>
            <w:shd w:val="clear" w:color="auto" w:fill="auto"/>
            <w:vAlign w:val="center"/>
          </w:tcPr>
          <w:p w14:paraId="57FE5782"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0</w:t>
            </w:r>
          </w:p>
        </w:tc>
        <w:tc>
          <w:tcPr>
            <w:tcW w:w="1044" w:type="dxa"/>
            <w:shd w:val="clear" w:color="auto" w:fill="auto"/>
            <w:vAlign w:val="center"/>
          </w:tcPr>
          <w:p w14:paraId="537003EC"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1</w:t>
            </w:r>
          </w:p>
        </w:tc>
        <w:tc>
          <w:tcPr>
            <w:tcW w:w="1160" w:type="dxa"/>
            <w:shd w:val="clear" w:color="auto" w:fill="auto"/>
            <w:vAlign w:val="center"/>
          </w:tcPr>
          <w:p w14:paraId="0B534B94"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2</w:t>
            </w:r>
          </w:p>
        </w:tc>
        <w:tc>
          <w:tcPr>
            <w:tcW w:w="1043" w:type="dxa"/>
            <w:shd w:val="clear" w:color="auto" w:fill="auto"/>
            <w:vAlign w:val="center"/>
          </w:tcPr>
          <w:p w14:paraId="15873440"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3</w:t>
            </w:r>
          </w:p>
        </w:tc>
        <w:tc>
          <w:tcPr>
            <w:tcW w:w="1287" w:type="dxa"/>
            <w:shd w:val="clear" w:color="auto" w:fill="auto"/>
            <w:vAlign w:val="center"/>
          </w:tcPr>
          <w:p w14:paraId="7EEC39A9"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4</w:t>
            </w:r>
          </w:p>
        </w:tc>
      </w:tr>
      <w:tr w:rsidR="00062AE7" w:rsidRPr="00787196" w14:paraId="34F27616" w14:textId="77777777" w:rsidTr="00D54487">
        <w:trPr>
          <w:trHeight w:val="1304"/>
        </w:trPr>
        <w:tc>
          <w:tcPr>
            <w:tcW w:w="2756" w:type="dxa"/>
            <w:shd w:val="clear" w:color="auto" w:fill="auto"/>
            <w:vAlign w:val="center"/>
          </w:tcPr>
          <w:p w14:paraId="3EB2F2F3"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77</w:t>
            </w:r>
            <w:r w:rsidR="00062AE7" w:rsidRPr="00787196">
              <w:rPr>
                <w:rFonts w:eastAsia="Calibri" w:cs="Arial"/>
                <w:sz w:val="18"/>
                <w:szCs w:val="18"/>
                <w:lang w:eastAsia="en-US" w:bidi="ar-SA"/>
              </w:rPr>
              <w:t>. How do you feel about the pleasure you get from food, compared with the time when you had natural teeth?</w:t>
            </w:r>
          </w:p>
        </w:tc>
        <w:tc>
          <w:tcPr>
            <w:tcW w:w="1043" w:type="dxa"/>
            <w:shd w:val="clear" w:color="auto" w:fill="auto"/>
            <w:vAlign w:val="center"/>
          </w:tcPr>
          <w:p w14:paraId="721F32D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bookmarkStart w:id="822" w:name="Check7"/>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bookmarkEnd w:id="822"/>
          </w:p>
        </w:tc>
        <w:tc>
          <w:tcPr>
            <w:tcW w:w="1044" w:type="dxa"/>
            <w:shd w:val="clear" w:color="auto" w:fill="auto"/>
            <w:vAlign w:val="center"/>
          </w:tcPr>
          <w:p w14:paraId="31EE1E6D"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1711F79E"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27552ED5"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09F27155"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95F5588" w14:textId="77777777" w:rsidTr="00D54487">
        <w:trPr>
          <w:trHeight w:val="953"/>
        </w:trPr>
        <w:tc>
          <w:tcPr>
            <w:tcW w:w="2756" w:type="dxa"/>
            <w:shd w:val="clear" w:color="auto" w:fill="auto"/>
            <w:vAlign w:val="center"/>
          </w:tcPr>
          <w:p w14:paraId="54A90A46"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78</w:t>
            </w:r>
            <w:r w:rsidR="00062AE7" w:rsidRPr="00787196">
              <w:rPr>
                <w:rFonts w:eastAsia="Calibri" w:cs="Arial"/>
                <w:sz w:val="18"/>
                <w:szCs w:val="18"/>
                <w:lang w:eastAsia="en-US" w:bidi="ar-SA"/>
              </w:rPr>
              <w:t>.With respect to chewing, how satisfied are you with your dentures</w:t>
            </w:r>
          </w:p>
        </w:tc>
        <w:tc>
          <w:tcPr>
            <w:tcW w:w="1043" w:type="dxa"/>
            <w:shd w:val="clear" w:color="auto" w:fill="auto"/>
            <w:vAlign w:val="center"/>
          </w:tcPr>
          <w:p w14:paraId="73FC08ED"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26EF62B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48AAA84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56065C32"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4D0BD10A"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224F11E1" w14:textId="77777777" w:rsidTr="00D54487">
        <w:trPr>
          <w:trHeight w:val="979"/>
        </w:trPr>
        <w:tc>
          <w:tcPr>
            <w:tcW w:w="2756" w:type="dxa"/>
            <w:shd w:val="clear" w:color="auto" w:fill="auto"/>
            <w:vAlign w:val="center"/>
          </w:tcPr>
          <w:p w14:paraId="396127A3"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79</w:t>
            </w:r>
            <w:r w:rsidR="00062AE7" w:rsidRPr="00787196">
              <w:rPr>
                <w:rFonts w:eastAsia="Calibri" w:cs="Arial"/>
                <w:sz w:val="18"/>
                <w:szCs w:val="18"/>
                <w:lang w:eastAsia="en-US" w:bidi="ar-SA"/>
              </w:rPr>
              <w:t>.With respect to appearance, how satisfied are you with your dentures</w:t>
            </w:r>
          </w:p>
        </w:tc>
        <w:tc>
          <w:tcPr>
            <w:tcW w:w="1043" w:type="dxa"/>
            <w:shd w:val="clear" w:color="auto" w:fill="auto"/>
            <w:vAlign w:val="center"/>
          </w:tcPr>
          <w:p w14:paraId="5F3A5AE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5CBE1CB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04609FA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09D99739"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7B8B191B"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48D5973" w14:textId="77777777" w:rsidTr="00D54487">
        <w:trPr>
          <w:trHeight w:val="1076"/>
        </w:trPr>
        <w:tc>
          <w:tcPr>
            <w:tcW w:w="2756" w:type="dxa"/>
            <w:shd w:val="clear" w:color="auto" w:fill="auto"/>
            <w:vAlign w:val="center"/>
          </w:tcPr>
          <w:p w14:paraId="4E6D9BF6"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80</w:t>
            </w:r>
            <w:r w:rsidR="00062AE7" w:rsidRPr="00787196">
              <w:rPr>
                <w:rFonts w:eastAsia="Calibri" w:cs="Arial"/>
                <w:sz w:val="18"/>
                <w:szCs w:val="18"/>
                <w:lang w:eastAsia="en-US" w:bidi="ar-SA"/>
              </w:rPr>
              <w:t>. With respect to how comfortable your dentures are, how satisfied are you?</w:t>
            </w:r>
          </w:p>
        </w:tc>
        <w:tc>
          <w:tcPr>
            <w:tcW w:w="1043" w:type="dxa"/>
            <w:shd w:val="clear" w:color="auto" w:fill="auto"/>
            <w:vAlign w:val="center"/>
          </w:tcPr>
          <w:p w14:paraId="5E05012F"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010B599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2B78D6D0"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55D5C50D"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04F560C0"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30406BEF" w14:textId="77777777" w:rsidTr="00D54487">
        <w:trPr>
          <w:trHeight w:val="1242"/>
        </w:trPr>
        <w:tc>
          <w:tcPr>
            <w:tcW w:w="2756" w:type="dxa"/>
            <w:shd w:val="clear" w:color="auto" w:fill="auto"/>
            <w:vAlign w:val="center"/>
          </w:tcPr>
          <w:p w14:paraId="4DAD775B"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81</w:t>
            </w:r>
            <w:r w:rsidR="00062AE7" w:rsidRPr="00787196">
              <w:rPr>
                <w:rFonts w:eastAsia="Calibri" w:cs="Arial"/>
                <w:sz w:val="18"/>
                <w:szCs w:val="18"/>
                <w:lang w:eastAsia="en-US" w:bidi="ar-SA"/>
              </w:rPr>
              <w:t>. With respect to being self-assured and self-conscious, how satisfied are you with your dentures?</w:t>
            </w:r>
          </w:p>
        </w:tc>
        <w:tc>
          <w:tcPr>
            <w:tcW w:w="1043" w:type="dxa"/>
            <w:shd w:val="clear" w:color="auto" w:fill="auto"/>
            <w:vAlign w:val="center"/>
          </w:tcPr>
          <w:p w14:paraId="12C8AB17"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37583A5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4EC3032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2A5CF06C"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4A801F5F"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78F9CCB8" w14:textId="77777777" w:rsidTr="00D54487">
        <w:trPr>
          <w:trHeight w:val="1232"/>
        </w:trPr>
        <w:tc>
          <w:tcPr>
            <w:tcW w:w="2756" w:type="dxa"/>
            <w:shd w:val="clear" w:color="auto" w:fill="auto"/>
            <w:vAlign w:val="center"/>
          </w:tcPr>
          <w:p w14:paraId="3279834C"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82</w:t>
            </w:r>
            <w:r w:rsidR="00062AE7" w:rsidRPr="00787196">
              <w:rPr>
                <w:rFonts w:eastAsia="Calibri" w:cs="Arial"/>
                <w:sz w:val="18"/>
                <w:szCs w:val="18"/>
                <w:lang w:eastAsia="en-US" w:bidi="ar-SA"/>
              </w:rPr>
              <w:t>. With respect to your social and affective relationships, how satisfied are you with your oral conditions?</w:t>
            </w:r>
          </w:p>
        </w:tc>
        <w:tc>
          <w:tcPr>
            <w:tcW w:w="1043" w:type="dxa"/>
            <w:shd w:val="clear" w:color="auto" w:fill="auto"/>
            <w:vAlign w:val="center"/>
          </w:tcPr>
          <w:p w14:paraId="7AAEBB6B"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1C58FCA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1CE11AB0"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02C99620"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0A910858"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33668BA6" w14:textId="77777777" w:rsidTr="00D54487">
        <w:trPr>
          <w:trHeight w:val="1237"/>
        </w:trPr>
        <w:tc>
          <w:tcPr>
            <w:tcW w:w="2756" w:type="dxa"/>
            <w:shd w:val="clear" w:color="auto" w:fill="auto"/>
            <w:vAlign w:val="center"/>
          </w:tcPr>
          <w:p w14:paraId="222F9AE2"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83</w:t>
            </w:r>
            <w:r w:rsidR="00062AE7" w:rsidRPr="00787196">
              <w:rPr>
                <w:rFonts w:eastAsia="Calibri" w:cs="Arial"/>
                <w:sz w:val="18"/>
                <w:szCs w:val="18"/>
                <w:lang w:eastAsia="en-US" w:bidi="ar-SA"/>
              </w:rPr>
              <w:t>. With respect to your professional performance, how satisfied are you with your oral conditions?</w:t>
            </w:r>
          </w:p>
        </w:tc>
        <w:tc>
          <w:tcPr>
            <w:tcW w:w="1043" w:type="dxa"/>
            <w:shd w:val="clear" w:color="auto" w:fill="auto"/>
            <w:vAlign w:val="center"/>
          </w:tcPr>
          <w:p w14:paraId="175597F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49B37343"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0459A257"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7DB5A4A4"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3C7A1AE5"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59DCD5E1" w14:textId="77777777" w:rsidTr="00D54487">
        <w:trPr>
          <w:trHeight w:val="1086"/>
        </w:trPr>
        <w:tc>
          <w:tcPr>
            <w:tcW w:w="2756" w:type="dxa"/>
            <w:shd w:val="clear" w:color="auto" w:fill="auto"/>
            <w:vAlign w:val="center"/>
          </w:tcPr>
          <w:p w14:paraId="00082B96"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84</w:t>
            </w:r>
            <w:r w:rsidR="00062AE7" w:rsidRPr="00787196">
              <w:rPr>
                <w:rFonts w:eastAsia="Calibri" w:cs="Arial"/>
                <w:sz w:val="18"/>
                <w:szCs w:val="18"/>
                <w:lang w:eastAsia="en-US" w:bidi="ar-SA"/>
              </w:rPr>
              <w:t>. With respect to eating, how satisfied are you with your dentures</w:t>
            </w:r>
          </w:p>
        </w:tc>
        <w:tc>
          <w:tcPr>
            <w:tcW w:w="1043" w:type="dxa"/>
            <w:shd w:val="clear" w:color="auto" w:fill="auto"/>
            <w:vAlign w:val="center"/>
          </w:tcPr>
          <w:p w14:paraId="547CC985"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524BDDB7"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43859A42"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777BBB94"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60D8024B"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62AE7" w:rsidRPr="00787196" w14:paraId="327E594A" w14:textId="77777777" w:rsidTr="00D54487">
        <w:trPr>
          <w:trHeight w:val="751"/>
        </w:trPr>
        <w:tc>
          <w:tcPr>
            <w:tcW w:w="2756" w:type="dxa"/>
            <w:shd w:val="clear" w:color="auto" w:fill="auto"/>
            <w:vAlign w:val="center"/>
          </w:tcPr>
          <w:p w14:paraId="08060264" w14:textId="77777777" w:rsidR="00062AE7" w:rsidRPr="00787196" w:rsidRDefault="008652A2" w:rsidP="00D54487">
            <w:pPr>
              <w:spacing w:before="0" w:after="0" w:line="240" w:lineRule="auto"/>
              <w:jc w:val="left"/>
              <w:rPr>
                <w:rFonts w:eastAsia="Calibri" w:cs="Arial"/>
                <w:sz w:val="18"/>
                <w:szCs w:val="18"/>
                <w:lang w:eastAsia="en-US" w:bidi="ar-SA"/>
              </w:rPr>
            </w:pPr>
            <w:r w:rsidRPr="00787196">
              <w:rPr>
                <w:rFonts w:eastAsia="Calibri" w:cs="Arial"/>
                <w:sz w:val="18"/>
                <w:szCs w:val="18"/>
                <w:lang w:eastAsia="en-US" w:bidi="ar-SA"/>
              </w:rPr>
              <w:t>85</w:t>
            </w:r>
            <w:r w:rsidR="00062AE7" w:rsidRPr="00787196">
              <w:rPr>
                <w:rFonts w:eastAsia="Calibri" w:cs="Arial"/>
                <w:sz w:val="18"/>
                <w:szCs w:val="18"/>
                <w:lang w:eastAsia="en-US" w:bidi="ar-SA"/>
              </w:rPr>
              <w:t>. Are you satisfied with your smile (aesthetic)?</w:t>
            </w:r>
          </w:p>
        </w:tc>
        <w:tc>
          <w:tcPr>
            <w:tcW w:w="1043" w:type="dxa"/>
            <w:shd w:val="clear" w:color="auto" w:fill="auto"/>
            <w:vAlign w:val="center"/>
          </w:tcPr>
          <w:p w14:paraId="69966E2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4" w:type="dxa"/>
            <w:shd w:val="clear" w:color="auto" w:fill="auto"/>
            <w:vAlign w:val="center"/>
          </w:tcPr>
          <w:p w14:paraId="4B0C8E02"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160" w:type="dxa"/>
            <w:shd w:val="clear" w:color="auto" w:fill="auto"/>
            <w:vAlign w:val="center"/>
          </w:tcPr>
          <w:p w14:paraId="3BB0B346"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043" w:type="dxa"/>
            <w:shd w:val="clear" w:color="auto" w:fill="auto"/>
            <w:vAlign w:val="center"/>
          </w:tcPr>
          <w:p w14:paraId="04DA6863"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c>
          <w:tcPr>
            <w:tcW w:w="1287" w:type="dxa"/>
            <w:shd w:val="clear" w:color="auto" w:fill="auto"/>
            <w:vAlign w:val="center"/>
          </w:tcPr>
          <w:p w14:paraId="49E35D47" w14:textId="77777777" w:rsidR="00062AE7" w:rsidRPr="00787196" w:rsidRDefault="007D6B7F" w:rsidP="00D54487">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fldChar w:fldCharType="begin">
                <w:ffData>
                  <w:name w:val="Check7"/>
                  <w:enabled/>
                  <w:calcOnExit w:val="0"/>
                  <w:checkBox>
                    <w:sizeAuto/>
                    <w:default w:val="0"/>
                  </w:checkBox>
                </w:ffData>
              </w:fldChar>
            </w:r>
            <w:r w:rsidR="00062AE7" w:rsidRPr="00787196">
              <w:rPr>
                <w:rFonts w:eastAsia="Calibri" w:cs="Arial"/>
                <w:sz w:val="18"/>
                <w:szCs w:val="18"/>
                <w:lang w:eastAsia="en-US" w:bidi="ar-SA"/>
              </w:rPr>
              <w:instrText xml:space="preserve"> FORMCHECKBOX </w:instrText>
            </w:r>
            <w:r w:rsidR="006E7D7A">
              <w:rPr>
                <w:rFonts w:eastAsia="Calibri" w:cs="Arial"/>
                <w:sz w:val="18"/>
                <w:szCs w:val="18"/>
                <w:lang w:eastAsia="en-US" w:bidi="ar-SA"/>
              </w:rPr>
            </w:r>
            <w:r w:rsidR="006E7D7A">
              <w:rPr>
                <w:rFonts w:eastAsia="Calibri" w:cs="Arial"/>
                <w:sz w:val="18"/>
                <w:szCs w:val="18"/>
                <w:lang w:eastAsia="en-US" w:bidi="ar-SA"/>
              </w:rPr>
              <w:fldChar w:fldCharType="separate"/>
            </w:r>
            <w:r w:rsidRPr="00787196">
              <w:rPr>
                <w:rFonts w:eastAsia="Calibri" w:cs="Arial"/>
                <w:sz w:val="18"/>
                <w:szCs w:val="18"/>
                <w:lang w:eastAsia="en-US" w:bidi="ar-SA"/>
              </w:rPr>
              <w:fldChar w:fldCharType="end"/>
            </w:r>
          </w:p>
        </w:tc>
      </w:tr>
      <w:tr w:rsidR="000D41AC" w:rsidRPr="00787196" w14:paraId="3B5A086B" w14:textId="77777777" w:rsidTr="00D54487">
        <w:trPr>
          <w:trHeight w:val="406"/>
        </w:trPr>
        <w:tc>
          <w:tcPr>
            <w:tcW w:w="2756" w:type="dxa"/>
            <w:shd w:val="clear" w:color="auto" w:fill="auto"/>
          </w:tcPr>
          <w:p w14:paraId="34344653" w14:textId="77777777" w:rsidR="000D41AC" w:rsidRPr="00787196" w:rsidRDefault="000D41AC" w:rsidP="005C2A75">
            <w:pPr>
              <w:spacing w:before="0" w:after="0" w:line="240" w:lineRule="auto"/>
              <w:rPr>
                <w:rFonts w:eastAsia="Calibri" w:cs="Arial"/>
                <w:sz w:val="20"/>
                <w:szCs w:val="20"/>
                <w:lang w:eastAsia="en-US" w:bidi="ar-SA"/>
              </w:rPr>
            </w:pPr>
          </w:p>
        </w:tc>
        <w:tc>
          <w:tcPr>
            <w:tcW w:w="1043" w:type="dxa"/>
            <w:shd w:val="clear" w:color="auto" w:fill="auto"/>
            <w:vAlign w:val="center"/>
          </w:tcPr>
          <w:p w14:paraId="547A9AD8"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0</w:t>
            </w:r>
          </w:p>
        </w:tc>
        <w:tc>
          <w:tcPr>
            <w:tcW w:w="1044" w:type="dxa"/>
            <w:shd w:val="clear" w:color="auto" w:fill="auto"/>
            <w:vAlign w:val="center"/>
          </w:tcPr>
          <w:p w14:paraId="7E932F40"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1</w:t>
            </w:r>
          </w:p>
        </w:tc>
        <w:tc>
          <w:tcPr>
            <w:tcW w:w="1160" w:type="dxa"/>
            <w:shd w:val="clear" w:color="auto" w:fill="auto"/>
            <w:vAlign w:val="center"/>
          </w:tcPr>
          <w:p w14:paraId="6F88A1D5"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2</w:t>
            </w:r>
          </w:p>
        </w:tc>
        <w:tc>
          <w:tcPr>
            <w:tcW w:w="1043" w:type="dxa"/>
            <w:shd w:val="clear" w:color="auto" w:fill="auto"/>
            <w:vAlign w:val="center"/>
          </w:tcPr>
          <w:p w14:paraId="67B564AF"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3</w:t>
            </w:r>
          </w:p>
        </w:tc>
        <w:tc>
          <w:tcPr>
            <w:tcW w:w="1287" w:type="dxa"/>
            <w:shd w:val="clear" w:color="auto" w:fill="auto"/>
            <w:vAlign w:val="center"/>
          </w:tcPr>
          <w:p w14:paraId="34E4749A"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4</w:t>
            </w:r>
          </w:p>
        </w:tc>
      </w:tr>
      <w:tr w:rsidR="000D41AC" w:rsidRPr="00787196" w14:paraId="72A93A81" w14:textId="77777777" w:rsidTr="00D54487">
        <w:trPr>
          <w:trHeight w:val="477"/>
        </w:trPr>
        <w:tc>
          <w:tcPr>
            <w:tcW w:w="2756" w:type="dxa"/>
            <w:shd w:val="clear" w:color="auto" w:fill="auto"/>
          </w:tcPr>
          <w:p w14:paraId="0801CDDC" w14:textId="77777777" w:rsidR="000D41AC" w:rsidRPr="00787196" w:rsidRDefault="000D41AC" w:rsidP="005C2A75">
            <w:pPr>
              <w:spacing w:before="0" w:after="0" w:line="240" w:lineRule="auto"/>
              <w:rPr>
                <w:rFonts w:eastAsia="Calibri" w:cs="Arial"/>
                <w:sz w:val="18"/>
                <w:szCs w:val="18"/>
                <w:lang w:eastAsia="en-US" w:bidi="ar-SA"/>
              </w:rPr>
            </w:pPr>
          </w:p>
        </w:tc>
        <w:tc>
          <w:tcPr>
            <w:tcW w:w="1043" w:type="dxa"/>
            <w:shd w:val="clear" w:color="auto" w:fill="auto"/>
            <w:vAlign w:val="center"/>
          </w:tcPr>
          <w:p w14:paraId="4843345B"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Totally satisfied</w:t>
            </w:r>
          </w:p>
        </w:tc>
        <w:tc>
          <w:tcPr>
            <w:tcW w:w="1044" w:type="dxa"/>
            <w:shd w:val="clear" w:color="auto" w:fill="auto"/>
            <w:vAlign w:val="center"/>
          </w:tcPr>
          <w:p w14:paraId="553C732E"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160" w:type="dxa"/>
            <w:shd w:val="clear" w:color="auto" w:fill="auto"/>
            <w:vAlign w:val="center"/>
          </w:tcPr>
          <w:p w14:paraId="0B1B89AD"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043" w:type="dxa"/>
            <w:shd w:val="clear" w:color="auto" w:fill="auto"/>
            <w:vAlign w:val="center"/>
          </w:tcPr>
          <w:p w14:paraId="3A7D5CC8" w14:textId="77777777" w:rsidR="000D41AC" w:rsidRPr="00787196" w:rsidRDefault="000D41AC" w:rsidP="005C2A75">
            <w:pPr>
              <w:spacing w:before="0" w:after="0" w:line="240" w:lineRule="auto"/>
              <w:jc w:val="center"/>
              <w:rPr>
                <w:rFonts w:eastAsia="Calibri" w:cs="Arial"/>
                <w:b/>
                <w:bCs/>
                <w:sz w:val="18"/>
                <w:szCs w:val="18"/>
                <w:lang w:eastAsia="en-US" w:bidi="ar-SA"/>
              </w:rPr>
            </w:pPr>
          </w:p>
        </w:tc>
        <w:tc>
          <w:tcPr>
            <w:tcW w:w="1287" w:type="dxa"/>
            <w:shd w:val="clear" w:color="auto" w:fill="auto"/>
            <w:vAlign w:val="center"/>
          </w:tcPr>
          <w:p w14:paraId="765D4190" w14:textId="77777777" w:rsidR="000D41AC" w:rsidRPr="00787196" w:rsidRDefault="000D41AC" w:rsidP="005C2A75">
            <w:pPr>
              <w:spacing w:before="0" w:after="0" w:line="240" w:lineRule="auto"/>
              <w:jc w:val="center"/>
              <w:rPr>
                <w:rFonts w:eastAsia="Calibri" w:cs="Arial"/>
                <w:b/>
                <w:bCs/>
                <w:sz w:val="18"/>
                <w:szCs w:val="18"/>
                <w:lang w:eastAsia="en-US" w:bidi="ar-SA"/>
              </w:rPr>
            </w:pPr>
            <w:r w:rsidRPr="00787196">
              <w:rPr>
                <w:rFonts w:eastAsia="Calibri" w:cs="Arial"/>
                <w:b/>
                <w:bCs/>
                <w:sz w:val="18"/>
                <w:szCs w:val="18"/>
                <w:lang w:eastAsia="en-US" w:bidi="ar-SA"/>
              </w:rPr>
              <w:t>Totally dissatisfied</w:t>
            </w:r>
          </w:p>
        </w:tc>
      </w:tr>
    </w:tbl>
    <w:p w14:paraId="6136572E" w14:textId="3F574BD6" w:rsidR="00062AE7" w:rsidRPr="00787196" w:rsidRDefault="00062AE7" w:rsidP="00513F57">
      <w:pPr>
        <w:spacing w:before="0" w:after="0"/>
        <w:rPr>
          <w:rFonts w:cs="Arial"/>
          <w:b/>
          <w:bCs/>
          <w:sz w:val="21"/>
          <w:szCs w:val="18"/>
          <w:lang w:val="fr-FR"/>
        </w:rPr>
      </w:pPr>
      <w:r w:rsidRPr="00787196">
        <w:rPr>
          <w:rFonts w:cs="Arial"/>
          <w:b/>
          <w:bCs/>
          <w:sz w:val="21"/>
          <w:szCs w:val="18"/>
          <w:lang w:val="fr-FR"/>
        </w:rPr>
        <w:t xml:space="preserve">DENTURE SATISFACTION </w:t>
      </w:r>
      <w:r w:rsidR="007D6B7F" w:rsidRPr="00787196">
        <w:rPr>
          <w:rFonts w:cs="Arial"/>
          <w:b/>
          <w:bCs/>
          <w:sz w:val="21"/>
          <w:szCs w:val="18"/>
        </w:rPr>
        <w:fldChar w:fldCharType="begin"/>
      </w:r>
      <w:r w:rsidR="00CE759F" w:rsidRPr="00787196">
        <w:rPr>
          <w:rFonts w:cs="Arial"/>
          <w:b/>
          <w:bCs/>
          <w:sz w:val="21"/>
          <w:szCs w:val="18"/>
          <w:lang w:val="fr-FR"/>
        </w:rPr>
        <w:instrText xml:space="preserve"> ADDIN EN.CITE &lt;EndNote&gt;&lt;Cite&gt;&lt;Author&gt;de Liz Pocztaruk&lt;/Author&gt;&lt;Year&gt;2006&lt;/Year&gt;&lt;RecNum&gt;0&lt;/RecNum&gt;&lt;IDText&gt;Satisfaction level and masticatory capacity in edentulous patients with conventional dentures and implant-retained overdentures&lt;/IDText&gt;&lt;DisplayText&gt;(de Liz Pocztaruk et al., 2006)&lt;/DisplayText&gt;&lt;record&gt;&lt;titles&gt;&lt;title&gt;Satisfaction level and masticatory capacity in edentulous patients with conventional dentures and implant-retained overdentures&lt;/title&gt;&lt;secondary-title&gt;Brazilian Journal of Oral Sciences&lt;/secondary-title&gt;&lt;/titles&gt;&lt;pages&gt;1232-1238&lt;/pages&gt;&lt;number&gt;19&lt;/number&gt;&lt;contributors&gt;&lt;authors&gt;&lt;author&gt;de Liz Pocztaruk, Rafael&lt;/author&gt;&lt;author&gt;da Fontoura Frasca, Luis Carlos&lt;/author&gt;&lt;author&gt;Rivaldo, Elken Gomes&lt;/author&gt;&lt;author&gt;Mattia, Paulo Roberto Castro&lt;/author&gt;&lt;author&gt;Vidal, Rafael Araújo&lt;/author&gt;&lt;author&gt;Fernandes, Eduardo&lt;/author&gt;&lt;author&gt;Gavião, Maria Beatriz Duarte&lt;/author&gt;&lt;/authors&gt;&lt;/contributors&gt;&lt;added-date format="utc"&gt;1367331897&lt;/added-date&gt;&lt;ref-type name="Journal Article"&gt;17&lt;/ref-type&gt;&lt;dates&gt;&lt;year&gt;2006&lt;/year&gt;&lt;/dates&gt;&lt;rec-number&gt;676&lt;/rec-number&gt;&lt;last-updated-date format="utc"&gt;1367331897&lt;/last-updated-date&gt;&lt;volume&gt;5&lt;/volume&gt;&lt;/record&gt;&lt;/Cite&gt;&lt;/EndNote&gt;</w:instrText>
      </w:r>
      <w:r w:rsidR="007D6B7F" w:rsidRPr="00787196">
        <w:rPr>
          <w:rFonts w:cs="Arial"/>
          <w:b/>
          <w:bCs/>
          <w:sz w:val="21"/>
          <w:szCs w:val="18"/>
        </w:rPr>
        <w:fldChar w:fldCharType="separate"/>
      </w:r>
      <w:r w:rsidRPr="00787196">
        <w:rPr>
          <w:rFonts w:cs="Arial"/>
          <w:b/>
          <w:bCs/>
          <w:sz w:val="21"/>
          <w:szCs w:val="18"/>
          <w:lang w:val="fr-FR"/>
        </w:rPr>
        <w:t>(de Liz Pocztaruk et al., 2006)</w:t>
      </w:r>
      <w:r w:rsidR="007D6B7F" w:rsidRPr="00787196">
        <w:rPr>
          <w:rFonts w:cs="Arial"/>
          <w:b/>
          <w:bCs/>
          <w:sz w:val="21"/>
          <w:szCs w:val="18"/>
        </w:rPr>
        <w:fldChar w:fldCharType="end"/>
      </w:r>
    </w:p>
    <w:p w14:paraId="7CBB6456" w14:textId="77777777" w:rsidR="00062AE7" w:rsidRPr="00787196" w:rsidRDefault="00062AE7" w:rsidP="00513F57">
      <w:pPr>
        <w:spacing w:before="0" w:after="0" w:line="240" w:lineRule="auto"/>
        <w:rPr>
          <w:rFonts w:cs="Arial"/>
          <w:sz w:val="20"/>
          <w:szCs w:val="20"/>
        </w:rPr>
      </w:pPr>
      <w:r w:rsidRPr="00787196">
        <w:rPr>
          <w:rFonts w:cs="Arial"/>
          <w:sz w:val="20"/>
          <w:szCs w:val="20"/>
        </w:rPr>
        <w:t xml:space="preserve">We are interested in knowing how much you are satisfied with your dentures Please read the following questions and tick </w:t>
      </w:r>
      <w:r w:rsidRPr="00787196">
        <w:rPr>
          <w:rFonts w:cs="Arial"/>
          <w:sz w:val="20"/>
          <w:szCs w:val="20"/>
        </w:rPr>
        <w:sym w:font="Wingdings" w:char="F0FE"/>
      </w:r>
      <w:r w:rsidRPr="00787196">
        <w:rPr>
          <w:rFonts w:cs="Arial"/>
          <w:sz w:val="20"/>
          <w:szCs w:val="20"/>
        </w:rPr>
        <w:t xml:space="preserve"> to rate that most closely describes your </w:t>
      </w:r>
      <w:r w:rsidRPr="00787196">
        <w:rPr>
          <w:rFonts w:cs="Arial"/>
          <w:sz w:val="20"/>
          <w:szCs w:val="20"/>
          <w:u w:val="single"/>
        </w:rPr>
        <w:t xml:space="preserve">current </w:t>
      </w:r>
      <w:r w:rsidRPr="00787196">
        <w:rPr>
          <w:rFonts w:cs="Arial"/>
          <w:sz w:val="20"/>
          <w:szCs w:val="20"/>
        </w:rPr>
        <w:t>situation</w:t>
      </w:r>
    </w:p>
    <w:p w14:paraId="3C053546" w14:textId="77777777" w:rsidR="00062AE7" w:rsidRPr="00787196" w:rsidRDefault="00062AE7" w:rsidP="00513F57">
      <w:pPr>
        <w:spacing w:before="0" w:after="0"/>
        <w:rPr>
          <w:rFonts w:cs="Arial"/>
        </w:rPr>
      </w:pPr>
      <w:r w:rsidRPr="00787196">
        <w:rPr>
          <w:rFonts w:cs="Arial"/>
        </w:rPr>
        <w:br w:type="page"/>
      </w:r>
    </w:p>
    <w:p w14:paraId="2ED985FD" w14:textId="77777777" w:rsidR="00062AE7" w:rsidRPr="00787196" w:rsidRDefault="008652A2" w:rsidP="00513F57">
      <w:pPr>
        <w:spacing w:before="0" w:after="0"/>
        <w:rPr>
          <w:rFonts w:cs="Arial"/>
        </w:rPr>
      </w:pPr>
      <w:r w:rsidRPr="00787196">
        <w:rPr>
          <w:rFonts w:cs="Arial"/>
          <w:b/>
          <w:bCs/>
        </w:rPr>
        <w:lastRenderedPageBreak/>
        <w:t>86</w:t>
      </w:r>
      <w:r w:rsidR="00062AE7" w:rsidRPr="00787196">
        <w:rPr>
          <w:rFonts w:cs="Arial"/>
          <w:b/>
          <w:bCs/>
        </w:rPr>
        <w:t>.</w:t>
      </w:r>
      <w:r w:rsidR="00062AE7" w:rsidRPr="00787196">
        <w:rPr>
          <w:rFonts w:cs="Arial"/>
        </w:rPr>
        <w:t xml:space="preserve"> </w:t>
      </w:r>
      <w:r w:rsidR="006A494D" w:rsidRPr="00787196">
        <w:rPr>
          <w:rFonts w:cs="Arial"/>
          <w:b/>
          <w:bCs/>
          <w:sz w:val="21"/>
          <w:szCs w:val="21"/>
        </w:rPr>
        <w:t>LEAKE’S CHEWING INDEX</w:t>
      </w:r>
    </w:p>
    <w:p w14:paraId="69F6004B" w14:textId="77777777" w:rsidR="00062AE7" w:rsidRPr="00787196" w:rsidRDefault="00062AE7" w:rsidP="00513F57">
      <w:pPr>
        <w:spacing w:before="0" w:after="0"/>
        <w:rPr>
          <w:rFonts w:cs="Arial"/>
        </w:rPr>
      </w:pPr>
    </w:p>
    <w:p w14:paraId="1D761EBB" w14:textId="77777777" w:rsidR="00062AE7" w:rsidRPr="00787196" w:rsidRDefault="00062AE7" w:rsidP="00307B6F">
      <w:pPr>
        <w:spacing w:before="0" w:after="0"/>
        <w:ind w:right="186"/>
        <w:rPr>
          <w:rFonts w:cs="Arial"/>
          <w:b/>
          <w:bCs/>
        </w:rPr>
      </w:pPr>
      <w:r w:rsidRPr="00787196">
        <w:rPr>
          <w:rFonts w:cs="Arial"/>
        </w:rPr>
        <w:t xml:space="preserve">In the following list of foods please tick the hardest food that you will be able to chew comfortably without any discomfort. </w:t>
      </w:r>
      <w:r w:rsidRPr="00787196">
        <w:rPr>
          <w:rFonts w:cs="Arial"/>
          <w:b/>
          <w:bCs/>
        </w:rPr>
        <w:t xml:space="preserve">PLEASE TICK ONE OPTION ONLY </w:t>
      </w:r>
    </w:p>
    <w:p w14:paraId="5785AB79" w14:textId="77777777" w:rsidR="00062AE7" w:rsidRPr="00787196" w:rsidRDefault="00062AE7" w:rsidP="00513F57">
      <w:pPr>
        <w:spacing w:before="0" w:after="0"/>
        <w:rPr>
          <w:rFonts w:cs="Arial"/>
        </w:rPr>
      </w:pPr>
    </w:p>
    <w:tbl>
      <w:tblPr>
        <w:tblpPr w:leftFromText="180" w:rightFromText="180" w:vertAnchor="text" w:horzAnchor="margin" w:tblpY="528"/>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181"/>
        <w:gridCol w:w="1439"/>
        <w:gridCol w:w="1321"/>
      </w:tblGrid>
      <w:tr w:rsidR="00062AE7" w:rsidRPr="00787196" w14:paraId="7C5624D3" w14:textId="77777777" w:rsidTr="00D54487">
        <w:trPr>
          <w:trHeight w:val="807"/>
        </w:trPr>
        <w:tc>
          <w:tcPr>
            <w:tcW w:w="4181" w:type="dxa"/>
            <w:shd w:val="clear" w:color="auto" w:fill="auto"/>
            <w:vAlign w:val="center"/>
          </w:tcPr>
          <w:p w14:paraId="3E101BFF" w14:textId="77777777" w:rsidR="00062AE7" w:rsidRPr="00787196" w:rsidRDefault="00777A6E" w:rsidP="005C2A75">
            <w:pPr>
              <w:spacing w:before="0" w:after="0"/>
              <w:jc w:val="center"/>
              <w:rPr>
                <w:rFonts w:eastAsia="Calibri" w:cs="Arial"/>
                <w:sz w:val="28"/>
                <w:szCs w:val="24"/>
                <w:lang w:eastAsia="en-US" w:bidi="ar-SA"/>
              </w:rPr>
            </w:pPr>
            <w:r w:rsidRPr="00787196">
              <w:rPr>
                <w:rFonts w:eastAsia="Calibri" w:cs="Arial"/>
                <w:sz w:val="28"/>
                <w:szCs w:val="24"/>
                <w:lang w:eastAsia="en-US" w:bidi="ar-SA"/>
              </w:rPr>
              <w:t>FOOD TYPE</w:t>
            </w:r>
          </w:p>
        </w:tc>
        <w:tc>
          <w:tcPr>
            <w:tcW w:w="1439" w:type="dxa"/>
            <w:shd w:val="clear" w:color="auto" w:fill="auto"/>
          </w:tcPr>
          <w:p w14:paraId="0B0ED3B7" w14:textId="77777777" w:rsidR="00062AE7" w:rsidRPr="00787196" w:rsidRDefault="00062AE7" w:rsidP="005C2A75">
            <w:pPr>
              <w:spacing w:before="0" w:after="0"/>
              <w:rPr>
                <w:rFonts w:eastAsia="Calibri" w:cs="Arial"/>
                <w:b/>
                <w:bCs/>
                <w:sz w:val="28"/>
                <w:szCs w:val="24"/>
                <w:lang w:eastAsia="en-US" w:bidi="ar-SA"/>
              </w:rPr>
            </w:pPr>
          </w:p>
        </w:tc>
        <w:tc>
          <w:tcPr>
            <w:tcW w:w="1321" w:type="dxa"/>
            <w:shd w:val="clear" w:color="auto" w:fill="auto"/>
          </w:tcPr>
          <w:p w14:paraId="52DCD14C" w14:textId="77777777" w:rsidR="00062AE7" w:rsidRPr="00787196" w:rsidRDefault="00062AE7" w:rsidP="005C2A75">
            <w:pPr>
              <w:spacing w:before="0" w:after="0"/>
              <w:rPr>
                <w:rFonts w:eastAsia="Calibri" w:cs="Arial"/>
                <w:b/>
                <w:bCs/>
                <w:sz w:val="28"/>
                <w:szCs w:val="24"/>
                <w:lang w:eastAsia="en-US" w:bidi="ar-SA"/>
              </w:rPr>
            </w:pPr>
          </w:p>
        </w:tc>
      </w:tr>
      <w:tr w:rsidR="00062AE7" w:rsidRPr="00787196" w14:paraId="1AC88CCE" w14:textId="77777777" w:rsidTr="00D54487">
        <w:trPr>
          <w:trHeight w:val="807"/>
        </w:trPr>
        <w:tc>
          <w:tcPr>
            <w:tcW w:w="4181" w:type="dxa"/>
            <w:shd w:val="clear" w:color="auto" w:fill="auto"/>
            <w:vAlign w:val="center"/>
          </w:tcPr>
          <w:p w14:paraId="0FCFB927"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None</w:t>
            </w:r>
          </w:p>
        </w:tc>
        <w:tc>
          <w:tcPr>
            <w:tcW w:w="1439" w:type="dxa"/>
            <w:shd w:val="clear" w:color="auto" w:fill="auto"/>
            <w:vAlign w:val="center"/>
          </w:tcPr>
          <w:p w14:paraId="2EFEC271"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0</w:t>
            </w:r>
          </w:p>
        </w:tc>
        <w:tc>
          <w:tcPr>
            <w:tcW w:w="1321" w:type="dxa"/>
            <w:shd w:val="clear" w:color="auto" w:fill="auto"/>
            <w:vAlign w:val="center"/>
          </w:tcPr>
          <w:p w14:paraId="7E764882" w14:textId="77777777" w:rsidR="00062AE7" w:rsidRPr="00787196" w:rsidRDefault="007D6B7F" w:rsidP="005C2A75">
            <w:pPr>
              <w:spacing w:before="0" w:after="0"/>
              <w:rPr>
                <w:rFonts w:eastAsia="Calibri" w:cs="Arial"/>
                <w:b/>
                <w:bCs/>
                <w:sz w:val="20"/>
                <w:szCs w:val="24"/>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bookmarkStart w:id="823" w:name="Check9"/>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bookmarkEnd w:id="823"/>
          </w:p>
        </w:tc>
      </w:tr>
      <w:tr w:rsidR="00062AE7" w:rsidRPr="00787196" w14:paraId="5E313C58" w14:textId="77777777" w:rsidTr="00D54487">
        <w:trPr>
          <w:trHeight w:val="766"/>
        </w:trPr>
        <w:tc>
          <w:tcPr>
            <w:tcW w:w="4181" w:type="dxa"/>
            <w:shd w:val="clear" w:color="auto" w:fill="auto"/>
            <w:vAlign w:val="center"/>
          </w:tcPr>
          <w:p w14:paraId="1ACE6BC4"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Boiled vegetables,(</w:t>
            </w:r>
            <w:r w:rsidR="00777A6E" w:rsidRPr="00787196">
              <w:rPr>
                <w:rFonts w:eastAsia="Calibri" w:cs="Arial"/>
                <w:sz w:val="20"/>
                <w:lang w:eastAsia="en-US" w:bidi="ar-SA"/>
              </w:rPr>
              <w:t xml:space="preserve">cooked </w:t>
            </w:r>
            <w:r w:rsidRPr="00787196">
              <w:rPr>
                <w:rFonts w:eastAsia="Calibri" w:cs="Arial"/>
                <w:sz w:val="20"/>
                <w:lang w:eastAsia="en-US" w:bidi="ar-SA"/>
              </w:rPr>
              <w:t>rice, idly)</w:t>
            </w:r>
          </w:p>
        </w:tc>
        <w:tc>
          <w:tcPr>
            <w:tcW w:w="1439" w:type="dxa"/>
            <w:shd w:val="clear" w:color="auto" w:fill="auto"/>
            <w:vAlign w:val="center"/>
          </w:tcPr>
          <w:p w14:paraId="7C090921"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1</w:t>
            </w:r>
          </w:p>
        </w:tc>
        <w:tc>
          <w:tcPr>
            <w:tcW w:w="1321" w:type="dxa"/>
            <w:shd w:val="clear" w:color="auto" w:fill="auto"/>
            <w:vAlign w:val="center"/>
          </w:tcPr>
          <w:p w14:paraId="01B02968" w14:textId="77777777" w:rsidR="00062AE7" w:rsidRPr="00787196" w:rsidRDefault="007D6B7F" w:rsidP="005C2A75">
            <w:pPr>
              <w:spacing w:before="0" w:after="0" w:line="240" w:lineRule="auto"/>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062AE7" w:rsidRPr="00787196" w14:paraId="05E6C664" w14:textId="77777777" w:rsidTr="00D54487">
        <w:trPr>
          <w:trHeight w:val="807"/>
        </w:trPr>
        <w:tc>
          <w:tcPr>
            <w:tcW w:w="4181" w:type="dxa"/>
            <w:shd w:val="clear" w:color="auto" w:fill="auto"/>
            <w:vAlign w:val="center"/>
          </w:tcPr>
          <w:p w14:paraId="21E4D357"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Salad (Cabbage, Spinach)</w:t>
            </w:r>
          </w:p>
        </w:tc>
        <w:tc>
          <w:tcPr>
            <w:tcW w:w="1439" w:type="dxa"/>
            <w:shd w:val="clear" w:color="auto" w:fill="auto"/>
            <w:vAlign w:val="center"/>
          </w:tcPr>
          <w:p w14:paraId="628C7324"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2</w:t>
            </w:r>
          </w:p>
        </w:tc>
        <w:tc>
          <w:tcPr>
            <w:tcW w:w="1321" w:type="dxa"/>
            <w:shd w:val="clear" w:color="auto" w:fill="auto"/>
            <w:vAlign w:val="center"/>
          </w:tcPr>
          <w:p w14:paraId="412A114E" w14:textId="77777777" w:rsidR="00062AE7" w:rsidRPr="00787196" w:rsidRDefault="007D6B7F" w:rsidP="005C2A75">
            <w:pPr>
              <w:spacing w:before="0" w:after="0" w:line="240" w:lineRule="auto"/>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062AE7" w:rsidRPr="00787196" w14:paraId="3B0DC8CF" w14:textId="77777777" w:rsidTr="00D54487">
        <w:trPr>
          <w:trHeight w:val="807"/>
        </w:trPr>
        <w:tc>
          <w:tcPr>
            <w:tcW w:w="4181" w:type="dxa"/>
            <w:shd w:val="clear" w:color="auto" w:fill="auto"/>
            <w:vAlign w:val="center"/>
          </w:tcPr>
          <w:p w14:paraId="015590C5"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Raw carrots or celery (radish)</w:t>
            </w:r>
          </w:p>
        </w:tc>
        <w:tc>
          <w:tcPr>
            <w:tcW w:w="1439" w:type="dxa"/>
            <w:shd w:val="clear" w:color="auto" w:fill="auto"/>
            <w:vAlign w:val="center"/>
          </w:tcPr>
          <w:p w14:paraId="4A9F9003"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3</w:t>
            </w:r>
          </w:p>
        </w:tc>
        <w:tc>
          <w:tcPr>
            <w:tcW w:w="1321" w:type="dxa"/>
            <w:shd w:val="clear" w:color="auto" w:fill="auto"/>
            <w:vAlign w:val="center"/>
          </w:tcPr>
          <w:p w14:paraId="666490A4" w14:textId="77777777" w:rsidR="00062AE7" w:rsidRPr="00787196" w:rsidRDefault="007D6B7F" w:rsidP="005C2A75">
            <w:pPr>
              <w:spacing w:before="0" w:after="0" w:line="240" w:lineRule="auto"/>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062AE7" w:rsidRPr="00787196" w14:paraId="3821E024" w14:textId="77777777" w:rsidTr="00D54487">
        <w:trPr>
          <w:trHeight w:val="807"/>
        </w:trPr>
        <w:tc>
          <w:tcPr>
            <w:tcW w:w="4181" w:type="dxa"/>
            <w:shd w:val="clear" w:color="auto" w:fill="auto"/>
            <w:vAlign w:val="center"/>
          </w:tcPr>
          <w:p w14:paraId="1ADD6FE3"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Steaks or chops (Roasted firm meat)</w:t>
            </w:r>
          </w:p>
        </w:tc>
        <w:tc>
          <w:tcPr>
            <w:tcW w:w="1439" w:type="dxa"/>
            <w:shd w:val="clear" w:color="auto" w:fill="auto"/>
            <w:vAlign w:val="center"/>
          </w:tcPr>
          <w:p w14:paraId="3C1A2444"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4</w:t>
            </w:r>
          </w:p>
        </w:tc>
        <w:tc>
          <w:tcPr>
            <w:tcW w:w="1321" w:type="dxa"/>
            <w:shd w:val="clear" w:color="auto" w:fill="auto"/>
            <w:vAlign w:val="center"/>
          </w:tcPr>
          <w:p w14:paraId="51EE2582" w14:textId="77777777" w:rsidR="00062AE7" w:rsidRPr="00787196" w:rsidRDefault="007D6B7F" w:rsidP="005C2A75">
            <w:pPr>
              <w:spacing w:before="0" w:after="0" w:line="240" w:lineRule="auto"/>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062AE7" w:rsidRPr="00787196" w14:paraId="6FDC9DFC" w14:textId="77777777" w:rsidTr="00D54487">
        <w:trPr>
          <w:trHeight w:val="807"/>
        </w:trPr>
        <w:tc>
          <w:tcPr>
            <w:tcW w:w="4181" w:type="dxa"/>
            <w:shd w:val="clear" w:color="auto" w:fill="auto"/>
            <w:vAlign w:val="center"/>
          </w:tcPr>
          <w:p w14:paraId="06A09ED9" w14:textId="77777777" w:rsidR="00062AE7" w:rsidRPr="00787196" w:rsidRDefault="00062AE7" w:rsidP="00D54487">
            <w:pPr>
              <w:spacing w:before="0" w:after="0" w:line="240" w:lineRule="auto"/>
              <w:jc w:val="left"/>
              <w:rPr>
                <w:rFonts w:eastAsia="Calibri" w:cs="Arial"/>
                <w:sz w:val="20"/>
                <w:lang w:eastAsia="en-US" w:bidi="ar-SA"/>
              </w:rPr>
            </w:pPr>
            <w:r w:rsidRPr="00787196">
              <w:rPr>
                <w:rFonts w:eastAsia="Calibri" w:cs="Arial"/>
                <w:sz w:val="20"/>
                <w:lang w:eastAsia="en-US" w:bidi="ar-SA"/>
              </w:rPr>
              <w:t>Whole Apple</w:t>
            </w:r>
          </w:p>
        </w:tc>
        <w:tc>
          <w:tcPr>
            <w:tcW w:w="1439" w:type="dxa"/>
            <w:shd w:val="clear" w:color="auto" w:fill="auto"/>
            <w:vAlign w:val="center"/>
          </w:tcPr>
          <w:p w14:paraId="5AFA8F2C" w14:textId="77777777" w:rsidR="00062AE7" w:rsidRPr="00787196" w:rsidRDefault="00062AE7" w:rsidP="005C2A75">
            <w:pPr>
              <w:spacing w:before="0" w:after="0" w:line="240" w:lineRule="auto"/>
              <w:rPr>
                <w:rFonts w:eastAsia="Calibri" w:cs="Arial"/>
                <w:sz w:val="20"/>
                <w:lang w:eastAsia="en-US" w:bidi="ar-SA"/>
              </w:rPr>
            </w:pPr>
            <w:r w:rsidRPr="00787196">
              <w:rPr>
                <w:rFonts w:eastAsia="Calibri" w:cs="Arial"/>
                <w:sz w:val="20"/>
                <w:lang w:eastAsia="en-US" w:bidi="ar-SA"/>
              </w:rPr>
              <w:t>5</w:t>
            </w:r>
          </w:p>
        </w:tc>
        <w:tc>
          <w:tcPr>
            <w:tcW w:w="1321" w:type="dxa"/>
            <w:shd w:val="clear" w:color="auto" w:fill="auto"/>
            <w:vAlign w:val="center"/>
          </w:tcPr>
          <w:p w14:paraId="5953687E" w14:textId="77777777" w:rsidR="00062AE7" w:rsidRPr="00787196" w:rsidRDefault="007D6B7F" w:rsidP="005C2A75">
            <w:pPr>
              <w:spacing w:before="0" w:after="0" w:line="240" w:lineRule="auto"/>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062AE7"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bl>
    <w:p w14:paraId="7DA5C22E" w14:textId="77777777" w:rsidR="00062AE7" w:rsidRPr="00787196" w:rsidRDefault="00062AE7" w:rsidP="00513F57">
      <w:pPr>
        <w:spacing w:before="0" w:after="0"/>
        <w:rPr>
          <w:rFonts w:cs="Arial"/>
        </w:rPr>
      </w:pPr>
    </w:p>
    <w:p w14:paraId="5B1765CE" w14:textId="77777777" w:rsidR="00062AE7" w:rsidRPr="00787196" w:rsidRDefault="00062AE7" w:rsidP="00513F57">
      <w:pPr>
        <w:spacing w:before="0" w:after="0"/>
        <w:rPr>
          <w:rFonts w:cs="Arial"/>
        </w:rPr>
      </w:pPr>
    </w:p>
    <w:p w14:paraId="2BA97CDC" w14:textId="77777777" w:rsidR="00062AE7" w:rsidRPr="00787196" w:rsidRDefault="00062AE7" w:rsidP="00513F57">
      <w:pPr>
        <w:spacing w:before="0" w:after="0"/>
        <w:rPr>
          <w:rFonts w:cs="Arial"/>
        </w:rPr>
      </w:pPr>
    </w:p>
    <w:p w14:paraId="2027C26A" w14:textId="77777777" w:rsidR="00062AE7" w:rsidRPr="00787196" w:rsidRDefault="00062AE7" w:rsidP="004A69E8">
      <w:pPr>
        <w:rPr>
          <w:rFonts w:cs="Arial"/>
        </w:rPr>
      </w:pPr>
    </w:p>
    <w:p w14:paraId="305A22B8" w14:textId="77777777" w:rsidR="000D41AC" w:rsidRPr="00787196" w:rsidRDefault="000D41AC" w:rsidP="00C02B80">
      <w:pPr>
        <w:spacing w:before="0" w:after="200"/>
        <w:jc w:val="center"/>
        <w:rPr>
          <w:rFonts w:cs="Arial"/>
        </w:rPr>
      </w:pPr>
    </w:p>
    <w:p w14:paraId="0CF2A7E4" w14:textId="77777777" w:rsidR="000D41AC" w:rsidRPr="00787196" w:rsidRDefault="000D41AC" w:rsidP="00C02B80">
      <w:pPr>
        <w:spacing w:before="0" w:after="200"/>
        <w:jc w:val="center"/>
        <w:rPr>
          <w:rFonts w:cs="Arial"/>
        </w:rPr>
      </w:pPr>
    </w:p>
    <w:p w14:paraId="541F8E66" w14:textId="77777777" w:rsidR="000D41AC" w:rsidRPr="00787196" w:rsidRDefault="000D41AC" w:rsidP="00C02B80">
      <w:pPr>
        <w:spacing w:before="0" w:after="200"/>
        <w:jc w:val="center"/>
        <w:rPr>
          <w:rFonts w:cs="Arial"/>
        </w:rPr>
      </w:pPr>
    </w:p>
    <w:p w14:paraId="59A6BE36" w14:textId="77777777" w:rsidR="000D41AC" w:rsidRPr="00787196" w:rsidRDefault="000D41AC" w:rsidP="00C02B80">
      <w:pPr>
        <w:spacing w:before="0" w:after="200"/>
        <w:jc w:val="center"/>
        <w:rPr>
          <w:rFonts w:cs="Arial"/>
        </w:rPr>
      </w:pPr>
    </w:p>
    <w:p w14:paraId="6CDC11AE" w14:textId="77777777" w:rsidR="000D41AC" w:rsidRPr="00787196" w:rsidRDefault="000D41AC" w:rsidP="00C02B80">
      <w:pPr>
        <w:spacing w:before="0" w:after="200"/>
        <w:jc w:val="center"/>
        <w:rPr>
          <w:rFonts w:cs="Arial"/>
        </w:rPr>
      </w:pPr>
    </w:p>
    <w:p w14:paraId="519F27E9" w14:textId="77777777" w:rsidR="000D41AC" w:rsidRPr="00787196" w:rsidRDefault="000D41AC" w:rsidP="00C02B80">
      <w:pPr>
        <w:spacing w:before="0" w:after="200"/>
        <w:jc w:val="center"/>
        <w:rPr>
          <w:rFonts w:cs="Arial"/>
        </w:rPr>
      </w:pPr>
    </w:p>
    <w:p w14:paraId="61CAFE78" w14:textId="77777777" w:rsidR="000D41AC" w:rsidRPr="00787196" w:rsidRDefault="000D41AC" w:rsidP="00C02B80">
      <w:pPr>
        <w:spacing w:before="0" w:after="200"/>
        <w:jc w:val="center"/>
        <w:rPr>
          <w:rFonts w:cs="Arial"/>
        </w:rPr>
      </w:pPr>
    </w:p>
    <w:p w14:paraId="43911FDB" w14:textId="77777777" w:rsidR="000D41AC" w:rsidRPr="00787196" w:rsidRDefault="000D41AC" w:rsidP="00C02B80">
      <w:pPr>
        <w:spacing w:before="0" w:after="200"/>
        <w:jc w:val="center"/>
        <w:rPr>
          <w:rFonts w:cs="Arial"/>
        </w:rPr>
      </w:pPr>
    </w:p>
    <w:p w14:paraId="317FDB5E" w14:textId="77777777" w:rsidR="000D41AC" w:rsidRPr="00787196" w:rsidRDefault="000D41AC" w:rsidP="00C02B80">
      <w:pPr>
        <w:spacing w:before="0" w:after="200"/>
        <w:jc w:val="center"/>
        <w:rPr>
          <w:rFonts w:cs="Arial"/>
        </w:rPr>
      </w:pPr>
    </w:p>
    <w:p w14:paraId="110F7194" w14:textId="77777777" w:rsidR="000D41AC" w:rsidRPr="00787196" w:rsidRDefault="000D41AC" w:rsidP="00C02B80">
      <w:pPr>
        <w:spacing w:before="0" w:after="200"/>
        <w:jc w:val="center"/>
        <w:rPr>
          <w:rFonts w:cs="Arial"/>
        </w:rPr>
      </w:pPr>
    </w:p>
    <w:p w14:paraId="1884F8BC" w14:textId="77777777" w:rsidR="000D41AC" w:rsidRPr="00787196" w:rsidRDefault="000D41AC" w:rsidP="00C02B80">
      <w:pPr>
        <w:spacing w:before="0" w:after="200"/>
        <w:jc w:val="center"/>
        <w:rPr>
          <w:rFonts w:ascii="TUOS Blake" w:hAnsi="TUOS Blake"/>
          <w:sz w:val="28"/>
          <w:szCs w:val="28"/>
        </w:rPr>
        <w:sectPr w:rsidR="000D41AC" w:rsidRPr="00787196" w:rsidSect="007D1BCD">
          <w:headerReference w:type="even" r:id="rId48"/>
          <w:headerReference w:type="default" r:id="rId49"/>
          <w:footerReference w:type="default" r:id="rId50"/>
          <w:pgSz w:w="11907" w:h="16840" w:code="9"/>
          <w:pgMar w:top="1134" w:right="1134" w:bottom="1134" w:left="2268" w:header="1145" w:footer="1117" w:gutter="0"/>
          <w:cols w:space="720"/>
          <w:noEndnote/>
          <w:docGrid w:linePitch="360"/>
        </w:sectPr>
      </w:pPr>
    </w:p>
    <w:p w14:paraId="40470017" w14:textId="7A363D9E" w:rsidR="000D41AC" w:rsidRPr="00787196" w:rsidRDefault="00A1466E" w:rsidP="00F209BB">
      <w:pPr>
        <w:pStyle w:val="Heading2"/>
        <w:numPr>
          <w:ilvl w:val="0"/>
          <w:numId w:val="0"/>
        </w:numPr>
        <w:ind w:left="576"/>
        <w:jc w:val="center"/>
      </w:pPr>
      <w:bookmarkStart w:id="824" w:name="_Toc488655708"/>
      <w:r w:rsidRPr="00787196">
        <w:lastRenderedPageBreak/>
        <w:t xml:space="preserve">Appendix </w:t>
      </w:r>
      <w:r w:rsidR="00F209BB" w:rsidRPr="00787196">
        <w:t>F</w:t>
      </w:r>
      <w:r w:rsidR="00E915A9" w:rsidRPr="00787196">
        <w:t>-</w:t>
      </w:r>
      <w:r w:rsidR="006D19E3" w:rsidRPr="00787196">
        <w:t xml:space="preserve">Back translated versions </w:t>
      </w:r>
      <w:r w:rsidRPr="00787196">
        <w:t xml:space="preserve">in </w:t>
      </w:r>
      <w:r w:rsidR="0039625A" w:rsidRPr="00787196">
        <w:t>Tamil</w:t>
      </w:r>
      <w:bookmarkEnd w:id="824"/>
    </w:p>
    <w:p w14:paraId="67E7DD1F" w14:textId="65C7D4D7" w:rsidR="0039625A" w:rsidRPr="00787196" w:rsidRDefault="0039625A" w:rsidP="00D9694A">
      <w:pPr>
        <w:pStyle w:val="Heading3"/>
      </w:pPr>
      <w:bookmarkStart w:id="825" w:name="_Toc488655709"/>
      <w:r w:rsidRPr="00787196">
        <w:t>Recruitment flyer</w:t>
      </w:r>
      <w:bookmarkEnd w:id="825"/>
    </w:p>
    <w:p w14:paraId="7EDB4A3E" w14:textId="64CED5E8" w:rsidR="00DD024F" w:rsidRPr="00787196" w:rsidRDefault="00407764" w:rsidP="0039625A">
      <w:pPr>
        <w:spacing w:before="0" w:after="200"/>
        <w:ind w:right="45"/>
        <w:jc w:val="center"/>
        <w:rPr>
          <w:rFonts w:ascii="TUOS Blake" w:hAnsi="TUOS Blake"/>
          <w:sz w:val="28"/>
          <w:szCs w:val="28"/>
        </w:rPr>
      </w:pPr>
      <w:r w:rsidRPr="00787196">
        <w:rPr>
          <w:rFonts w:ascii="TUOS Blake" w:hAnsi="TUOS Blake"/>
          <w:noProof/>
          <w:sz w:val="28"/>
          <w:szCs w:val="28"/>
        </w:rPr>
        <w:drawing>
          <wp:inline distT="0" distB="0" distL="0" distR="0" wp14:anchorId="48F8B37C" wp14:editId="7CF7315A">
            <wp:extent cx="2332990" cy="2332990"/>
            <wp:effectExtent l="0" t="0" r="0" b="0"/>
            <wp:docPr id="38" name="Picture 46" descr="yellow_big_grin_smiley_with_missing_teeth_stickers-r48b19b1c2d6e46fcbcb9348a401d97d1_v9wth_8byvr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ellow_big_grin_smiley_with_missing_teeth_stickers-r48b19b1c2d6e46fcbcb9348a401d97d1_v9wth_8byvr_5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inline>
        </w:drawing>
      </w:r>
    </w:p>
    <w:p w14:paraId="3DBC2F33" w14:textId="77777777" w:rsidR="00DD024F" w:rsidRPr="00787196" w:rsidRDefault="00DD024F" w:rsidP="0039625A">
      <w:pPr>
        <w:spacing w:before="0" w:after="0"/>
        <w:ind w:right="45"/>
        <w:jc w:val="center"/>
        <w:rPr>
          <w:rFonts w:ascii="TUOS Blake" w:hAnsi="TUOS Blake"/>
          <w:b/>
          <w:color w:val="FF0000"/>
          <w:sz w:val="36"/>
          <w:szCs w:val="36"/>
        </w:rPr>
      </w:pPr>
      <w:r w:rsidRPr="00787196">
        <w:rPr>
          <w:rFonts w:ascii="TUOS Blake" w:hAnsi="TUOS Blake" w:cs="Arial Unicode MS"/>
          <w:bCs/>
          <w:color w:val="FF0000"/>
          <w:sz w:val="36"/>
          <w:szCs w:val="36"/>
          <w:cs/>
        </w:rPr>
        <w:t xml:space="preserve">பற்கள் </w:t>
      </w:r>
      <w:r w:rsidRPr="00787196">
        <w:rPr>
          <w:rFonts w:ascii="TUOS Blake" w:hAnsi="TUOS Blake" w:cs="Arial Unicode MS"/>
          <w:b/>
          <w:bCs/>
          <w:color w:val="FF0000"/>
          <w:sz w:val="36"/>
          <w:szCs w:val="36"/>
          <w:cs/>
        </w:rPr>
        <w:t>இல்லாதவரா நீங்கள்</w:t>
      </w:r>
      <w:r w:rsidRPr="00787196">
        <w:rPr>
          <w:rFonts w:ascii="TUOS Blake" w:hAnsi="TUOS Blake"/>
          <w:b/>
          <w:bCs/>
          <w:color w:val="FF0000"/>
          <w:sz w:val="36"/>
          <w:szCs w:val="36"/>
          <w:cs/>
        </w:rPr>
        <w:t>?</w:t>
      </w:r>
    </w:p>
    <w:p w14:paraId="776B88F9" w14:textId="77777777" w:rsidR="00DD024F" w:rsidRPr="00787196" w:rsidRDefault="00DD024F" w:rsidP="0039625A">
      <w:pPr>
        <w:spacing w:before="0" w:after="0"/>
        <w:ind w:right="45"/>
        <w:jc w:val="center"/>
        <w:rPr>
          <w:rFonts w:ascii="TUOS Blake" w:hAnsi="TUOS Blake"/>
          <w:sz w:val="18"/>
          <w:szCs w:val="16"/>
        </w:rPr>
      </w:pPr>
      <w:r w:rsidRPr="00787196">
        <w:rPr>
          <w:rFonts w:ascii="TUOS Blake" w:hAnsi="TUOS Blake" w:cs="Arial Unicode MS"/>
          <w:sz w:val="18"/>
          <w:szCs w:val="16"/>
          <w:cs/>
        </w:rPr>
        <w:t>இங்கிலாந்தின் செஃப்பீல்டு பல்கலைக்கழக</w:t>
      </w:r>
      <w:r w:rsidRPr="00787196">
        <w:rPr>
          <w:rFonts w:ascii="TUOS Blake" w:hAnsi="TUOS Blake"/>
          <w:sz w:val="18"/>
          <w:szCs w:val="16"/>
          <w:cs/>
        </w:rPr>
        <w:t xml:space="preserve">, </w:t>
      </w:r>
      <w:r w:rsidRPr="00787196">
        <w:rPr>
          <w:rFonts w:ascii="TUOS Blake" w:hAnsi="TUOS Blake" w:cs="Arial Unicode MS"/>
          <w:sz w:val="18"/>
          <w:szCs w:val="16"/>
          <w:cs/>
        </w:rPr>
        <w:t xml:space="preserve">பல் மருத்துவப் பள்ளி மற்றும் ஸ்ரீ இராமச்சந்திரா பல் மருத்துவ கல்லூரி </w:t>
      </w:r>
      <w:r w:rsidRPr="00787196">
        <w:rPr>
          <w:rFonts w:ascii="TUOS Blake" w:hAnsi="TUOS Blake"/>
          <w:sz w:val="18"/>
          <w:szCs w:val="16"/>
          <w:cs/>
        </w:rPr>
        <w:t xml:space="preserve">&amp; </w:t>
      </w:r>
      <w:r w:rsidRPr="00787196">
        <w:rPr>
          <w:rFonts w:ascii="TUOS Blake" w:hAnsi="TUOS Blake" w:cs="Arial Unicode MS"/>
          <w:sz w:val="18"/>
          <w:szCs w:val="16"/>
          <w:cs/>
        </w:rPr>
        <w:t>மருத்துவமனையைச் சேர்ந்த பல் மருத்துவர்களாகிய நாங்கள்</w:t>
      </w:r>
      <w:r w:rsidRPr="00787196">
        <w:rPr>
          <w:rFonts w:ascii="TUOS Blake" w:hAnsi="TUOS Blake"/>
          <w:sz w:val="18"/>
          <w:szCs w:val="16"/>
          <w:cs/>
        </w:rPr>
        <w:t xml:space="preserve">, </w:t>
      </w:r>
      <w:r w:rsidRPr="00787196">
        <w:rPr>
          <w:rFonts w:ascii="TUOS Blake" w:hAnsi="TUOS Blake" w:cs="Arial Unicode MS"/>
          <w:sz w:val="18"/>
          <w:szCs w:val="16"/>
          <w:cs/>
        </w:rPr>
        <w:t xml:space="preserve">தங்களுடைய சமாளிப்பு வியூகங்கள் செயற்கை பல் கட்டமைப்பின் </w:t>
      </w:r>
      <w:r w:rsidRPr="00787196">
        <w:rPr>
          <w:rFonts w:ascii="TUOS Blake" w:hAnsi="TUOS Blake"/>
          <w:sz w:val="18"/>
          <w:szCs w:val="16"/>
          <w:cs/>
        </w:rPr>
        <w:t>(</w:t>
      </w:r>
      <w:r w:rsidRPr="00787196">
        <w:rPr>
          <w:rFonts w:ascii="TUOS Blake" w:hAnsi="TUOS Blake" w:cs="Arial Unicode MS"/>
          <w:sz w:val="18"/>
          <w:szCs w:val="16"/>
          <w:cs/>
        </w:rPr>
        <w:t>பல்</w:t>
      </w:r>
      <w:r w:rsidRPr="00787196">
        <w:rPr>
          <w:rFonts w:ascii="TUOS Blake" w:hAnsi="TUOS Blake"/>
          <w:sz w:val="18"/>
          <w:szCs w:val="16"/>
          <w:cs/>
        </w:rPr>
        <w:t>-</w:t>
      </w:r>
      <w:r w:rsidRPr="00787196">
        <w:rPr>
          <w:rFonts w:ascii="TUOS Blake" w:hAnsi="TUOS Blake" w:cs="Arial Unicode MS"/>
          <w:sz w:val="18"/>
          <w:szCs w:val="16"/>
          <w:cs/>
        </w:rPr>
        <w:t>செட்</w:t>
      </w:r>
      <w:r w:rsidRPr="00787196">
        <w:rPr>
          <w:rFonts w:ascii="TUOS Blake" w:hAnsi="TUOS Blake"/>
          <w:sz w:val="18"/>
          <w:szCs w:val="16"/>
          <w:cs/>
        </w:rPr>
        <w:t xml:space="preserve">) </w:t>
      </w:r>
      <w:r w:rsidRPr="00787196">
        <w:rPr>
          <w:rFonts w:ascii="TUOS Blake" w:hAnsi="TUOS Blake" w:cs="Arial Unicode MS"/>
          <w:sz w:val="18"/>
          <w:szCs w:val="16"/>
          <w:cs/>
        </w:rPr>
        <w:t>வெற்றியினைத் தீர்மானிக்கிறதா என்பதனை ஆராய்ச்சி செய்து வருகிறோம்</w:t>
      </w:r>
      <w:r w:rsidRPr="00787196">
        <w:rPr>
          <w:rFonts w:ascii="TUOS Blake" w:hAnsi="TUOS Blake"/>
          <w:sz w:val="18"/>
          <w:szCs w:val="16"/>
          <w:cs/>
        </w:rPr>
        <w:t xml:space="preserve">. </w:t>
      </w:r>
    </w:p>
    <w:p w14:paraId="7372A34D" w14:textId="77777777" w:rsidR="00DD024F" w:rsidRPr="00787196" w:rsidRDefault="00DD024F" w:rsidP="0039625A">
      <w:pPr>
        <w:spacing w:before="0" w:after="0"/>
        <w:ind w:right="45"/>
        <w:jc w:val="center"/>
        <w:rPr>
          <w:rFonts w:ascii="TUOS Blake" w:hAnsi="TUOS Blake"/>
          <w:b/>
          <w:color w:val="00A1DA"/>
          <w:sz w:val="22"/>
          <w:szCs w:val="14"/>
        </w:rPr>
      </w:pPr>
      <w:r w:rsidRPr="00787196">
        <w:rPr>
          <w:rFonts w:ascii="TUOS Blake" w:hAnsi="TUOS Blake" w:cs="Arial Unicode MS"/>
          <w:bCs/>
          <w:color w:val="00A1DA"/>
          <w:sz w:val="36"/>
          <w:cs/>
        </w:rPr>
        <w:t xml:space="preserve">தங்களுக்கு </w:t>
      </w:r>
      <w:r w:rsidRPr="00787196">
        <w:rPr>
          <w:rFonts w:ascii="TUOS Blake" w:hAnsi="TUOS Blake" w:cs="Arial Unicode MS"/>
          <w:b/>
          <w:bCs/>
          <w:color w:val="00A1DA"/>
          <w:sz w:val="36"/>
          <w:cs/>
        </w:rPr>
        <w:t>இதனால்</w:t>
      </w:r>
      <w:r w:rsidRPr="00787196">
        <w:rPr>
          <w:rFonts w:ascii="TUOS Blake" w:hAnsi="TUOS Blake" w:cs="Arial Unicode MS"/>
          <w:bCs/>
          <w:color w:val="00A1DA"/>
          <w:sz w:val="36"/>
          <w:cs/>
        </w:rPr>
        <w:t xml:space="preserve"> என்ன பலன்</w:t>
      </w:r>
      <w:r w:rsidRPr="00787196">
        <w:rPr>
          <w:rFonts w:ascii="TUOS Blake" w:hAnsi="TUOS Blake"/>
          <w:b/>
          <w:color w:val="00A1DA"/>
          <w:sz w:val="22"/>
          <w:szCs w:val="14"/>
        </w:rPr>
        <w:t>?</w:t>
      </w:r>
    </w:p>
    <w:p w14:paraId="0FEFC214" w14:textId="77777777" w:rsidR="00DD024F" w:rsidRPr="00787196" w:rsidRDefault="00DD024F" w:rsidP="00C119A5">
      <w:pPr>
        <w:pStyle w:val="ListParagraph"/>
        <w:numPr>
          <w:ilvl w:val="0"/>
          <w:numId w:val="27"/>
        </w:numPr>
        <w:spacing w:before="0" w:after="0"/>
        <w:ind w:left="567" w:right="45" w:hanging="567"/>
        <w:rPr>
          <w:rFonts w:ascii="TUOS Blake" w:hAnsi="TUOS Blake"/>
          <w:b/>
          <w:bCs/>
          <w:sz w:val="20"/>
          <w:szCs w:val="12"/>
        </w:rPr>
      </w:pPr>
      <w:r w:rsidRPr="00787196">
        <w:rPr>
          <w:rFonts w:ascii="TUOS Blake" w:hAnsi="TUOS Blake" w:cs="Arial Unicode MS"/>
          <w:b/>
          <w:bCs/>
          <w:sz w:val="20"/>
          <w:szCs w:val="12"/>
          <w:cs/>
        </w:rPr>
        <w:t xml:space="preserve">செயற்கைப் பல் கட்டமைப்பு </w:t>
      </w:r>
      <w:r w:rsidRPr="00787196">
        <w:rPr>
          <w:rFonts w:ascii="TUOS Blake" w:hAnsi="TUOS Blake"/>
          <w:b/>
          <w:bCs/>
          <w:sz w:val="20"/>
          <w:szCs w:val="12"/>
          <w:cs/>
        </w:rPr>
        <w:t>(</w:t>
      </w:r>
      <w:r w:rsidRPr="00787196">
        <w:rPr>
          <w:rFonts w:ascii="TUOS Blake" w:hAnsi="TUOS Blake" w:cs="Arial Unicode MS"/>
          <w:b/>
          <w:bCs/>
          <w:sz w:val="20"/>
          <w:szCs w:val="12"/>
          <w:cs/>
        </w:rPr>
        <w:t>பல்</w:t>
      </w:r>
      <w:r w:rsidRPr="00787196">
        <w:rPr>
          <w:rFonts w:ascii="TUOS Blake" w:hAnsi="TUOS Blake"/>
          <w:b/>
          <w:bCs/>
          <w:sz w:val="20"/>
          <w:szCs w:val="12"/>
          <w:cs/>
        </w:rPr>
        <w:t>-</w:t>
      </w:r>
      <w:r w:rsidRPr="00787196">
        <w:rPr>
          <w:rFonts w:ascii="TUOS Blake" w:hAnsi="TUOS Blake" w:cs="Arial Unicode MS"/>
          <w:b/>
          <w:bCs/>
          <w:sz w:val="20"/>
          <w:szCs w:val="12"/>
          <w:cs/>
        </w:rPr>
        <w:t>செட்</w:t>
      </w:r>
      <w:r w:rsidRPr="00787196">
        <w:rPr>
          <w:rFonts w:ascii="TUOS Blake" w:hAnsi="TUOS Blake"/>
          <w:b/>
          <w:bCs/>
          <w:sz w:val="20"/>
          <w:szCs w:val="12"/>
          <w:cs/>
        </w:rPr>
        <w:t xml:space="preserve">) </w:t>
      </w:r>
      <w:r w:rsidRPr="00787196">
        <w:rPr>
          <w:rFonts w:ascii="TUOS Blake" w:hAnsi="TUOS Blake" w:cs="Arial Unicode MS"/>
          <w:b/>
          <w:bCs/>
          <w:sz w:val="20"/>
          <w:szCs w:val="12"/>
          <w:cs/>
        </w:rPr>
        <w:t>அணியும் அனுபவத்தைப் பகிர்ந்து கொள்ள ஒரு வாய்ப்பு</w:t>
      </w:r>
      <w:r w:rsidRPr="00787196">
        <w:rPr>
          <w:rFonts w:ascii="TUOS Blake" w:hAnsi="TUOS Blake"/>
          <w:b/>
          <w:bCs/>
          <w:sz w:val="20"/>
          <w:szCs w:val="12"/>
          <w:cs/>
        </w:rPr>
        <w:t xml:space="preserve">. </w:t>
      </w:r>
    </w:p>
    <w:p w14:paraId="7BF52B8A" w14:textId="77777777" w:rsidR="00DD024F" w:rsidRPr="00787196" w:rsidRDefault="00DD024F" w:rsidP="00C119A5">
      <w:pPr>
        <w:pStyle w:val="ListParagraph"/>
        <w:numPr>
          <w:ilvl w:val="0"/>
          <w:numId w:val="27"/>
        </w:numPr>
        <w:spacing w:before="0" w:after="0"/>
        <w:ind w:left="567" w:right="45" w:hanging="567"/>
        <w:rPr>
          <w:rFonts w:ascii="TUOS Blake" w:hAnsi="TUOS Blake"/>
          <w:b/>
          <w:bCs/>
          <w:sz w:val="20"/>
          <w:szCs w:val="12"/>
          <w:vertAlign w:val="superscript"/>
        </w:rPr>
      </w:pPr>
      <w:r w:rsidRPr="00787196">
        <w:rPr>
          <w:rFonts w:ascii="TUOS Blake" w:hAnsi="TUOS Blake" w:cs="Arial Unicode MS"/>
          <w:b/>
          <w:bCs/>
          <w:sz w:val="20"/>
          <w:szCs w:val="12"/>
          <w:cs/>
        </w:rPr>
        <w:t xml:space="preserve">மைக்ரோவேவ் ஓவன் </w:t>
      </w:r>
      <w:r w:rsidRPr="00787196">
        <w:rPr>
          <w:rFonts w:ascii="TUOS Blake" w:hAnsi="TUOS Blake"/>
          <w:b/>
          <w:bCs/>
          <w:sz w:val="20"/>
          <w:szCs w:val="12"/>
          <w:cs/>
        </w:rPr>
        <w:t>(</w:t>
      </w:r>
      <w:r w:rsidRPr="00787196">
        <w:rPr>
          <w:rFonts w:ascii="TUOS Blake" w:hAnsi="TUOS Blake"/>
          <w:b/>
          <w:bCs/>
          <w:sz w:val="20"/>
          <w:szCs w:val="12"/>
        </w:rPr>
        <w:t>microwave oven</w:t>
      </w:r>
      <w:r w:rsidRPr="00787196">
        <w:rPr>
          <w:rFonts w:ascii="TUOS Blake" w:hAnsi="TUOS Blake"/>
          <w:b/>
          <w:bCs/>
          <w:sz w:val="20"/>
          <w:szCs w:val="12"/>
          <w:cs/>
        </w:rPr>
        <w:t xml:space="preserve">) </w:t>
      </w:r>
      <w:r w:rsidRPr="00787196">
        <w:rPr>
          <w:rFonts w:ascii="TUOS Blake" w:hAnsi="TUOS Blake" w:cs="Arial Unicode MS"/>
          <w:b/>
          <w:bCs/>
          <w:sz w:val="20"/>
          <w:szCs w:val="12"/>
          <w:cs/>
        </w:rPr>
        <w:t>அல்லது ஓர் குளிர்சாதனப் பெட்டி</w:t>
      </w:r>
      <w:r w:rsidRPr="00787196">
        <w:rPr>
          <w:rFonts w:ascii="TUOS Blake" w:hAnsi="TUOS Blake"/>
          <w:b/>
          <w:bCs/>
          <w:sz w:val="20"/>
          <w:szCs w:val="12"/>
        </w:rPr>
        <w:t xml:space="preserve"> </w:t>
      </w:r>
      <w:r w:rsidRPr="00787196">
        <w:rPr>
          <w:rFonts w:ascii="TUOS Blake" w:hAnsi="TUOS Blake"/>
          <w:b/>
          <w:bCs/>
          <w:sz w:val="20"/>
          <w:szCs w:val="12"/>
          <w:cs/>
        </w:rPr>
        <w:t>(</w:t>
      </w:r>
      <w:r w:rsidRPr="00787196">
        <w:rPr>
          <w:rFonts w:ascii="TUOS Blake" w:hAnsi="TUOS Blake"/>
          <w:b/>
          <w:bCs/>
          <w:sz w:val="20"/>
          <w:szCs w:val="16"/>
        </w:rPr>
        <w:t>fri</w:t>
      </w:r>
      <w:r w:rsidRPr="00787196">
        <w:rPr>
          <w:rFonts w:ascii="TUOS Blake" w:hAnsi="TUOS Blake"/>
          <w:b/>
          <w:bCs/>
          <w:sz w:val="20"/>
          <w:szCs w:val="16"/>
          <w:cs/>
        </w:rPr>
        <w:t>d</w:t>
      </w:r>
      <w:r w:rsidRPr="00787196">
        <w:rPr>
          <w:rFonts w:ascii="TUOS Blake" w:hAnsi="TUOS Blake"/>
          <w:b/>
          <w:bCs/>
          <w:sz w:val="20"/>
          <w:szCs w:val="12"/>
        </w:rPr>
        <w:t>ge</w:t>
      </w:r>
      <w:r w:rsidRPr="00787196">
        <w:rPr>
          <w:rFonts w:ascii="TUOS Blake" w:hAnsi="TUOS Blake"/>
          <w:b/>
          <w:bCs/>
          <w:sz w:val="20"/>
          <w:szCs w:val="12"/>
          <w:cs/>
        </w:rPr>
        <w:t xml:space="preserve">) </w:t>
      </w:r>
      <w:r w:rsidRPr="00787196">
        <w:rPr>
          <w:rFonts w:ascii="TUOS Blake" w:hAnsi="TUOS Blake" w:cs="Arial Unicode MS"/>
          <w:b/>
          <w:bCs/>
          <w:sz w:val="20"/>
          <w:szCs w:val="12"/>
          <w:cs/>
        </w:rPr>
        <w:t>பரிசாக வெல்ல வாய்ப்பு</w:t>
      </w:r>
      <w:r w:rsidRPr="00787196">
        <w:rPr>
          <w:rFonts w:ascii="TUOS Blake" w:hAnsi="TUOS Blake"/>
          <w:b/>
          <w:bCs/>
          <w:sz w:val="20"/>
          <w:szCs w:val="12"/>
        </w:rPr>
        <w:t>*</w:t>
      </w:r>
    </w:p>
    <w:p w14:paraId="079448C5" w14:textId="77777777" w:rsidR="00DD024F" w:rsidRPr="00787196" w:rsidRDefault="00DD024F" w:rsidP="0039625A">
      <w:pPr>
        <w:spacing w:before="0" w:after="0" w:line="240" w:lineRule="auto"/>
        <w:ind w:right="45"/>
        <w:rPr>
          <w:rFonts w:ascii="TUOS Blake" w:hAnsi="TUOS Blake"/>
          <w:sz w:val="21"/>
          <w:szCs w:val="16"/>
        </w:rPr>
      </w:pPr>
    </w:p>
    <w:p w14:paraId="538A5ACE" w14:textId="605420B7" w:rsidR="00DD024F" w:rsidRPr="00787196" w:rsidRDefault="00DD024F" w:rsidP="008E116F">
      <w:pPr>
        <w:spacing w:before="0" w:after="0" w:line="240" w:lineRule="auto"/>
        <w:ind w:right="45"/>
        <w:jc w:val="left"/>
        <w:rPr>
          <w:rFonts w:ascii="TUOS Blake" w:hAnsi="TUOS Blake"/>
          <w:b/>
          <w:bCs/>
          <w:sz w:val="21"/>
          <w:szCs w:val="16"/>
        </w:rPr>
      </w:pPr>
      <w:r w:rsidRPr="00787196">
        <w:rPr>
          <w:rFonts w:ascii="TUOS Blake" w:hAnsi="TUOS Blake" w:cs="Arial Unicode MS"/>
          <w:bCs/>
          <w:sz w:val="14"/>
          <w:szCs w:val="14"/>
          <w:cs/>
        </w:rPr>
        <w:t>பங்கு பெற விருப்பம் இருந்தால் கீழுள்ள இடங்களில் தொடர்பு கொள்ளவும்</w:t>
      </w:r>
      <w:r w:rsidRPr="00787196">
        <w:rPr>
          <w:rFonts w:ascii="TUOS Blake" w:hAnsi="TUOS Blake" w:cs="Arial Unicode MS"/>
          <w:b/>
          <w:bCs/>
          <w:sz w:val="14"/>
          <w:szCs w:val="12"/>
          <w:cs/>
        </w:rPr>
        <w:t>வாய் மருத்துவம் மற்றும் கதிர்வீச்சியல் பிரிவு</w:t>
      </w:r>
    </w:p>
    <w:p w14:paraId="7DCA7310" w14:textId="77777777" w:rsidR="00DD024F" w:rsidRPr="00787196" w:rsidRDefault="00DD024F" w:rsidP="0039625A">
      <w:pPr>
        <w:spacing w:before="0" w:after="0" w:line="240" w:lineRule="auto"/>
        <w:ind w:right="45"/>
        <w:rPr>
          <w:rFonts w:ascii="TUOS Blake" w:hAnsi="TUOS Blake"/>
          <w:sz w:val="21"/>
          <w:szCs w:val="16"/>
        </w:rPr>
      </w:pPr>
      <w:r w:rsidRPr="00787196">
        <w:rPr>
          <w:rFonts w:ascii="TUOS Blake" w:hAnsi="TUOS Blake" w:cs="Arial Unicode MS"/>
          <w:sz w:val="12"/>
          <w:szCs w:val="12"/>
          <w:cs/>
        </w:rPr>
        <w:t xml:space="preserve">இராமச்சந்திரா பல் மருத்துவ கல்லூரி </w:t>
      </w:r>
      <w:r w:rsidRPr="00787196">
        <w:rPr>
          <w:rFonts w:ascii="TUOS Blake" w:hAnsi="TUOS Blake"/>
          <w:sz w:val="12"/>
          <w:szCs w:val="12"/>
          <w:cs/>
        </w:rPr>
        <w:t xml:space="preserve">&amp; </w:t>
      </w:r>
      <w:r w:rsidRPr="00787196">
        <w:rPr>
          <w:rFonts w:ascii="TUOS Blake" w:hAnsi="TUOS Blake" w:cs="Arial Unicode MS"/>
          <w:sz w:val="12"/>
          <w:szCs w:val="12"/>
          <w:cs/>
        </w:rPr>
        <w:t>மருத்துவமனை</w:t>
      </w:r>
      <w:r w:rsidRPr="00787196">
        <w:rPr>
          <w:rFonts w:ascii="TUOS Blake" w:hAnsi="TUOS Blake"/>
          <w:sz w:val="21"/>
          <w:szCs w:val="16"/>
        </w:rPr>
        <w:t>,</w:t>
      </w:r>
    </w:p>
    <w:p w14:paraId="5AAD3209" w14:textId="77777777" w:rsidR="00DD024F" w:rsidRPr="00787196" w:rsidRDefault="00DD024F" w:rsidP="0039625A">
      <w:pPr>
        <w:spacing w:before="0" w:after="0" w:line="240" w:lineRule="auto"/>
        <w:ind w:right="45"/>
        <w:rPr>
          <w:rFonts w:ascii="TUOS Blake" w:hAnsi="TUOS Blake"/>
          <w:sz w:val="14"/>
          <w:szCs w:val="12"/>
        </w:rPr>
      </w:pPr>
      <w:r w:rsidRPr="00787196">
        <w:rPr>
          <w:rFonts w:ascii="TUOS Blake" w:hAnsi="TUOS Blake" w:cs="Arial Unicode MS"/>
          <w:sz w:val="14"/>
          <w:szCs w:val="12"/>
          <w:cs/>
        </w:rPr>
        <w:t>போரூர்</w:t>
      </w:r>
      <w:r w:rsidRPr="00787196">
        <w:rPr>
          <w:rFonts w:ascii="TUOS Blake" w:hAnsi="TUOS Blake"/>
          <w:sz w:val="14"/>
          <w:szCs w:val="12"/>
          <w:cs/>
        </w:rPr>
        <w:t xml:space="preserve">, </w:t>
      </w:r>
      <w:r w:rsidRPr="00787196">
        <w:rPr>
          <w:rFonts w:ascii="TUOS Blake" w:hAnsi="TUOS Blake" w:cs="Arial Unicode MS"/>
          <w:sz w:val="14"/>
          <w:szCs w:val="12"/>
          <w:cs/>
        </w:rPr>
        <w:t>சென்னை</w:t>
      </w:r>
    </w:p>
    <w:p w14:paraId="41655B9C" w14:textId="77777777" w:rsidR="00DD024F" w:rsidRPr="00787196" w:rsidRDefault="00DD024F" w:rsidP="0039625A">
      <w:pPr>
        <w:spacing w:before="0" w:after="0" w:line="240" w:lineRule="auto"/>
        <w:ind w:right="45"/>
        <w:rPr>
          <w:rFonts w:ascii="TUOS Blake" w:hAnsi="TUOS Blake"/>
          <w:sz w:val="14"/>
          <w:szCs w:val="12"/>
        </w:rPr>
      </w:pPr>
    </w:p>
    <w:p w14:paraId="68784F6E" w14:textId="77777777" w:rsidR="00DD024F" w:rsidRPr="00787196" w:rsidRDefault="00DD024F" w:rsidP="0039625A">
      <w:pPr>
        <w:spacing w:before="0" w:after="0" w:line="240" w:lineRule="auto"/>
        <w:ind w:right="45"/>
        <w:rPr>
          <w:rFonts w:ascii="TUOS Blake" w:hAnsi="TUOS Blake"/>
          <w:b/>
          <w:bCs/>
          <w:sz w:val="21"/>
          <w:szCs w:val="16"/>
        </w:rPr>
      </w:pPr>
      <w:r w:rsidRPr="00787196">
        <w:rPr>
          <w:rFonts w:ascii="TUOS Blake" w:hAnsi="TUOS Blake" w:cs="Arial Unicode MS"/>
          <w:b/>
          <w:bCs/>
          <w:sz w:val="14"/>
          <w:szCs w:val="12"/>
          <w:cs/>
        </w:rPr>
        <w:t>செயற்கை பல் கட்டமைப்புப் பிரிவு</w:t>
      </w:r>
    </w:p>
    <w:p w14:paraId="6A8C0E0B" w14:textId="77777777" w:rsidR="00DD024F" w:rsidRPr="00787196" w:rsidRDefault="00DD024F" w:rsidP="0039625A">
      <w:pPr>
        <w:spacing w:before="0" w:after="0" w:line="240" w:lineRule="auto"/>
        <w:ind w:right="45"/>
        <w:rPr>
          <w:rFonts w:ascii="TUOS Blake" w:hAnsi="TUOS Blake"/>
          <w:sz w:val="21"/>
          <w:szCs w:val="16"/>
        </w:rPr>
      </w:pPr>
      <w:r w:rsidRPr="00787196">
        <w:rPr>
          <w:rFonts w:ascii="TUOS Blake" w:hAnsi="TUOS Blake" w:cs="Arial Unicode MS"/>
          <w:sz w:val="12"/>
          <w:szCs w:val="12"/>
          <w:cs/>
        </w:rPr>
        <w:t xml:space="preserve">இராமச்சந்திரா பல் மருத்துவ கல்லூரி </w:t>
      </w:r>
      <w:r w:rsidRPr="00787196">
        <w:rPr>
          <w:rFonts w:ascii="TUOS Blake" w:hAnsi="TUOS Blake"/>
          <w:sz w:val="12"/>
          <w:szCs w:val="12"/>
          <w:cs/>
        </w:rPr>
        <w:t xml:space="preserve">&amp; </w:t>
      </w:r>
      <w:r w:rsidRPr="00787196">
        <w:rPr>
          <w:rFonts w:ascii="TUOS Blake" w:hAnsi="TUOS Blake" w:cs="Arial Unicode MS"/>
          <w:sz w:val="12"/>
          <w:szCs w:val="12"/>
          <w:cs/>
        </w:rPr>
        <w:t>மருத்துவமனை</w:t>
      </w:r>
      <w:r w:rsidRPr="00787196">
        <w:rPr>
          <w:rFonts w:ascii="TUOS Blake" w:hAnsi="TUOS Blake"/>
          <w:sz w:val="21"/>
          <w:szCs w:val="16"/>
        </w:rPr>
        <w:t>,</w:t>
      </w:r>
    </w:p>
    <w:p w14:paraId="1A03A918" w14:textId="77777777" w:rsidR="00DD024F" w:rsidRPr="00787196" w:rsidRDefault="00DD024F" w:rsidP="0039625A">
      <w:pPr>
        <w:spacing w:before="0" w:after="0" w:line="240" w:lineRule="auto"/>
        <w:ind w:right="45"/>
        <w:rPr>
          <w:rFonts w:ascii="TUOS Blake" w:hAnsi="TUOS Blake"/>
          <w:sz w:val="14"/>
          <w:szCs w:val="12"/>
        </w:rPr>
      </w:pPr>
      <w:r w:rsidRPr="00787196">
        <w:rPr>
          <w:rFonts w:ascii="TUOS Blake" w:hAnsi="TUOS Blake" w:cs="Arial Unicode MS"/>
          <w:sz w:val="14"/>
          <w:szCs w:val="12"/>
          <w:cs/>
        </w:rPr>
        <w:t>போரூர்</w:t>
      </w:r>
      <w:r w:rsidRPr="00787196">
        <w:rPr>
          <w:rFonts w:ascii="TUOS Blake" w:hAnsi="TUOS Blake"/>
          <w:sz w:val="14"/>
          <w:szCs w:val="12"/>
          <w:cs/>
        </w:rPr>
        <w:t xml:space="preserve">, </w:t>
      </w:r>
      <w:r w:rsidRPr="00787196">
        <w:rPr>
          <w:rFonts w:ascii="TUOS Blake" w:hAnsi="TUOS Blake" w:cs="Arial Unicode MS"/>
          <w:sz w:val="14"/>
          <w:szCs w:val="12"/>
          <w:cs/>
        </w:rPr>
        <w:t>சென்னை</w:t>
      </w:r>
    </w:p>
    <w:p w14:paraId="159E7DCD" w14:textId="77777777" w:rsidR="00DD024F" w:rsidRPr="00787196" w:rsidRDefault="00DD024F" w:rsidP="0039625A">
      <w:pPr>
        <w:spacing w:before="0" w:after="0" w:line="240" w:lineRule="auto"/>
        <w:ind w:right="45"/>
        <w:rPr>
          <w:rFonts w:ascii="TUOS Blake" w:hAnsi="TUOS Blake"/>
          <w:b/>
          <w:bCs/>
          <w:sz w:val="14"/>
          <w:szCs w:val="14"/>
        </w:rPr>
      </w:pPr>
      <w:r w:rsidRPr="00787196">
        <w:rPr>
          <w:rFonts w:ascii="TUOS Blake" w:hAnsi="TUOS Blake"/>
          <w:b/>
          <w:sz w:val="22"/>
          <w:szCs w:val="21"/>
        </w:rPr>
        <w:t xml:space="preserve"> </w:t>
      </w:r>
    </w:p>
    <w:p w14:paraId="7C4CDCE3" w14:textId="77777777" w:rsidR="00DD024F" w:rsidRPr="00787196" w:rsidRDefault="00DD024F" w:rsidP="0039625A">
      <w:pPr>
        <w:spacing w:before="0" w:after="0" w:line="240" w:lineRule="auto"/>
        <w:ind w:right="45"/>
        <w:rPr>
          <w:rFonts w:ascii="TUOS Blake" w:hAnsi="TUOS Blake"/>
          <w:b/>
          <w:bCs/>
          <w:sz w:val="14"/>
          <w:szCs w:val="14"/>
        </w:rPr>
      </w:pPr>
      <w:r w:rsidRPr="00787196">
        <w:rPr>
          <w:rFonts w:ascii="TUOS Blake" w:hAnsi="TUOS Blake" w:cs="Arial Unicode MS"/>
          <w:b/>
          <w:bCs/>
          <w:sz w:val="14"/>
          <w:szCs w:val="14"/>
          <w:cs/>
        </w:rPr>
        <w:t>அல்லது தொடர்பு கொள்ளவும்</w:t>
      </w:r>
      <w:r w:rsidRPr="00787196">
        <w:rPr>
          <w:rFonts w:ascii="TUOS Blake" w:hAnsi="TUOS Blake"/>
          <w:b/>
          <w:bCs/>
          <w:sz w:val="14"/>
          <w:szCs w:val="14"/>
          <w:cs/>
        </w:rPr>
        <w:t>:</w:t>
      </w:r>
    </w:p>
    <w:p w14:paraId="2BC2F23E" w14:textId="77777777" w:rsidR="00DD024F" w:rsidRPr="00787196" w:rsidRDefault="00DD024F" w:rsidP="0039625A">
      <w:pPr>
        <w:spacing w:before="0" w:after="0" w:line="240" w:lineRule="auto"/>
        <w:ind w:right="45"/>
        <w:rPr>
          <w:rFonts w:ascii="TUOS Blake" w:hAnsi="TUOS Blake"/>
          <w:sz w:val="14"/>
          <w:szCs w:val="14"/>
        </w:rPr>
      </w:pPr>
      <w:r w:rsidRPr="00787196">
        <w:rPr>
          <w:rFonts w:ascii="TUOS Blake" w:hAnsi="TUOS Blake" w:cs="Arial Unicode MS"/>
          <w:sz w:val="14"/>
          <w:szCs w:val="14"/>
          <w:cs/>
        </w:rPr>
        <w:t>திரு</w:t>
      </w:r>
      <w:r w:rsidRPr="00787196">
        <w:rPr>
          <w:rFonts w:ascii="TUOS Blake" w:hAnsi="TUOS Blake"/>
          <w:sz w:val="14"/>
          <w:szCs w:val="14"/>
          <w:cs/>
        </w:rPr>
        <w:t xml:space="preserve">. </w:t>
      </w:r>
      <w:r w:rsidRPr="00787196">
        <w:rPr>
          <w:rFonts w:ascii="TUOS Blake" w:hAnsi="TUOS Blake" w:cs="Arial Unicode MS"/>
          <w:sz w:val="14"/>
          <w:szCs w:val="14"/>
          <w:cs/>
        </w:rPr>
        <w:t>கார்த்திக் பெரியகருப்பையா</w:t>
      </w:r>
    </w:p>
    <w:p w14:paraId="70D3FF13" w14:textId="619F50BF" w:rsidR="00DD024F" w:rsidRPr="00787196" w:rsidRDefault="00DD024F" w:rsidP="0039625A">
      <w:pPr>
        <w:spacing w:before="0" w:after="0" w:line="240" w:lineRule="auto"/>
        <w:ind w:right="45"/>
        <w:rPr>
          <w:rFonts w:ascii="TUOS Blake" w:hAnsi="TUOS Blake"/>
          <w:sz w:val="22"/>
          <w:szCs w:val="21"/>
        </w:rPr>
      </w:pPr>
      <w:r w:rsidRPr="00787196">
        <w:rPr>
          <w:rFonts w:ascii="TUOS Blake" w:hAnsi="TUOS Blake" w:cs="Arial Unicode MS"/>
          <w:sz w:val="14"/>
          <w:szCs w:val="14"/>
          <w:cs/>
        </w:rPr>
        <w:t>தொ</w:t>
      </w:r>
      <w:r w:rsidRPr="00787196">
        <w:rPr>
          <w:rFonts w:ascii="TUOS Blake" w:hAnsi="TUOS Blake"/>
          <w:sz w:val="14"/>
          <w:szCs w:val="14"/>
          <w:cs/>
        </w:rPr>
        <w:t xml:space="preserve">: </w:t>
      </w:r>
      <w:r w:rsidRPr="00787196">
        <w:rPr>
          <w:rFonts w:ascii="TUOS Blake" w:hAnsi="TUOS Blake"/>
          <w:sz w:val="14"/>
          <w:szCs w:val="14"/>
        </w:rPr>
        <w:t>+91 9791180582</w:t>
      </w:r>
      <w:r w:rsidR="000B710C" w:rsidRPr="00787196">
        <w:rPr>
          <w:rFonts w:ascii="TUOS Blake" w:hAnsi="TUOS Blake"/>
          <w:sz w:val="14"/>
          <w:szCs w:val="14"/>
        </w:rPr>
        <w:t xml:space="preserve"> </w:t>
      </w:r>
      <w:r w:rsidRPr="00787196">
        <w:rPr>
          <w:rFonts w:ascii="TUOS Blake" w:hAnsi="TUOS Blake"/>
          <w:sz w:val="14"/>
          <w:szCs w:val="14"/>
        </w:rPr>
        <w:t>(</w:t>
      </w:r>
      <w:r w:rsidRPr="00787196">
        <w:rPr>
          <w:rFonts w:ascii="TUOS Blake" w:hAnsi="TUOS Blake" w:cs="Arial Unicode MS"/>
          <w:sz w:val="14"/>
          <w:szCs w:val="14"/>
          <w:cs/>
        </w:rPr>
        <w:t>நேரடி</w:t>
      </w:r>
      <w:r w:rsidRPr="00787196">
        <w:rPr>
          <w:rFonts w:ascii="TUOS Blake" w:hAnsi="TUOS Blake"/>
          <w:sz w:val="14"/>
          <w:szCs w:val="14"/>
        </w:rPr>
        <w:t>)</w:t>
      </w:r>
      <w:r w:rsidRPr="00787196">
        <w:rPr>
          <w:rFonts w:ascii="TUOS Blake" w:hAnsi="TUOS Blake"/>
          <w:sz w:val="18"/>
          <w:szCs w:val="16"/>
        </w:rPr>
        <w:t xml:space="preserve"> </w:t>
      </w:r>
      <w:r w:rsidRPr="00787196">
        <w:rPr>
          <w:rFonts w:ascii="TUOS Blake" w:hAnsi="TUOS Blake"/>
          <w:sz w:val="18"/>
          <w:szCs w:val="16"/>
          <w:cs/>
        </w:rPr>
        <w:t xml:space="preserve">   </w:t>
      </w:r>
      <w:r w:rsidRPr="00787196">
        <w:rPr>
          <w:rFonts w:ascii="TUOS Blake" w:hAnsi="TUOS Blake" w:cs="Arial Unicode MS"/>
          <w:sz w:val="14"/>
          <w:szCs w:val="14"/>
          <w:cs/>
        </w:rPr>
        <w:t>மின்னஞ்சல்</w:t>
      </w:r>
      <w:r w:rsidRPr="00787196">
        <w:rPr>
          <w:sz w:val="22"/>
        </w:rPr>
        <w:t xml:space="preserve">: </w:t>
      </w:r>
      <w:r w:rsidRPr="00787196">
        <w:rPr>
          <w:rFonts w:ascii="TUOS Blake" w:hAnsi="TUOS Blake"/>
          <w:sz w:val="16"/>
          <w:szCs w:val="12"/>
        </w:rPr>
        <w:t>k.periyakaruppiah@sheffield.ac.uk</w:t>
      </w:r>
      <w:r w:rsidRPr="00787196">
        <w:rPr>
          <w:rFonts w:ascii="TUOS Blake" w:hAnsi="TUOS Blake"/>
          <w:sz w:val="18"/>
          <w:szCs w:val="18"/>
        </w:rPr>
        <w:t>.</w:t>
      </w:r>
      <w:r w:rsidRPr="00787196">
        <w:rPr>
          <w:rFonts w:ascii="TUOS Blake" w:hAnsi="TUOS Blake"/>
          <w:sz w:val="22"/>
          <w:szCs w:val="21"/>
        </w:rPr>
        <w:tab/>
      </w:r>
    </w:p>
    <w:p w14:paraId="0FED71D8" w14:textId="77777777" w:rsidR="00DD024F" w:rsidRPr="00787196" w:rsidRDefault="00DD024F" w:rsidP="0039625A">
      <w:pPr>
        <w:spacing w:before="0" w:after="0" w:line="240" w:lineRule="auto"/>
        <w:ind w:right="45"/>
        <w:rPr>
          <w:rFonts w:ascii="TUOS Blake" w:hAnsi="TUOS Blake"/>
          <w:b/>
          <w:bCs/>
          <w:sz w:val="14"/>
          <w:szCs w:val="20"/>
        </w:rPr>
      </w:pPr>
    </w:p>
    <w:p w14:paraId="23351B5A" w14:textId="77777777" w:rsidR="00DD024F" w:rsidRPr="00787196" w:rsidRDefault="00DD024F" w:rsidP="0039625A">
      <w:pPr>
        <w:spacing w:before="0" w:after="0" w:line="240" w:lineRule="auto"/>
        <w:ind w:right="45"/>
        <w:rPr>
          <w:rFonts w:ascii="TUOS Blake" w:hAnsi="TUOS Blake"/>
          <w:sz w:val="14"/>
          <w:szCs w:val="20"/>
        </w:rPr>
      </w:pPr>
      <w:r w:rsidRPr="00787196">
        <w:rPr>
          <w:rFonts w:ascii="TUOS Blake" w:hAnsi="TUOS Blake"/>
          <w:b/>
          <w:bCs/>
          <w:sz w:val="14"/>
          <w:szCs w:val="20"/>
        </w:rPr>
        <w:t xml:space="preserve">* </w:t>
      </w:r>
      <w:r w:rsidRPr="00787196">
        <w:rPr>
          <w:rFonts w:ascii="TUOS Blake" w:hAnsi="TUOS Blake" w:cs="Arial Unicode MS"/>
          <w:b/>
          <w:bCs/>
          <w:sz w:val="12"/>
          <w:szCs w:val="12"/>
          <w:cs/>
        </w:rPr>
        <w:t>குலுக்கல் முறை மூலம்</w:t>
      </w:r>
      <w:r w:rsidRPr="00787196">
        <w:rPr>
          <w:rFonts w:ascii="TUOS Blake" w:hAnsi="TUOS Blake"/>
          <w:b/>
          <w:bCs/>
          <w:sz w:val="12"/>
          <w:szCs w:val="12"/>
          <w:cs/>
        </w:rPr>
        <w:t xml:space="preserve">. </w:t>
      </w:r>
      <w:r w:rsidRPr="00787196">
        <w:rPr>
          <w:rFonts w:ascii="TUOS Blake" w:hAnsi="TUOS Blake" w:cs="Arial Unicode MS"/>
          <w:b/>
          <w:bCs/>
          <w:sz w:val="12"/>
          <w:szCs w:val="12"/>
          <w:cs/>
        </w:rPr>
        <w:t>இரண்டு குலுக்கல்கள் நடத்தப்படும்</w:t>
      </w:r>
      <w:r w:rsidRPr="00787196">
        <w:rPr>
          <w:rFonts w:ascii="TUOS Blake" w:hAnsi="TUOS Blake"/>
          <w:b/>
          <w:bCs/>
          <w:sz w:val="12"/>
          <w:szCs w:val="12"/>
          <w:cs/>
        </w:rPr>
        <w:t>.</w:t>
      </w:r>
      <w:r w:rsidRPr="00787196">
        <w:rPr>
          <w:rFonts w:ascii="TUOS Blake" w:hAnsi="TUOS Blake" w:cs="Arial Unicode MS"/>
          <w:b/>
          <w:bCs/>
          <w:sz w:val="12"/>
          <w:szCs w:val="12"/>
          <w:cs/>
        </w:rPr>
        <w:t>முதல் குலுக்கலில் மைக்ரோவேவ் ஓவன் இரண்டாவதில் குளிர்சாதனப் பெட்டி வழங்கப்படும்</w:t>
      </w:r>
      <w:r w:rsidRPr="00787196">
        <w:rPr>
          <w:rFonts w:ascii="TUOS Blake" w:hAnsi="TUOS Blake"/>
          <w:sz w:val="12"/>
          <w:szCs w:val="12"/>
          <w:cs/>
        </w:rPr>
        <w:t>.</w:t>
      </w:r>
      <w:r w:rsidRPr="00787196">
        <w:rPr>
          <w:rFonts w:ascii="TUOS Blake" w:hAnsi="TUOS Blake"/>
          <w:sz w:val="14"/>
          <w:szCs w:val="20"/>
        </w:rPr>
        <w:t xml:space="preserve"> </w:t>
      </w:r>
    </w:p>
    <w:p w14:paraId="400D4096" w14:textId="77777777" w:rsidR="0039625A" w:rsidRPr="00787196" w:rsidRDefault="00DD024F" w:rsidP="0039625A">
      <w:pPr>
        <w:spacing w:before="0" w:after="200"/>
        <w:ind w:right="45"/>
        <w:jc w:val="center"/>
        <w:rPr>
          <w:rFonts w:ascii="TUOS Blake" w:hAnsi="TUOS Blake"/>
          <w:sz w:val="12"/>
          <w:szCs w:val="16"/>
        </w:rPr>
      </w:pPr>
      <w:r w:rsidRPr="00787196">
        <w:rPr>
          <w:rFonts w:ascii="TUOS Blake" w:hAnsi="TUOS Blake"/>
          <w:sz w:val="12"/>
          <w:szCs w:val="16"/>
        </w:rPr>
        <w:br w:type="page"/>
      </w:r>
    </w:p>
    <w:p w14:paraId="08A98B92" w14:textId="293BA5CD" w:rsidR="0039625A" w:rsidRPr="00787196" w:rsidRDefault="0039625A" w:rsidP="00D9694A">
      <w:pPr>
        <w:pStyle w:val="Heading3"/>
        <w:rPr>
          <w:lang w:eastAsia="en-IN"/>
        </w:rPr>
      </w:pPr>
      <w:bookmarkStart w:id="826" w:name="_Toc488655710"/>
      <w:r w:rsidRPr="00787196">
        <w:rPr>
          <w:lang w:eastAsia="en-IN"/>
        </w:rPr>
        <w:lastRenderedPageBreak/>
        <w:t>Patient information sheet</w:t>
      </w:r>
      <w:bookmarkEnd w:id="826"/>
    </w:p>
    <w:p w14:paraId="476701CB" w14:textId="10670DFE" w:rsidR="00C95AAC" w:rsidRPr="00787196" w:rsidRDefault="008E116F" w:rsidP="0039625A">
      <w:pPr>
        <w:spacing w:before="0" w:after="200"/>
        <w:ind w:right="45"/>
        <w:jc w:val="center"/>
        <w:rPr>
          <w:rFonts w:ascii="Amma" w:eastAsia="Times New Roman" w:hAnsi="Amma" w:cs="Times New Roman"/>
          <w:b/>
          <w:sz w:val="16"/>
          <w:szCs w:val="21"/>
          <w:u w:val="single"/>
          <w:lang w:eastAsia="en-IN"/>
        </w:rPr>
      </w:pPr>
      <w:r w:rsidRPr="00787196">
        <w:rPr>
          <w:rFonts w:ascii="Latha" w:eastAsia="Times New Roman" w:hAnsi="Latha" w:cs="Arial Unicode MS" w:hint="cs"/>
          <w:b/>
          <w:bCs/>
          <w:sz w:val="16"/>
          <w:szCs w:val="16"/>
          <w:u w:val="single"/>
          <w:cs/>
          <w:lang w:eastAsia="en-IN"/>
        </w:rPr>
        <w:t>நோயா</w:t>
      </w:r>
      <w:r w:rsidR="00C95AAC" w:rsidRPr="00787196">
        <w:rPr>
          <w:rFonts w:ascii="Latha" w:eastAsia="Times New Roman" w:hAnsi="Latha" w:cs="Arial Unicode MS"/>
          <w:b/>
          <w:bCs/>
          <w:sz w:val="16"/>
          <w:szCs w:val="16"/>
          <w:u w:val="single"/>
          <w:cs/>
          <w:lang w:eastAsia="en-IN"/>
        </w:rPr>
        <w:t>யாளிகள்</w:t>
      </w:r>
      <w:r w:rsidR="00C95AAC" w:rsidRPr="00787196">
        <w:rPr>
          <w:rFonts w:ascii="Amma" w:eastAsia="Times New Roman" w:hAnsi="Amma" w:cs="Times New Roman"/>
          <w:b/>
          <w:sz w:val="16"/>
          <w:szCs w:val="21"/>
          <w:u w:val="single"/>
          <w:lang w:eastAsia="en-IN"/>
        </w:rPr>
        <w:t xml:space="preserve"> </w:t>
      </w:r>
      <w:r w:rsidR="00C95AAC" w:rsidRPr="00787196">
        <w:rPr>
          <w:rFonts w:ascii="Latha" w:eastAsia="Times New Roman" w:hAnsi="Latha" w:cs="Arial Unicode MS"/>
          <w:b/>
          <w:bCs/>
          <w:sz w:val="16"/>
          <w:szCs w:val="16"/>
          <w:u w:val="single"/>
          <w:cs/>
          <w:lang w:eastAsia="en-IN"/>
        </w:rPr>
        <w:t>தகவல்</w:t>
      </w:r>
      <w:r w:rsidR="00C95AAC" w:rsidRPr="00787196">
        <w:rPr>
          <w:rFonts w:ascii="Amma" w:eastAsia="Times New Roman" w:hAnsi="Amma" w:cs="Times New Roman"/>
          <w:b/>
          <w:sz w:val="16"/>
          <w:szCs w:val="21"/>
          <w:u w:val="single"/>
          <w:lang w:eastAsia="en-IN"/>
        </w:rPr>
        <w:t xml:space="preserve"> </w:t>
      </w:r>
      <w:r w:rsidR="00C95AAC" w:rsidRPr="00787196">
        <w:rPr>
          <w:rFonts w:ascii="Latha" w:eastAsia="Times New Roman" w:hAnsi="Latha" w:cs="Arial Unicode MS"/>
          <w:b/>
          <w:bCs/>
          <w:sz w:val="16"/>
          <w:szCs w:val="16"/>
          <w:u w:val="single"/>
          <w:cs/>
          <w:lang w:eastAsia="en-IN"/>
        </w:rPr>
        <w:t>தாள்</w:t>
      </w:r>
    </w:p>
    <w:p w14:paraId="55BCA821" w14:textId="77777777" w:rsidR="00C95AAC" w:rsidRPr="00787196" w:rsidRDefault="00C95AAC" w:rsidP="0039625A">
      <w:pPr>
        <w:spacing w:before="0" w:after="0"/>
        <w:ind w:right="45"/>
        <w:rPr>
          <w:rFonts w:ascii="Calibri" w:eastAsia="Times New Roman" w:hAnsi="Calibri" w:cs="Times New Roman"/>
          <w:sz w:val="10"/>
          <w:szCs w:val="16"/>
        </w:rPr>
      </w:pPr>
    </w:p>
    <w:p w14:paraId="418ADC98" w14:textId="77777777" w:rsidR="00C95AAC" w:rsidRPr="00787196" w:rsidRDefault="00C95AAC" w:rsidP="0039625A">
      <w:pPr>
        <w:spacing w:before="0" w:after="0"/>
        <w:ind w:right="45"/>
        <w:rPr>
          <w:rFonts w:ascii="Calibri" w:eastAsia="Times New Roman" w:hAnsi="Calibri" w:cs="Times New Roman"/>
          <w:b/>
          <w:bCs/>
          <w:sz w:val="14"/>
          <w:szCs w:val="14"/>
        </w:rPr>
      </w:pPr>
      <w:r w:rsidRPr="00787196">
        <w:rPr>
          <w:rFonts w:ascii="Latha" w:hAnsi="Latha" w:cs="Arial Unicode MS"/>
          <w:b/>
          <w:bCs/>
          <w:sz w:val="14"/>
          <w:szCs w:val="14"/>
          <w:cs/>
        </w:rPr>
        <w:t>ஆய்வின்</w:t>
      </w:r>
      <w:r w:rsidRPr="00787196">
        <w:rPr>
          <w:rFonts w:ascii="Latha" w:hAnsi="Latha"/>
          <w:b/>
          <w:sz w:val="14"/>
          <w:szCs w:val="14"/>
        </w:rPr>
        <w:t xml:space="preserve"> </w:t>
      </w:r>
      <w:r w:rsidRPr="00787196">
        <w:rPr>
          <w:rFonts w:ascii="Latha" w:hAnsi="Latha" w:cs="Arial Unicode MS"/>
          <w:b/>
          <w:bCs/>
          <w:sz w:val="14"/>
          <w:szCs w:val="14"/>
          <w:cs/>
        </w:rPr>
        <w:t>தலைப்பு</w:t>
      </w:r>
      <w:r w:rsidRPr="00787196">
        <w:rPr>
          <w:rFonts w:ascii="Calibri" w:eastAsia="Times New Roman" w:hAnsi="Calibri" w:cs="Times New Roman"/>
          <w:b/>
          <w:sz w:val="14"/>
          <w:szCs w:val="14"/>
        </w:rPr>
        <w:t xml:space="preserve">: </w:t>
      </w:r>
      <w:r w:rsidRPr="00787196">
        <w:rPr>
          <w:rFonts w:ascii="Latha" w:eastAsia="Times New Roman" w:hAnsi="Latha" w:cs="Arial Unicode MS"/>
          <w:b/>
          <w:bCs/>
          <w:sz w:val="14"/>
          <w:szCs w:val="14"/>
          <w:cs/>
        </w:rPr>
        <w:t>செயற்கைப்</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பல்</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கட்டமைப்பின்</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வெற்றியால்</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மேம்படும்</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வாய்நலம்</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சார்த்த</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வாழ்க்கைத்</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தரத்தினை</w:t>
      </w:r>
      <w:r w:rsidRPr="00787196">
        <w:rPr>
          <w:rFonts w:ascii="Latha" w:eastAsia="Times New Roman" w:hAnsi="Latha"/>
          <w:b/>
          <w:bCs/>
          <w:sz w:val="14"/>
          <w:szCs w:val="14"/>
        </w:rPr>
        <w:t>,</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நோயாளியின்</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நேர்த்தியான</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சமாளிப்பு</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வியுகங்கள்</w:t>
      </w:r>
      <w:r w:rsidRPr="00787196">
        <w:rPr>
          <w:rFonts w:ascii="Calibri" w:eastAsia="Times New Roman" w:hAnsi="Calibri" w:cs="Times New Roman"/>
          <w:b/>
          <w:bCs/>
          <w:sz w:val="14"/>
          <w:szCs w:val="14"/>
        </w:rPr>
        <w:t xml:space="preserve"> </w:t>
      </w:r>
      <w:r w:rsidRPr="00787196">
        <w:rPr>
          <w:rFonts w:ascii="Latha" w:eastAsia="Times New Roman" w:hAnsi="Latha" w:cs="Arial Unicode MS"/>
          <w:b/>
          <w:bCs/>
          <w:sz w:val="14"/>
          <w:szCs w:val="14"/>
          <w:cs/>
        </w:rPr>
        <w:t>தீர்மானக்கின்றனவா</w:t>
      </w:r>
      <w:r w:rsidRPr="00787196">
        <w:rPr>
          <w:rFonts w:ascii="Calibri" w:eastAsia="Times New Roman" w:hAnsi="Calibri" w:cs="Times New Roman"/>
          <w:b/>
          <w:bCs/>
          <w:sz w:val="14"/>
          <w:szCs w:val="14"/>
        </w:rPr>
        <w:t>?</w:t>
      </w:r>
    </w:p>
    <w:p w14:paraId="073D8E8F" w14:textId="77777777" w:rsidR="00C95AAC" w:rsidRPr="00787196" w:rsidRDefault="00C95AAC" w:rsidP="0039625A">
      <w:pPr>
        <w:spacing w:before="0" w:after="0"/>
        <w:ind w:right="45"/>
        <w:rPr>
          <w:rFonts w:ascii="Calibri" w:eastAsia="Times New Roman" w:hAnsi="Calibri" w:cs="Times New Roman"/>
          <w:b/>
          <w:sz w:val="16"/>
          <w:szCs w:val="18"/>
        </w:rPr>
      </w:pPr>
    </w:p>
    <w:p w14:paraId="5F92C788" w14:textId="77777777" w:rsidR="00C95AAC" w:rsidRPr="00787196" w:rsidRDefault="00C95AAC" w:rsidP="0039625A">
      <w:pPr>
        <w:spacing w:before="0" w:after="0"/>
        <w:ind w:right="45"/>
        <w:rPr>
          <w:rFonts w:ascii="Latha" w:eastAsia="Times New Roman" w:hAnsi="Latha"/>
          <w:sz w:val="12"/>
          <w:szCs w:val="12"/>
        </w:rPr>
      </w:pPr>
      <w:r w:rsidRPr="00787196">
        <w:rPr>
          <w:rFonts w:ascii="Latha" w:eastAsia="Times New Roman" w:hAnsi="Latha" w:cs="Arial Unicode MS"/>
          <w:sz w:val="12"/>
          <w:szCs w:val="12"/>
          <w:cs/>
        </w:rPr>
        <w:t>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இங்ஙனம்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ஓர்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ஆய்வாராய்ச்சிப்</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படிப்பில்</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பங்கு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பெறுவதற்காக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அழைக்கப்படுகிறீர்கள்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இவ்வழைப்பினை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ஏற்கும்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ஆய்வு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எதற்காக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மேற்கொள்ளபடுகிறது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மற்றும்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எத்தகைய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ஈடுபடுத்தப்படும்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என்பதனை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இன்றியமையாதது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ஆகும்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பின்வரும்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தகவல்களை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சற்று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கால அவகாசம்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எடுத்துக்கூட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கவனமாகப்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படிக்கவும்</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தேவையெனில்</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மற்றவர்களுடன்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இதனைப்பற்றி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நீங்கள் ஆலோசித்துக்</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கொள்ளலாம்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பின்வரும்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தகவல்களில்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ஏதேனும்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தெளிவின்றி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இருந்தாலோ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அல்லது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விபரங்கள்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தேவையென்றாலோ</w:t>
      </w:r>
      <w:r w:rsidRPr="00787196">
        <w:rPr>
          <w:rFonts w:ascii="Latha" w:eastAsia="Times New Roman" w:hAnsi="Latha"/>
          <w:sz w:val="12"/>
          <w:szCs w:val="12"/>
        </w:rPr>
        <w:t>,</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எங்களிடம்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கேட்டு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அறிந்து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கொள்ளுமாறு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அறிவுறுத்துகின்றோம்</w:t>
      </w:r>
      <w:r w:rsidRPr="00787196">
        <w:rPr>
          <w:rFonts w:ascii="Calibri" w:eastAsia="Times New Roman" w:hAnsi="Calibri" w:cs="Times New Roman"/>
          <w:sz w:val="12"/>
          <w:szCs w:val="12"/>
        </w:rPr>
        <w:t>.</w:t>
      </w:r>
    </w:p>
    <w:p w14:paraId="1CFDA678" w14:textId="77777777" w:rsidR="00C95AAC" w:rsidRPr="00787196" w:rsidRDefault="00C95AAC" w:rsidP="0039625A">
      <w:pPr>
        <w:spacing w:before="0" w:after="0"/>
        <w:ind w:right="45"/>
        <w:rPr>
          <w:rFonts w:ascii="Calibri" w:eastAsia="Times New Roman" w:hAnsi="Calibri" w:cs="Times New Roman"/>
          <w:b/>
          <w:sz w:val="16"/>
          <w:szCs w:val="18"/>
        </w:rPr>
      </w:pPr>
    </w:p>
    <w:p w14:paraId="49E7F8F3" w14:textId="77777777" w:rsidR="00C95AAC" w:rsidRPr="00787196" w:rsidRDefault="00C95AAC" w:rsidP="0039625A">
      <w:pPr>
        <w:spacing w:before="0" w:after="0"/>
        <w:ind w:right="45"/>
        <w:rPr>
          <w:rFonts w:ascii="Calibri" w:eastAsia="Times New Roman" w:hAnsi="Calibri" w:cs="Times New Roman"/>
          <w:sz w:val="16"/>
          <w:szCs w:val="18"/>
        </w:rPr>
      </w:pPr>
      <w:r w:rsidRPr="00787196">
        <w:rPr>
          <w:rFonts w:ascii="Latha" w:eastAsia="Times New Roman" w:hAnsi="Latha" w:cs="Arial Unicode MS"/>
          <w:b/>
          <w:bCs/>
          <w:sz w:val="12"/>
          <w:szCs w:val="12"/>
          <w:cs/>
        </w:rPr>
        <w:t>இந்த ஆய்வின்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நோக்கம்</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என்ன</w:t>
      </w:r>
      <w:r w:rsidRPr="00787196">
        <w:rPr>
          <w:rFonts w:ascii="Calibri" w:eastAsia="Times New Roman" w:hAnsi="Calibri" w:cs="Times New Roman"/>
          <w:b/>
          <w:sz w:val="12"/>
          <w:szCs w:val="18"/>
        </w:rPr>
        <w:t xml:space="preserve"> ? </w:t>
      </w:r>
    </w:p>
    <w:p w14:paraId="63465452" w14:textId="77777777" w:rsidR="00C95AAC" w:rsidRPr="00787196" w:rsidRDefault="00C95AAC" w:rsidP="0039625A">
      <w:pPr>
        <w:spacing w:before="0" w:after="0"/>
        <w:ind w:right="45"/>
        <w:rPr>
          <w:rFonts w:ascii="Calibri" w:eastAsia="Times New Roman" w:hAnsi="Calibri" w:cs="Times New Roman"/>
          <w:sz w:val="12"/>
          <w:szCs w:val="12"/>
        </w:rPr>
      </w:pP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ஆய்வின்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மூலமாக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தொடர்புடைய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வாழ்க்கைத்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தரத்தை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மேம்படுத்தும்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கட்டமைப்பின்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வெற்றியினை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தீர்மானிக்கக்கூடும்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என்பதனை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அறிந்து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கொள்ள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விருப்பப்படுகிறோம்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இப்படிப்பின்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மூலமாக</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செயற்கை</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பல்</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கட்டமைப்பு</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அணியும்</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நபர்களின்</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அனுபவங்களை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சிறக்கும்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எண்ணுகின்றோம்</w:t>
      </w:r>
      <w:r w:rsidRPr="00787196">
        <w:rPr>
          <w:rFonts w:ascii="Calibri" w:eastAsia="Times New Roman" w:hAnsi="Calibri" w:cs="Times New Roman"/>
          <w:sz w:val="12"/>
          <w:szCs w:val="12"/>
        </w:rPr>
        <w:t xml:space="preserve"> .  </w:t>
      </w: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ஆய்வினில்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பங்கேற்க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முற்படும்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ஆராய்ச்சி</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ஈடுபடுத்தக்கூடியவை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என்பதை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அறிதல்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இன்றியமையாதது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ஆகும்</w:t>
      </w:r>
      <w:r w:rsidRPr="00787196">
        <w:rPr>
          <w:rFonts w:ascii="Latha" w:eastAsia="Times New Roman" w:hAnsi="Latha"/>
          <w:sz w:val="12"/>
          <w:szCs w:val="12"/>
        </w:rPr>
        <w:t>.</w:t>
      </w:r>
      <w:r w:rsidRPr="00787196">
        <w:rPr>
          <w:rFonts w:ascii="Calibri" w:eastAsia="Times New Roman" w:hAnsi="Calibri" w:cs="Times New Roman"/>
          <w:sz w:val="12"/>
          <w:szCs w:val="12"/>
        </w:rPr>
        <w:t xml:space="preserve">   </w:t>
      </w:r>
    </w:p>
    <w:p w14:paraId="1C1DCA06" w14:textId="77777777" w:rsidR="00C95AAC" w:rsidRPr="00787196" w:rsidRDefault="00C95AAC" w:rsidP="0039625A">
      <w:pPr>
        <w:spacing w:before="0" w:after="0"/>
        <w:ind w:right="45"/>
        <w:rPr>
          <w:rFonts w:ascii="Calibri" w:eastAsia="Times New Roman" w:hAnsi="Calibri" w:cs="Times New Roman"/>
          <w:b/>
          <w:bCs/>
          <w:sz w:val="16"/>
          <w:szCs w:val="18"/>
        </w:rPr>
      </w:pPr>
    </w:p>
    <w:p w14:paraId="3DDC01CD" w14:textId="77777777" w:rsidR="00C95AAC" w:rsidRPr="00787196" w:rsidRDefault="00C95AAC" w:rsidP="0039625A">
      <w:pPr>
        <w:spacing w:before="0" w:after="0"/>
        <w:ind w:right="45"/>
        <w:rPr>
          <w:rFonts w:ascii="Calibri" w:eastAsia="Times New Roman" w:hAnsi="Calibri" w:cs="Times New Roman"/>
          <w:b/>
          <w:bCs/>
          <w:sz w:val="12"/>
          <w:szCs w:val="18"/>
        </w:rPr>
      </w:pPr>
      <w:r w:rsidRPr="00787196">
        <w:rPr>
          <w:rFonts w:ascii="Latha" w:eastAsia="Times New Roman" w:hAnsi="Latha" w:cs="Arial Unicode MS"/>
          <w:b/>
          <w:bCs/>
          <w:sz w:val="12"/>
          <w:szCs w:val="12"/>
          <w:cs/>
        </w:rPr>
        <w:t>இதில்</w:t>
      </w:r>
      <w:r w:rsidRPr="00787196">
        <w:rPr>
          <w:rFonts w:ascii="Calibri" w:eastAsia="Times New Roman" w:hAnsi="Calibri" w:cs="Times New Roman"/>
          <w:b/>
          <w:bCs/>
          <w:sz w:val="12"/>
          <w:szCs w:val="18"/>
        </w:rPr>
        <w:t xml:space="preserve"> </w:t>
      </w:r>
      <w:r w:rsidRPr="00787196">
        <w:rPr>
          <w:rFonts w:ascii="Latha" w:eastAsia="Times New Roman" w:hAnsi="Latha" w:cs="Arial Unicode MS"/>
          <w:b/>
          <w:bCs/>
          <w:sz w:val="12"/>
          <w:szCs w:val="12"/>
          <w:cs/>
        </w:rPr>
        <w:t>பங்கேற்குமாறு</w:t>
      </w:r>
      <w:r w:rsidRPr="00787196">
        <w:rPr>
          <w:rFonts w:ascii="Calibri" w:eastAsia="Times New Roman" w:hAnsi="Calibri" w:cs="Times New Roman"/>
          <w:b/>
          <w:bCs/>
          <w:sz w:val="12"/>
          <w:szCs w:val="18"/>
        </w:rPr>
        <w:t xml:space="preserve"> </w:t>
      </w:r>
      <w:r w:rsidRPr="00787196">
        <w:rPr>
          <w:rFonts w:ascii="Latha" w:eastAsia="Times New Roman" w:hAnsi="Latha" w:cs="Arial Unicode MS"/>
          <w:b/>
          <w:bCs/>
          <w:sz w:val="12"/>
          <w:szCs w:val="12"/>
          <w:cs/>
        </w:rPr>
        <w:t>நான்</w:t>
      </w:r>
      <w:r w:rsidRPr="00787196">
        <w:rPr>
          <w:rFonts w:ascii="Calibri" w:eastAsia="Times New Roman" w:hAnsi="Calibri" w:cs="Times New Roman"/>
          <w:b/>
          <w:bCs/>
          <w:sz w:val="12"/>
          <w:szCs w:val="18"/>
        </w:rPr>
        <w:t xml:space="preserve"> </w:t>
      </w:r>
      <w:r w:rsidRPr="00787196">
        <w:rPr>
          <w:rFonts w:ascii="Latha" w:eastAsia="Times New Roman" w:hAnsi="Latha" w:cs="Arial Unicode MS"/>
          <w:b/>
          <w:bCs/>
          <w:sz w:val="12"/>
          <w:szCs w:val="12"/>
          <w:cs/>
        </w:rPr>
        <w:t>ஏன்</w:t>
      </w:r>
      <w:r w:rsidRPr="00787196">
        <w:rPr>
          <w:rFonts w:ascii="Calibri" w:eastAsia="Times New Roman" w:hAnsi="Calibri" w:cs="Times New Roman"/>
          <w:b/>
          <w:bCs/>
          <w:sz w:val="12"/>
          <w:szCs w:val="18"/>
        </w:rPr>
        <w:t xml:space="preserve"> </w:t>
      </w:r>
      <w:r w:rsidRPr="00787196">
        <w:rPr>
          <w:rFonts w:ascii="Latha" w:eastAsia="Times New Roman" w:hAnsi="Latha" w:cs="Arial Unicode MS"/>
          <w:b/>
          <w:bCs/>
          <w:sz w:val="12"/>
          <w:szCs w:val="12"/>
          <w:cs/>
        </w:rPr>
        <w:t>அழைக்கப்படுகிறேன்</w:t>
      </w:r>
      <w:r w:rsidRPr="00787196">
        <w:rPr>
          <w:rFonts w:ascii="Calibri" w:eastAsia="Times New Roman" w:hAnsi="Calibri" w:cs="Times New Roman"/>
          <w:b/>
          <w:bCs/>
          <w:sz w:val="12"/>
          <w:szCs w:val="18"/>
        </w:rPr>
        <w:t xml:space="preserve"> ? </w:t>
      </w:r>
    </w:p>
    <w:p w14:paraId="3C3DE319" w14:textId="77777777" w:rsidR="00C95AAC" w:rsidRPr="00787196" w:rsidRDefault="00C95AAC" w:rsidP="0039625A">
      <w:pPr>
        <w:spacing w:before="0" w:after="0"/>
        <w:ind w:right="45"/>
        <w:rPr>
          <w:rFonts w:ascii="Calibri" w:eastAsia="Times New Roman" w:hAnsi="Calibri" w:cs="Times New Roman"/>
          <w:sz w:val="12"/>
          <w:szCs w:val="12"/>
        </w:rPr>
      </w:pPr>
      <w:r w:rsidRPr="00787196">
        <w:rPr>
          <w:rFonts w:ascii="Calibri" w:eastAsia="Times New Roman" w:hAnsi="Calibri" w:cs="Times New Roman"/>
          <w:sz w:val="12"/>
          <w:szCs w:val="12"/>
        </w:rPr>
        <w:t xml:space="preserve">2 </w:t>
      </w:r>
      <w:r w:rsidRPr="00787196">
        <w:rPr>
          <w:rFonts w:ascii="Latha" w:eastAsia="Times New Roman" w:hAnsi="Latha" w:cs="Arial Unicode MS"/>
          <w:sz w:val="12"/>
          <w:szCs w:val="12"/>
          <w:cs/>
        </w:rPr>
        <w:t>அல்லது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அதற்கு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பற்கள்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தவறிய</w:t>
      </w:r>
      <w:r w:rsidRPr="00787196">
        <w:rPr>
          <w:rFonts w:ascii="Calibri" w:eastAsia="Times New Roman" w:hAnsi="Calibri" w:cs="Times New Roman"/>
          <w:sz w:val="12"/>
          <w:szCs w:val="12"/>
        </w:rPr>
        <w:t xml:space="preserve">, 18 </w:t>
      </w:r>
      <w:r w:rsidRPr="00787196">
        <w:rPr>
          <w:rFonts w:ascii="Latha" w:eastAsia="Times New Roman" w:hAnsi="Latha" w:cs="Arial Unicode MS"/>
          <w:sz w:val="12"/>
          <w:szCs w:val="12"/>
          <w:cs/>
        </w:rPr>
        <w:t>வயதிற்கு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மேற்பட்டோரை பங்கேற்குமாறு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அழைப்பு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விடுகிறோம்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ஏனெனில்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கட்டமைப்பின்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w:t>
      </w:r>
      <w:r w:rsidRPr="00787196">
        <w:rPr>
          <w:rFonts w:ascii="Latha" w:eastAsia="Times New Roman" w:hAnsi="Latha" w:cs="Arial Unicode MS"/>
          <w:sz w:val="12"/>
          <w:szCs w:val="12"/>
          <w:cs/>
        </w:rPr>
        <w:t>செட்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வெற்றியினை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பாதிக்கும்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காரணிகள்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பற்றி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அறிய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விரும்புகிறோம்</w:t>
      </w:r>
      <w:r w:rsidRPr="00787196">
        <w:rPr>
          <w:rFonts w:ascii="Calibri" w:eastAsia="Times New Roman" w:hAnsi="Calibri" w:cs="Times New Roman"/>
          <w:sz w:val="12"/>
          <w:szCs w:val="12"/>
        </w:rPr>
        <w:t xml:space="preserve"> .</w:t>
      </w:r>
    </w:p>
    <w:p w14:paraId="2D3E16D1" w14:textId="77777777" w:rsidR="00C95AAC" w:rsidRPr="00787196" w:rsidRDefault="00C95AAC" w:rsidP="0039625A">
      <w:pPr>
        <w:spacing w:before="0" w:after="0"/>
        <w:ind w:right="45"/>
        <w:rPr>
          <w:rFonts w:ascii="Calibri" w:eastAsia="Times New Roman" w:hAnsi="Calibri" w:cs="Times New Roman"/>
          <w:sz w:val="16"/>
          <w:szCs w:val="18"/>
        </w:rPr>
      </w:pPr>
    </w:p>
    <w:p w14:paraId="41FE1682" w14:textId="77777777" w:rsidR="00C95AAC" w:rsidRPr="00787196" w:rsidRDefault="00C95AAC" w:rsidP="0039625A">
      <w:pPr>
        <w:spacing w:before="0" w:after="0"/>
        <w:ind w:right="45"/>
        <w:rPr>
          <w:rFonts w:ascii="Calibri" w:eastAsia="Times New Roman" w:hAnsi="Calibri" w:cs="Times New Roman"/>
          <w:b/>
          <w:sz w:val="12"/>
          <w:szCs w:val="18"/>
        </w:rPr>
      </w:pPr>
      <w:r w:rsidRPr="00787196">
        <w:rPr>
          <w:rFonts w:ascii="Latha" w:eastAsia="Times New Roman" w:hAnsi="Latha" w:cs="Arial Unicode MS"/>
          <w:b/>
          <w:bCs/>
          <w:sz w:val="12"/>
          <w:szCs w:val="12"/>
          <w:cs/>
        </w:rPr>
        <w:t>நான்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அவசியம்</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பங்கேற்க</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வேண்டுமா</w:t>
      </w:r>
      <w:r w:rsidRPr="00787196">
        <w:rPr>
          <w:rFonts w:ascii="Calibri" w:eastAsia="Times New Roman" w:hAnsi="Calibri" w:cs="Times New Roman"/>
          <w:b/>
          <w:sz w:val="12"/>
          <w:szCs w:val="18"/>
        </w:rPr>
        <w:t>?</w:t>
      </w:r>
    </w:p>
    <w:p w14:paraId="4BB2571C" w14:textId="77777777" w:rsidR="00C95AAC" w:rsidRPr="00787196" w:rsidRDefault="00C95AAC" w:rsidP="0039625A">
      <w:pPr>
        <w:spacing w:before="0" w:after="0"/>
        <w:ind w:right="45"/>
        <w:rPr>
          <w:rFonts w:ascii="Latha" w:eastAsia="Times New Roman" w:hAnsi="Latha"/>
          <w:sz w:val="12"/>
          <w:szCs w:val="12"/>
        </w:rPr>
      </w:pPr>
      <w:r w:rsidRPr="00787196">
        <w:rPr>
          <w:rFonts w:ascii="Latha" w:eastAsia="Times New Roman" w:hAnsi="Latha" w:cs="Arial Unicode MS"/>
          <w:sz w:val="12"/>
          <w:szCs w:val="12"/>
          <w:cs/>
        </w:rPr>
        <w:t>இதில்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பங்கேற்பது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குறித்த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முடிவு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முற்றிலும்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தங்களுடையதே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எப்பொழுது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வேண்டுமானாலும்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ஆராய்ச்சியில்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இருந்து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தாரளமாக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வெளியேறலாம்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அவ்வாறு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வெளியேறுவதற்கு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எத்தகைய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காரணமோ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விளக்கமோ அளிக்கத்</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தேவையில்லை</w:t>
      </w:r>
      <w:r w:rsidRPr="00787196">
        <w:rPr>
          <w:rFonts w:ascii="Latha" w:eastAsia="Times New Roman" w:hAnsi="Latha"/>
          <w:sz w:val="12"/>
          <w:szCs w:val="12"/>
        </w:rPr>
        <w:t>.</w:t>
      </w:r>
    </w:p>
    <w:p w14:paraId="13C4BDDE" w14:textId="77777777" w:rsidR="00C95AAC" w:rsidRPr="00787196" w:rsidRDefault="00C95AAC" w:rsidP="0039625A">
      <w:pPr>
        <w:spacing w:before="0" w:after="0"/>
        <w:ind w:right="45"/>
        <w:rPr>
          <w:rFonts w:ascii="Calibri" w:eastAsia="Times New Roman" w:hAnsi="Calibri" w:cs="Times New Roman"/>
          <w:sz w:val="12"/>
          <w:szCs w:val="12"/>
        </w:rPr>
      </w:pPr>
    </w:p>
    <w:p w14:paraId="7DB4A850" w14:textId="77777777" w:rsidR="00C95AAC" w:rsidRPr="00787196" w:rsidRDefault="00C95AAC" w:rsidP="0039625A">
      <w:pPr>
        <w:spacing w:before="0" w:after="0"/>
        <w:ind w:right="45"/>
        <w:rPr>
          <w:rFonts w:ascii="Calibri" w:eastAsia="Times New Roman" w:hAnsi="Calibri" w:cs="Times New Roman"/>
          <w:b/>
          <w:sz w:val="12"/>
          <w:szCs w:val="18"/>
        </w:rPr>
      </w:pPr>
      <w:r w:rsidRPr="00787196">
        <w:rPr>
          <w:rFonts w:ascii="Latha" w:eastAsia="Times New Roman" w:hAnsi="Latha" w:cs="Arial Unicode MS"/>
          <w:b/>
          <w:bCs/>
          <w:sz w:val="12"/>
          <w:szCs w:val="12"/>
          <w:cs/>
        </w:rPr>
        <w:t>இதில்</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பங்கேற்றால்</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எனக்கு</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என்ன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நடக்கும்</w:t>
      </w:r>
      <w:r w:rsidRPr="00787196">
        <w:rPr>
          <w:rFonts w:ascii="Calibri" w:eastAsia="Times New Roman" w:hAnsi="Calibri" w:cs="Times New Roman"/>
          <w:b/>
          <w:sz w:val="12"/>
          <w:szCs w:val="18"/>
        </w:rPr>
        <w:t xml:space="preserve"> ? </w:t>
      </w:r>
      <w:r w:rsidRPr="00787196">
        <w:rPr>
          <w:rFonts w:ascii="Latha" w:eastAsia="Times New Roman" w:hAnsi="Latha" w:cs="Arial Unicode MS"/>
          <w:b/>
          <w:bCs/>
          <w:sz w:val="12"/>
          <w:szCs w:val="12"/>
          <w:cs/>
        </w:rPr>
        <w:t>நான்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என்ன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செய்ய</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வேண்டும்</w:t>
      </w:r>
      <w:r w:rsidRPr="00787196">
        <w:rPr>
          <w:rFonts w:ascii="Calibri" w:eastAsia="Times New Roman" w:hAnsi="Calibri" w:cs="Times New Roman"/>
          <w:b/>
          <w:sz w:val="12"/>
          <w:szCs w:val="18"/>
        </w:rPr>
        <w:t>?</w:t>
      </w:r>
    </w:p>
    <w:p w14:paraId="16AA0DE2" w14:textId="77777777" w:rsidR="00C95AAC" w:rsidRPr="00787196" w:rsidRDefault="00C95AAC" w:rsidP="0039625A">
      <w:pPr>
        <w:spacing w:before="0" w:after="0"/>
        <w:ind w:right="45"/>
        <w:contextualSpacing/>
        <w:rPr>
          <w:rFonts w:ascii="Calibri" w:eastAsia="Times New Roman" w:hAnsi="Calibri" w:cs="Times New Roman"/>
          <w:sz w:val="12"/>
          <w:szCs w:val="12"/>
        </w:rPr>
      </w:pPr>
      <w:r w:rsidRPr="00787196">
        <w:rPr>
          <w:rFonts w:ascii="Latha" w:eastAsia="Times New Roman" w:hAnsi="Latha" w:cs="Arial Unicode MS"/>
          <w:sz w:val="12"/>
          <w:szCs w:val="12"/>
          <w:cs/>
        </w:rPr>
        <w:t>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பங்கேற்க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முடிவு</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செய்தால்</w:t>
      </w:r>
      <w:r w:rsidRPr="00787196">
        <w:rPr>
          <w:rFonts w:ascii="Latha" w:eastAsia="Times New Roman" w:hAnsi="Latha"/>
          <w:sz w:val="12"/>
          <w:szCs w:val="12"/>
          <w:cs/>
        </w:rPr>
        <w:t>,</w:t>
      </w:r>
    </w:p>
    <w:p w14:paraId="14E364A8" w14:textId="77777777" w:rsidR="00C95AAC" w:rsidRPr="00787196" w:rsidRDefault="00C95AAC" w:rsidP="00C119A5">
      <w:pPr>
        <w:numPr>
          <w:ilvl w:val="0"/>
          <w:numId w:val="37"/>
        </w:numPr>
        <w:spacing w:before="0" w:after="0"/>
        <w:ind w:right="45"/>
        <w:contextualSpacing/>
        <w:rPr>
          <w:rFonts w:ascii="Calibri" w:eastAsia="Times New Roman" w:hAnsi="Calibri" w:cs="Times New Roman"/>
          <w:sz w:val="12"/>
          <w:szCs w:val="12"/>
          <w:u w:val="single"/>
        </w:rPr>
      </w:pPr>
      <w:r w:rsidRPr="00787196">
        <w:rPr>
          <w:rFonts w:ascii="Latha" w:eastAsia="Times New Roman" w:hAnsi="Latha" w:cs="Arial Unicode MS"/>
          <w:sz w:val="12"/>
          <w:szCs w:val="12"/>
          <w:cs/>
        </w:rPr>
        <w:t>முழு</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பரிசோதனை</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செய்யப்படும்</w:t>
      </w:r>
      <w:r w:rsidRPr="00787196">
        <w:rPr>
          <w:rFonts w:ascii="Latha" w:eastAsia="Times New Roman" w:hAnsi="Latha"/>
          <w:sz w:val="12"/>
          <w:szCs w:val="12"/>
        </w:rPr>
        <w:t>.</w:t>
      </w:r>
    </w:p>
    <w:p w14:paraId="7299346E" w14:textId="77777777" w:rsidR="00C95AAC" w:rsidRPr="00787196" w:rsidRDefault="00C95AAC" w:rsidP="00C119A5">
      <w:pPr>
        <w:numPr>
          <w:ilvl w:val="0"/>
          <w:numId w:val="37"/>
        </w:numPr>
        <w:spacing w:before="0" w:after="0"/>
        <w:ind w:right="45"/>
        <w:contextualSpacing/>
        <w:rPr>
          <w:rFonts w:ascii="Calibri" w:eastAsia="Times New Roman" w:hAnsi="Calibri" w:cs="Times New Roman"/>
          <w:sz w:val="12"/>
          <w:szCs w:val="12"/>
          <w:u w:val="single"/>
        </w:rPr>
      </w:pPr>
      <w:r w:rsidRPr="00787196">
        <w:rPr>
          <w:rFonts w:ascii="Latha" w:eastAsia="Times New Roman" w:hAnsi="Latha" w:cs="Arial Unicode MS"/>
          <w:sz w:val="12"/>
          <w:szCs w:val="12"/>
          <w:cs/>
        </w:rPr>
        <w:t>தங்களைப்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பற்றியும்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தங்களைச்</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சுற்றி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உள்ள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உலகச்சுழல்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மற்றும்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தங்களுடைய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நலம்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சார்த்த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வினாத்தொடர்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சரத்தினை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செய்தல்</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வேண்டும்</w:t>
      </w:r>
      <w:r w:rsidRPr="00787196">
        <w:rPr>
          <w:rFonts w:ascii="Calibri" w:eastAsia="Times New Roman" w:hAnsi="Calibri" w:cs="Times New Roman"/>
          <w:sz w:val="12"/>
          <w:szCs w:val="12"/>
        </w:rPr>
        <w:t>.</w:t>
      </w:r>
    </w:p>
    <w:p w14:paraId="7A7D5106" w14:textId="77777777" w:rsidR="00C95AAC" w:rsidRPr="00787196" w:rsidRDefault="00C95AAC" w:rsidP="00C119A5">
      <w:pPr>
        <w:numPr>
          <w:ilvl w:val="0"/>
          <w:numId w:val="37"/>
        </w:numPr>
        <w:spacing w:before="0" w:after="0"/>
        <w:ind w:right="45"/>
        <w:contextualSpacing/>
        <w:rPr>
          <w:rFonts w:ascii="Calibri" w:eastAsia="Times New Roman" w:hAnsi="Calibri" w:cs="Times New Roman"/>
          <w:sz w:val="12"/>
          <w:szCs w:val="12"/>
          <w:u w:val="single"/>
        </w:rPr>
      </w:pPr>
      <w:r w:rsidRPr="00787196">
        <w:rPr>
          <w:rFonts w:ascii="Latha" w:eastAsia="Times New Roman" w:hAnsi="Latha" w:cs="Arial Unicode MS"/>
          <w:sz w:val="12"/>
          <w:szCs w:val="12"/>
          <w:cs/>
        </w:rPr>
        <w:t>செயற்கை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கட்டமைப்பு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w:t>
      </w:r>
      <w:r w:rsidRPr="00787196">
        <w:rPr>
          <w:rFonts w:ascii="Latha" w:eastAsia="Times New Roman" w:hAnsi="Latha" w:cs="Arial Unicode MS"/>
          <w:sz w:val="12"/>
          <w:szCs w:val="12"/>
          <w:cs/>
        </w:rPr>
        <w:t>செட்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அணிவித்து</w:t>
      </w:r>
      <w:r w:rsidRPr="00787196">
        <w:rPr>
          <w:rFonts w:ascii="Calibri" w:eastAsia="Times New Roman" w:hAnsi="Calibri" w:cs="Times New Roman"/>
          <w:sz w:val="12"/>
          <w:szCs w:val="12"/>
        </w:rPr>
        <w:t xml:space="preserve"> 3 </w:t>
      </w:r>
      <w:r w:rsidRPr="00787196">
        <w:rPr>
          <w:rFonts w:ascii="Latha" w:eastAsia="Times New Roman" w:hAnsi="Latha" w:cs="Arial Unicode MS"/>
          <w:sz w:val="12"/>
          <w:szCs w:val="12"/>
          <w:cs/>
        </w:rPr>
        <w:t>மாதங்கள்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கழித்து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வினாத்தொடர்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சரத்தினை</w:t>
      </w:r>
      <w:r w:rsidRPr="00787196">
        <w:rPr>
          <w:rFonts w:ascii="Latha" w:eastAsia="Times New Roman" w:hAnsi="Latha"/>
          <w:sz w:val="12"/>
          <w:szCs w:val="12"/>
        </w:rPr>
        <w:t>,</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மீண்டும்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ஒரு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செய்தல்</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வேண்டும்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இதன்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தொடர்பு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கொள்வோம்</w:t>
      </w:r>
      <w:r w:rsidRPr="00787196">
        <w:rPr>
          <w:rFonts w:ascii="Calibri" w:eastAsia="Times New Roman" w:hAnsi="Calibri" w:cs="Times New Roman"/>
          <w:sz w:val="12"/>
          <w:szCs w:val="12"/>
        </w:rPr>
        <w:t>.</w:t>
      </w:r>
    </w:p>
    <w:p w14:paraId="349A5721" w14:textId="77777777" w:rsidR="00C95AAC" w:rsidRPr="00787196" w:rsidRDefault="00C95AAC" w:rsidP="0039625A">
      <w:pPr>
        <w:spacing w:before="0" w:after="0"/>
        <w:ind w:left="765" w:right="45"/>
        <w:contextualSpacing/>
        <w:rPr>
          <w:rFonts w:ascii="Calibri" w:eastAsia="Times New Roman" w:hAnsi="Calibri" w:cs="Times New Roman"/>
          <w:sz w:val="10"/>
          <w:szCs w:val="18"/>
          <w:u w:val="single"/>
        </w:rPr>
      </w:pPr>
    </w:p>
    <w:p w14:paraId="200D61E2" w14:textId="77777777" w:rsidR="00C95AAC" w:rsidRPr="00787196" w:rsidRDefault="00C95AAC" w:rsidP="0039625A">
      <w:pPr>
        <w:spacing w:before="0" w:after="0"/>
        <w:ind w:right="45"/>
        <w:rPr>
          <w:rFonts w:ascii="Calibri" w:eastAsia="Times New Roman" w:hAnsi="Calibri" w:cs="Times New Roman"/>
          <w:b/>
          <w:sz w:val="12"/>
          <w:szCs w:val="18"/>
        </w:rPr>
      </w:pPr>
      <w:r w:rsidRPr="00787196">
        <w:rPr>
          <w:rFonts w:ascii="Latha" w:eastAsia="Times New Roman" w:hAnsi="Latha" w:cs="Arial Unicode MS"/>
          <w:b/>
          <w:bCs/>
          <w:sz w:val="12"/>
          <w:szCs w:val="12"/>
          <w:cs/>
        </w:rPr>
        <w:t>பங்கேற்பதால்</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ஏற்படக்கூடிய</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சாதகமற்ற</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மற்றும்</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அபாயகரமான</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விளைவுகள்</w:t>
      </w:r>
      <w:r w:rsidRPr="00787196">
        <w:rPr>
          <w:rFonts w:ascii="Calibri" w:eastAsia="Times New Roman" w:hAnsi="Calibri" w:cs="Times New Roman"/>
          <w:b/>
          <w:sz w:val="12"/>
          <w:szCs w:val="18"/>
        </w:rPr>
        <w:t xml:space="preserve"> </w:t>
      </w:r>
      <w:r w:rsidRPr="00787196">
        <w:rPr>
          <w:rFonts w:ascii="Latha" w:eastAsia="Times New Roman" w:hAnsi="Latha" w:cs="Arial Unicode MS"/>
          <w:b/>
          <w:bCs/>
          <w:sz w:val="12"/>
          <w:szCs w:val="12"/>
          <w:cs/>
        </w:rPr>
        <w:t>என்ன</w:t>
      </w:r>
      <w:r w:rsidRPr="00787196">
        <w:rPr>
          <w:rFonts w:ascii="Calibri" w:eastAsia="Times New Roman" w:hAnsi="Calibri" w:cs="Times New Roman"/>
          <w:b/>
          <w:sz w:val="12"/>
          <w:szCs w:val="18"/>
        </w:rPr>
        <w:t xml:space="preserve">? </w:t>
      </w:r>
    </w:p>
    <w:p w14:paraId="60A89062" w14:textId="3DB7F0AB" w:rsidR="0039625A" w:rsidRPr="00787196" w:rsidRDefault="00C95AAC" w:rsidP="0039625A">
      <w:pPr>
        <w:spacing w:before="0" w:after="0"/>
        <w:ind w:right="45"/>
        <w:rPr>
          <w:rFonts w:ascii="Calibri" w:eastAsia="Times New Roman" w:hAnsi="Calibri" w:cs="Times New Roman"/>
          <w:sz w:val="12"/>
          <w:szCs w:val="12"/>
        </w:rPr>
      </w:pP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ஆய்வினால்</w:t>
      </w:r>
      <w:r w:rsidRPr="00787196">
        <w:rPr>
          <w:rFonts w:ascii="Latha" w:eastAsia="Times New Roman" w:hAnsi="Latha"/>
          <w:sz w:val="12"/>
          <w:szCs w:val="12"/>
          <w:cs/>
        </w:rPr>
        <w:t>,</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தெரிந்தமட்டில்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எந்த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ஒரு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ஆபத்தும்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இல்லை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வினாத்தொடரைப்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செய்யவும்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பரிசோதனை</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செய்ய</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மட்டுமே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நாங்கள்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கோருவோம்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இந்த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ஆராய்ச்சியைப்</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பொறுத்த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மட்டில்</w:t>
      </w:r>
      <w:r w:rsidRPr="00787196">
        <w:rPr>
          <w:rFonts w:ascii="Latha" w:eastAsia="Times New Roman" w:hAnsi="Latha"/>
          <w:sz w:val="12"/>
          <w:szCs w:val="12"/>
          <w:cs/>
        </w:rPr>
        <w:t xml:space="preserve">, </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செயற்கை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கட்டமைபினைத்</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தவிர</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u w:val="single"/>
          <w:cs/>
        </w:rPr>
        <w:t>எந்த</w:t>
      </w:r>
      <w:r w:rsidRPr="00787196">
        <w:rPr>
          <w:rFonts w:ascii="Calibri" w:eastAsia="Times New Roman" w:hAnsi="Calibri" w:cs="Times New Roman"/>
          <w:sz w:val="12"/>
          <w:szCs w:val="12"/>
          <w:u w:val="single"/>
        </w:rPr>
        <w:t xml:space="preserve"> </w:t>
      </w:r>
      <w:r w:rsidRPr="00787196">
        <w:rPr>
          <w:rFonts w:ascii="Latha" w:eastAsia="Times New Roman" w:hAnsi="Latha" w:cs="Arial Unicode MS"/>
          <w:sz w:val="12"/>
          <w:szCs w:val="12"/>
          <w:u w:val="single"/>
          <w:cs/>
        </w:rPr>
        <w:t>ஒரு</w:t>
      </w:r>
      <w:r w:rsidRPr="00787196">
        <w:rPr>
          <w:rFonts w:ascii="Calibri" w:eastAsia="Times New Roman" w:hAnsi="Calibri" w:cs="Times New Roman"/>
          <w:sz w:val="12"/>
          <w:szCs w:val="12"/>
          <w:u w:val="single"/>
        </w:rPr>
        <w:t xml:space="preserve"> </w:t>
      </w:r>
      <w:r w:rsidRPr="00787196">
        <w:rPr>
          <w:rFonts w:ascii="Latha" w:eastAsia="Times New Roman" w:hAnsi="Latha" w:cs="Arial Unicode MS"/>
          <w:sz w:val="12"/>
          <w:szCs w:val="12"/>
          <w:u w:val="single"/>
          <w:cs/>
        </w:rPr>
        <w:t>சிகிச்சையும்</w:t>
      </w:r>
      <w:r w:rsidRPr="00787196">
        <w:rPr>
          <w:rFonts w:ascii="Calibri" w:eastAsia="Times New Roman" w:hAnsi="Calibri" w:cs="Times New Roman"/>
          <w:sz w:val="12"/>
          <w:szCs w:val="12"/>
          <w:u w:val="single"/>
        </w:rPr>
        <w:t xml:space="preserve"> </w:t>
      </w:r>
      <w:r w:rsidRPr="00787196">
        <w:rPr>
          <w:rFonts w:ascii="Latha" w:eastAsia="Times New Roman" w:hAnsi="Latha" w:cs="Arial Unicode MS"/>
          <w:sz w:val="12"/>
          <w:szCs w:val="12"/>
          <w:u w:val="single"/>
          <w:cs/>
        </w:rPr>
        <w:t>தங்களுக்கு</w:t>
      </w:r>
      <w:r w:rsidRPr="00787196">
        <w:rPr>
          <w:rFonts w:ascii="Calibri" w:eastAsia="Times New Roman" w:hAnsi="Calibri" w:cs="Times New Roman"/>
          <w:sz w:val="12"/>
          <w:szCs w:val="12"/>
          <w:u w:val="single"/>
        </w:rPr>
        <w:t xml:space="preserve"> </w:t>
      </w:r>
      <w:r w:rsidRPr="00787196">
        <w:rPr>
          <w:rFonts w:ascii="Latha" w:eastAsia="Times New Roman" w:hAnsi="Latha" w:cs="Arial Unicode MS"/>
          <w:sz w:val="12"/>
          <w:szCs w:val="12"/>
          <w:u w:val="single"/>
          <w:cs/>
        </w:rPr>
        <w:t>நிர்வகிக்கப்பட மாட்டாது</w:t>
      </w:r>
      <w:r w:rsidRPr="00787196">
        <w:rPr>
          <w:rFonts w:ascii="Calibri" w:eastAsia="Times New Roman" w:hAnsi="Calibri" w:cs="Times New Roman"/>
          <w:sz w:val="12"/>
          <w:szCs w:val="12"/>
          <w:u w:val="single"/>
        </w:rPr>
        <w:t xml:space="preserve">. </w:t>
      </w:r>
      <w:r w:rsidRPr="00787196">
        <w:rPr>
          <w:rFonts w:ascii="Latha" w:eastAsia="Times New Roman" w:hAnsi="Latha" w:cs="Arial Unicode MS"/>
          <w:sz w:val="12"/>
          <w:szCs w:val="12"/>
          <w:cs/>
        </w:rPr>
        <w:t>வினாதொடரில்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ஏதேனும்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கேள்விகள்</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தனிப்பட்ட</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முறையில்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தங்களுக்கு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சலனம்</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ஏற்படுத்தினால்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அவற்றை</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தாரளமாக</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பதில்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அளிக்காமல்</w:t>
      </w:r>
      <w:r w:rsidRPr="00787196">
        <w:rPr>
          <w:rFonts w:ascii="Calibri" w:eastAsia="Times New Roman" w:hAnsi="Calibri" w:cs="Times New Roman"/>
          <w:sz w:val="12"/>
          <w:szCs w:val="12"/>
        </w:rPr>
        <w:t xml:space="preserve"> </w:t>
      </w:r>
      <w:r w:rsidRPr="00787196">
        <w:rPr>
          <w:rFonts w:ascii="Latha" w:eastAsia="Times New Roman" w:hAnsi="Latha" w:cs="Arial Unicode MS"/>
          <w:sz w:val="12"/>
          <w:szCs w:val="12"/>
          <w:cs/>
        </w:rPr>
        <w:t>விட்டுவிடலாம்</w:t>
      </w:r>
      <w:r w:rsidRPr="00787196">
        <w:rPr>
          <w:rFonts w:ascii="Calibri" w:eastAsia="Times New Roman" w:hAnsi="Calibri" w:cs="Times New Roman"/>
          <w:sz w:val="12"/>
          <w:szCs w:val="12"/>
        </w:rPr>
        <w:t xml:space="preserve">.   </w:t>
      </w:r>
    </w:p>
    <w:p w14:paraId="5349808B" w14:textId="77777777" w:rsidR="00C95AAC" w:rsidRPr="00787196" w:rsidRDefault="00C95AAC" w:rsidP="0039625A">
      <w:pPr>
        <w:spacing w:before="0" w:after="0"/>
        <w:ind w:right="45"/>
        <w:rPr>
          <w:rFonts w:ascii="Calibri" w:eastAsia="Times New Roman" w:hAnsi="Calibri"/>
          <w:sz w:val="12"/>
          <w:szCs w:val="12"/>
        </w:rPr>
      </w:pPr>
    </w:p>
    <w:p w14:paraId="45D5305C" w14:textId="77777777" w:rsidR="00C95AAC" w:rsidRPr="00787196" w:rsidRDefault="00C95AAC" w:rsidP="0039625A">
      <w:pPr>
        <w:spacing w:before="0" w:after="0"/>
        <w:ind w:right="45"/>
        <w:rPr>
          <w:rFonts w:ascii="Calibri" w:eastAsia="Times New Roman" w:hAnsi="Calibri" w:cs="Times New Roman"/>
          <w:bCs/>
          <w:sz w:val="12"/>
          <w:szCs w:val="12"/>
        </w:rPr>
      </w:pPr>
      <w:r w:rsidRPr="00787196">
        <w:rPr>
          <w:rFonts w:ascii="Latha" w:eastAsia="Times New Roman" w:hAnsi="Latha" w:cs="Arial Unicode MS"/>
          <w:bCs/>
          <w:sz w:val="12"/>
          <w:szCs w:val="12"/>
          <w:cs/>
        </w:rPr>
        <w:t>இந்த ஆய்வில் பங்கேற்பதால்</w:t>
      </w:r>
      <w:r w:rsidRPr="00787196">
        <w:rPr>
          <w:rFonts w:ascii="Calibri" w:eastAsia="Times New Roman" w:hAnsi="Calibri" w:cs="Times New Roman"/>
          <w:bCs/>
          <w:sz w:val="12"/>
          <w:szCs w:val="12"/>
        </w:rPr>
        <w:t xml:space="preserve"> </w:t>
      </w:r>
      <w:r w:rsidRPr="00787196">
        <w:rPr>
          <w:rFonts w:ascii="Latha" w:eastAsia="Times New Roman" w:hAnsi="Latha" w:cs="Arial Unicode MS"/>
          <w:bCs/>
          <w:sz w:val="12"/>
          <w:szCs w:val="12"/>
          <w:cs/>
        </w:rPr>
        <w:t>ஏற்படக்கூடிய</w:t>
      </w:r>
      <w:r w:rsidRPr="00787196">
        <w:rPr>
          <w:rFonts w:ascii="Calibri" w:eastAsia="Times New Roman" w:hAnsi="Calibri" w:cs="Times New Roman"/>
          <w:bCs/>
          <w:sz w:val="12"/>
          <w:szCs w:val="12"/>
        </w:rPr>
        <w:t xml:space="preserve">  </w:t>
      </w:r>
      <w:r w:rsidRPr="00787196">
        <w:rPr>
          <w:rFonts w:ascii="Latha" w:eastAsia="Times New Roman" w:hAnsi="Latha" w:cs="Arial Unicode MS"/>
          <w:bCs/>
          <w:sz w:val="12"/>
          <w:szCs w:val="12"/>
          <w:cs/>
        </w:rPr>
        <w:t>பலன்கள் என்ன</w:t>
      </w:r>
      <w:r w:rsidRPr="00787196">
        <w:rPr>
          <w:rFonts w:ascii="Calibri" w:eastAsia="Times New Roman" w:hAnsi="Calibri" w:cs="Times New Roman"/>
          <w:bCs/>
          <w:sz w:val="12"/>
          <w:szCs w:val="12"/>
        </w:rPr>
        <w:t xml:space="preserve">? </w:t>
      </w:r>
    </w:p>
    <w:p w14:paraId="1EAD076D" w14:textId="2C9BD41B" w:rsidR="000D41AC" w:rsidRPr="00787196" w:rsidRDefault="00C95AAC" w:rsidP="008E116F">
      <w:pPr>
        <w:tabs>
          <w:tab w:val="left" w:pos="720"/>
          <w:tab w:val="right" w:pos="9240"/>
        </w:tabs>
        <w:spacing w:before="0" w:after="0"/>
        <w:ind w:right="45"/>
        <w:jc w:val="left"/>
        <w:rPr>
          <w:rFonts w:ascii="Calibri" w:eastAsia="Times New Roman" w:hAnsi="Calibri" w:cs="Times New Roman"/>
          <w:sz w:val="14"/>
          <w:szCs w:val="14"/>
        </w:rPr>
        <w:sectPr w:rsidR="000D41AC" w:rsidRPr="00787196" w:rsidSect="007D1BCD">
          <w:headerReference w:type="default" r:id="rId51"/>
          <w:pgSz w:w="11952" w:h="16848" w:code="9"/>
          <w:pgMar w:top="1134" w:right="1134" w:bottom="1134" w:left="2268" w:header="476" w:footer="1117" w:gutter="0"/>
          <w:cols w:space="720"/>
          <w:noEndnote/>
          <w:docGrid w:linePitch="360"/>
        </w:sectPr>
      </w:pPr>
      <w:r w:rsidRPr="00787196">
        <w:rPr>
          <w:rFonts w:ascii="Calibri" w:eastAsia="Times New Roman" w:hAnsi="Calibri" w:cs="Arial Unicode MS"/>
          <w:sz w:val="12"/>
          <w:szCs w:val="12"/>
          <w:cs/>
        </w:rPr>
        <w:t>இந்த ஆய்வினால் உடனடி அல்லது நேரடிப் பலன்கள் இல்லை</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இருப்பினும்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செயற்கைப் பற்கட்டமைப்பின் வெற்றியினைப் பற்றி நன்கு புரிந்து கொள்ள இந்த ஆய்வு மிகப் பயனுள்ளதாக அமையும்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தங்களைப் போன்றவர்களுக்கு மேலும் சிறந்த வகையில் செயற்கை பற்கட்டமைப்பு மற்றும் பராமரிப்பினை வழங்க எங்களுக்கு</w:t>
      </w:r>
      <w:r w:rsidR="008E116F" w:rsidRPr="00787196">
        <w:rPr>
          <w:rFonts w:ascii="Calibri" w:eastAsia="Times New Roman" w:hAnsi="Calibri" w:cs="Arial Unicode MS" w:hint="cs"/>
          <w:sz w:val="12"/>
          <w:szCs w:val="12"/>
          <w:cs/>
        </w:rPr>
        <w:t xml:space="preserve"> </w:t>
      </w:r>
      <w:r w:rsidRPr="00787196">
        <w:rPr>
          <w:rFonts w:ascii="Calibri" w:eastAsia="Times New Roman" w:hAnsi="Calibri" w:cs="Arial Unicode MS"/>
          <w:sz w:val="12"/>
          <w:szCs w:val="12"/>
          <w:cs/>
        </w:rPr>
        <w:t>உதவும்</w:t>
      </w:r>
      <w:r w:rsidRPr="00787196">
        <w:rPr>
          <w:rFonts w:ascii="Calibri" w:eastAsia="Times New Roman" w:hAnsi="Calibri" w:cs="Times New Roman"/>
          <w:sz w:val="12"/>
          <w:szCs w:val="12"/>
        </w:rPr>
        <w:t>.</w:t>
      </w:r>
      <w:r w:rsidRPr="00787196">
        <w:rPr>
          <w:rFonts w:ascii="Calibri" w:eastAsia="Times New Roman" w:hAnsi="Calibri" w:cs="Times New Roman"/>
          <w:sz w:val="14"/>
          <w:szCs w:val="14"/>
        </w:rPr>
        <w:t xml:space="preserve"> </w:t>
      </w:r>
    </w:p>
    <w:p w14:paraId="6F029771" w14:textId="77777777" w:rsidR="00C95AAC" w:rsidRPr="00787196" w:rsidRDefault="00C95AAC" w:rsidP="00C95AAC">
      <w:pPr>
        <w:tabs>
          <w:tab w:val="left" w:pos="720"/>
          <w:tab w:val="right" w:pos="9240"/>
        </w:tabs>
        <w:spacing w:before="0" w:after="0"/>
        <w:rPr>
          <w:rFonts w:ascii="Calibri" w:eastAsia="Times New Roman" w:hAnsi="Calibri"/>
          <w:sz w:val="14"/>
          <w:szCs w:val="14"/>
          <w:cs/>
        </w:rPr>
      </w:pPr>
    </w:p>
    <w:p w14:paraId="5178C8C1" w14:textId="77777777" w:rsidR="00C95AAC" w:rsidRPr="00787196" w:rsidRDefault="00C95AAC" w:rsidP="00C96B0F">
      <w:pPr>
        <w:tabs>
          <w:tab w:val="left" w:pos="720"/>
          <w:tab w:val="right" w:pos="9240"/>
        </w:tabs>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நீங்கள் இந்த ஆய்வில் பங்கு பெற முடிவு செய்தால்</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வினாத்தொடரினைப் பூர்த்தி செய்ய தாங்கள் அற்பணிக்கும் நேரத்தினை அங்கீகரிக்கும் மற்றும் ஊக்குவிக்கும் விதமாக</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ஒவ்வொரு கட்டத்தின் முடிவில் குலுக்கல் முறையில் தேர்வு செய்து தங்களுக்கு பரிசு வழங்கப்படும்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ஒவ்வொரு கட்டத்தின் முடிவிலும் தாங்கள் குலுக்கல் தேர்வில் சேர்க்கப்படுவீர்கள்</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 xml:space="preserve">சிற்றலை அடுமனை </w:t>
      </w:r>
      <w:r w:rsidRPr="00787196">
        <w:rPr>
          <w:rFonts w:ascii="Calibri" w:eastAsia="Times New Roman" w:hAnsi="Calibri"/>
          <w:sz w:val="12"/>
          <w:szCs w:val="12"/>
          <w:cs/>
        </w:rPr>
        <w:t>(</w:t>
      </w:r>
      <w:r w:rsidRPr="00787196">
        <w:rPr>
          <w:rFonts w:ascii="Calibri" w:eastAsia="Times New Roman" w:hAnsi="Calibri" w:cs="Arial Unicode MS"/>
          <w:sz w:val="12"/>
          <w:szCs w:val="12"/>
          <w:cs/>
        </w:rPr>
        <w:t xml:space="preserve">மைக்ரோவேவ் அவன் </w:t>
      </w:r>
      <w:r w:rsidRPr="00787196">
        <w:rPr>
          <w:rFonts w:ascii="Calibri" w:eastAsia="Times New Roman" w:hAnsi="Calibri"/>
          <w:sz w:val="12"/>
          <w:szCs w:val="12"/>
          <w:cs/>
        </w:rPr>
        <w:t xml:space="preserve">– microwave oven) </w:t>
      </w:r>
      <w:r w:rsidRPr="00787196">
        <w:rPr>
          <w:rFonts w:ascii="Calibri" w:eastAsia="Times New Roman" w:hAnsi="Calibri" w:cs="Arial Unicode MS"/>
          <w:sz w:val="12"/>
          <w:szCs w:val="12"/>
          <w:cs/>
        </w:rPr>
        <w:t xml:space="preserve">மற்றும் உணவு குளிர்சாதனப் பெட்டி </w:t>
      </w:r>
      <w:r w:rsidRPr="00787196">
        <w:rPr>
          <w:rFonts w:ascii="Calibri" w:eastAsia="Times New Roman" w:hAnsi="Calibri"/>
          <w:sz w:val="14"/>
          <w:szCs w:val="14"/>
          <w:cs/>
        </w:rPr>
        <w:t>(Fridge)</w:t>
      </w:r>
      <w:r w:rsidRPr="00787196">
        <w:rPr>
          <w:rFonts w:ascii="Calibri" w:eastAsia="Times New Roman" w:hAnsi="Calibri" w:cs="Arial Unicode MS"/>
          <w:sz w:val="12"/>
          <w:szCs w:val="12"/>
          <w:cs/>
        </w:rPr>
        <w:t xml:space="preserve"> ஆகிய பரிசுகள் இவ்விரு கட்டங்களிலும் முறையே வழங்கப்படும்</w:t>
      </w:r>
      <w:r w:rsidRPr="00787196">
        <w:rPr>
          <w:rFonts w:ascii="Calibri" w:eastAsia="Times New Roman" w:hAnsi="Calibri"/>
          <w:sz w:val="12"/>
          <w:szCs w:val="12"/>
          <w:cs/>
        </w:rPr>
        <w:t xml:space="preserve">. </w:t>
      </w:r>
    </w:p>
    <w:p w14:paraId="21BA73F3" w14:textId="77777777" w:rsidR="00C95AAC" w:rsidRPr="00787196" w:rsidRDefault="00C95AAC" w:rsidP="00C96B0F">
      <w:pPr>
        <w:tabs>
          <w:tab w:val="left" w:pos="720"/>
          <w:tab w:val="right" w:pos="9240"/>
        </w:tabs>
        <w:spacing w:before="0" w:after="0"/>
        <w:ind w:right="45"/>
        <w:rPr>
          <w:rFonts w:ascii="Calibri" w:eastAsia="Times New Roman" w:hAnsi="Calibri"/>
          <w:sz w:val="21"/>
          <w:szCs w:val="18"/>
        </w:rPr>
      </w:pPr>
      <w:r w:rsidRPr="00787196">
        <w:rPr>
          <w:rFonts w:ascii="Calibri" w:eastAsia="Times New Roman" w:hAnsi="Calibri"/>
          <w:sz w:val="21"/>
          <w:szCs w:val="18"/>
          <w:cs/>
        </w:rPr>
        <w:t xml:space="preserve"> </w:t>
      </w:r>
    </w:p>
    <w:p w14:paraId="08FEF0F8" w14:textId="77777777" w:rsidR="00C95AAC" w:rsidRPr="00787196" w:rsidRDefault="00C95AAC" w:rsidP="00C96B0F">
      <w:pPr>
        <w:spacing w:before="0" w:after="0"/>
        <w:ind w:right="45"/>
        <w:rPr>
          <w:rFonts w:ascii="Calibri" w:eastAsia="Times New Roman" w:hAnsi="Calibri" w:cs="Times New Roman"/>
          <w:b/>
          <w:sz w:val="21"/>
          <w:szCs w:val="18"/>
        </w:rPr>
      </w:pPr>
      <w:r w:rsidRPr="00787196">
        <w:rPr>
          <w:rFonts w:ascii="Latha" w:eastAsia="Times New Roman" w:hAnsi="Latha" w:cs="Arial Unicode MS"/>
          <w:b/>
          <w:bCs/>
          <w:sz w:val="12"/>
          <w:szCs w:val="12"/>
          <w:cs/>
        </w:rPr>
        <w:t>நான்</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இந்த</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ஆய்வில்</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பங்கேற்பது</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ரகசியமாக</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வைத்துக்கொள்ளப்படுமா</w:t>
      </w:r>
      <w:r w:rsidRPr="00787196">
        <w:rPr>
          <w:rFonts w:ascii="Calibri" w:eastAsia="Times New Roman" w:hAnsi="Calibri" w:cs="Times New Roman"/>
          <w:b/>
          <w:sz w:val="14"/>
          <w:szCs w:val="18"/>
        </w:rPr>
        <w:t xml:space="preserve"> </w:t>
      </w:r>
      <w:r w:rsidRPr="00787196">
        <w:rPr>
          <w:rFonts w:ascii="Calibri" w:eastAsia="Times New Roman" w:hAnsi="Calibri" w:cs="Times New Roman"/>
          <w:b/>
          <w:sz w:val="21"/>
          <w:szCs w:val="18"/>
        </w:rPr>
        <w:t>?</w:t>
      </w:r>
    </w:p>
    <w:p w14:paraId="376F1CB5" w14:textId="77777777" w:rsidR="00C95AAC" w:rsidRPr="00787196" w:rsidRDefault="00C95AAC" w:rsidP="00C96B0F">
      <w:pPr>
        <w:spacing w:before="0" w:after="0"/>
        <w:ind w:right="45"/>
        <w:rPr>
          <w:rFonts w:ascii="Calibri" w:eastAsia="Times New Roman" w:hAnsi="Calibri" w:cs="Times New Roman"/>
          <w:sz w:val="12"/>
          <w:szCs w:val="12"/>
        </w:rPr>
      </w:pPr>
      <w:r w:rsidRPr="00787196">
        <w:rPr>
          <w:rFonts w:ascii="Calibri" w:eastAsia="Times New Roman" w:hAnsi="Calibri" w:cs="Arial Unicode MS"/>
          <w:sz w:val="12"/>
          <w:szCs w:val="12"/>
          <w:cs/>
        </w:rPr>
        <w:t>தாங்கள் வழங்கும் அனைத்துத் தகவல்களும் மிகக் கவனமான முறையில்</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இரகசியமாகப் பாதுகாக்கப்படும்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தங்களுடைய தனி நபர் வாழ்க்கையினை பாதுகாக்க</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தங்களுடைய பெயர் எந்த ஓரு வினாத்தொடரிலோ ஆய்வின் எப்பகுதியிலும் குறிப்பிடப் பட மாட்டாது</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அதற்குப் பதில் தங்களுக்கென்று ஓர் அடையாள எண் வழங்கப்படும்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அதுவே தங்களை அடையாளம் கண்டு கொள்ளப் பயன்படுத்தப்படும்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தங்கள் பெயர் மற்றும் தங்கள் அடையாள எண்</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தாங்கள் மற்றும் தங்களுடைய ஆய்வாளருக்கு மட்டுமே தெரியும்</w:t>
      </w:r>
      <w:r w:rsidRPr="00787196">
        <w:rPr>
          <w:rFonts w:ascii="Calibri" w:eastAsia="Times New Roman" w:hAnsi="Calibri"/>
          <w:sz w:val="12"/>
          <w:szCs w:val="12"/>
          <w:cs/>
        </w:rPr>
        <w:t xml:space="preserve">.  </w:t>
      </w:r>
    </w:p>
    <w:p w14:paraId="3CAD1196" w14:textId="77777777" w:rsidR="00C95AAC" w:rsidRPr="00787196" w:rsidRDefault="00C95AAC" w:rsidP="00C96B0F">
      <w:pPr>
        <w:spacing w:before="0" w:after="0"/>
        <w:ind w:right="45"/>
        <w:rPr>
          <w:rFonts w:ascii="Calibri" w:eastAsia="Times New Roman" w:hAnsi="Calibri" w:cs="Times New Roman"/>
          <w:b/>
          <w:sz w:val="21"/>
          <w:szCs w:val="18"/>
        </w:rPr>
      </w:pPr>
    </w:p>
    <w:p w14:paraId="56888C6B" w14:textId="77777777" w:rsidR="00C95AAC" w:rsidRPr="00787196" w:rsidRDefault="00C95AAC" w:rsidP="00C96B0F">
      <w:pPr>
        <w:spacing w:before="0" w:after="0"/>
        <w:ind w:right="45"/>
        <w:rPr>
          <w:rFonts w:ascii="Calibri" w:eastAsia="Times New Roman" w:hAnsi="Calibri"/>
          <w:b/>
          <w:sz w:val="12"/>
          <w:szCs w:val="12"/>
          <w:cs/>
        </w:rPr>
      </w:pPr>
      <w:r w:rsidRPr="00787196">
        <w:rPr>
          <w:rFonts w:ascii="Latha" w:eastAsia="Times New Roman" w:hAnsi="Latha" w:cs="Arial Unicode MS"/>
          <w:b/>
          <w:bCs/>
          <w:sz w:val="12"/>
          <w:szCs w:val="12"/>
          <w:cs/>
        </w:rPr>
        <w:t>வேறு</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யாரேனும்</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இந்த</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ஆய்வினை</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சரிபார்த்து</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மேற்கொள்ள</w:t>
      </w:r>
      <w:r w:rsidRPr="00787196">
        <w:rPr>
          <w:rFonts w:ascii="Calibri" w:eastAsia="Times New Roman" w:hAnsi="Calibri" w:cs="Times New Roman"/>
          <w:b/>
          <w:sz w:val="12"/>
          <w:szCs w:val="12"/>
        </w:rPr>
        <w:t xml:space="preserve"> </w:t>
      </w:r>
      <w:r w:rsidRPr="00787196">
        <w:rPr>
          <w:rFonts w:ascii="Latha" w:eastAsia="Times New Roman" w:hAnsi="Latha" w:cs="Arial Unicode MS"/>
          <w:b/>
          <w:bCs/>
          <w:sz w:val="12"/>
          <w:szCs w:val="12"/>
          <w:cs/>
        </w:rPr>
        <w:t>அனுமதித்துள்ளனரா</w:t>
      </w:r>
      <w:r w:rsidRPr="00787196">
        <w:rPr>
          <w:rFonts w:ascii="Calibri" w:eastAsia="Times New Roman" w:hAnsi="Calibri" w:cs="Times New Roman"/>
          <w:b/>
          <w:sz w:val="12"/>
          <w:szCs w:val="12"/>
        </w:rPr>
        <w:t>?</w:t>
      </w:r>
    </w:p>
    <w:p w14:paraId="4F7FD869" w14:textId="77777777" w:rsidR="00C95AAC" w:rsidRPr="00787196" w:rsidRDefault="00C95AAC" w:rsidP="00C96B0F">
      <w:pPr>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இந்த ஆய்வின் உடன்படு நெறிமுறை</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 xml:space="preserve">ஷேப்பீல்டு பல்கலைக்கழகத்தின் ஆராய்ச்சி </w:t>
      </w:r>
      <w:r w:rsidRPr="00787196">
        <w:rPr>
          <w:rFonts w:ascii="Latha" w:eastAsia="Times New Roman" w:hAnsi="Latha" w:cs="Arial Unicode MS"/>
          <w:sz w:val="12"/>
          <w:szCs w:val="12"/>
          <w:cs/>
        </w:rPr>
        <w:t>நன்னெறி செயற்குழுவினால்</w:t>
      </w:r>
      <w:r w:rsidRPr="00787196">
        <w:rPr>
          <w:rFonts w:ascii="Latha" w:eastAsia="Times New Roman" w:hAnsi="Latha"/>
          <w:sz w:val="12"/>
          <w:szCs w:val="12"/>
        </w:rPr>
        <w:t xml:space="preserve"> (University of Sheffield Research Ethics Committee) </w:t>
      </w:r>
      <w:r w:rsidRPr="00787196">
        <w:rPr>
          <w:rFonts w:ascii="Latha" w:eastAsia="Times New Roman" w:hAnsi="Latha" w:cs="Arial Unicode MS"/>
          <w:sz w:val="12"/>
          <w:szCs w:val="12"/>
          <w:cs/>
        </w:rPr>
        <w:t>பரிசீலனை</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செய்யப்பெற்று அங்கீகரிக்கப்பட்டுள்ளது</w:t>
      </w:r>
      <w:r w:rsidRPr="00787196">
        <w:rPr>
          <w:rFonts w:ascii="Latha" w:eastAsia="Times New Roman" w:hAnsi="Latha"/>
          <w:sz w:val="12"/>
          <w:szCs w:val="12"/>
        </w:rPr>
        <w:t>.</w:t>
      </w:r>
      <w:r w:rsidRPr="00787196">
        <w:rPr>
          <w:rFonts w:ascii="Calibri" w:eastAsia="Times New Roman" w:hAnsi="Calibri"/>
          <w:sz w:val="12"/>
          <w:szCs w:val="12"/>
        </w:rPr>
        <w:t xml:space="preserve">  </w:t>
      </w:r>
      <w:r w:rsidRPr="00787196">
        <w:rPr>
          <w:rFonts w:ascii="Latha" w:eastAsia="Times New Roman" w:hAnsi="Latha" w:cs="Arial Unicode MS"/>
          <w:sz w:val="12"/>
          <w:szCs w:val="12"/>
          <w:cs/>
        </w:rPr>
        <w:t>ஸ்ரீ</w:t>
      </w:r>
      <w:r w:rsidRPr="00787196">
        <w:rPr>
          <w:rFonts w:ascii="Calibri" w:eastAsia="Times New Roman" w:hAnsi="Calibri"/>
          <w:sz w:val="12"/>
          <w:szCs w:val="12"/>
        </w:rPr>
        <w:t xml:space="preserve">  </w:t>
      </w:r>
      <w:r w:rsidRPr="00787196">
        <w:rPr>
          <w:rFonts w:ascii="Latha" w:eastAsia="Times New Roman" w:hAnsi="Latha" w:cs="Arial Unicode MS"/>
          <w:sz w:val="12"/>
          <w:szCs w:val="12"/>
          <w:cs/>
        </w:rPr>
        <w:t>ராமச்சந்திரா</w:t>
      </w:r>
      <w:r w:rsidRPr="00787196">
        <w:rPr>
          <w:rFonts w:ascii="Calibri" w:eastAsia="Times New Roman" w:hAnsi="Calibri"/>
          <w:sz w:val="12"/>
          <w:szCs w:val="12"/>
        </w:rPr>
        <w:t xml:space="preserve"> </w:t>
      </w:r>
      <w:r w:rsidRPr="00787196">
        <w:rPr>
          <w:rFonts w:ascii="Latha" w:eastAsia="Times New Roman" w:hAnsi="Latha" w:cs="Arial Unicode MS"/>
          <w:sz w:val="12"/>
          <w:szCs w:val="12"/>
          <w:cs/>
        </w:rPr>
        <w:t>பல்கலைக்கழகத்தின்</w:t>
      </w:r>
      <w:r w:rsidRPr="00787196">
        <w:rPr>
          <w:rFonts w:ascii="Latha" w:eastAsia="Times New Roman" w:hAnsi="Latha"/>
          <w:sz w:val="12"/>
          <w:szCs w:val="12"/>
        </w:rPr>
        <w:t xml:space="preserve"> </w:t>
      </w:r>
      <w:r w:rsidRPr="00787196">
        <w:rPr>
          <w:rFonts w:ascii="Calibri" w:eastAsia="Times New Roman" w:hAnsi="Calibri" w:cs="Arial Unicode MS"/>
          <w:sz w:val="12"/>
          <w:szCs w:val="12"/>
          <w:cs/>
        </w:rPr>
        <w:t xml:space="preserve">ஆராய்ச்சி </w:t>
      </w:r>
      <w:r w:rsidRPr="00787196">
        <w:rPr>
          <w:rFonts w:ascii="Latha" w:eastAsia="Times New Roman" w:hAnsi="Latha" w:cs="Arial Unicode MS"/>
          <w:sz w:val="12"/>
          <w:szCs w:val="12"/>
          <w:cs/>
        </w:rPr>
        <w:t>நன்னெறி</w:t>
      </w:r>
      <w:r w:rsidRPr="00787196">
        <w:rPr>
          <w:rFonts w:ascii="Latha" w:eastAsia="Times New Roman" w:hAnsi="Latha"/>
          <w:sz w:val="12"/>
          <w:szCs w:val="12"/>
        </w:rPr>
        <w:t xml:space="preserve"> </w:t>
      </w:r>
      <w:r w:rsidRPr="00787196">
        <w:rPr>
          <w:rFonts w:ascii="Latha" w:eastAsia="Times New Roman" w:hAnsi="Latha" w:cs="Arial Unicode MS"/>
          <w:sz w:val="12"/>
          <w:szCs w:val="12"/>
          <w:cs/>
        </w:rPr>
        <w:t>செயற்குழுவும் இந்த ஆராய்ச்சியினை அவர்களுடைய பல்கலைக்கழகத்தில் மேற்கொள்ள அனுமதி வழங்கியுள்ளனர்</w:t>
      </w:r>
      <w:r w:rsidRPr="00787196">
        <w:rPr>
          <w:rFonts w:ascii="Latha" w:eastAsia="Times New Roman" w:hAnsi="Latha"/>
          <w:sz w:val="12"/>
          <w:szCs w:val="12"/>
        </w:rPr>
        <w:t>.</w:t>
      </w:r>
      <w:r w:rsidRPr="00787196">
        <w:rPr>
          <w:rFonts w:ascii="Calibri" w:eastAsia="Times New Roman" w:hAnsi="Calibri" w:cs="Times New Roman"/>
          <w:sz w:val="12"/>
          <w:szCs w:val="12"/>
        </w:rPr>
        <w:t xml:space="preserve"> </w:t>
      </w:r>
    </w:p>
    <w:p w14:paraId="769E116D" w14:textId="77777777" w:rsidR="00C95AAC" w:rsidRPr="00787196" w:rsidRDefault="00C95AAC" w:rsidP="00C96B0F">
      <w:pPr>
        <w:spacing w:before="0" w:after="0"/>
        <w:ind w:right="45"/>
        <w:rPr>
          <w:rFonts w:ascii="Calibri" w:eastAsia="Times New Roman" w:hAnsi="Calibri"/>
          <w:sz w:val="12"/>
          <w:szCs w:val="12"/>
          <w:cs/>
        </w:rPr>
      </w:pPr>
    </w:p>
    <w:p w14:paraId="290F8845" w14:textId="77777777" w:rsidR="00C95AAC" w:rsidRPr="00787196" w:rsidRDefault="00C95AAC" w:rsidP="00C96B0F">
      <w:pPr>
        <w:spacing w:before="0" w:after="0"/>
        <w:ind w:right="45"/>
        <w:rPr>
          <w:rFonts w:ascii="Calibri" w:eastAsia="Times New Roman" w:hAnsi="Calibri" w:cs="Times New Roman"/>
          <w:b/>
          <w:bCs/>
          <w:sz w:val="12"/>
          <w:szCs w:val="12"/>
        </w:rPr>
      </w:pPr>
      <w:r w:rsidRPr="00787196">
        <w:rPr>
          <w:rFonts w:ascii="Latha" w:eastAsia="Times New Roman" w:hAnsi="Latha" w:cs="Arial Unicode MS"/>
          <w:b/>
          <w:bCs/>
          <w:sz w:val="12"/>
          <w:szCs w:val="12"/>
          <w:cs/>
        </w:rPr>
        <w:t>இந்த</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ஆய்வு</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மேற்கொள்ளப்படும்</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விதம்</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குறித்துப்</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புகார்</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கொடுக்க</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எண்ணினால்</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நான்</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என்ன</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செய்ய</w:t>
      </w:r>
      <w:r w:rsidRPr="00787196">
        <w:rPr>
          <w:rFonts w:ascii="Calibri" w:eastAsia="Times New Roman" w:hAnsi="Calibri" w:cs="Times New Roman"/>
          <w:b/>
          <w:bCs/>
          <w:sz w:val="12"/>
          <w:szCs w:val="12"/>
        </w:rPr>
        <w:t xml:space="preserve"> </w:t>
      </w:r>
      <w:r w:rsidRPr="00787196">
        <w:rPr>
          <w:rFonts w:ascii="Latha" w:eastAsia="Times New Roman" w:hAnsi="Latha" w:cs="Arial Unicode MS"/>
          <w:b/>
          <w:bCs/>
          <w:sz w:val="12"/>
          <w:szCs w:val="12"/>
          <w:cs/>
        </w:rPr>
        <w:t>வேண்டும்</w:t>
      </w:r>
      <w:r w:rsidRPr="00787196">
        <w:rPr>
          <w:rFonts w:ascii="Calibri" w:eastAsia="Times New Roman" w:hAnsi="Calibri" w:cs="Times New Roman"/>
          <w:b/>
          <w:bCs/>
          <w:sz w:val="12"/>
          <w:szCs w:val="12"/>
        </w:rPr>
        <w:t>?</w:t>
      </w:r>
    </w:p>
    <w:p w14:paraId="53EB9AB4" w14:textId="77777777" w:rsidR="00620E02" w:rsidRPr="00787196" w:rsidRDefault="00C95AAC" w:rsidP="00C96B0F">
      <w:pPr>
        <w:spacing w:before="0" w:after="0"/>
        <w:ind w:right="45"/>
        <w:rPr>
          <w:rFonts w:ascii="Calibri" w:eastAsia="Times New Roman" w:hAnsi="Calibri"/>
          <w:sz w:val="12"/>
          <w:szCs w:val="12"/>
        </w:rPr>
      </w:pPr>
      <w:r w:rsidRPr="00787196">
        <w:rPr>
          <w:rFonts w:ascii="Calibri" w:eastAsia="Times New Roman" w:hAnsi="Calibri" w:cs="Arial Unicode MS"/>
          <w:sz w:val="12"/>
          <w:szCs w:val="12"/>
          <w:cs/>
        </w:rPr>
        <w:t>தாங்கள் அணுகப்படும் விதம் குறித்தோ அல்லது இந்த ஆராய்ச்சியின் பொழுது நடத்தப்படும் விதம் குறித்தோ ஏதேனும் புகார் தெரிவிக்க வேண்டுமெனில் பின்வரும் தொடர்புகளை தயவு செய்து அணுகவும்</w:t>
      </w:r>
      <w:r w:rsidRPr="00787196">
        <w:rPr>
          <w:rFonts w:ascii="Calibri" w:eastAsia="Times New Roman" w:hAnsi="Calibri"/>
          <w:sz w:val="12"/>
          <w:szCs w:val="12"/>
          <w:cs/>
        </w:rPr>
        <w:t>.</w:t>
      </w:r>
    </w:p>
    <w:p w14:paraId="109ACADA" w14:textId="77777777" w:rsidR="00620E02" w:rsidRPr="00787196" w:rsidRDefault="00620E02" w:rsidP="00C96B0F">
      <w:pPr>
        <w:spacing w:before="0" w:after="0"/>
        <w:ind w:right="45"/>
        <w:rPr>
          <w:rFonts w:ascii="Calibri" w:eastAsia="Times New Roman" w:hAnsi="Calibri"/>
          <w:sz w:val="14"/>
          <w:szCs w:val="14"/>
        </w:rPr>
      </w:pPr>
    </w:p>
    <w:p w14:paraId="1D64D069" w14:textId="77777777" w:rsidR="00C95AAC" w:rsidRPr="00787196" w:rsidRDefault="00C95AAC" w:rsidP="00C96B0F">
      <w:pPr>
        <w:spacing w:before="0" w:after="0"/>
        <w:ind w:right="45"/>
        <w:rPr>
          <w:rFonts w:ascii="Calibri" w:eastAsia="Times New Roman" w:hAnsi="Calibri"/>
          <w:sz w:val="14"/>
          <w:szCs w:val="14"/>
          <w:cs/>
        </w:rPr>
      </w:pPr>
      <w:r w:rsidRPr="00787196">
        <w:rPr>
          <w:rFonts w:ascii="Calibri" w:eastAsia="Times New Roman" w:hAnsi="Calibri" w:cs="Arial Unicode MS"/>
          <w:sz w:val="14"/>
          <w:szCs w:val="14"/>
          <w:cs/>
        </w:rPr>
        <w:t>திரு</w:t>
      </w:r>
      <w:r w:rsidRPr="00787196">
        <w:rPr>
          <w:rFonts w:ascii="Calibri" w:eastAsia="Times New Roman" w:hAnsi="Calibri"/>
          <w:sz w:val="14"/>
          <w:szCs w:val="14"/>
          <w:cs/>
        </w:rPr>
        <w:t>.</w:t>
      </w:r>
      <w:r w:rsidRPr="00787196">
        <w:rPr>
          <w:rFonts w:ascii="Calibri" w:eastAsia="Times New Roman" w:hAnsi="Calibri" w:cs="Arial Unicode MS"/>
          <w:sz w:val="14"/>
          <w:szCs w:val="14"/>
          <w:cs/>
        </w:rPr>
        <w:t>கார்த்திக் பெரியகருப்பையா</w:t>
      </w:r>
    </w:p>
    <w:p w14:paraId="3F9BFD00" w14:textId="77777777" w:rsidR="00C95AAC" w:rsidRPr="00787196" w:rsidRDefault="00C95AAC" w:rsidP="00C96B0F">
      <w:pPr>
        <w:spacing w:before="0" w:after="0"/>
        <w:ind w:right="45"/>
        <w:rPr>
          <w:rFonts w:ascii="Calibri" w:eastAsia="Times New Roman" w:hAnsi="Calibri"/>
          <w:sz w:val="14"/>
          <w:szCs w:val="14"/>
        </w:rPr>
      </w:pPr>
      <w:r w:rsidRPr="00787196">
        <w:rPr>
          <w:rFonts w:ascii="Calibri" w:eastAsia="Times New Roman" w:hAnsi="Calibri" w:cs="Arial Unicode MS"/>
          <w:sz w:val="14"/>
          <w:szCs w:val="14"/>
          <w:cs/>
        </w:rPr>
        <w:t>தொலைபேசி எண்</w:t>
      </w:r>
      <w:r w:rsidRPr="00787196">
        <w:rPr>
          <w:rFonts w:ascii="Calibri" w:eastAsia="Times New Roman" w:hAnsi="Calibri"/>
          <w:sz w:val="14"/>
          <w:szCs w:val="14"/>
          <w:cs/>
        </w:rPr>
        <w:t xml:space="preserve">: +91 </w:t>
      </w:r>
      <w:r w:rsidRPr="00787196">
        <w:rPr>
          <w:rFonts w:ascii="Calibri" w:eastAsia="Times New Roman" w:hAnsi="Calibri"/>
          <w:sz w:val="14"/>
          <w:szCs w:val="14"/>
        </w:rPr>
        <w:t>9791180582</w:t>
      </w:r>
    </w:p>
    <w:p w14:paraId="576DB2E9" w14:textId="77777777" w:rsidR="008E116F" w:rsidRPr="00787196" w:rsidRDefault="00C95AAC" w:rsidP="00C96B0F">
      <w:pPr>
        <w:spacing w:before="0" w:after="0"/>
        <w:ind w:right="45"/>
        <w:rPr>
          <w:rFonts w:ascii="Latha" w:eastAsia="Times New Roman" w:hAnsi="Latha"/>
          <w:sz w:val="14"/>
          <w:szCs w:val="14"/>
        </w:rPr>
      </w:pPr>
      <w:r w:rsidRPr="00787196">
        <w:rPr>
          <w:rFonts w:ascii="Latha" w:eastAsia="Times New Roman" w:hAnsi="Latha" w:cs="Arial Unicode MS"/>
          <w:sz w:val="14"/>
          <w:szCs w:val="14"/>
          <w:cs/>
        </w:rPr>
        <w:t>மின்னஞ்சல்</w:t>
      </w:r>
      <w:r w:rsidRPr="00787196">
        <w:rPr>
          <w:rFonts w:ascii="Latha" w:eastAsia="Times New Roman" w:hAnsi="Latha"/>
          <w:sz w:val="14"/>
          <w:szCs w:val="14"/>
          <w:cs/>
        </w:rPr>
        <w:t xml:space="preserve">: </w:t>
      </w:r>
      <w:hyperlink r:id="rId52" w:history="1">
        <w:r w:rsidR="008E116F" w:rsidRPr="00787196">
          <w:rPr>
            <w:rStyle w:val="Hyperlink"/>
            <w:rFonts w:ascii="Latha" w:eastAsia="Times New Roman" w:hAnsi="Latha"/>
            <w:sz w:val="14"/>
            <w:szCs w:val="14"/>
          </w:rPr>
          <w:t>k.periyakaruppiah@sheffield.ac.uk</w:t>
        </w:r>
      </w:hyperlink>
      <w:r w:rsidR="008E116F" w:rsidRPr="00787196">
        <w:rPr>
          <w:rFonts w:ascii="Latha" w:eastAsia="Times New Roman" w:hAnsi="Latha" w:hint="cs"/>
          <w:sz w:val="14"/>
          <w:szCs w:val="14"/>
          <w:cs/>
        </w:rPr>
        <w:t xml:space="preserve"> </w:t>
      </w:r>
    </w:p>
    <w:p w14:paraId="0601CFD9" w14:textId="77777777" w:rsidR="008E116F" w:rsidRPr="00787196" w:rsidRDefault="008E116F" w:rsidP="00C96B0F">
      <w:pPr>
        <w:spacing w:before="0" w:after="0"/>
        <w:ind w:right="45"/>
        <w:rPr>
          <w:rFonts w:ascii="Latha" w:eastAsia="Times New Roman" w:hAnsi="Latha"/>
          <w:sz w:val="14"/>
          <w:szCs w:val="14"/>
        </w:rPr>
      </w:pPr>
    </w:p>
    <w:p w14:paraId="0797397B" w14:textId="2675887C" w:rsidR="00C95AAC" w:rsidRPr="00787196" w:rsidRDefault="00C95AAC" w:rsidP="00C96B0F">
      <w:pPr>
        <w:spacing w:before="0" w:after="0"/>
        <w:ind w:right="45"/>
        <w:rPr>
          <w:rFonts w:ascii="Latha" w:eastAsia="Times New Roman" w:hAnsi="Latha"/>
          <w:b/>
          <w:bCs/>
          <w:sz w:val="12"/>
          <w:szCs w:val="12"/>
          <w:rtl/>
          <w:cs/>
        </w:rPr>
      </w:pPr>
      <w:r w:rsidRPr="00787196">
        <w:rPr>
          <w:rFonts w:ascii="Calibri" w:eastAsia="Times New Roman" w:hAnsi="Calibri" w:cs="Arial Unicode MS"/>
          <w:b/>
          <w:bCs/>
          <w:sz w:val="12"/>
          <w:szCs w:val="12"/>
          <w:cs/>
        </w:rPr>
        <w:t>செஃப்பீல்டு பல்கலைக்கழகத் தொடர்பு</w:t>
      </w:r>
      <w:r w:rsidRPr="00787196">
        <w:rPr>
          <w:rFonts w:ascii="Calibri" w:eastAsia="Times New Roman" w:hAnsi="Calibri"/>
          <w:b/>
          <w:bCs/>
          <w:sz w:val="12"/>
          <w:szCs w:val="12"/>
          <w:cs/>
        </w:rPr>
        <w:t>:</w:t>
      </w:r>
    </w:p>
    <w:p w14:paraId="4F84E95E" w14:textId="77777777" w:rsidR="00C95AAC" w:rsidRPr="00787196" w:rsidRDefault="00C95AAC" w:rsidP="00C96B0F">
      <w:pPr>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பேராசிரியர்</w:t>
      </w:r>
      <w:r w:rsidRPr="00787196">
        <w:rPr>
          <w:rFonts w:ascii="Calibri" w:eastAsia="Times New Roman" w:hAnsi="Calibri"/>
          <w:sz w:val="12"/>
          <w:szCs w:val="12"/>
          <w:cs/>
        </w:rPr>
        <w:t>.</w:t>
      </w:r>
      <w:r w:rsidRPr="00787196">
        <w:rPr>
          <w:rFonts w:ascii="Calibri" w:eastAsia="Times New Roman" w:hAnsi="Calibri" w:cs="Arial Unicode MS"/>
          <w:sz w:val="12"/>
          <w:szCs w:val="12"/>
          <w:cs/>
        </w:rPr>
        <w:t>திரு</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பீட்டர்</w:t>
      </w:r>
      <w:r w:rsidRPr="00787196">
        <w:rPr>
          <w:rFonts w:ascii="Calibri" w:eastAsia="Times New Roman" w:hAnsi="Calibri"/>
          <w:sz w:val="12"/>
          <w:szCs w:val="12"/>
          <w:cs/>
        </w:rPr>
        <w:t>.</w:t>
      </w:r>
      <w:r w:rsidRPr="00787196">
        <w:rPr>
          <w:rFonts w:ascii="Calibri" w:eastAsia="Times New Roman" w:hAnsi="Calibri" w:cs="Arial Unicode MS"/>
          <w:sz w:val="12"/>
          <w:szCs w:val="12"/>
          <w:cs/>
        </w:rPr>
        <w:t>ஜி</w:t>
      </w:r>
      <w:r w:rsidRPr="00787196">
        <w:rPr>
          <w:rFonts w:ascii="Calibri" w:eastAsia="Times New Roman" w:hAnsi="Calibri"/>
          <w:sz w:val="12"/>
          <w:szCs w:val="12"/>
          <w:cs/>
        </w:rPr>
        <w:t>.</w:t>
      </w:r>
      <w:r w:rsidRPr="00787196">
        <w:rPr>
          <w:rFonts w:ascii="Calibri" w:eastAsia="Times New Roman" w:hAnsi="Calibri" w:cs="Arial Unicode MS"/>
          <w:sz w:val="12"/>
          <w:szCs w:val="12"/>
          <w:cs/>
        </w:rPr>
        <w:t>ராபின்சன்</w:t>
      </w:r>
    </w:p>
    <w:p w14:paraId="38F99224" w14:textId="77777777" w:rsidR="00C95AAC" w:rsidRPr="00787196" w:rsidRDefault="00C95AAC" w:rsidP="00C96B0F">
      <w:pPr>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தலைமை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பல் சார்ந்த பொதுநலக் கல்வி சார் பிரிவு</w:t>
      </w:r>
    </w:p>
    <w:p w14:paraId="5968447F" w14:textId="77777777" w:rsidR="00C95AAC" w:rsidRPr="00787196" w:rsidRDefault="00C95AAC" w:rsidP="00C96B0F">
      <w:pPr>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பல் மருத்துவப் பள்ளி</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செஃப்பீல்டு பல்கலைக்கழகம்</w:t>
      </w:r>
      <w:r w:rsidRPr="00787196">
        <w:rPr>
          <w:rFonts w:ascii="Calibri" w:eastAsia="Times New Roman" w:hAnsi="Calibri"/>
          <w:sz w:val="12"/>
          <w:szCs w:val="12"/>
          <w:cs/>
        </w:rPr>
        <w:t>,</w:t>
      </w:r>
    </w:p>
    <w:p w14:paraId="101898AD" w14:textId="77777777" w:rsidR="00C95AAC" w:rsidRPr="00787196" w:rsidRDefault="00C95AAC" w:rsidP="00C96B0F">
      <w:pPr>
        <w:spacing w:before="0" w:after="0"/>
        <w:ind w:right="45"/>
        <w:rPr>
          <w:rFonts w:ascii="Calibri" w:eastAsia="Times New Roman" w:hAnsi="Calibri"/>
          <w:sz w:val="12"/>
          <w:szCs w:val="12"/>
          <w:cs/>
        </w:rPr>
      </w:pPr>
      <w:r w:rsidRPr="00787196">
        <w:rPr>
          <w:rFonts w:ascii="Calibri" w:eastAsia="Times New Roman" w:hAnsi="Calibri" w:cs="Arial Unicode MS"/>
          <w:sz w:val="12"/>
          <w:szCs w:val="12"/>
          <w:cs/>
        </w:rPr>
        <w:t>கிளேர்மொன்ட் கிரெசன்ட்</w:t>
      </w:r>
    </w:p>
    <w:p w14:paraId="1AA5E4D7" w14:textId="77777777" w:rsidR="00C95AAC" w:rsidRPr="00787196" w:rsidRDefault="00C95AAC" w:rsidP="00C96B0F">
      <w:pPr>
        <w:spacing w:before="0" w:after="0"/>
        <w:ind w:right="45"/>
        <w:rPr>
          <w:rFonts w:ascii="Latha" w:eastAsia="Times New Roman" w:hAnsi="Latha"/>
          <w:bCs/>
          <w:sz w:val="12"/>
          <w:szCs w:val="12"/>
        </w:rPr>
      </w:pPr>
      <w:r w:rsidRPr="00787196">
        <w:rPr>
          <w:rFonts w:ascii="Calibri" w:eastAsia="Times New Roman" w:hAnsi="Calibri" w:cs="Arial Unicode MS"/>
          <w:sz w:val="12"/>
          <w:szCs w:val="12"/>
          <w:cs/>
        </w:rPr>
        <w:t>செஃப்பீல்டு</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 xml:space="preserve">யுனைடெட் கிங்டம் </w:t>
      </w:r>
      <w:r w:rsidRPr="00787196">
        <w:rPr>
          <w:rFonts w:ascii="Latha" w:eastAsia="Times New Roman" w:hAnsi="Latha"/>
          <w:bCs/>
          <w:sz w:val="12"/>
          <w:szCs w:val="12"/>
        </w:rPr>
        <w:t>S10 2TA</w:t>
      </w:r>
    </w:p>
    <w:p w14:paraId="6948C439" w14:textId="77777777" w:rsidR="00C95AAC" w:rsidRPr="00787196" w:rsidRDefault="00C95AAC" w:rsidP="00C96B0F">
      <w:pPr>
        <w:spacing w:before="0" w:after="0"/>
        <w:ind w:right="45"/>
        <w:rPr>
          <w:rFonts w:ascii="Latha" w:eastAsia="Times New Roman" w:hAnsi="Latha"/>
          <w:bCs/>
          <w:sz w:val="12"/>
          <w:szCs w:val="12"/>
        </w:rPr>
      </w:pPr>
      <w:r w:rsidRPr="00787196">
        <w:rPr>
          <w:rFonts w:ascii="Calibri" w:eastAsia="Times New Roman" w:hAnsi="Calibri" w:cs="Arial Unicode MS"/>
          <w:sz w:val="12"/>
          <w:szCs w:val="12"/>
          <w:cs/>
        </w:rPr>
        <w:t xml:space="preserve">தொலைபேசி </w:t>
      </w:r>
      <w:r w:rsidRPr="00787196">
        <w:rPr>
          <w:rFonts w:ascii="Latha" w:eastAsia="Times New Roman" w:hAnsi="Latha"/>
          <w:bCs/>
          <w:sz w:val="12"/>
          <w:szCs w:val="12"/>
        </w:rPr>
        <w:t xml:space="preserve"> +(00)44 114 2717885</w:t>
      </w:r>
    </w:p>
    <w:p w14:paraId="279CC0C9" w14:textId="77777777" w:rsidR="00C95AAC" w:rsidRPr="00787196" w:rsidRDefault="00C95AAC" w:rsidP="00C96B0F">
      <w:pPr>
        <w:spacing w:before="0" w:after="0"/>
        <w:ind w:right="45"/>
        <w:rPr>
          <w:rFonts w:ascii="Latha" w:eastAsia="Times New Roman" w:hAnsi="Latha"/>
          <w:bCs/>
          <w:sz w:val="12"/>
          <w:szCs w:val="12"/>
        </w:rPr>
      </w:pPr>
      <w:r w:rsidRPr="00787196">
        <w:rPr>
          <w:rFonts w:ascii="Calibri" w:eastAsia="Times New Roman" w:hAnsi="Calibri" w:cs="Arial Unicode MS"/>
          <w:sz w:val="12"/>
          <w:szCs w:val="12"/>
          <w:cs/>
        </w:rPr>
        <w:t>மின்னஞ்சல்</w:t>
      </w:r>
      <w:r w:rsidRPr="00787196">
        <w:rPr>
          <w:rFonts w:ascii="Calibri" w:eastAsia="Times New Roman" w:hAnsi="Calibri"/>
          <w:sz w:val="12"/>
          <w:szCs w:val="12"/>
          <w:cs/>
        </w:rPr>
        <w:t>:</w:t>
      </w:r>
      <w:r w:rsidRPr="00787196">
        <w:rPr>
          <w:rFonts w:ascii="Latha" w:eastAsia="Times New Roman" w:hAnsi="Latha"/>
          <w:bCs/>
          <w:sz w:val="12"/>
          <w:szCs w:val="12"/>
        </w:rPr>
        <w:t xml:space="preserve"> </w:t>
      </w:r>
      <w:hyperlink r:id="rId53" w:history="1">
        <w:r w:rsidR="00620E02" w:rsidRPr="00787196">
          <w:rPr>
            <w:rStyle w:val="Hyperlink"/>
            <w:rFonts w:ascii="Latha" w:eastAsia="Times New Roman" w:hAnsi="Latha"/>
            <w:bCs/>
            <w:sz w:val="12"/>
            <w:szCs w:val="12"/>
          </w:rPr>
          <w:t>peter.g.robinson@sheffield.ac.uk</w:t>
        </w:r>
      </w:hyperlink>
    </w:p>
    <w:p w14:paraId="259B71E9" w14:textId="77777777" w:rsidR="008E116F" w:rsidRPr="00787196" w:rsidRDefault="008E116F" w:rsidP="00C96B0F">
      <w:pPr>
        <w:spacing w:before="0" w:after="0"/>
        <w:ind w:right="45"/>
        <w:rPr>
          <w:rFonts w:ascii="Latha" w:eastAsia="Times New Roman" w:hAnsi="Latha" w:cs="Arial Unicode MS"/>
          <w:sz w:val="12"/>
          <w:szCs w:val="12"/>
        </w:rPr>
      </w:pPr>
    </w:p>
    <w:p w14:paraId="439C9F15" w14:textId="77777777" w:rsidR="00620E02" w:rsidRPr="00787196" w:rsidRDefault="00620E02" w:rsidP="00C96B0F">
      <w:pPr>
        <w:spacing w:before="0" w:after="0"/>
        <w:ind w:right="45"/>
        <w:rPr>
          <w:rFonts w:ascii="Latha" w:eastAsia="Times New Roman" w:hAnsi="Latha"/>
          <w:sz w:val="12"/>
          <w:szCs w:val="12"/>
        </w:rPr>
      </w:pPr>
      <w:r w:rsidRPr="00787196">
        <w:rPr>
          <w:rFonts w:ascii="Latha" w:eastAsia="Times New Roman" w:hAnsi="Latha" w:cs="Arial Unicode MS"/>
          <w:sz w:val="12"/>
          <w:szCs w:val="12"/>
          <w:cs/>
        </w:rPr>
        <w:t>இராமச்சந்திரா பல்கலைகழகத் தொடர்பு</w:t>
      </w:r>
      <w:r w:rsidRPr="00787196">
        <w:rPr>
          <w:rFonts w:ascii="Latha" w:eastAsia="Times New Roman" w:hAnsi="Latha"/>
          <w:sz w:val="12"/>
          <w:szCs w:val="12"/>
          <w:cs/>
        </w:rPr>
        <w:t>:</w:t>
      </w:r>
    </w:p>
    <w:p w14:paraId="6A8FCE14" w14:textId="77777777" w:rsidR="00620E02" w:rsidRPr="00787196" w:rsidRDefault="00620E02" w:rsidP="00C96B0F">
      <w:pPr>
        <w:spacing w:before="0" w:after="0"/>
        <w:ind w:right="45"/>
        <w:rPr>
          <w:rFonts w:ascii="Latha" w:eastAsia="Times New Roman" w:hAnsi="Latha"/>
          <w:sz w:val="12"/>
          <w:szCs w:val="12"/>
          <w:cs/>
        </w:rPr>
      </w:pPr>
      <w:r w:rsidRPr="00787196">
        <w:rPr>
          <w:rFonts w:ascii="Latha" w:eastAsia="Times New Roman" w:hAnsi="Latha" w:cs="Arial Unicode MS"/>
          <w:sz w:val="12"/>
          <w:szCs w:val="12"/>
          <w:cs/>
        </w:rPr>
        <w:t>பேராசிரியர்</w:t>
      </w:r>
      <w:r w:rsidRPr="00787196">
        <w:rPr>
          <w:rFonts w:ascii="Latha" w:eastAsia="Times New Roman" w:hAnsi="Latha"/>
          <w:sz w:val="12"/>
          <w:szCs w:val="12"/>
          <w:cs/>
        </w:rPr>
        <w:t xml:space="preserve">. </w:t>
      </w:r>
      <w:r w:rsidRPr="00787196">
        <w:rPr>
          <w:rFonts w:ascii="Latha" w:eastAsia="Times New Roman" w:hAnsi="Latha" w:cs="Arial Unicode MS"/>
          <w:sz w:val="12"/>
          <w:szCs w:val="12"/>
          <w:cs/>
        </w:rPr>
        <w:t xml:space="preserve">திரு </w:t>
      </w:r>
      <w:r w:rsidRPr="00787196">
        <w:rPr>
          <w:rFonts w:ascii="Latha" w:eastAsia="Times New Roman" w:hAnsi="Latha"/>
          <w:sz w:val="12"/>
          <w:szCs w:val="12"/>
          <w:cs/>
        </w:rPr>
        <w:t>.</w:t>
      </w:r>
      <w:r w:rsidRPr="00787196">
        <w:rPr>
          <w:rFonts w:ascii="Latha" w:eastAsia="Times New Roman" w:hAnsi="Latha" w:cs="Arial Unicode MS"/>
          <w:sz w:val="12"/>
          <w:szCs w:val="12"/>
          <w:cs/>
        </w:rPr>
        <w:t>தல்லம் வீரவல்லி பத்மநாபன்</w:t>
      </w:r>
    </w:p>
    <w:p w14:paraId="29E1D339" w14:textId="77777777" w:rsidR="00620E02" w:rsidRPr="00787196" w:rsidRDefault="00620E02" w:rsidP="00C96B0F">
      <w:pPr>
        <w:spacing w:before="0" w:after="0"/>
        <w:ind w:right="45"/>
        <w:rPr>
          <w:rFonts w:ascii="Calibri" w:eastAsia="Times New Roman" w:hAnsi="Calibri"/>
          <w:sz w:val="12"/>
          <w:szCs w:val="12"/>
        </w:rPr>
      </w:pPr>
      <w:r w:rsidRPr="00787196">
        <w:rPr>
          <w:rFonts w:ascii="Calibri" w:eastAsia="Times New Roman" w:hAnsi="Calibri" w:cs="Arial Unicode MS"/>
          <w:sz w:val="12"/>
          <w:szCs w:val="12"/>
          <w:cs/>
        </w:rPr>
        <w:t>தலைமை</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செயற்கைப் பற்கட்டமைப்புத் துறை</w:t>
      </w:r>
    </w:p>
    <w:p w14:paraId="5770F225" w14:textId="77777777" w:rsidR="00620E02" w:rsidRPr="00787196" w:rsidRDefault="00620E02" w:rsidP="00C96B0F">
      <w:pPr>
        <w:spacing w:before="0" w:after="0"/>
        <w:ind w:right="45"/>
        <w:rPr>
          <w:rFonts w:ascii="Calibri" w:eastAsia="Times New Roman" w:hAnsi="Calibri"/>
          <w:sz w:val="12"/>
          <w:szCs w:val="12"/>
        </w:rPr>
      </w:pPr>
      <w:r w:rsidRPr="00787196">
        <w:rPr>
          <w:rFonts w:ascii="Calibri" w:eastAsia="Times New Roman" w:hAnsi="Calibri" w:cs="Arial Unicode MS"/>
          <w:sz w:val="12"/>
          <w:szCs w:val="12"/>
          <w:cs/>
        </w:rPr>
        <w:t xml:space="preserve">ஸ்ரீ இராமச்சந்திரா பல் மருத்துவக் கல்லூரி </w:t>
      </w:r>
      <w:r w:rsidRPr="00787196">
        <w:rPr>
          <w:rFonts w:ascii="Calibri" w:eastAsia="Times New Roman" w:hAnsi="Calibri"/>
          <w:sz w:val="12"/>
          <w:szCs w:val="12"/>
          <w:cs/>
        </w:rPr>
        <w:t xml:space="preserve">&amp; </w:t>
      </w:r>
      <w:r w:rsidRPr="00787196">
        <w:rPr>
          <w:rFonts w:ascii="Calibri" w:eastAsia="Times New Roman" w:hAnsi="Calibri" w:cs="Arial Unicode MS"/>
          <w:sz w:val="12"/>
          <w:szCs w:val="12"/>
          <w:cs/>
        </w:rPr>
        <w:t>மருத்துவமனை</w:t>
      </w:r>
      <w:r w:rsidRPr="00787196">
        <w:rPr>
          <w:rFonts w:ascii="Calibri" w:eastAsia="Times New Roman" w:hAnsi="Calibri"/>
          <w:sz w:val="12"/>
          <w:szCs w:val="12"/>
          <w:cs/>
        </w:rPr>
        <w:t>,</w:t>
      </w:r>
    </w:p>
    <w:p w14:paraId="23065760" w14:textId="77777777" w:rsidR="00620E02" w:rsidRPr="00787196" w:rsidRDefault="00620E02" w:rsidP="00C96B0F">
      <w:pPr>
        <w:spacing w:before="0" w:after="0"/>
        <w:ind w:right="45"/>
        <w:rPr>
          <w:rFonts w:ascii="Calibri" w:eastAsia="Times New Roman" w:hAnsi="Calibri"/>
          <w:sz w:val="12"/>
          <w:szCs w:val="12"/>
        </w:rPr>
      </w:pPr>
      <w:r w:rsidRPr="00787196">
        <w:rPr>
          <w:rFonts w:ascii="Calibri" w:eastAsia="Times New Roman" w:hAnsi="Calibri" w:cs="Arial Unicode MS"/>
          <w:sz w:val="12"/>
          <w:szCs w:val="12"/>
          <w:cs/>
        </w:rPr>
        <w:t>போரூர்</w:t>
      </w:r>
      <w:r w:rsidRPr="00787196">
        <w:rPr>
          <w:rFonts w:ascii="Calibri" w:eastAsia="Times New Roman" w:hAnsi="Calibri"/>
          <w:sz w:val="12"/>
          <w:szCs w:val="12"/>
          <w:cs/>
        </w:rPr>
        <w:t xml:space="preserve">, </w:t>
      </w:r>
      <w:r w:rsidRPr="00787196">
        <w:rPr>
          <w:rFonts w:ascii="Calibri" w:eastAsia="Times New Roman" w:hAnsi="Calibri" w:cs="Arial Unicode MS"/>
          <w:sz w:val="12"/>
          <w:szCs w:val="12"/>
          <w:cs/>
        </w:rPr>
        <w:t>சென்னை</w:t>
      </w:r>
    </w:p>
    <w:p w14:paraId="4552C0DC" w14:textId="77777777" w:rsidR="00620E02" w:rsidRPr="00787196" w:rsidRDefault="00620E02" w:rsidP="00C96B0F">
      <w:pPr>
        <w:spacing w:before="0" w:after="0"/>
        <w:ind w:right="45"/>
        <w:rPr>
          <w:rFonts w:ascii="Calibri" w:eastAsia="Times New Roman" w:hAnsi="Calibri"/>
          <w:sz w:val="12"/>
          <w:szCs w:val="12"/>
        </w:rPr>
      </w:pPr>
      <w:r w:rsidRPr="00787196">
        <w:rPr>
          <w:rFonts w:ascii="Calibri" w:eastAsia="Times New Roman" w:hAnsi="Calibri" w:cs="Arial Unicode MS"/>
          <w:sz w:val="12"/>
          <w:szCs w:val="12"/>
          <w:cs/>
        </w:rPr>
        <w:t>தொலைபேசி எண்</w:t>
      </w:r>
      <w:r w:rsidRPr="00787196">
        <w:rPr>
          <w:rFonts w:ascii="Calibri" w:eastAsia="Times New Roman" w:hAnsi="Calibri"/>
          <w:sz w:val="12"/>
          <w:szCs w:val="12"/>
          <w:cs/>
        </w:rPr>
        <w:t>: +</w:t>
      </w:r>
      <w:r w:rsidRPr="00787196">
        <w:rPr>
          <w:sz w:val="12"/>
          <w:szCs w:val="12"/>
        </w:rPr>
        <w:t>91 9381052122</w:t>
      </w:r>
    </w:p>
    <w:p w14:paraId="12BDA09A" w14:textId="77777777" w:rsidR="00620E02" w:rsidRPr="00787196" w:rsidRDefault="00620E02" w:rsidP="00C96B0F">
      <w:pPr>
        <w:spacing w:before="0" w:after="0"/>
        <w:ind w:right="45"/>
        <w:rPr>
          <w:rFonts w:ascii="Latha" w:eastAsia="Times New Roman" w:hAnsi="Latha"/>
          <w:bCs/>
          <w:sz w:val="12"/>
          <w:szCs w:val="12"/>
        </w:rPr>
      </w:pPr>
      <w:r w:rsidRPr="00787196">
        <w:rPr>
          <w:rFonts w:ascii="Latha" w:eastAsia="Times New Roman" w:hAnsi="Latha" w:cs="Arial Unicode MS"/>
          <w:sz w:val="12"/>
          <w:szCs w:val="12"/>
          <w:cs/>
        </w:rPr>
        <w:t>மின்னஞ்சல்</w:t>
      </w:r>
      <w:r w:rsidRPr="00787196">
        <w:rPr>
          <w:rFonts w:ascii="Latha" w:eastAsia="Times New Roman" w:hAnsi="Latha"/>
          <w:sz w:val="12"/>
          <w:szCs w:val="12"/>
          <w:cs/>
        </w:rPr>
        <w:t xml:space="preserve">: </w:t>
      </w:r>
      <w:r w:rsidRPr="00787196">
        <w:rPr>
          <w:sz w:val="12"/>
          <w:szCs w:val="12"/>
        </w:rPr>
        <w:t>tvpadu@gmail.com</w:t>
      </w:r>
    </w:p>
    <w:p w14:paraId="350456F6" w14:textId="77777777" w:rsidR="00C95AAC" w:rsidRPr="00787196" w:rsidRDefault="00C95AAC" w:rsidP="00C96B0F">
      <w:pPr>
        <w:spacing w:before="0" w:after="0"/>
        <w:ind w:right="45"/>
        <w:rPr>
          <w:rFonts w:ascii="Calibri" w:eastAsia="Times New Roman" w:hAnsi="Calibri"/>
          <w:sz w:val="16"/>
          <w:szCs w:val="16"/>
        </w:rPr>
      </w:pPr>
    </w:p>
    <w:p w14:paraId="572052DF" w14:textId="77777777" w:rsidR="00C95AAC" w:rsidRPr="00787196" w:rsidRDefault="00C95AAC" w:rsidP="00C96B0F">
      <w:pPr>
        <w:spacing w:after="0"/>
        <w:ind w:right="45"/>
        <w:rPr>
          <w:rFonts w:ascii="Calibri" w:eastAsia="Times New Roman" w:hAnsi="Calibri"/>
          <w:bCs/>
        </w:rPr>
        <w:sectPr w:rsidR="00C95AAC" w:rsidRPr="00787196" w:rsidSect="004D7A26">
          <w:headerReference w:type="default" r:id="rId54"/>
          <w:type w:val="nextColumn"/>
          <w:pgSz w:w="11952" w:h="16848" w:code="9"/>
          <w:pgMar w:top="1134" w:right="1134" w:bottom="1134" w:left="2268" w:header="567" w:footer="533" w:gutter="0"/>
          <w:cols w:space="720"/>
          <w:noEndnote/>
          <w:docGrid w:linePitch="360"/>
        </w:sectPr>
      </w:pPr>
    </w:p>
    <w:p w14:paraId="0E180E2F" w14:textId="77777777" w:rsidR="00C95AAC" w:rsidRPr="00787196" w:rsidRDefault="00C95AAC" w:rsidP="00620E02">
      <w:pPr>
        <w:spacing w:before="0" w:after="0"/>
        <w:rPr>
          <w:rFonts w:ascii="Calibri" w:eastAsia="Times New Roman" w:hAnsi="Calibri" w:cs="Times New Roman"/>
          <w:sz w:val="18"/>
          <w:szCs w:val="18"/>
        </w:rPr>
      </w:pPr>
      <w:r w:rsidRPr="00787196">
        <w:rPr>
          <w:rFonts w:ascii="Calibri" w:eastAsia="Times New Roman" w:hAnsi="Calibri" w:cs="Arial Unicode MS"/>
          <w:sz w:val="14"/>
          <w:szCs w:val="14"/>
          <w:cs/>
        </w:rPr>
        <w:lastRenderedPageBreak/>
        <w:t>பங்கேற்பாளர் குறியீடு</w:t>
      </w:r>
      <w:r w:rsidRPr="00787196">
        <w:rPr>
          <w:rFonts w:ascii="Calibri" w:eastAsia="Times New Roman" w:hAnsi="Calibri" w:cs="Times New Roman"/>
          <w:sz w:val="14"/>
          <w:szCs w:val="14"/>
        </w:rPr>
        <w:t xml:space="preserve">: </w:t>
      </w:r>
      <w:r w:rsidRPr="00787196">
        <w:rPr>
          <w:rFonts w:ascii="Calibri" w:eastAsia="Times New Roman" w:hAnsi="Calibri" w:cs="Times New Roman"/>
          <w:sz w:val="22"/>
          <w:szCs w:val="20"/>
        </w:rPr>
        <w:t xml:space="preserve">…………………………………..           </w:t>
      </w:r>
    </w:p>
    <w:p w14:paraId="69D45059" w14:textId="6110B3D7" w:rsidR="00C96B0F" w:rsidRPr="00787196" w:rsidRDefault="00C96B0F" w:rsidP="00D9694A">
      <w:pPr>
        <w:pStyle w:val="Heading3"/>
      </w:pPr>
      <w:bookmarkStart w:id="827" w:name="_Toc488655711"/>
      <w:r w:rsidRPr="00787196">
        <w:t>Consent form</w:t>
      </w:r>
      <w:bookmarkEnd w:id="827"/>
    </w:p>
    <w:p w14:paraId="4BE4CB09" w14:textId="77777777" w:rsidR="00C95AAC" w:rsidRPr="00787196" w:rsidRDefault="00C95AAC" w:rsidP="00C96B0F">
      <w:pPr>
        <w:spacing w:before="0" w:after="0"/>
        <w:ind w:right="140"/>
        <w:jc w:val="center"/>
        <w:rPr>
          <w:rFonts w:ascii="Calibri" w:eastAsia="Times New Roman" w:hAnsi="Calibri" w:cs="Times New Roman"/>
          <w:sz w:val="20"/>
          <w:szCs w:val="20"/>
        </w:rPr>
      </w:pPr>
      <w:r w:rsidRPr="00787196">
        <w:rPr>
          <w:rFonts w:ascii="Nirmala UI" w:eastAsia="Times New Roman" w:hAnsi="Nirmala UI" w:cs="Nirmala UI" w:hint="cs"/>
          <w:b/>
          <w:bCs/>
          <w:sz w:val="20"/>
          <w:szCs w:val="20"/>
          <w:cs/>
        </w:rPr>
        <w:t>இ</w:t>
      </w:r>
      <w:r w:rsidRPr="00787196">
        <w:rPr>
          <w:rFonts w:ascii="Latha" w:eastAsia="Times New Roman" w:hAnsi="Latha" w:cs="Arial Unicode MS"/>
          <w:b/>
          <w:bCs/>
          <w:sz w:val="20"/>
          <w:szCs w:val="20"/>
          <w:cs/>
        </w:rPr>
        <w:t>ணக்கப்</w:t>
      </w:r>
      <w:r w:rsidRPr="00787196">
        <w:rPr>
          <w:rFonts w:ascii="Calibri" w:eastAsia="Times New Roman" w:hAnsi="Calibri" w:cs="Times New Roman"/>
          <w:b/>
          <w:sz w:val="20"/>
          <w:szCs w:val="20"/>
        </w:rPr>
        <w:t xml:space="preserve">  </w:t>
      </w:r>
      <w:r w:rsidRPr="00787196">
        <w:rPr>
          <w:rFonts w:ascii="Latha" w:eastAsia="Times New Roman" w:hAnsi="Latha" w:cs="Arial Unicode MS"/>
          <w:b/>
          <w:bCs/>
          <w:sz w:val="20"/>
          <w:szCs w:val="20"/>
          <w:cs/>
        </w:rPr>
        <w:t>படிவம்</w:t>
      </w:r>
    </w:p>
    <w:p w14:paraId="234DE752" w14:textId="77777777" w:rsidR="00C95AAC" w:rsidRPr="00787196" w:rsidRDefault="00C95AAC" w:rsidP="00C96B0F">
      <w:pPr>
        <w:spacing w:before="0" w:after="0" w:line="240" w:lineRule="auto"/>
        <w:ind w:right="140"/>
        <w:rPr>
          <w:rFonts w:ascii="Calibri" w:eastAsia="Times New Roman" w:hAnsi="Calibri" w:cs="Times New Roman"/>
          <w:b/>
          <w:sz w:val="18"/>
          <w:szCs w:val="20"/>
        </w:rPr>
      </w:pPr>
      <w:r w:rsidRPr="00787196">
        <w:rPr>
          <w:rFonts w:ascii="Latha" w:hAnsi="Latha" w:cs="Arial Unicode MS"/>
          <w:b/>
          <w:bCs/>
          <w:sz w:val="14"/>
          <w:szCs w:val="14"/>
          <w:cs/>
        </w:rPr>
        <w:t>ஆய்வு</w:t>
      </w:r>
      <w:r w:rsidRPr="00787196">
        <w:rPr>
          <w:rFonts w:ascii="Latha" w:hAnsi="Latha"/>
          <w:b/>
          <w:sz w:val="14"/>
          <w:szCs w:val="20"/>
        </w:rPr>
        <w:t xml:space="preserve"> </w:t>
      </w:r>
      <w:r w:rsidRPr="00787196">
        <w:rPr>
          <w:rFonts w:ascii="Latha" w:hAnsi="Latha" w:cs="Arial Unicode MS"/>
          <w:b/>
          <w:bCs/>
          <w:sz w:val="14"/>
          <w:szCs w:val="14"/>
          <w:cs/>
        </w:rPr>
        <w:t>செயற்திட்டத்தின்</w:t>
      </w:r>
      <w:r w:rsidRPr="00787196">
        <w:rPr>
          <w:rFonts w:ascii="Latha" w:hAnsi="Latha"/>
          <w:b/>
          <w:sz w:val="14"/>
          <w:szCs w:val="20"/>
        </w:rPr>
        <w:t xml:space="preserve"> </w:t>
      </w:r>
      <w:r w:rsidRPr="00787196">
        <w:rPr>
          <w:rFonts w:ascii="Latha" w:hAnsi="Latha" w:cs="Arial Unicode MS"/>
          <w:b/>
          <w:bCs/>
          <w:sz w:val="14"/>
          <w:szCs w:val="14"/>
          <w:cs/>
        </w:rPr>
        <w:t>தலைப்பு</w:t>
      </w:r>
      <w:r w:rsidRPr="00787196">
        <w:rPr>
          <w:rFonts w:ascii="Calibri" w:eastAsia="Times New Roman" w:hAnsi="Calibri" w:cs="Times New Roman"/>
          <w:b/>
          <w:sz w:val="18"/>
          <w:szCs w:val="20"/>
        </w:rPr>
        <w:t xml:space="preserve">:  </w:t>
      </w:r>
      <w:r w:rsidRPr="00787196">
        <w:rPr>
          <w:rFonts w:ascii="Latha" w:eastAsia="Times New Roman" w:hAnsi="Latha" w:cs="Arial Unicode MS"/>
          <w:b/>
          <w:bCs/>
          <w:sz w:val="14"/>
          <w:szCs w:val="14"/>
          <w:cs/>
        </w:rPr>
        <w:t>செயற்கைப்</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பல்</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கட்டமைப்பின்</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வெற்றியால்</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மேம்படும்</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வாய்நலம்</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சார்த்த</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வாழ்க்கைத்</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தரத்தினை</w:t>
      </w:r>
      <w:r w:rsidRPr="00787196">
        <w:rPr>
          <w:rFonts w:ascii="Latha" w:eastAsia="Times New Roman" w:hAnsi="Latha"/>
          <w:b/>
          <w:sz w:val="14"/>
          <w:szCs w:val="20"/>
        </w:rPr>
        <w:t>,</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நோயாளியின்</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நேர்த்தியான</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சமாளிப்பு</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வியுகங்கள்</w:t>
      </w:r>
      <w:r w:rsidRPr="00787196">
        <w:rPr>
          <w:rFonts w:ascii="Calibri" w:eastAsia="Times New Roman" w:hAnsi="Calibri" w:cs="Times New Roman"/>
          <w:b/>
          <w:sz w:val="14"/>
          <w:szCs w:val="20"/>
        </w:rPr>
        <w:t xml:space="preserve"> </w:t>
      </w:r>
      <w:r w:rsidRPr="00787196">
        <w:rPr>
          <w:rFonts w:ascii="Latha" w:eastAsia="Times New Roman" w:hAnsi="Latha" w:cs="Arial Unicode MS"/>
          <w:b/>
          <w:bCs/>
          <w:sz w:val="14"/>
          <w:szCs w:val="14"/>
          <w:cs/>
        </w:rPr>
        <w:t>தீர்மானிக்கின்றனவா</w:t>
      </w:r>
      <w:r w:rsidRPr="00787196">
        <w:rPr>
          <w:rFonts w:ascii="Calibri" w:eastAsia="Times New Roman" w:hAnsi="Calibri" w:cs="Times New Roman"/>
          <w:b/>
          <w:sz w:val="22"/>
          <w:szCs w:val="20"/>
        </w:rPr>
        <w:t>?</w:t>
      </w:r>
    </w:p>
    <w:p w14:paraId="7EB00077" w14:textId="77777777" w:rsidR="00C95AAC" w:rsidRPr="00787196" w:rsidRDefault="00C95AAC" w:rsidP="00C96B0F">
      <w:pPr>
        <w:spacing w:before="0" w:after="0" w:line="240" w:lineRule="auto"/>
        <w:ind w:right="140"/>
        <w:rPr>
          <w:rFonts w:ascii="Calibri" w:eastAsia="Times New Roman" w:hAnsi="Calibri" w:cs="Times New Roman"/>
          <w:b/>
          <w:sz w:val="22"/>
          <w:szCs w:val="20"/>
        </w:rPr>
      </w:pPr>
      <w:r w:rsidRPr="00787196">
        <w:rPr>
          <w:rFonts w:ascii="Calibri" w:eastAsia="Times New Roman" w:hAnsi="Calibri" w:cs="Times New Roman"/>
          <w:b/>
          <w:sz w:val="22"/>
          <w:szCs w:val="20"/>
        </w:rPr>
        <w:t xml:space="preserve"> </w:t>
      </w:r>
    </w:p>
    <w:p w14:paraId="410EC09A" w14:textId="77777777" w:rsidR="00C95AAC" w:rsidRPr="00787196" w:rsidRDefault="00C95AAC" w:rsidP="00C96B0F">
      <w:pPr>
        <w:spacing w:before="0" w:after="0" w:line="240" w:lineRule="auto"/>
        <w:ind w:right="140"/>
        <w:rPr>
          <w:rFonts w:ascii="Calibri" w:eastAsia="Times New Roman" w:hAnsi="Calibri" w:cs="Times New Roman"/>
          <w:b/>
          <w:sz w:val="22"/>
          <w:szCs w:val="20"/>
        </w:rPr>
      </w:pPr>
    </w:p>
    <w:p w14:paraId="6DFFB905" w14:textId="77777777" w:rsidR="00C95AAC" w:rsidRPr="00787196" w:rsidRDefault="00C95AAC" w:rsidP="00C96B0F">
      <w:pPr>
        <w:spacing w:before="0" w:after="0" w:line="240" w:lineRule="auto"/>
        <w:ind w:right="140"/>
        <w:rPr>
          <w:rFonts w:ascii="Calibri" w:eastAsia="Times New Roman" w:hAnsi="Calibri" w:cs="Times New Roman"/>
          <w:sz w:val="22"/>
          <w:szCs w:val="20"/>
        </w:rPr>
      </w:pPr>
      <w:r w:rsidRPr="00787196">
        <w:rPr>
          <w:rFonts w:ascii="Latha" w:eastAsia="Times New Roman" w:hAnsi="Latha" w:cs="Arial Unicode MS"/>
          <w:b/>
          <w:bCs/>
          <w:sz w:val="14"/>
          <w:szCs w:val="14"/>
          <w:cs/>
        </w:rPr>
        <w:t>ஆராய்சியாளர் பெயர்கள்</w:t>
      </w:r>
      <w:r w:rsidRPr="00787196">
        <w:rPr>
          <w:rFonts w:ascii="Latha" w:eastAsia="Times New Roman" w:hAnsi="Latha"/>
          <w:b/>
          <w:bCs/>
          <w:sz w:val="14"/>
          <w:szCs w:val="20"/>
        </w:rPr>
        <w:t>:</w:t>
      </w:r>
      <w:r w:rsidRPr="00787196">
        <w:rPr>
          <w:rFonts w:ascii="Latha" w:eastAsia="Times New Roman" w:hAnsi="Latha"/>
          <w:b/>
          <w:bCs/>
          <w:sz w:val="14"/>
          <w:szCs w:val="20"/>
          <w:cs/>
        </w:rPr>
        <w:t xml:space="preserve"> </w:t>
      </w:r>
      <w:r w:rsidRPr="00787196">
        <w:rPr>
          <w:rFonts w:ascii="Calibri" w:eastAsia="Times New Roman" w:hAnsi="Calibri" w:cs="Times New Roman"/>
          <w:b/>
          <w:bCs/>
          <w:sz w:val="22"/>
          <w:szCs w:val="20"/>
        </w:rPr>
        <w:t xml:space="preserve"> </w:t>
      </w:r>
      <w:r w:rsidRPr="00787196">
        <w:rPr>
          <w:rFonts w:ascii="Calibri" w:eastAsia="Times New Roman" w:hAnsi="Calibri" w:cs="Arial Unicode MS"/>
          <w:sz w:val="14"/>
          <w:szCs w:val="14"/>
          <w:cs/>
        </w:rPr>
        <w:t>திரு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கார்த்திக் பெரியகருப்பையா</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பேராசிரியர்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பீட்டர்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ஜி</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ராபின்சன்</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முனைவர்</w:t>
      </w:r>
      <w:r w:rsidRPr="00787196">
        <w:rPr>
          <w:rFonts w:ascii="Calibri" w:eastAsia="Times New Roman" w:hAnsi="Calibri"/>
          <w:sz w:val="14"/>
          <w:szCs w:val="14"/>
          <w:cs/>
        </w:rPr>
        <w:t>.</w:t>
      </w:r>
      <w:r w:rsidRPr="00787196">
        <w:rPr>
          <w:rFonts w:ascii="Calibri" w:eastAsia="Times New Roman" w:hAnsi="Calibri" w:cs="Arial Unicode MS"/>
          <w:sz w:val="14"/>
          <w:szCs w:val="14"/>
          <w:cs/>
        </w:rPr>
        <w:t>திருமதி</w:t>
      </w:r>
      <w:r w:rsidRPr="00787196">
        <w:rPr>
          <w:rFonts w:ascii="Calibri" w:eastAsia="Times New Roman" w:hAnsi="Calibri"/>
          <w:sz w:val="14"/>
          <w:szCs w:val="14"/>
          <w:cs/>
        </w:rPr>
        <w:t>.</w:t>
      </w:r>
      <w:r w:rsidRPr="00787196">
        <w:rPr>
          <w:rFonts w:ascii="Calibri" w:eastAsia="Times New Roman" w:hAnsi="Calibri" w:cs="Arial Unicode MS"/>
          <w:sz w:val="14"/>
          <w:szCs w:val="14"/>
          <w:cs/>
        </w:rPr>
        <w:t>சாரா பேக்கர்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பேராசிரியர்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திரு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தல்லம் வீரவல்லி பத்மநாபன்</w:t>
      </w:r>
    </w:p>
    <w:p w14:paraId="0669F64C" w14:textId="77777777" w:rsidR="00C95AAC" w:rsidRPr="00787196" w:rsidRDefault="00C95AAC" w:rsidP="00C96B0F">
      <w:pPr>
        <w:tabs>
          <w:tab w:val="left" w:pos="720"/>
          <w:tab w:val="right" w:pos="9240"/>
        </w:tabs>
        <w:spacing w:before="0" w:after="0"/>
        <w:ind w:left="1440" w:right="140" w:hanging="1440"/>
        <w:rPr>
          <w:rFonts w:ascii="Calibri" w:eastAsia="Times New Roman" w:hAnsi="Calibri" w:cs="Times New Roman"/>
          <w:sz w:val="22"/>
          <w:szCs w:val="20"/>
        </w:rPr>
      </w:pPr>
      <w:r w:rsidRPr="00787196">
        <w:rPr>
          <w:rFonts w:ascii="Calibri" w:eastAsia="Times New Roman" w:hAnsi="Calibri" w:cs="Times New Roman"/>
          <w:sz w:val="22"/>
          <w:szCs w:val="20"/>
        </w:rPr>
        <w:t xml:space="preserve">                                                                                                                                                       </w:t>
      </w:r>
    </w:p>
    <w:p w14:paraId="2A1A704B" w14:textId="77777777" w:rsidR="00C95AAC" w:rsidRPr="00787196" w:rsidRDefault="00C95AAC" w:rsidP="00C119A5">
      <w:pPr>
        <w:pStyle w:val="ListParagraph"/>
        <w:numPr>
          <w:ilvl w:val="0"/>
          <w:numId w:val="38"/>
        </w:numPr>
        <w:spacing w:before="0" w:after="0" w:line="240" w:lineRule="auto"/>
        <w:ind w:left="426" w:right="140" w:hanging="284"/>
        <w:rPr>
          <w:rFonts w:ascii="Calibri" w:eastAsia="Times New Roman" w:hAnsi="Calibri" w:cs="Times New Roman"/>
          <w:sz w:val="22"/>
          <w:szCs w:val="20"/>
        </w:rPr>
      </w:pPr>
      <w:r w:rsidRPr="00787196">
        <w:rPr>
          <w:rFonts w:ascii="Calibri" w:eastAsia="Times New Roman" w:hAnsi="Calibri" w:cs="Arial Unicode MS"/>
          <w:sz w:val="14"/>
          <w:szCs w:val="14"/>
          <w:cs/>
        </w:rPr>
        <w:t>நான்</w:t>
      </w:r>
      <w:r w:rsidRPr="00787196">
        <w:rPr>
          <w:rFonts w:ascii="Calibri" w:eastAsia="Times New Roman" w:hAnsi="Calibri"/>
          <w:sz w:val="14"/>
          <w:szCs w:val="14"/>
          <w:cs/>
        </w:rPr>
        <w:t xml:space="preserve">, ............................ </w:t>
      </w:r>
      <w:r w:rsidRPr="00787196">
        <w:rPr>
          <w:rFonts w:ascii="Calibri" w:eastAsia="Times New Roman" w:hAnsi="Calibri" w:cs="Arial Unicode MS"/>
          <w:sz w:val="14"/>
          <w:szCs w:val="14"/>
          <w:cs/>
        </w:rPr>
        <w:t>தேதியிட்ட இந்த ஆய்வராய்ச்சி பற்றி விளக்கும் தகவல் தாளினை முழுமையாகப் படித்தும்</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புரிந்தும் கொண்டேன்</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இந்த ஆய்வினைப்பற்றிய கேள்விகள் மற்றும் ஐயப்பாடுகளை எழுப்ப எனக்கு முழு வாய்ப்பு அளிக்கப்பட்டது என உறுதி அளிக்கின்றேன்</w:t>
      </w:r>
      <w:r w:rsidRPr="00787196">
        <w:rPr>
          <w:rFonts w:ascii="Calibri" w:eastAsia="Times New Roman" w:hAnsi="Calibri"/>
          <w:sz w:val="14"/>
          <w:szCs w:val="14"/>
          <w:cs/>
        </w:rPr>
        <w:t xml:space="preserve">. </w:t>
      </w:r>
    </w:p>
    <w:p w14:paraId="5352A6F1" w14:textId="77777777" w:rsidR="00C95AAC" w:rsidRPr="00787196" w:rsidRDefault="00C95AAC" w:rsidP="006C25E1">
      <w:pPr>
        <w:spacing w:before="0" w:after="0"/>
        <w:ind w:left="426" w:right="140" w:hanging="284"/>
        <w:rPr>
          <w:rFonts w:ascii="Calibri" w:eastAsia="Times New Roman" w:hAnsi="Calibri" w:cs="Times New Roman"/>
          <w:sz w:val="22"/>
          <w:szCs w:val="20"/>
        </w:rPr>
      </w:pPr>
    </w:p>
    <w:p w14:paraId="24DB4026" w14:textId="77777777" w:rsidR="00C95AAC" w:rsidRPr="00787196" w:rsidRDefault="00C95AAC" w:rsidP="00C119A5">
      <w:pPr>
        <w:pStyle w:val="ListParagraph"/>
        <w:numPr>
          <w:ilvl w:val="0"/>
          <w:numId w:val="38"/>
        </w:numPr>
        <w:spacing w:before="0" w:after="0" w:line="240" w:lineRule="auto"/>
        <w:ind w:left="426" w:right="140" w:hanging="284"/>
        <w:rPr>
          <w:rFonts w:ascii="Calibri" w:eastAsia="Times New Roman" w:hAnsi="Calibri" w:cs="Times New Roman"/>
          <w:sz w:val="22"/>
          <w:szCs w:val="20"/>
        </w:rPr>
      </w:pPr>
      <w:r w:rsidRPr="00787196">
        <w:rPr>
          <w:rFonts w:ascii="Calibri" w:eastAsia="Times New Roman" w:hAnsi="Calibri" w:cs="Arial Unicode MS"/>
          <w:sz w:val="14"/>
          <w:szCs w:val="14"/>
          <w:cs/>
        </w:rPr>
        <w:t>இந்த ஆய்வில் என்னுடைய பங்களிப்பு முற்றிலும் தன்னிச்சையானது</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மேலும்</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எந்நேரம் வேண்டுமானாலும் இந்த ஆய்விலிருந்து காரணம் இன்றி விலகிக் கொள்ளலாம் என்பதையும்</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எனது வேலைக்கு எதிர்மறை விளைவுகள் ஏற்படாத வண்ணம் இதனைச் செய்து கொள்ள முடியும் என்பதையும் நான் அறிவேன்</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இது தவிர</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ஏதேனும் ஓர் வினாவிற்கு அல்லது வினாக்களுக்கு பதிலளிக்க விருப்பம் இல்லையெனில்</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அவற்றை நான் தாரளமாக தவிர்க்கலாம்</w:t>
      </w:r>
      <w:r w:rsidRPr="00787196">
        <w:rPr>
          <w:rFonts w:ascii="Calibri" w:eastAsia="Times New Roman" w:hAnsi="Calibri"/>
          <w:sz w:val="14"/>
          <w:szCs w:val="14"/>
          <w:cs/>
        </w:rPr>
        <w:t>.</w:t>
      </w:r>
    </w:p>
    <w:p w14:paraId="0A38A80E" w14:textId="77777777" w:rsidR="00C95AAC" w:rsidRPr="00787196" w:rsidRDefault="00C95AAC" w:rsidP="006C25E1">
      <w:pPr>
        <w:tabs>
          <w:tab w:val="left" w:pos="360"/>
        </w:tabs>
        <w:spacing w:before="0" w:after="0"/>
        <w:ind w:left="426" w:right="140" w:hanging="284"/>
        <w:rPr>
          <w:rFonts w:ascii="Calibri" w:eastAsia="Times New Roman" w:hAnsi="Calibri" w:cs="Times New Roman"/>
          <w:sz w:val="22"/>
          <w:szCs w:val="20"/>
        </w:rPr>
      </w:pPr>
    </w:p>
    <w:p w14:paraId="3A93E80B" w14:textId="77777777" w:rsidR="00C95AAC" w:rsidRPr="00787196" w:rsidRDefault="00C95AAC" w:rsidP="00C119A5">
      <w:pPr>
        <w:pStyle w:val="ListParagraph"/>
        <w:numPr>
          <w:ilvl w:val="0"/>
          <w:numId w:val="38"/>
        </w:numPr>
        <w:tabs>
          <w:tab w:val="left" w:pos="360"/>
        </w:tabs>
        <w:spacing w:before="0" w:after="0" w:line="240" w:lineRule="auto"/>
        <w:ind w:left="426" w:right="140" w:hanging="284"/>
        <w:rPr>
          <w:rFonts w:ascii="Calibri" w:eastAsia="Times New Roman" w:hAnsi="Calibri" w:cs="Times New Roman"/>
          <w:sz w:val="22"/>
          <w:szCs w:val="20"/>
        </w:rPr>
      </w:pPr>
      <w:r w:rsidRPr="00787196">
        <w:rPr>
          <w:rFonts w:ascii="Calibri" w:eastAsia="Times New Roman" w:hAnsi="Calibri" w:cs="Arial Unicode MS"/>
          <w:sz w:val="14"/>
          <w:szCs w:val="14"/>
          <w:cs/>
        </w:rPr>
        <w:t>எனது பதில் மறைகள்</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மிகக் கண்டிப்பான முறையில் இரகசியக் காத்தல் செய்யப்படும் என்பதனை நான் அறிவேன்</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ஆராய்ச்சிக் குழு உறுப்பினர்களுக்கு எனது அநாமதேயப்படுத்தப்பட்ட பதில் மறைகளை அணுக அனுமதி அளிக்கின்றேன்</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எனது பெயர் ஆராய்ச்சி சாதனங்களுடன் தொடர்பு படுத்தப்பட மாட்டாது என்பதும்</w:t>
      </w:r>
      <w:r w:rsidRPr="00787196">
        <w:rPr>
          <w:rFonts w:ascii="Calibri" w:eastAsia="Times New Roman" w:hAnsi="Calibri"/>
          <w:sz w:val="14"/>
          <w:szCs w:val="14"/>
          <w:cs/>
        </w:rPr>
        <w:t xml:space="preserve">, </w:t>
      </w:r>
      <w:r w:rsidRPr="00787196">
        <w:rPr>
          <w:rFonts w:ascii="Calibri" w:eastAsia="Times New Roman" w:hAnsi="Calibri" w:cs="Arial Unicode MS"/>
          <w:sz w:val="14"/>
          <w:szCs w:val="14"/>
          <w:cs/>
        </w:rPr>
        <w:t>மற்றும் இந்த ஆராய்ச்சியின் முலமாக வெளிப்படும் அறிக்கை அல்லது அறிக்கைகளில் என்னை அடையாளம் காணவோ அல்லது காணக்கூடிய நிலையோ இருக்காது என்பதை நான் நன்கு அறிவேன்</w:t>
      </w:r>
      <w:r w:rsidRPr="00787196">
        <w:rPr>
          <w:rFonts w:ascii="Calibri" w:eastAsia="Times New Roman" w:hAnsi="Calibri"/>
          <w:sz w:val="14"/>
          <w:szCs w:val="14"/>
          <w:cs/>
        </w:rPr>
        <w:t>.</w:t>
      </w:r>
      <w:r w:rsidRPr="00787196">
        <w:rPr>
          <w:rFonts w:ascii="Calibri" w:eastAsia="Times New Roman" w:hAnsi="Calibri" w:cs="Times New Roman"/>
          <w:sz w:val="22"/>
          <w:szCs w:val="20"/>
        </w:rPr>
        <w:t xml:space="preserve"> </w:t>
      </w:r>
    </w:p>
    <w:p w14:paraId="5739C85C" w14:textId="77777777" w:rsidR="00C95AAC" w:rsidRPr="00787196" w:rsidRDefault="00C95AAC" w:rsidP="006C25E1">
      <w:pPr>
        <w:tabs>
          <w:tab w:val="left" w:pos="360"/>
        </w:tabs>
        <w:spacing w:before="0" w:after="0"/>
        <w:ind w:left="426" w:right="140" w:hanging="284"/>
        <w:rPr>
          <w:rFonts w:ascii="Calibri" w:eastAsia="Times New Roman" w:hAnsi="Calibri" w:cs="Times New Roman"/>
          <w:sz w:val="22"/>
          <w:szCs w:val="20"/>
        </w:rPr>
      </w:pPr>
    </w:p>
    <w:p w14:paraId="5EC84D82" w14:textId="77777777" w:rsidR="00C95AAC" w:rsidRPr="00787196" w:rsidRDefault="00C95AAC" w:rsidP="00C119A5">
      <w:pPr>
        <w:pStyle w:val="ListParagraph"/>
        <w:numPr>
          <w:ilvl w:val="0"/>
          <w:numId w:val="38"/>
        </w:numPr>
        <w:tabs>
          <w:tab w:val="left" w:pos="360"/>
        </w:tabs>
        <w:spacing w:before="0" w:after="0" w:line="240" w:lineRule="auto"/>
        <w:ind w:left="426" w:right="140" w:hanging="284"/>
        <w:rPr>
          <w:rFonts w:ascii="Calibri" w:eastAsia="Times New Roman" w:hAnsi="Calibri" w:cs="Times New Roman"/>
          <w:sz w:val="22"/>
          <w:szCs w:val="20"/>
        </w:rPr>
      </w:pPr>
      <w:r w:rsidRPr="00787196">
        <w:rPr>
          <w:rFonts w:ascii="Calibri" w:eastAsia="Times New Roman" w:hAnsi="Calibri" w:cs="Arial Unicode MS"/>
          <w:sz w:val="14"/>
          <w:szCs w:val="14"/>
          <w:cs/>
        </w:rPr>
        <w:t>என்னிடம் இருந்து பெறப்படும் தரவுகள் பிற்காலத்தில் நடத்தப்படும் ஆய்வு ஆராய்ச்சிகளில் பயன்படுத்திக்கொள்ள நான் அனுமதிக்கிறேன்</w:t>
      </w:r>
      <w:r w:rsidRPr="00787196">
        <w:rPr>
          <w:rFonts w:ascii="Calibri" w:eastAsia="Times New Roman" w:hAnsi="Calibri" w:cs="Times New Roman"/>
          <w:sz w:val="22"/>
          <w:szCs w:val="20"/>
        </w:rPr>
        <w:t>.</w:t>
      </w:r>
    </w:p>
    <w:p w14:paraId="45525722" w14:textId="77777777" w:rsidR="00C02B80" w:rsidRPr="00787196" w:rsidRDefault="00C02B80" w:rsidP="006C25E1">
      <w:pPr>
        <w:tabs>
          <w:tab w:val="left" w:pos="360"/>
        </w:tabs>
        <w:spacing w:before="0" w:after="0" w:line="240" w:lineRule="auto"/>
        <w:ind w:left="426" w:right="140" w:hanging="284"/>
        <w:rPr>
          <w:rFonts w:ascii="Calibri" w:eastAsia="Times New Roman" w:hAnsi="Calibri" w:cs="Times New Roman"/>
          <w:sz w:val="22"/>
          <w:szCs w:val="20"/>
        </w:rPr>
      </w:pPr>
    </w:p>
    <w:p w14:paraId="02E58434" w14:textId="77777777" w:rsidR="00C95AAC" w:rsidRPr="00787196" w:rsidRDefault="00C95AAC" w:rsidP="00C119A5">
      <w:pPr>
        <w:pStyle w:val="ListParagraph"/>
        <w:numPr>
          <w:ilvl w:val="0"/>
          <w:numId w:val="38"/>
        </w:numPr>
        <w:tabs>
          <w:tab w:val="left" w:pos="360"/>
        </w:tabs>
        <w:spacing w:before="0" w:after="0" w:line="240" w:lineRule="auto"/>
        <w:ind w:left="426" w:right="140" w:hanging="284"/>
        <w:rPr>
          <w:rFonts w:ascii="Calibri" w:eastAsia="Times New Roman" w:hAnsi="Calibri" w:cs="Times New Roman"/>
          <w:sz w:val="22"/>
          <w:szCs w:val="20"/>
        </w:rPr>
      </w:pPr>
      <w:r w:rsidRPr="00787196">
        <w:rPr>
          <w:rFonts w:ascii="Calibri" w:eastAsia="Times New Roman" w:hAnsi="Calibri" w:cs="Arial Unicode MS"/>
          <w:sz w:val="14"/>
          <w:szCs w:val="14"/>
          <w:cs/>
        </w:rPr>
        <w:t>இந்த ஆய்வுப் படிப்பில் பங்கு பெற நான் முழுச் சம்மதம் தெரிவிக்கின்றேன்</w:t>
      </w:r>
      <w:r w:rsidRPr="00787196">
        <w:rPr>
          <w:rFonts w:ascii="Calibri" w:eastAsia="Times New Roman" w:hAnsi="Calibri"/>
          <w:sz w:val="14"/>
          <w:szCs w:val="14"/>
          <w:cs/>
        </w:rPr>
        <w:t>.</w:t>
      </w:r>
      <w:r w:rsidRPr="00787196">
        <w:rPr>
          <w:rFonts w:ascii="Calibri" w:eastAsia="Times New Roman" w:hAnsi="Calibri" w:cs="Times New Roman"/>
          <w:sz w:val="22"/>
          <w:szCs w:val="20"/>
        </w:rPr>
        <w:t>.</w:t>
      </w:r>
    </w:p>
    <w:p w14:paraId="3A0D71FE" w14:textId="77777777" w:rsidR="00C95AAC" w:rsidRPr="00787196" w:rsidRDefault="00C95AAC" w:rsidP="00C96B0F">
      <w:pPr>
        <w:spacing w:before="0" w:after="0"/>
        <w:ind w:right="140"/>
        <w:rPr>
          <w:rFonts w:ascii="Calibri" w:eastAsia="Times New Roman" w:hAnsi="Calibri" w:cs="Times New Roman"/>
          <w:sz w:val="22"/>
          <w:szCs w:val="20"/>
        </w:rPr>
      </w:pPr>
    </w:p>
    <w:p w14:paraId="30DAF278" w14:textId="77777777" w:rsidR="00C95AAC" w:rsidRPr="00787196" w:rsidRDefault="00C95AAC" w:rsidP="00C96B0F">
      <w:pPr>
        <w:spacing w:before="0" w:after="0"/>
        <w:ind w:right="140"/>
        <w:rPr>
          <w:rFonts w:ascii="Calibri" w:eastAsia="Times New Roman" w:hAnsi="Calibri" w:cs="Times New Roman"/>
          <w:sz w:val="16"/>
          <w:szCs w:val="16"/>
        </w:rPr>
      </w:pPr>
      <w:r w:rsidRPr="00787196">
        <w:rPr>
          <w:rFonts w:ascii="Calibri" w:eastAsia="Times New Roman" w:hAnsi="Calibri" w:cs="Times New Roman"/>
          <w:sz w:val="16"/>
          <w:szCs w:val="16"/>
        </w:rPr>
        <w:t xml:space="preserve"> _____________________             </w:t>
      </w:r>
      <w:r w:rsidRPr="00787196">
        <w:rPr>
          <w:rFonts w:ascii="Calibri" w:eastAsia="Times New Roman" w:hAnsi="Calibri"/>
          <w:sz w:val="16"/>
          <w:szCs w:val="16"/>
          <w:cs/>
        </w:rPr>
        <w:t xml:space="preserve"> </w:t>
      </w:r>
      <w:r w:rsidRPr="00787196">
        <w:rPr>
          <w:rFonts w:ascii="Calibri" w:eastAsia="Times New Roman" w:hAnsi="Calibri" w:cs="Times New Roman"/>
          <w:sz w:val="16"/>
          <w:szCs w:val="16"/>
        </w:rPr>
        <w:t>__________________</w:t>
      </w:r>
      <w:r w:rsidRPr="00787196">
        <w:rPr>
          <w:rFonts w:ascii="Calibri" w:eastAsia="Times New Roman" w:hAnsi="Calibri"/>
          <w:sz w:val="16"/>
          <w:szCs w:val="16"/>
          <w:cs/>
        </w:rPr>
        <w:t xml:space="preserve"> </w:t>
      </w:r>
      <w:r w:rsidRPr="00787196">
        <w:rPr>
          <w:rFonts w:ascii="Calibri" w:eastAsia="Times New Roman" w:hAnsi="Calibri" w:cs="Times New Roman"/>
          <w:sz w:val="16"/>
          <w:szCs w:val="16"/>
        </w:rPr>
        <w:t xml:space="preserve">          ________________  </w:t>
      </w:r>
    </w:p>
    <w:p w14:paraId="5A94C43A" w14:textId="505D3FE0" w:rsidR="00C95AAC" w:rsidRPr="00787196" w:rsidRDefault="00C95AAC" w:rsidP="00C96B0F">
      <w:pPr>
        <w:spacing w:before="0" w:after="0"/>
        <w:ind w:right="140"/>
        <w:rPr>
          <w:rFonts w:ascii="Calibri" w:eastAsia="Times New Roman" w:hAnsi="Calibri" w:cs="Times New Roman"/>
          <w:b/>
          <w:sz w:val="16"/>
          <w:szCs w:val="16"/>
        </w:rPr>
      </w:pPr>
      <w:r w:rsidRPr="00787196">
        <w:rPr>
          <w:rFonts w:ascii="Calibri" w:eastAsia="Times New Roman" w:hAnsi="Calibri" w:cs="Arial Unicode MS"/>
          <w:bCs/>
          <w:sz w:val="14"/>
          <w:szCs w:val="14"/>
          <w:cs/>
        </w:rPr>
        <w:t>பங்கேற்பாளர் பெயர்</w:t>
      </w:r>
      <w:r w:rsidRPr="00787196">
        <w:rPr>
          <w:rFonts w:ascii="Calibri" w:eastAsia="Times New Roman" w:hAnsi="Calibri" w:cs="Times New Roman"/>
          <w:b/>
          <w:sz w:val="16"/>
          <w:szCs w:val="16"/>
        </w:rPr>
        <w:t xml:space="preserve">             </w:t>
      </w:r>
      <w:r w:rsidRPr="00787196">
        <w:rPr>
          <w:rFonts w:ascii="Calibri" w:eastAsia="Times New Roman" w:hAnsi="Calibri"/>
          <w:b/>
          <w:sz w:val="16"/>
          <w:szCs w:val="16"/>
          <w:cs/>
        </w:rPr>
        <w:t xml:space="preserve"> </w:t>
      </w:r>
      <w:r w:rsidRPr="00787196">
        <w:rPr>
          <w:rFonts w:ascii="Calibri" w:eastAsia="Times New Roman" w:hAnsi="Calibri" w:cs="Times New Roman"/>
          <w:bCs/>
          <w:sz w:val="16"/>
          <w:szCs w:val="16"/>
        </w:rPr>
        <w:t xml:space="preserve"> </w:t>
      </w:r>
      <w:r w:rsidR="00BC4BF9" w:rsidRPr="00787196">
        <w:rPr>
          <w:rFonts w:ascii="Calibri" w:eastAsia="Times New Roman" w:hAnsi="Calibri" w:cs="Arial Unicode MS"/>
          <w:bCs/>
          <w:sz w:val="16"/>
          <w:szCs w:val="16"/>
          <w:cs/>
        </w:rPr>
        <w:t xml:space="preserve">        </w:t>
      </w:r>
      <w:r w:rsidRPr="00787196">
        <w:rPr>
          <w:rFonts w:ascii="Calibri" w:eastAsia="Times New Roman" w:hAnsi="Calibri" w:cs="Arial Unicode MS"/>
          <w:bCs/>
          <w:sz w:val="14"/>
          <w:szCs w:val="14"/>
          <w:cs/>
        </w:rPr>
        <w:t>கையொப்பம்</w:t>
      </w:r>
      <w:r w:rsidRPr="00787196">
        <w:rPr>
          <w:rFonts w:ascii="Calibri" w:eastAsia="Times New Roman" w:hAnsi="Calibri" w:cs="Times New Roman"/>
          <w:bCs/>
          <w:sz w:val="16"/>
          <w:szCs w:val="16"/>
        </w:rPr>
        <w:t xml:space="preserve">                      </w:t>
      </w:r>
      <w:r w:rsidR="00BC4BF9" w:rsidRPr="00787196">
        <w:rPr>
          <w:rFonts w:ascii="Calibri" w:eastAsia="Times New Roman" w:hAnsi="Calibri" w:cs="Arial Unicode MS"/>
          <w:bCs/>
          <w:sz w:val="16"/>
          <w:szCs w:val="16"/>
          <w:cs/>
        </w:rPr>
        <w:t xml:space="preserve">     </w:t>
      </w:r>
      <w:r w:rsidRPr="00787196">
        <w:rPr>
          <w:rFonts w:ascii="Calibri" w:eastAsia="Times New Roman" w:hAnsi="Calibri" w:cs="Arial Unicode MS"/>
          <w:bCs/>
          <w:sz w:val="14"/>
          <w:szCs w:val="14"/>
          <w:cs/>
        </w:rPr>
        <w:t>தேதி</w:t>
      </w:r>
    </w:p>
    <w:p w14:paraId="1838CEB9" w14:textId="77777777" w:rsidR="00C95AAC" w:rsidRPr="00787196" w:rsidRDefault="00C95AAC" w:rsidP="00C96B0F">
      <w:pPr>
        <w:spacing w:before="0" w:after="0"/>
        <w:ind w:right="140"/>
        <w:rPr>
          <w:rFonts w:ascii="Calibri" w:eastAsia="Times New Roman" w:hAnsi="Calibri" w:cs="Times New Roman"/>
          <w:b/>
          <w:sz w:val="16"/>
          <w:szCs w:val="16"/>
        </w:rPr>
      </w:pPr>
    </w:p>
    <w:p w14:paraId="565F4707" w14:textId="449DB91E" w:rsidR="00C95AAC" w:rsidRPr="00787196" w:rsidRDefault="00C95AAC" w:rsidP="00C96B0F">
      <w:pPr>
        <w:spacing w:before="0" w:after="0"/>
        <w:ind w:right="140"/>
        <w:rPr>
          <w:rFonts w:ascii="Calibri" w:eastAsia="Times New Roman" w:hAnsi="Calibri" w:cs="Times New Roman"/>
          <w:sz w:val="16"/>
          <w:szCs w:val="16"/>
        </w:rPr>
      </w:pPr>
      <w:r w:rsidRPr="00787196">
        <w:rPr>
          <w:rFonts w:ascii="Calibri" w:eastAsia="Times New Roman" w:hAnsi="Calibri" w:cs="Times New Roman"/>
          <w:sz w:val="16"/>
          <w:szCs w:val="16"/>
        </w:rPr>
        <w:t>______________________              _________________             _______________</w:t>
      </w:r>
    </w:p>
    <w:p w14:paraId="2034BDBF" w14:textId="4D54FA14" w:rsidR="00C95AAC" w:rsidRPr="00787196" w:rsidRDefault="00C95AAC" w:rsidP="00C96B0F">
      <w:pPr>
        <w:spacing w:before="0" w:after="0"/>
        <w:ind w:right="140"/>
        <w:rPr>
          <w:rFonts w:ascii="Calibri" w:eastAsia="Times New Roman" w:hAnsi="Calibri" w:cs="Times New Roman"/>
          <w:b/>
          <w:sz w:val="16"/>
          <w:szCs w:val="16"/>
        </w:rPr>
      </w:pPr>
      <w:r w:rsidRPr="00787196">
        <w:rPr>
          <w:rFonts w:ascii="Calibri" w:eastAsia="Times New Roman" w:hAnsi="Calibri" w:cs="Arial Unicode MS"/>
          <w:bCs/>
          <w:sz w:val="13"/>
          <w:szCs w:val="13"/>
          <w:cs/>
        </w:rPr>
        <w:t>கார்த்திக் பெரியகருப்பையா</w:t>
      </w:r>
      <w:r w:rsidRPr="00787196">
        <w:rPr>
          <w:rFonts w:ascii="Calibri" w:eastAsia="Times New Roman" w:hAnsi="Calibri" w:cs="Times New Roman"/>
          <w:b/>
          <w:sz w:val="14"/>
          <w:szCs w:val="14"/>
        </w:rPr>
        <w:t xml:space="preserve"> </w:t>
      </w:r>
      <w:r w:rsidRPr="00787196">
        <w:rPr>
          <w:rFonts w:ascii="Calibri" w:eastAsia="Times New Roman" w:hAnsi="Calibri" w:cs="Arial Unicode MS"/>
          <w:bCs/>
          <w:sz w:val="14"/>
          <w:szCs w:val="14"/>
          <w:cs/>
        </w:rPr>
        <w:t xml:space="preserve">  </w:t>
      </w:r>
      <w:r w:rsidR="00BC4BF9" w:rsidRPr="00787196">
        <w:rPr>
          <w:rFonts w:ascii="Calibri" w:eastAsia="Times New Roman" w:hAnsi="Calibri" w:cs="Arial Unicode MS"/>
          <w:bCs/>
          <w:sz w:val="14"/>
          <w:szCs w:val="14"/>
          <w:cs/>
        </w:rPr>
        <w:t xml:space="preserve">             </w:t>
      </w:r>
      <w:r w:rsidRPr="00787196">
        <w:rPr>
          <w:rFonts w:ascii="Calibri" w:eastAsia="Times New Roman" w:hAnsi="Calibri" w:cs="Arial Unicode MS"/>
          <w:bCs/>
          <w:sz w:val="14"/>
          <w:szCs w:val="14"/>
          <w:cs/>
        </w:rPr>
        <w:t>கையொப்பம்</w:t>
      </w:r>
      <w:r w:rsidRPr="00787196">
        <w:rPr>
          <w:rFonts w:ascii="Calibri" w:eastAsia="Times New Roman" w:hAnsi="Calibri" w:cs="Times New Roman"/>
          <w:bCs/>
          <w:sz w:val="16"/>
          <w:szCs w:val="16"/>
        </w:rPr>
        <w:t xml:space="preserve">                     </w:t>
      </w:r>
      <w:r w:rsidR="00BC4BF9" w:rsidRPr="00787196">
        <w:rPr>
          <w:rFonts w:ascii="Calibri" w:eastAsia="Times New Roman" w:hAnsi="Calibri" w:cs="Arial Unicode MS"/>
          <w:bCs/>
          <w:sz w:val="16"/>
          <w:szCs w:val="16"/>
          <w:cs/>
        </w:rPr>
        <w:t xml:space="preserve">      </w:t>
      </w:r>
      <w:r w:rsidRPr="00787196">
        <w:rPr>
          <w:rFonts w:ascii="Calibri" w:eastAsia="Times New Roman" w:hAnsi="Calibri" w:cs="Arial Unicode MS"/>
          <w:bCs/>
          <w:sz w:val="14"/>
          <w:szCs w:val="14"/>
          <w:cs/>
        </w:rPr>
        <w:t>தேதி</w:t>
      </w:r>
      <w:r w:rsidRPr="00787196">
        <w:rPr>
          <w:rFonts w:ascii="Calibri" w:eastAsia="Times New Roman" w:hAnsi="Calibri" w:cs="Times New Roman"/>
          <w:b/>
          <w:sz w:val="16"/>
          <w:szCs w:val="16"/>
        </w:rPr>
        <w:t xml:space="preserve"> </w:t>
      </w:r>
    </w:p>
    <w:p w14:paraId="226018F0" w14:textId="77777777" w:rsidR="00C95AAC" w:rsidRPr="00787196" w:rsidRDefault="00C95AAC" w:rsidP="00C96B0F">
      <w:pPr>
        <w:tabs>
          <w:tab w:val="left" w:pos="3600"/>
          <w:tab w:val="left" w:pos="6480"/>
        </w:tabs>
        <w:spacing w:before="0" w:after="0"/>
        <w:ind w:right="140"/>
        <w:rPr>
          <w:rFonts w:ascii="Calibri" w:eastAsia="Times New Roman" w:hAnsi="Calibri" w:cs="Times New Roman"/>
          <w:b/>
          <w:sz w:val="16"/>
          <w:szCs w:val="16"/>
        </w:rPr>
      </w:pPr>
      <w:r w:rsidRPr="00787196">
        <w:rPr>
          <w:rFonts w:ascii="Calibri" w:eastAsia="Times New Roman" w:hAnsi="Calibri" w:cs="Times New Roman"/>
          <w:b/>
          <w:sz w:val="16"/>
          <w:szCs w:val="16"/>
        </w:rPr>
        <w:t>(</w:t>
      </w:r>
      <w:r w:rsidRPr="00787196">
        <w:rPr>
          <w:rFonts w:ascii="Calibri" w:eastAsia="Times New Roman" w:hAnsi="Calibri" w:cs="Arial Unicode MS"/>
          <w:b/>
          <w:sz w:val="14"/>
          <w:szCs w:val="14"/>
          <w:cs/>
        </w:rPr>
        <w:t>ஆராய்ச்சியாளர்</w:t>
      </w:r>
      <w:r w:rsidRPr="00787196">
        <w:rPr>
          <w:rFonts w:ascii="Calibri" w:eastAsia="Times New Roman" w:hAnsi="Calibri" w:cs="Times New Roman"/>
          <w:b/>
          <w:sz w:val="16"/>
          <w:szCs w:val="16"/>
        </w:rPr>
        <w:t xml:space="preserve">)               </w:t>
      </w:r>
    </w:p>
    <w:p w14:paraId="0DBEF3F9" w14:textId="77777777" w:rsidR="00C95AAC" w:rsidRPr="00787196" w:rsidRDefault="00C95AAC" w:rsidP="00C96B0F">
      <w:pPr>
        <w:tabs>
          <w:tab w:val="center" w:pos="4320"/>
          <w:tab w:val="right" w:pos="8640"/>
        </w:tabs>
        <w:spacing w:before="0" w:after="0"/>
        <w:ind w:right="140"/>
        <w:rPr>
          <w:rFonts w:ascii="Calibri" w:eastAsia="Times New Roman" w:hAnsi="Calibri" w:cs="Times New Roman"/>
          <w:b/>
          <w:sz w:val="16"/>
          <w:szCs w:val="16"/>
        </w:rPr>
      </w:pPr>
      <w:r w:rsidRPr="00787196">
        <w:rPr>
          <w:rFonts w:ascii="Calibri" w:eastAsia="Times New Roman" w:hAnsi="Calibri" w:cs="Arial Unicode MS"/>
          <w:b/>
          <w:sz w:val="14"/>
          <w:szCs w:val="14"/>
          <w:cs/>
        </w:rPr>
        <w:t>பிரதிகள்</w:t>
      </w:r>
      <w:r w:rsidRPr="00787196">
        <w:rPr>
          <w:rFonts w:ascii="Calibri" w:eastAsia="Times New Roman" w:hAnsi="Calibri" w:cs="Times New Roman"/>
          <w:b/>
          <w:sz w:val="16"/>
          <w:szCs w:val="16"/>
        </w:rPr>
        <w:t xml:space="preserve">: </w:t>
      </w:r>
    </w:p>
    <w:p w14:paraId="71A25D96" w14:textId="77777777" w:rsidR="00C95AAC" w:rsidRPr="00787196" w:rsidRDefault="00C95AAC" w:rsidP="00C96B0F">
      <w:pPr>
        <w:tabs>
          <w:tab w:val="center" w:pos="4320"/>
          <w:tab w:val="right" w:pos="8640"/>
        </w:tabs>
        <w:spacing w:before="0" w:after="0"/>
        <w:ind w:right="140"/>
        <w:rPr>
          <w:rFonts w:ascii="Calibri" w:eastAsia="Times New Roman" w:hAnsi="Calibri" w:cs="Times New Roman"/>
          <w:sz w:val="12"/>
          <w:szCs w:val="12"/>
        </w:rPr>
      </w:pPr>
      <w:r w:rsidRPr="00787196">
        <w:rPr>
          <w:rFonts w:ascii="Calibri" w:eastAsia="Times New Roman" w:hAnsi="Calibri" w:cs="Arial Unicode MS"/>
          <w:sz w:val="12"/>
          <w:szCs w:val="12"/>
          <w:cs/>
        </w:rPr>
        <w:t>இரு பிரதிகளிலும் கையொப்பம் இடவும்</w:t>
      </w:r>
      <w:r w:rsidRPr="00787196">
        <w:rPr>
          <w:rFonts w:ascii="Calibri" w:eastAsia="Times New Roman" w:hAnsi="Calibri"/>
          <w:sz w:val="12"/>
          <w:szCs w:val="12"/>
          <w:cs/>
        </w:rPr>
        <w:t>.</w:t>
      </w:r>
      <w:r w:rsidRPr="00787196">
        <w:rPr>
          <w:rFonts w:ascii="Calibri" w:eastAsia="Times New Roman" w:hAnsi="Calibri" w:cs="Times New Roman"/>
          <w:sz w:val="12"/>
          <w:szCs w:val="12"/>
        </w:rPr>
        <w:t xml:space="preserve"> </w:t>
      </w:r>
    </w:p>
    <w:p w14:paraId="7CED444A" w14:textId="77777777" w:rsidR="00C95AAC" w:rsidRPr="00787196" w:rsidRDefault="00C95AAC" w:rsidP="00C96B0F">
      <w:pPr>
        <w:tabs>
          <w:tab w:val="left" w:pos="3600"/>
          <w:tab w:val="left" w:pos="6480"/>
        </w:tabs>
        <w:spacing w:before="0" w:after="0"/>
        <w:ind w:right="140"/>
        <w:rPr>
          <w:rFonts w:ascii="Calibri" w:eastAsia="Times New Roman" w:hAnsi="Calibri"/>
          <w:b/>
          <w:bCs/>
          <w:sz w:val="12"/>
          <w:szCs w:val="12"/>
          <w:u w:val="single"/>
        </w:rPr>
      </w:pPr>
      <w:r w:rsidRPr="00787196">
        <w:rPr>
          <w:rFonts w:ascii="Calibri" w:eastAsia="Times New Roman" w:hAnsi="Calibri" w:cs="Arial Unicode MS"/>
          <w:sz w:val="12"/>
          <w:szCs w:val="12"/>
          <w:cs/>
        </w:rPr>
        <w:t xml:space="preserve">இந்த இணக்கப்படிவத்தின் </w:t>
      </w:r>
      <w:r w:rsidRPr="00787196">
        <w:rPr>
          <w:rFonts w:ascii="Calibri" w:eastAsia="Times New Roman" w:hAnsi="Calibri" w:cs="Arial Unicode MS"/>
          <w:b/>
          <w:bCs/>
          <w:sz w:val="12"/>
          <w:szCs w:val="12"/>
          <w:u w:val="single"/>
          <w:cs/>
        </w:rPr>
        <w:t>ஒரு பிரதியினை</w:t>
      </w:r>
      <w:r w:rsidRPr="00787196">
        <w:rPr>
          <w:rFonts w:ascii="Calibri" w:eastAsia="Times New Roman" w:hAnsi="Calibri" w:cs="Arial Unicode MS"/>
          <w:sz w:val="12"/>
          <w:szCs w:val="12"/>
          <w:cs/>
        </w:rPr>
        <w:t xml:space="preserve"> தாங்கள் தங்கள் பதிவுகளில் வைத்துக்கொள்ளவும் மற்றொன்றை ஆராய்ச்சிக் குழுவினரிடம் </w:t>
      </w:r>
      <w:r w:rsidRPr="00787196">
        <w:rPr>
          <w:rFonts w:ascii="Calibri" w:eastAsia="Times New Roman" w:hAnsi="Calibri" w:cs="Arial Unicode MS"/>
          <w:b/>
          <w:bCs/>
          <w:sz w:val="12"/>
          <w:szCs w:val="12"/>
          <w:u w:val="single"/>
          <w:cs/>
        </w:rPr>
        <w:t>ஒப்படைக்கவும்</w:t>
      </w:r>
    </w:p>
    <w:p w14:paraId="3561D461" w14:textId="77777777" w:rsidR="00C02B80" w:rsidRPr="00787196" w:rsidRDefault="00C02B80" w:rsidP="00C96B0F">
      <w:pPr>
        <w:tabs>
          <w:tab w:val="left" w:pos="3600"/>
          <w:tab w:val="left" w:pos="6480"/>
        </w:tabs>
        <w:spacing w:before="0" w:after="0"/>
        <w:ind w:right="140"/>
        <w:rPr>
          <w:rFonts w:ascii="Calibri" w:eastAsia="Times New Roman" w:hAnsi="Calibri"/>
          <w:b/>
          <w:bCs/>
          <w:sz w:val="12"/>
          <w:szCs w:val="12"/>
          <w:u w:val="single"/>
        </w:rPr>
      </w:pPr>
    </w:p>
    <w:p w14:paraId="50146976" w14:textId="77777777" w:rsidR="00C95AAC" w:rsidRPr="00787196" w:rsidRDefault="00C95AAC" w:rsidP="00C96B0F">
      <w:pPr>
        <w:spacing w:before="0" w:after="0"/>
        <w:ind w:right="140"/>
        <w:rPr>
          <w:rFonts w:ascii="Calibri" w:eastAsia="Times New Roman" w:hAnsi="Calibri" w:cs="Times New Roman"/>
          <w:b/>
          <w:bCs/>
          <w:color w:val="7F7F7F"/>
          <w:sz w:val="14"/>
          <w:szCs w:val="14"/>
        </w:rPr>
      </w:pPr>
      <w:r w:rsidRPr="00787196">
        <w:rPr>
          <w:rFonts w:ascii="Latha" w:eastAsia="Times New Roman" w:hAnsi="Latha" w:cs="Arial Unicode MS"/>
          <w:b/>
          <w:bCs/>
          <w:color w:val="7F7F7F"/>
          <w:sz w:val="10"/>
          <w:szCs w:val="10"/>
          <w:cs/>
        </w:rPr>
        <w:t>நன்நெறி</w:t>
      </w:r>
      <w:r w:rsidRPr="00787196">
        <w:rPr>
          <w:rFonts w:ascii="Calibri" w:eastAsia="Times New Roman" w:hAnsi="Calibri" w:cs="Times New Roman"/>
          <w:b/>
          <w:bCs/>
          <w:color w:val="7F7F7F"/>
          <w:sz w:val="10"/>
          <w:szCs w:val="14"/>
        </w:rPr>
        <w:t xml:space="preserve"> </w:t>
      </w:r>
      <w:r w:rsidRPr="00787196">
        <w:rPr>
          <w:rFonts w:ascii="Latha" w:eastAsia="Times New Roman" w:hAnsi="Latha" w:cs="Arial Unicode MS"/>
          <w:b/>
          <w:bCs/>
          <w:color w:val="7F7F7F"/>
          <w:sz w:val="10"/>
          <w:szCs w:val="10"/>
          <w:cs/>
        </w:rPr>
        <w:t>நடைமுறை</w:t>
      </w:r>
      <w:r w:rsidRPr="00787196">
        <w:rPr>
          <w:rFonts w:ascii="Calibri" w:eastAsia="Times New Roman" w:hAnsi="Calibri" w:cs="Times New Roman"/>
          <w:b/>
          <w:bCs/>
          <w:color w:val="7F7F7F"/>
          <w:sz w:val="10"/>
          <w:szCs w:val="14"/>
        </w:rPr>
        <w:t xml:space="preserve"> </w:t>
      </w:r>
      <w:r w:rsidRPr="00787196">
        <w:rPr>
          <w:rFonts w:ascii="Latha" w:eastAsia="Times New Roman" w:hAnsi="Latha" w:cs="Arial Unicode MS"/>
          <w:b/>
          <w:bCs/>
          <w:color w:val="7F7F7F"/>
          <w:sz w:val="10"/>
          <w:szCs w:val="10"/>
          <w:cs/>
        </w:rPr>
        <w:t>அறிவிப்பு</w:t>
      </w:r>
      <w:r w:rsidRPr="00787196">
        <w:rPr>
          <w:rFonts w:ascii="Calibri" w:eastAsia="Times New Roman" w:hAnsi="Calibri" w:cs="Times New Roman"/>
          <w:b/>
          <w:bCs/>
          <w:color w:val="7F7F7F"/>
          <w:sz w:val="10"/>
          <w:szCs w:val="14"/>
        </w:rPr>
        <w:t xml:space="preserve"> </w:t>
      </w:r>
    </w:p>
    <w:p w14:paraId="3A1EA610" w14:textId="56BD11BD" w:rsidR="008E116F" w:rsidRPr="00787196" w:rsidRDefault="00C95AAC" w:rsidP="00C96B0F">
      <w:pPr>
        <w:spacing w:before="0" w:after="0" w:line="240" w:lineRule="auto"/>
        <w:ind w:right="140"/>
        <w:rPr>
          <w:rFonts w:ascii="Calibri" w:eastAsia="Times New Roman" w:hAnsi="Calibri" w:cs="Arial Unicode MS"/>
          <w:bCs/>
          <w:color w:val="7F7F7F"/>
          <w:sz w:val="10"/>
          <w:szCs w:val="10"/>
          <w:cs/>
        </w:rPr>
      </w:pPr>
      <w:r w:rsidRPr="00787196">
        <w:rPr>
          <w:rFonts w:ascii="Latha" w:eastAsia="Times New Roman" w:hAnsi="Latha" w:cs="Arial Unicode MS"/>
          <w:b/>
          <w:color w:val="7F7F7F"/>
          <w:sz w:val="10"/>
          <w:szCs w:val="10"/>
          <w:cs/>
        </w:rPr>
        <w:t>தங்களுடைய தனிப்பட்டத் தரவுகள்</w:t>
      </w:r>
      <w:r w:rsidRPr="00787196">
        <w:rPr>
          <w:rFonts w:ascii="Latha" w:eastAsia="Times New Roman" w:hAnsi="Latha"/>
          <w:b/>
          <w:color w:val="7F7F7F"/>
          <w:sz w:val="10"/>
          <w:szCs w:val="10"/>
          <w:cs/>
        </w:rPr>
        <w:t xml:space="preserve">, </w:t>
      </w:r>
      <w:r w:rsidRPr="00787196">
        <w:rPr>
          <w:rFonts w:ascii="Latha" w:eastAsia="Times New Roman" w:hAnsi="Latha" w:cs="Arial Unicode MS"/>
          <w:b/>
          <w:color w:val="7F7F7F"/>
          <w:sz w:val="10"/>
          <w:szCs w:val="10"/>
          <w:cs/>
        </w:rPr>
        <w:t xml:space="preserve">செஃப்பீல்டு பல்கலைகழக ஆராய்ச்சிக் கட்டுரையின் </w:t>
      </w:r>
      <w:r w:rsidRPr="00787196">
        <w:rPr>
          <w:rFonts w:ascii="Calibri" w:eastAsia="Times New Roman" w:hAnsi="Calibri" w:cs="Times New Roman"/>
          <w:b/>
          <w:color w:val="7F7F7F"/>
          <w:sz w:val="14"/>
          <w:szCs w:val="14"/>
        </w:rPr>
        <w:t>(PhD)</w:t>
      </w:r>
      <w:r w:rsidRPr="00787196">
        <w:rPr>
          <w:rFonts w:ascii="Latha" w:eastAsia="Times New Roman" w:hAnsi="Latha"/>
          <w:b/>
          <w:color w:val="7F7F7F"/>
          <w:sz w:val="8"/>
          <w:szCs w:val="8"/>
          <w:cs/>
        </w:rPr>
        <w:t xml:space="preserve"> </w:t>
      </w:r>
      <w:r w:rsidRPr="00787196">
        <w:rPr>
          <w:rFonts w:ascii="Latha" w:eastAsia="Times New Roman" w:hAnsi="Latha" w:cs="Arial Unicode MS"/>
          <w:b/>
          <w:color w:val="7F7F7F"/>
          <w:sz w:val="10"/>
          <w:szCs w:val="10"/>
          <w:cs/>
        </w:rPr>
        <w:t>விதிமுறைகள் கீழ் மட்டுமே பயன்படுத்தப்படும்</w:t>
      </w:r>
      <w:r w:rsidRPr="00787196">
        <w:rPr>
          <w:rFonts w:ascii="Latha" w:eastAsia="Times New Roman" w:hAnsi="Latha"/>
          <w:b/>
          <w:color w:val="7F7F7F"/>
          <w:sz w:val="10"/>
          <w:szCs w:val="10"/>
          <w:cs/>
        </w:rPr>
        <w:t xml:space="preserve">. </w:t>
      </w:r>
      <w:r w:rsidRPr="00787196">
        <w:rPr>
          <w:rFonts w:ascii="Latha" w:eastAsia="Times New Roman" w:hAnsi="Latha" w:cs="Arial Unicode MS"/>
          <w:b/>
          <w:color w:val="7F7F7F"/>
          <w:sz w:val="10"/>
          <w:szCs w:val="10"/>
          <w:cs/>
        </w:rPr>
        <w:t>இவ்விதிமுறைகள் தரவு காப்புச் சட்டம்</w:t>
      </w:r>
      <w:r w:rsidRPr="00787196">
        <w:rPr>
          <w:rFonts w:ascii="Latha" w:eastAsia="Times New Roman" w:hAnsi="Latha"/>
          <w:bCs/>
          <w:color w:val="7F7F7F"/>
          <w:sz w:val="10"/>
          <w:szCs w:val="10"/>
          <w:cs/>
        </w:rPr>
        <w:t xml:space="preserve"> </w:t>
      </w:r>
      <w:r w:rsidRPr="00787196">
        <w:rPr>
          <w:rFonts w:eastAsia="Times New Roman"/>
          <w:bCs/>
          <w:color w:val="7F7F7F"/>
          <w:sz w:val="14"/>
          <w:szCs w:val="14"/>
          <w:cs/>
        </w:rPr>
        <w:t xml:space="preserve">(Data Protection Act 2000) </w:t>
      </w:r>
      <w:r w:rsidRPr="00787196">
        <w:rPr>
          <w:rFonts w:eastAsia="Times New Roman" w:cs="Arial Unicode MS"/>
          <w:b/>
          <w:color w:val="7F7F7F"/>
          <w:sz w:val="10"/>
          <w:szCs w:val="10"/>
          <w:cs/>
        </w:rPr>
        <w:t>கீழ் உட்பட்டவை ஆகும்</w:t>
      </w:r>
      <w:r w:rsidRPr="00787196">
        <w:rPr>
          <w:rFonts w:eastAsia="Times New Roman"/>
          <w:b/>
          <w:color w:val="7F7F7F"/>
          <w:sz w:val="10"/>
          <w:szCs w:val="10"/>
          <w:cs/>
        </w:rPr>
        <w:t xml:space="preserve">. </w:t>
      </w:r>
      <w:r w:rsidRPr="00787196">
        <w:rPr>
          <w:rFonts w:eastAsia="Times New Roman" w:cs="Arial Unicode MS"/>
          <w:b/>
          <w:color w:val="7F7F7F"/>
          <w:sz w:val="10"/>
          <w:szCs w:val="10"/>
          <w:cs/>
        </w:rPr>
        <w:t>மேலும்</w:t>
      </w:r>
      <w:r w:rsidRPr="00787196">
        <w:rPr>
          <w:rFonts w:eastAsia="Times New Roman"/>
          <w:b/>
          <w:color w:val="7F7F7F"/>
          <w:sz w:val="10"/>
          <w:szCs w:val="10"/>
          <w:cs/>
        </w:rPr>
        <w:t xml:space="preserve">, </w:t>
      </w:r>
      <w:r w:rsidRPr="00787196">
        <w:rPr>
          <w:rFonts w:eastAsia="Times New Roman" w:cs="Arial Unicode MS"/>
          <w:b/>
          <w:color w:val="7F7F7F"/>
          <w:sz w:val="10"/>
          <w:szCs w:val="10"/>
          <w:cs/>
        </w:rPr>
        <w:t xml:space="preserve">தகவல் சுகந்திரச் சட்டம் </w:t>
      </w:r>
      <w:r w:rsidRPr="00787196">
        <w:rPr>
          <w:rFonts w:eastAsia="Times New Roman"/>
          <w:b/>
          <w:color w:val="7F7F7F"/>
          <w:sz w:val="14"/>
          <w:szCs w:val="14"/>
          <w:cs/>
        </w:rPr>
        <w:t>(Freedom of Information act 2000)</w:t>
      </w:r>
      <w:r w:rsidRPr="00787196">
        <w:rPr>
          <w:rFonts w:eastAsia="Times New Roman" w:cs="Arial Unicode MS"/>
          <w:b/>
          <w:color w:val="7F7F7F"/>
          <w:sz w:val="10"/>
          <w:szCs w:val="10"/>
          <w:cs/>
        </w:rPr>
        <w:t xml:space="preserve"> உடன் இணக்கமான </w:t>
      </w:r>
      <w:r w:rsidRPr="00787196">
        <w:rPr>
          <w:rFonts w:ascii="Calibri" w:eastAsia="Times New Roman" w:hAnsi="Calibri" w:cs="Times New Roman"/>
          <w:bCs/>
          <w:color w:val="7F7F7F"/>
          <w:sz w:val="10"/>
          <w:szCs w:val="10"/>
        </w:rPr>
        <w:t xml:space="preserve"> </w:t>
      </w:r>
      <w:r w:rsidRPr="00787196">
        <w:rPr>
          <w:rFonts w:ascii="Calibri" w:eastAsia="Times New Roman" w:hAnsi="Calibri" w:cs="Arial Unicode MS"/>
          <w:bCs/>
          <w:color w:val="7F7F7F"/>
          <w:sz w:val="10"/>
          <w:szCs w:val="10"/>
          <w:cs/>
        </w:rPr>
        <w:t>ஒன்றாகும்</w:t>
      </w:r>
      <w:r w:rsidRPr="00787196">
        <w:rPr>
          <w:rFonts w:ascii="Calibri" w:eastAsia="Times New Roman" w:hAnsi="Calibri"/>
          <w:bCs/>
          <w:color w:val="7F7F7F"/>
          <w:sz w:val="10"/>
          <w:szCs w:val="10"/>
          <w:cs/>
        </w:rPr>
        <w:t xml:space="preserve">. </w:t>
      </w:r>
      <w:r w:rsidRPr="00787196">
        <w:rPr>
          <w:rFonts w:ascii="Calibri" w:eastAsia="Times New Roman" w:hAnsi="Calibri" w:cs="Arial Unicode MS"/>
          <w:bCs/>
          <w:color w:val="7F7F7F"/>
          <w:sz w:val="10"/>
          <w:szCs w:val="10"/>
          <w:cs/>
        </w:rPr>
        <w:t>அராய்ச்சியாளர் தங்களுடைய தனிப்பட்ட தகவல்களை எவ்வித மூன்றாம் தரப்பினரிடமும் தங்களுடைய அனு</w:t>
      </w:r>
      <w:r w:rsidR="00DD024F" w:rsidRPr="00787196">
        <w:rPr>
          <w:rFonts w:ascii="Calibri" w:eastAsia="Times New Roman" w:hAnsi="Calibri" w:cs="Arial Unicode MS"/>
          <w:bCs/>
          <w:color w:val="7F7F7F"/>
          <w:sz w:val="10"/>
          <w:szCs w:val="10"/>
          <w:cs/>
        </w:rPr>
        <w:t>மதியின்றி வெளிப்படுத்த மாட்டார</w:t>
      </w:r>
    </w:p>
    <w:p w14:paraId="2E5E6D5B" w14:textId="77777777" w:rsidR="008E116F" w:rsidRPr="00787196" w:rsidRDefault="008E116F">
      <w:pPr>
        <w:spacing w:before="0" w:after="0" w:line="240" w:lineRule="auto"/>
        <w:jc w:val="left"/>
        <w:rPr>
          <w:rFonts w:ascii="Calibri" w:eastAsia="Times New Roman" w:hAnsi="Calibri" w:cs="Arial Unicode MS"/>
          <w:bCs/>
          <w:color w:val="7F7F7F"/>
          <w:sz w:val="10"/>
          <w:szCs w:val="10"/>
          <w:cs/>
        </w:rPr>
      </w:pPr>
      <w:r w:rsidRPr="00787196">
        <w:rPr>
          <w:rFonts w:ascii="Calibri" w:eastAsia="Times New Roman" w:hAnsi="Calibri" w:cs="Arial Unicode MS"/>
          <w:bCs/>
          <w:color w:val="7F7F7F"/>
          <w:sz w:val="10"/>
          <w:szCs w:val="10"/>
          <w:cs/>
        </w:rPr>
        <w:br w:type="page"/>
      </w:r>
    </w:p>
    <w:p w14:paraId="52530A40" w14:textId="77777777" w:rsidR="00DD024F" w:rsidRPr="00787196" w:rsidRDefault="00DD024F" w:rsidP="00C96B0F">
      <w:pPr>
        <w:spacing w:before="0" w:after="0" w:line="240" w:lineRule="auto"/>
        <w:ind w:right="140"/>
        <w:rPr>
          <w:rFonts w:ascii="Calibri" w:eastAsia="Times New Roman" w:hAnsi="Calibri"/>
          <w:bCs/>
          <w:color w:val="7F7F7F"/>
          <w:sz w:val="10"/>
          <w:szCs w:val="10"/>
        </w:rPr>
      </w:pPr>
    </w:p>
    <w:p w14:paraId="51266024" w14:textId="04EF1A59" w:rsidR="006F0EC1" w:rsidRPr="00787196" w:rsidRDefault="00E915A9" w:rsidP="00D9694A">
      <w:pPr>
        <w:pStyle w:val="Heading3"/>
      </w:pPr>
      <w:bookmarkStart w:id="828" w:name="_Toc488655712"/>
      <w:r w:rsidRPr="00787196">
        <w:t>Questionnaire booklet</w:t>
      </w:r>
      <w:bookmarkEnd w:id="828"/>
    </w:p>
    <w:tbl>
      <w:tblPr>
        <w:tblpPr w:leftFromText="180" w:rightFromText="180" w:vertAnchor="page" w:horzAnchor="margin" w:tblpY="225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tblGrid>
      <w:tr w:rsidR="006F0EC1" w:rsidRPr="00787196" w14:paraId="3BA52800" w14:textId="77777777" w:rsidTr="00BC4BF9">
        <w:trPr>
          <w:trHeight w:val="12954"/>
        </w:trPr>
        <w:tc>
          <w:tcPr>
            <w:tcW w:w="8217" w:type="dxa"/>
            <w:tcBorders>
              <w:top w:val="single" w:sz="4" w:space="0" w:color="auto"/>
              <w:left w:val="single" w:sz="4" w:space="0" w:color="auto"/>
              <w:bottom w:val="single" w:sz="4" w:space="0" w:color="auto"/>
              <w:right w:val="single" w:sz="4" w:space="0" w:color="auto"/>
            </w:tcBorders>
            <w:shd w:val="clear" w:color="auto" w:fill="auto"/>
            <w:hideMark/>
          </w:tcPr>
          <w:p w14:paraId="48431374" w14:textId="77777777" w:rsidR="006F0EC1" w:rsidRPr="00787196" w:rsidRDefault="006F0EC1" w:rsidP="00BC4BF9">
            <w:pPr>
              <w:spacing w:before="0" w:after="0" w:line="240" w:lineRule="auto"/>
              <w:rPr>
                <w:rFonts w:eastAsia="Calibri"/>
                <w:b/>
                <w:bCs/>
                <w:color w:val="4F81BD"/>
                <w:szCs w:val="24"/>
                <w:lang w:eastAsia="en-US"/>
              </w:rPr>
            </w:pPr>
          </w:p>
          <w:p w14:paraId="504E22D4" w14:textId="7193DDAA" w:rsidR="006F0EC1" w:rsidRPr="00787196" w:rsidRDefault="00DD00C2" w:rsidP="00BC4BF9">
            <w:pPr>
              <w:bidi/>
              <w:spacing w:before="0" w:after="0" w:line="240" w:lineRule="auto"/>
              <w:jc w:val="center"/>
              <w:rPr>
                <w:rFonts w:eastAsia="Calibri" w:cs="Arial"/>
                <w:color w:val="4F81BD"/>
                <w:sz w:val="18"/>
                <w:szCs w:val="18"/>
                <w:lang w:eastAsia="en-US" w:bidi="ar-SA"/>
              </w:rPr>
            </w:pPr>
            <w:r w:rsidRPr="00787196">
              <w:rPr>
                <w:rFonts w:ascii="Latha" w:eastAsia="Calibri" w:hAnsi="Latha" w:cs="Arial Unicode MS"/>
                <w:color w:val="4F81BD"/>
                <w:sz w:val="18"/>
                <w:szCs w:val="18"/>
                <w:cs/>
                <w:lang w:eastAsia="en-US"/>
              </w:rPr>
              <w:t>செயற்கைப்</w:t>
            </w:r>
            <w:r w:rsidRPr="00787196">
              <w:rPr>
                <w:rFonts w:eastAsia="Calibri" w:cs="Arial"/>
                <w:color w:val="4F81BD"/>
                <w:sz w:val="18"/>
                <w:szCs w:val="18"/>
                <w:lang w:eastAsia="en-US" w:bidi="ar-SA"/>
              </w:rPr>
              <w:t xml:space="preserve"> </w:t>
            </w:r>
            <w:r w:rsidRPr="00787196">
              <w:rPr>
                <w:rFonts w:ascii="Latha" w:eastAsia="Calibri" w:hAnsi="Latha" w:cs="Arial Unicode MS"/>
                <w:color w:val="4F81BD"/>
                <w:sz w:val="18"/>
                <w:szCs w:val="18"/>
                <w:cs/>
                <w:lang w:eastAsia="en-US"/>
              </w:rPr>
              <w:t>பல்</w:t>
            </w:r>
            <w:r w:rsidRPr="00787196">
              <w:rPr>
                <w:rFonts w:eastAsia="Calibri" w:cs="Arial"/>
                <w:color w:val="4F81BD"/>
                <w:sz w:val="18"/>
                <w:szCs w:val="18"/>
                <w:lang w:eastAsia="en-US" w:bidi="ar-SA"/>
              </w:rPr>
              <w:t xml:space="preserve"> </w:t>
            </w:r>
            <w:r w:rsidR="005F2264" w:rsidRPr="00787196">
              <w:rPr>
                <w:rFonts w:ascii="Latha" w:eastAsia="Calibri" w:hAnsi="Latha" w:cs="Arial Unicode MS"/>
                <w:color w:val="4F81BD"/>
                <w:sz w:val="18"/>
                <w:szCs w:val="18"/>
                <w:cs/>
                <w:lang w:eastAsia="en-US"/>
              </w:rPr>
              <w:t>கட்டமைப்பு அணிவோரின்</w:t>
            </w:r>
            <w:r w:rsidRPr="00787196">
              <w:rPr>
                <w:rFonts w:eastAsia="Calibri" w:cs="Arial"/>
                <w:color w:val="4F81BD"/>
                <w:sz w:val="18"/>
                <w:szCs w:val="18"/>
                <w:lang w:eastAsia="en-US" w:bidi="ar-SA"/>
              </w:rPr>
              <w:t xml:space="preserve"> </w:t>
            </w:r>
            <w:r w:rsidR="006F0EC1" w:rsidRPr="00787196">
              <w:rPr>
                <w:rFonts w:eastAsia="Calibri" w:cs="Arial"/>
                <w:color w:val="4F81BD"/>
                <w:sz w:val="18"/>
                <w:szCs w:val="18"/>
                <w:lang w:eastAsia="en-US" w:bidi="ar-SA"/>
              </w:rPr>
              <w:t xml:space="preserve"> </w:t>
            </w:r>
            <w:r w:rsidR="006F0EC1" w:rsidRPr="00787196">
              <w:rPr>
                <w:rFonts w:ascii="Latha" w:eastAsia="Calibri" w:hAnsi="Latha" w:cs="Arial Unicode MS"/>
                <w:color w:val="4F81BD"/>
                <w:sz w:val="18"/>
                <w:szCs w:val="18"/>
                <w:cs/>
                <w:lang w:eastAsia="en-US"/>
              </w:rPr>
              <w:t>நேர்த்தியான</w:t>
            </w:r>
            <w:r w:rsidR="006F0EC1" w:rsidRPr="00787196">
              <w:rPr>
                <w:rFonts w:eastAsia="Calibri" w:cs="Arial"/>
                <w:color w:val="4F81BD"/>
                <w:sz w:val="18"/>
                <w:szCs w:val="18"/>
                <w:lang w:eastAsia="en-US" w:bidi="ar-SA"/>
              </w:rPr>
              <w:t xml:space="preserve"> </w:t>
            </w:r>
            <w:r w:rsidR="006F0EC1" w:rsidRPr="00787196">
              <w:rPr>
                <w:rFonts w:ascii="Latha" w:eastAsia="Calibri" w:hAnsi="Latha" w:cs="Arial Unicode MS"/>
                <w:color w:val="4F81BD"/>
                <w:sz w:val="18"/>
                <w:szCs w:val="18"/>
                <w:cs/>
                <w:lang w:eastAsia="en-US"/>
              </w:rPr>
              <w:t>சமாளிப்பு</w:t>
            </w:r>
            <w:r w:rsidR="006F0EC1" w:rsidRPr="00787196">
              <w:rPr>
                <w:rFonts w:eastAsia="Calibri" w:cs="Arial"/>
                <w:color w:val="4F81BD"/>
                <w:sz w:val="18"/>
                <w:szCs w:val="18"/>
                <w:lang w:eastAsia="en-US" w:bidi="ar-SA"/>
              </w:rPr>
              <w:t xml:space="preserve"> </w:t>
            </w:r>
            <w:r w:rsidR="006F0EC1" w:rsidRPr="00787196">
              <w:rPr>
                <w:rFonts w:ascii="Latha" w:eastAsia="Calibri" w:hAnsi="Latha" w:cs="Arial Unicode MS"/>
                <w:color w:val="4F81BD"/>
                <w:sz w:val="18"/>
                <w:szCs w:val="18"/>
                <w:cs/>
                <w:lang w:eastAsia="en-US"/>
              </w:rPr>
              <w:t>வியுகங்கள்</w:t>
            </w:r>
            <w:r w:rsidRPr="00787196">
              <w:rPr>
                <w:rFonts w:ascii="Latha" w:eastAsia="Calibri" w:hAnsi="Latha" w:cs="Arial Unicode MS"/>
                <w:color w:val="4F81BD"/>
                <w:sz w:val="18"/>
                <w:szCs w:val="18"/>
                <w:lang w:eastAsia="en-US"/>
              </w:rPr>
              <w:t>,</w:t>
            </w:r>
            <w:r w:rsidR="0022443B" w:rsidRPr="00787196">
              <w:rPr>
                <w:rFonts w:eastAsia="Calibri" w:cs="Arial"/>
                <w:color w:val="4F81BD"/>
                <w:sz w:val="18"/>
                <w:szCs w:val="18"/>
                <w:lang w:eastAsia="en-US" w:bidi="ar-SA"/>
              </w:rPr>
              <w:t xml:space="preserve"> </w:t>
            </w:r>
            <w:r w:rsidR="005F2264" w:rsidRPr="00787196">
              <w:rPr>
                <w:rFonts w:eastAsia="Calibri" w:cs="Nirmala UI"/>
                <w:color w:val="4F81BD"/>
                <w:sz w:val="18"/>
                <w:szCs w:val="18"/>
                <w:cs/>
                <w:lang w:eastAsia="en-US"/>
              </w:rPr>
              <w:t xml:space="preserve">அதன் </w:t>
            </w:r>
            <w:r w:rsidR="0022443B" w:rsidRPr="00787196">
              <w:rPr>
                <w:rFonts w:ascii="Latha" w:eastAsia="Calibri" w:hAnsi="Latha" w:cs="Arial Unicode MS"/>
                <w:color w:val="4F81BD"/>
                <w:sz w:val="18"/>
                <w:szCs w:val="18"/>
                <w:cs/>
                <w:lang w:eastAsia="en-US"/>
              </w:rPr>
              <w:t xml:space="preserve">வெற்றியினைத் </w:t>
            </w:r>
            <w:r w:rsidR="00132FC7" w:rsidRPr="00787196">
              <w:rPr>
                <w:rFonts w:ascii="Latha" w:eastAsia="Calibri" w:hAnsi="Latha" w:cs="Arial Unicode MS"/>
                <w:color w:val="4F81BD"/>
                <w:sz w:val="18"/>
                <w:szCs w:val="18"/>
                <w:cs/>
                <w:lang w:eastAsia="en-US"/>
              </w:rPr>
              <w:t>தீர்மானிப்பதன் மூலம்</w:t>
            </w:r>
            <w:r w:rsidR="0022443B" w:rsidRPr="00787196">
              <w:rPr>
                <w:rFonts w:eastAsia="Calibri" w:cs="Arial"/>
                <w:color w:val="4F81BD"/>
                <w:sz w:val="18"/>
                <w:szCs w:val="18"/>
                <w:lang w:eastAsia="en-US" w:bidi="ar-SA"/>
              </w:rPr>
              <w:t xml:space="preserve"> </w:t>
            </w:r>
            <w:r w:rsidR="0022443B" w:rsidRPr="00787196">
              <w:rPr>
                <w:rFonts w:ascii="Latha" w:eastAsia="Calibri" w:hAnsi="Latha" w:cs="Arial Unicode MS"/>
                <w:color w:val="4F81BD"/>
                <w:sz w:val="18"/>
                <w:szCs w:val="18"/>
                <w:cs/>
                <w:lang w:eastAsia="en-US"/>
              </w:rPr>
              <w:t>வாய்நலம்</w:t>
            </w:r>
            <w:r w:rsidR="0022443B" w:rsidRPr="00787196">
              <w:rPr>
                <w:rFonts w:eastAsia="Calibri" w:cs="Arial"/>
                <w:color w:val="4F81BD"/>
                <w:sz w:val="18"/>
                <w:szCs w:val="18"/>
                <w:lang w:eastAsia="en-US" w:bidi="ar-SA"/>
              </w:rPr>
              <w:t xml:space="preserve"> </w:t>
            </w:r>
            <w:r w:rsidR="0022443B" w:rsidRPr="00787196">
              <w:rPr>
                <w:rFonts w:ascii="Latha" w:eastAsia="Calibri" w:hAnsi="Latha" w:cs="Arial Unicode MS"/>
                <w:color w:val="4F81BD"/>
                <w:sz w:val="18"/>
                <w:szCs w:val="18"/>
                <w:cs/>
                <w:lang w:eastAsia="en-US"/>
              </w:rPr>
              <w:t>சார்த்த</w:t>
            </w:r>
            <w:r w:rsidR="0022443B" w:rsidRPr="00787196">
              <w:rPr>
                <w:rFonts w:eastAsia="Calibri" w:cs="Arial"/>
                <w:color w:val="4F81BD"/>
                <w:sz w:val="18"/>
                <w:szCs w:val="18"/>
                <w:lang w:eastAsia="en-US" w:bidi="ar-SA"/>
              </w:rPr>
              <w:t xml:space="preserve"> </w:t>
            </w:r>
            <w:r w:rsidR="0022443B" w:rsidRPr="00787196">
              <w:rPr>
                <w:rFonts w:ascii="Latha" w:eastAsia="Calibri" w:hAnsi="Latha" w:cs="Arial Unicode MS"/>
                <w:color w:val="4F81BD"/>
                <w:sz w:val="18"/>
                <w:szCs w:val="18"/>
                <w:cs/>
                <w:lang w:eastAsia="en-US"/>
              </w:rPr>
              <w:t>வாழ்க்கைத்</w:t>
            </w:r>
            <w:r w:rsidR="0022443B" w:rsidRPr="00787196">
              <w:rPr>
                <w:rFonts w:eastAsia="Calibri" w:cs="Arial"/>
                <w:color w:val="4F81BD"/>
                <w:sz w:val="18"/>
                <w:szCs w:val="18"/>
                <w:lang w:eastAsia="en-US" w:bidi="ar-SA"/>
              </w:rPr>
              <w:t xml:space="preserve"> </w:t>
            </w:r>
            <w:r w:rsidR="0022443B" w:rsidRPr="00787196">
              <w:rPr>
                <w:rFonts w:ascii="Latha" w:eastAsia="Calibri" w:hAnsi="Latha" w:cs="Arial Unicode MS"/>
                <w:color w:val="4F81BD"/>
                <w:sz w:val="18"/>
                <w:szCs w:val="18"/>
                <w:cs/>
                <w:lang w:eastAsia="en-US"/>
              </w:rPr>
              <w:t>தரத்தினை</w:t>
            </w:r>
            <w:r w:rsidR="00132FC7" w:rsidRPr="00787196">
              <w:rPr>
                <w:rFonts w:ascii="Latha" w:eastAsia="Calibri" w:hAnsi="Latha" w:cs="Arial Unicode MS"/>
                <w:color w:val="4F81BD"/>
                <w:sz w:val="18"/>
                <w:szCs w:val="18"/>
                <w:cs/>
                <w:lang w:eastAsia="en-US"/>
              </w:rPr>
              <w:t xml:space="preserve"> மேம்படுத்துகிறதா</w:t>
            </w:r>
            <w:r w:rsidR="006F0EC1" w:rsidRPr="00787196">
              <w:rPr>
                <w:rFonts w:eastAsia="Calibri" w:cs="Arial"/>
                <w:color w:val="4F81BD"/>
                <w:sz w:val="18"/>
                <w:szCs w:val="18"/>
                <w:lang w:eastAsia="en-US" w:bidi="ar-SA"/>
              </w:rPr>
              <w:t>?</w:t>
            </w:r>
          </w:p>
          <w:p w14:paraId="609B091D" w14:textId="77777777" w:rsidR="006F0EC1" w:rsidRPr="00787196" w:rsidRDefault="006F0EC1" w:rsidP="00BC4BF9">
            <w:pPr>
              <w:spacing w:before="0" w:after="0" w:line="240" w:lineRule="auto"/>
              <w:jc w:val="center"/>
              <w:rPr>
                <w:rFonts w:eastAsia="Calibri" w:cs="Arial"/>
                <w:bCs/>
                <w:color w:val="08B6C8"/>
                <w:sz w:val="18"/>
                <w:szCs w:val="21"/>
                <w:lang w:eastAsia="en-US" w:bidi="ar-SA"/>
              </w:rPr>
            </w:pPr>
          </w:p>
          <w:p w14:paraId="6917BC7B" w14:textId="77777777" w:rsidR="00BC4BF9" w:rsidRPr="00787196" w:rsidRDefault="00BC4BF9" w:rsidP="006C2B50">
            <w:pPr>
              <w:pStyle w:val="Heading3"/>
              <w:numPr>
                <w:ilvl w:val="0"/>
                <w:numId w:val="0"/>
              </w:numPr>
              <w:rPr>
                <w:lang w:eastAsia="en-US"/>
              </w:rPr>
            </w:pPr>
          </w:p>
          <w:p w14:paraId="36B97F2B" w14:textId="77777777" w:rsidR="006F0EC1" w:rsidRPr="00787196" w:rsidRDefault="006F0EC1" w:rsidP="00BC4BF9">
            <w:pPr>
              <w:spacing w:before="0" w:after="0" w:line="240" w:lineRule="auto"/>
              <w:jc w:val="center"/>
              <w:rPr>
                <w:rFonts w:eastAsia="Calibri" w:cs="Arial"/>
                <w:bCs/>
                <w:color w:val="08B6C8"/>
                <w:sz w:val="21"/>
                <w:lang w:eastAsia="en-US" w:bidi="ar-SA"/>
              </w:rPr>
            </w:pPr>
            <w:r w:rsidRPr="00787196">
              <w:rPr>
                <w:rFonts w:ascii="Nirmala UI" w:eastAsia="Calibri" w:hAnsi="Nirmala UI" w:cs="Nirmala UI" w:hint="cs"/>
                <w:bCs/>
                <w:color w:val="08B6C8"/>
                <w:sz w:val="18"/>
                <w:szCs w:val="18"/>
                <w:cs/>
                <w:lang w:eastAsia="en-US"/>
              </w:rPr>
              <w:t>வ</w:t>
            </w:r>
            <w:r w:rsidRPr="00787196">
              <w:rPr>
                <w:rFonts w:ascii="Latha" w:eastAsia="Calibri" w:hAnsi="Latha" w:cs="Arial Unicode MS"/>
                <w:bCs/>
                <w:color w:val="08B6C8"/>
                <w:sz w:val="18"/>
                <w:szCs w:val="18"/>
                <w:cs/>
                <w:lang w:eastAsia="en-US"/>
              </w:rPr>
              <w:t>ினாத்தொடர்</w:t>
            </w:r>
            <w:r w:rsidRPr="00787196">
              <w:rPr>
                <w:rFonts w:eastAsia="Calibri" w:cs="Arial"/>
                <w:bCs/>
                <w:color w:val="08B6C8"/>
                <w:sz w:val="18"/>
                <w:szCs w:val="18"/>
                <w:rtl/>
                <w:cs/>
                <w:lang w:eastAsia="en-US" w:bidi="ar-SA"/>
              </w:rPr>
              <w:t xml:space="preserve"> </w:t>
            </w:r>
            <w:r w:rsidRPr="00787196">
              <w:rPr>
                <w:rFonts w:ascii="Latha" w:eastAsia="Calibri" w:hAnsi="Latha" w:cs="Arial Unicode MS"/>
                <w:bCs/>
                <w:color w:val="08B6C8"/>
                <w:sz w:val="18"/>
                <w:szCs w:val="18"/>
                <w:cs/>
                <w:lang w:eastAsia="en-US"/>
              </w:rPr>
              <w:t>புத்தகம்</w:t>
            </w:r>
          </w:p>
          <w:p w14:paraId="0550621A" w14:textId="77777777" w:rsidR="006F0EC1" w:rsidRPr="00787196" w:rsidRDefault="006F0EC1" w:rsidP="00BC4BF9">
            <w:pPr>
              <w:spacing w:before="0" w:after="0" w:line="240" w:lineRule="auto"/>
              <w:jc w:val="center"/>
              <w:rPr>
                <w:rFonts w:eastAsia="Calibri" w:cs="Arial"/>
                <w:bCs/>
                <w:color w:val="08B6C8"/>
                <w:sz w:val="32"/>
                <w:szCs w:val="36"/>
                <w:lang w:eastAsia="en-US" w:bidi="ar-SA"/>
              </w:rPr>
            </w:pPr>
          </w:p>
          <w:p w14:paraId="77D02BE0" w14:textId="3C1C0549" w:rsidR="006F0EC1" w:rsidRPr="00787196" w:rsidRDefault="0022443B" w:rsidP="00BC4BF9">
            <w:pPr>
              <w:spacing w:before="0" w:after="0" w:line="240" w:lineRule="auto"/>
              <w:jc w:val="center"/>
              <w:rPr>
                <w:rFonts w:eastAsia="Calibri" w:cs="Arial"/>
                <w:szCs w:val="24"/>
                <w:lang w:eastAsia="en-US" w:bidi="ar-SA"/>
              </w:rPr>
            </w:pPr>
            <w:r w:rsidRPr="00787196">
              <w:rPr>
                <w:rFonts w:cs="Arial"/>
                <w:noProof/>
                <w:sz w:val="18"/>
                <w:szCs w:val="21"/>
              </w:rPr>
              <w:drawing>
                <wp:inline distT="0" distB="0" distL="0" distR="0" wp14:anchorId="1A03A746" wp14:editId="322D5510">
                  <wp:extent cx="1638300" cy="1389869"/>
                  <wp:effectExtent l="0" t="0" r="0"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ures.gif"/>
                          <pic:cNvPicPr/>
                        </pic:nvPicPr>
                        <pic:blipFill>
                          <a:blip r:embed="rId47">
                            <a:extLst>
                              <a:ext uri="{28A0092B-C50C-407E-A947-70E740481C1C}">
                                <a14:useLocalDpi xmlns:a14="http://schemas.microsoft.com/office/drawing/2010/main" val="0"/>
                              </a:ext>
                            </a:extLst>
                          </a:blip>
                          <a:stretch>
                            <a:fillRect/>
                          </a:stretch>
                        </pic:blipFill>
                        <pic:spPr>
                          <a:xfrm>
                            <a:off x="0" y="0"/>
                            <a:ext cx="1647144" cy="1397372"/>
                          </a:xfrm>
                          <a:prstGeom prst="rect">
                            <a:avLst/>
                          </a:prstGeom>
                        </pic:spPr>
                      </pic:pic>
                    </a:graphicData>
                  </a:graphic>
                </wp:inline>
              </w:drawing>
            </w:r>
          </w:p>
          <w:p w14:paraId="08302591" w14:textId="77777777" w:rsidR="006F0EC1" w:rsidRPr="00787196" w:rsidRDefault="006F0EC1" w:rsidP="00BC4BF9">
            <w:pPr>
              <w:spacing w:before="0" w:after="0" w:line="240" w:lineRule="auto"/>
              <w:jc w:val="center"/>
              <w:rPr>
                <w:rFonts w:eastAsia="Calibri" w:cs="Arial"/>
                <w:sz w:val="18"/>
                <w:szCs w:val="21"/>
                <w:lang w:eastAsia="en-US" w:bidi="ar-SA"/>
              </w:rPr>
            </w:pPr>
          </w:p>
          <w:p w14:paraId="3A1DE273" w14:textId="77777777" w:rsidR="006F0EC1" w:rsidRPr="00787196" w:rsidRDefault="006F0EC1" w:rsidP="00BC4BF9">
            <w:pPr>
              <w:spacing w:before="0" w:after="0" w:line="240" w:lineRule="auto"/>
              <w:jc w:val="center"/>
              <w:rPr>
                <w:rFonts w:eastAsia="Calibri" w:cs="Arial"/>
                <w:sz w:val="14"/>
                <w:szCs w:val="14"/>
                <w:lang w:eastAsia="en-US" w:bidi="ar-SA"/>
              </w:rPr>
            </w:pPr>
          </w:p>
          <w:p w14:paraId="27852727"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b/>
                <w:bCs/>
                <w:sz w:val="13"/>
                <w:szCs w:val="13"/>
                <w:cs/>
                <w:lang w:eastAsia="en-US"/>
              </w:rPr>
              <w:t>ஆராய்ச்சியாளர்</w:t>
            </w:r>
            <w:r w:rsidRPr="00787196">
              <w:rPr>
                <w:rFonts w:eastAsia="Calibri" w:cs="Arial"/>
                <w:sz w:val="13"/>
                <w:szCs w:val="13"/>
                <w:rtl/>
                <w:cs/>
                <w:lang w:eastAsia="en-US" w:bidi="ar-SA"/>
              </w:rPr>
              <w:t xml:space="preserve">: </w:t>
            </w:r>
            <w:r w:rsidRPr="00787196">
              <w:rPr>
                <w:rFonts w:ascii="Latha" w:eastAsia="Calibri" w:hAnsi="Latha" w:cs="Arial Unicode MS"/>
                <w:b/>
                <w:bCs/>
                <w:sz w:val="13"/>
                <w:szCs w:val="13"/>
                <w:cs/>
                <w:lang w:eastAsia="en-US"/>
              </w:rPr>
              <w:t>கார்த்திக்</w:t>
            </w:r>
            <w:r w:rsidRPr="00787196">
              <w:rPr>
                <w:rFonts w:eastAsia="Calibri" w:cs="Arial"/>
                <w:b/>
                <w:bCs/>
                <w:sz w:val="13"/>
                <w:szCs w:val="13"/>
                <w:rtl/>
                <w:cs/>
                <w:lang w:eastAsia="en-US" w:bidi="ar-SA"/>
              </w:rPr>
              <w:t xml:space="preserve"> </w:t>
            </w:r>
            <w:r w:rsidRPr="00787196">
              <w:rPr>
                <w:rFonts w:ascii="Latha" w:eastAsia="Calibri" w:hAnsi="Latha" w:cs="Arial Unicode MS"/>
                <w:b/>
                <w:bCs/>
                <w:sz w:val="13"/>
                <w:szCs w:val="13"/>
                <w:cs/>
                <w:lang w:eastAsia="en-US"/>
              </w:rPr>
              <w:t>பெரியகருப்பையா</w:t>
            </w:r>
          </w:p>
          <w:p w14:paraId="3A3BC0AF"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மின்னஞ்சல்</w:t>
            </w:r>
            <w:r w:rsidRPr="00787196">
              <w:rPr>
                <w:rFonts w:eastAsia="Calibri" w:cs="Arial"/>
                <w:sz w:val="13"/>
                <w:szCs w:val="13"/>
                <w:rtl/>
                <w:cs/>
                <w:lang w:eastAsia="en-US" w:bidi="ar-SA"/>
              </w:rPr>
              <w:t>:</w:t>
            </w:r>
            <w:r w:rsidRPr="00787196">
              <w:rPr>
                <w:rFonts w:eastAsia="Calibri" w:cs="Arial"/>
                <w:sz w:val="13"/>
                <w:szCs w:val="13"/>
                <w:lang w:eastAsia="en-US" w:bidi="ar-SA"/>
              </w:rPr>
              <w:t xml:space="preserve"> k.periyakaruppiah@sheffield.ac.uk; kart777@gmail.com</w:t>
            </w:r>
          </w:p>
          <w:p w14:paraId="215BD849"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தொலைபேசி</w:t>
            </w:r>
            <w:r w:rsidRPr="00787196">
              <w:rPr>
                <w:rFonts w:eastAsia="Calibri" w:cs="Arial"/>
                <w:sz w:val="13"/>
                <w:szCs w:val="13"/>
                <w:lang w:eastAsia="en-US" w:bidi="ar-SA"/>
              </w:rPr>
              <w:t>: +91 9791180582</w:t>
            </w:r>
          </w:p>
          <w:p w14:paraId="5B8532C6" w14:textId="77777777" w:rsidR="006F0EC1" w:rsidRPr="00787196" w:rsidRDefault="006F0EC1" w:rsidP="00BC4BF9">
            <w:pPr>
              <w:spacing w:before="0" w:after="0" w:line="240" w:lineRule="auto"/>
              <w:jc w:val="center"/>
              <w:rPr>
                <w:rFonts w:eastAsia="Calibri" w:cs="Arial"/>
                <w:sz w:val="13"/>
                <w:szCs w:val="13"/>
                <w:lang w:eastAsia="en-US" w:bidi="ar-SA"/>
              </w:rPr>
            </w:pPr>
          </w:p>
          <w:p w14:paraId="1FF9AFFF"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b/>
                <w:bCs/>
                <w:sz w:val="13"/>
                <w:szCs w:val="13"/>
                <w:cs/>
                <w:lang w:eastAsia="en-US"/>
              </w:rPr>
              <w:t>மேற்பார்வையாளர்கள்</w:t>
            </w:r>
            <w:r w:rsidRPr="00787196">
              <w:rPr>
                <w:rFonts w:eastAsia="Calibri" w:cs="Arial"/>
                <w:b/>
                <w:bCs/>
                <w:sz w:val="13"/>
                <w:szCs w:val="13"/>
                <w:lang w:eastAsia="en-US" w:bidi="ar-SA"/>
              </w:rPr>
              <w:t>:</w:t>
            </w:r>
            <w:r w:rsidRPr="00787196">
              <w:rPr>
                <w:rFonts w:eastAsia="Calibri" w:cs="Arial"/>
                <w:sz w:val="13"/>
                <w:szCs w:val="13"/>
                <w:lang w:eastAsia="en-US" w:bidi="ar-SA"/>
              </w:rPr>
              <w:t xml:space="preserve"> </w:t>
            </w:r>
            <w:r w:rsidRPr="00787196">
              <w:rPr>
                <w:rFonts w:ascii="Latha" w:eastAsia="Calibri" w:hAnsi="Latha" w:cs="Arial Unicode MS"/>
                <w:sz w:val="13"/>
                <w:szCs w:val="13"/>
                <w:cs/>
                <w:lang w:eastAsia="en-US"/>
              </w:rPr>
              <w:t>பேராசிரியர்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திரு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பீட்டர்</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ஜி</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ராபின்சன்</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மற்றும்</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முனைவர்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சாரா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பேக்கர்</w:t>
            </w:r>
          </w:p>
          <w:p w14:paraId="48E189DA"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பல்</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பொது</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நலப்பிரிவு</w:t>
            </w:r>
          </w:p>
          <w:p w14:paraId="0F723D3A"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பல்</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மருத்துவப்</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பள்ளி</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கிளேர்மோன்ட்</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கிரெசன்ட்</w:t>
            </w:r>
          </w:p>
          <w:p w14:paraId="2CA3830F"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செஃபீல்டு</w:t>
            </w:r>
            <w:r w:rsidRPr="00787196">
              <w:rPr>
                <w:rFonts w:eastAsia="Calibri" w:cs="Arial"/>
                <w:sz w:val="13"/>
                <w:szCs w:val="13"/>
                <w:lang w:eastAsia="en-US" w:bidi="ar-SA"/>
              </w:rPr>
              <w:t xml:space="preserve">, </w:t>
            </w:r>
            <w:r w:rsidR="00976254" w:rsidRPr="00787196">
              <w:rPr>
                <w:rFonts w:eastAsia="Calibri" w:cs="Arial Unicode MS"/>
                <w:sz w:val="13"/>
                <w:szCs w:val="13"/>
                <w:cs/>
                <w:lang w:eastAsia="en-US"/>
              </w:rPr>
              <w:t xml:space="preserve">இங்கிலாந்து </w:t>
            </w:r>
            <w:r w:rsidRPr="00787196">
              <w:rPr>
                <w:rFonts w:eastAsia="Calibri" w:cs="Arial"/>
                <w:sz w:val="13"/>
                <w:szCs w:val="13"/>
                <w:lang w:eastAsia="en-US" w:bidi="ar-SA"/>
              </w:rPr>
              <w:t>(S10 2TA)</w:t>
            </w:r>
          </w:p>
          <w:p w14:paraId="17E797A4" w14:textId="77777777" w:rsidR="006F0EC1" w:rsidRPr="00787196" w:rsidRDefault="006F0EC1" w:rsidP="00BC4BF9">
            <w:pPr>
              <w:spacing w:before="0" w:after="0" w:line="240" w:lineRule="auto"/>
              <w:jc w:val="center"/>
              <w:rPr>
                <w:rFonts w:eastAsia="Calibri" w:cs="Arial"/>
                <w:sz w:val="13"/>
                <w:szCs w:val="13"/>
                <w:lang w:eastAsia="en-US" w:bidi="ar-SA"/>
              </w:rPr>
            </w:pPr>
          </w:p>
          <w:p w14:paraId="2AB1231B"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b/>
                <w:bCs/>
                <w:sz w:val="13"/>
                <w:szCs w:val="13"/>
                <w:cs/>
                <w:lang w:eastAsia="en-US"/>
              </w:rPr>
              <w:t>ஆராய்ச்சி</w:t>
            </w:r>
            <w:r w:rsidR="00976254" w:rsidRPr="00787196">
              <w:rPr>
                <w:rFonts w:ascii="Latha" w:eastAsia="Calibri" w:hAnsi="Latha" w:cs="Arial Unicode MS"/>
                <w:b/>
                <w:bCs/>
                <w:sz w:val="13"/>
                <w:szCs w:val="13"/>
                <w:cs/>
                <w:lang w:eastAsia="en-US"/>
              </w:rPr>
              <w:t xml:space="preserve"> மேற்பார்வை மற்றும்</w:t>
            </w:r>
            <w:r w:rsidRPr="00787196">
              <w:rPr>
                <w:rFonts w:eastAsia="Calibri" w:cs="Arial"/>
                <w:b/>
                <w:bCs/>
                <w:sz w:val="13"/>
                <w:szCs w:val="13"/>
                <w:rtl/>
                <w:cs/>
                <w:lang w:eastAsia="en-US" w:bidi="ar-SA"/>
              </w:rPr>
              <w:t xml:space="preserve"> </w:t>
            </w:r>
            <w:r w:rsidRPr="00787196">
              <w:rPr>
                <w:rFonts w:ascii="Latha" w:eastAsia="Calibri" w:hAnsi="Latha" w:cs="Arial Unicode MS"/>
                <w:b/>
                <w:bCs/>
                <w:sz w:val="13"/>
                <w:szCs w:val="13"/>
                <w:cs/>
                <w:lang w:eastAsia="en-US"/>
              </w:rPr>
              <w:t>ஒருங்கிணைப்பாளர்</w:t>
            </w:r>
            <w:r w:rsidRPr="00787196">
              <w:rPr>
                <w:rFonts w:eastAsia="Calibri" w:cs="Arial"/>
                <w:b/>
                <w:bCs/>
                <w:sz w:val="13"/>
                <w:szCs w:val="13"/>
                <w:lang w:eastAsia="en-US" w:bidi="ar-SA"/>
              </w:rPr>
              <w:t>:</w:t>
            </w:r>
            <w:r w:rsidRPr="00787196">
              <w:rPr>
                <w:rFonts w:eastAsia="Calibri" w:cs="Arial"/>
                <w:sz w:val="13"/>
                <w:szCs w:val="13"/>
                <w:lang w:eastAsia="en-US" w:bidi="ar-SA"/>
              </w:rPr>
              <w:t xml:space="preserve"> </w:t>
            </w:r>
            <w:r w:rsidRPr="00787196">
              <w:rPr>
                <w:rFonts w:ascii="Latha" w:eastAsia="Calibri" w:hAnsi="Latha" w:cs="Arial Unicode MS"/>
                <w:sz w:val="13"/>
                <w:szCs w:val="13"/>
                <w:cs/>
                <w:lang w:eastAsia="en-US"/>
              </w:rPr>
              <w:t>பேராசிரியர்</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திரு</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த</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வீ</w:t>
            </w:r>
            <w:r w:rsidRPr="00787196">
              <w:rPr>
                <w:rFonts w:eastAsia="Calibri" w:cs="Arial"/>
                <w:sz w:val="13"/>
                <w:szCs w:val="13"/>
                <w:rtl/>
                <w:cs/>
                <w:lang w:eastAsia="en-US" w:bidi="ar-SA"/>
              </w:rPr>
              <w:t>.</w:t>
            </w:r>
            <w:r w:rsidRPr="00787196">
              <w:rPr>
                <w:rFonts w:ascii="Latha" w:eastAsia="Calibri" w:hAnsi="Latha" w:cs="Arial Unicode MS"/>
                <w:sz w:val="13"/>
                <w:szCs w:val="13"/>
                <w:cs/>
                <w:lang w:eastAsia="en-US"/>
              </w:rPr>
              <w:t>பத்மநாபன்</w:t>
            </w:r>
          </w:p>
          <w:p w14:paraId="689C82F2"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செயற்கைப்பல்</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கட்டமைப்புப்</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பிரிவு</w:t>
            </w:r>
          </w:p>
          <w:p w14:paraId="57586A56"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ஸ்ரீ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இராமச்சந்திரா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பல்</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மருத்துவக்</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கல்லூரி</w:t>
            </w:r>
            <w:r w:rsidRPr="00787196">
              <w:rPr>
                <w:rFonts w:eastAsia="Calibri" w:cs="Arial"/>
                <w:sz w:val="13"/>
                <w:szCs w:val="13"/>
                <w:rtl/>
                <w:cs/>
                <w:lang w:eastAsia="en-US" w:bidi="ar-SA"/>
              </w:rPr>
              <w:t xml:space="preserve"> &amp; </w:t>
            </w:r>
            <w:r w:rsidRPr="00787196">
              <w:rPr>
                <w:rFonts w:ascii="Latha" w:eastAsia="Calibri" w:hAnsi="Latha" w:cs="Arial Unicode MS"/>
                <w:sz w:val="13"/>
                <w:szCs w:val="13"/>
                <w:cs/>
                <w:lang w:eastAsia="en-US"/>
              </w:rPr>
              <w:t>மருத்தவமனை</w:t>
            </w:r>
          </w:p>
          <w:p w14:paraId="75F438B6" w14:textId="77777777" w:rsidR="006F0EC1" w:rsidRPr="00787196" w:rsidRDefault="006F0EC1" w:rsidP="00BC4BF9">
            <w:pPr>
              <w:spacing w:before="0" w:after="0" w:line="240" w:lineRule="auto"/>
              <w:jc w:val="center"/>
              <w:rPr>
                <w:rFonts w:eastAsia="Calibri" w:cs="Arial"/>
                <w:sz w:val="13"/>
                <w:szCs w:val="13"/>
                <w:lang w:eastAsia="en-US" w:bidi="ar-SA"/>
              </w:rPr>
            </w:pPr>
            <w:r w:rsidRPr="00787196">
              <w:rPr>
                <w:rFonts w:ascii="Latha" w:eastAsia="Calibri" w:hAnsi="Latha" w:cs="Arial Unicode MS"/>
                <w:sz w:val="13"/>
                <w:szCs w:val="13"/>
                <w:cs/>
                <w:lang w:eastAsia="en-US"/>
              </w:rPr>
              <w:t>போரூர்</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சென்னை</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தமிழ்நாடு</w:t>
            </w:r>
            <w:r w:rsidRPr="00787196">
              <w:rPr>
                <w:rFonts w:eastAsia="Calibri" w:cs="Arial"/>
                <w:sz w:val="13"/>
                <w:szCs w:val="13"/>
                <w:rtl/>
                <w:cs/>
                <w:lang w:eastAsia="en-US" w:bidi="ar-SA"/>
              </w:rPr>
              <w:t xml:space="preserve">, </w:t>
            </w:r>
            <w:r w:rsidRPr="00787196">
              <w:rPr>
                <w:rFonts w:ascii="Latha" w:eastAsia="Calibri" w:hAnsi="Latha" w:cs="Arial Unicode MS"/>
                <w:sz w:val="13"/>
                <w:szCs w:val="13"/>
                <w:cs/>
                <w:lang w:eastAsia="en-US"/>
              </w:rPr>
              <w:t>இந்தியா</w:t>
            </w:r>
            <w:r w:rsidRPr="00787196">
              <w:rPr>
                <w:rFonts w:eastAsia="Calibri" w:cs="Arial"/>
                <w:sz w:val="13"/>
                <w:szCs w:val="13"/>
                <w:lang w:eastAsia="en-US" w:bidi="ar-SA"/>
              </w:rPr>
              <w:t xml:space="preserve"> – 600116</w:t>
            </w:r>
          </w:p>
          <w:p w14:paraId="3530854B" w14:textId="77777777" w:rsidR="006F0EC1" w:rsidRPr="00787196" w:rsidRDefault="006F0EC1" w:rsidP="00BC4BF9">
            <w:pPr>
              <w:spacing w:before="0" w:after="0" w:line="240" w:lineRule="auto"/>
              <w:jc w:val="center"/>
              <w:rPr>
                <w:rFonts w:eastAsia="Calibri" w:cs="Arial"/>
                <w:sz w:val="16"/>
                <w:szCs w:val="16"/>
                <w:lang w:eastAsia="en-US" w:bidi="ar-SA"/>
              </w:rPr>
            </w:pPr>
          </w:p>
          <w:p w14:paraId="21766CBC" w14:textId="77777777" w:rsidR="006F0EC1" w:rsidRPr="00787196" w:rsidRDefault="006F0EC1" w:rsidP="00BC4BF9">
            <w:pPr>
              <w:spacing w:before="0" w:after="0" w:line="240" w:lineRule="auto"/>
              <w:jc w:val="center"/>
              <w:rPr>
                <w:rFonts w:eastAsia="Calibri" w:cs="Arial"/>
                <w:sz w:val="12"/>
                <w:szCs w:val="12"/>
                <w:lang w:eastAsia="en-US" w:bidi="ar-SA"/>
              </w:rPr>
            </w:pPr>
          </w:p>
          <w:p w14:paraId="3C475DA5" w14:textId="77777777" w:rsidR="00BC4BF9" w:rsidRPr="00787196" w:rsidRDefault="00BC4BF9" w:rsidP="00BC4BF9">
            <w:pPr>
              <w:spacing w:before="0" w:after="0" w:line="240" w:lineRule="auto"/>
              <w:rPr>
                <w:rFonts w:ascii="Latha" w:eastAsia="Calibri" w:hAnsi="Latha" w:cs="Arial Unicode MS"/>
                <w:sz w:val="10"/>
                <w:szCs w:val="10"/>
                <w:lang w:eastAsia="en-US"/>
              </w:rPr>
            </w:pPr>
          </w:p>
          <w:p w14:paraId="18E069F8" w14:textId="77777777" w:rsidR="00BC4BF9" w:rsidRPr="00787196" w:rsidRDefault="00BC4BF9" w:rsidP="00BC4BF9">
            <w:pPr>
              <w:spacing w:before="0" w:after="0" w:line="240" w:lineRule="auto"/>
              <w:rPr>
                <w:rFonts w:ascii="Latha" w:eastAsia="Calibri" w:hAnsi="Latha" w:cs="Arial Unicode MS"/>
                <w:sz w:val="10"/>
                <w:szCs w:val="10"/>
                <w:lang w:eastAsia="en-US"/>
              </w:rPr>
            </w:pPr>
          </w:p>
          <w:p w14:paraId="57361DA5" w14:textId="77777777" w:rsidR="006F0EC1" w:rsidRPr="00787196" w:rsidRDefault="006F0EC1" w:rsidP="00BC4BF9">
            <w:p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இந்த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ஆய்வில்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பங்குபெறச்</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சம்மதித்ததற்கு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நன்றி</w:t>
            </w:r>
          </w:p>
          <w:p w14:paraId="521C295E" w14:textId="77777777" w:rsidR="006F0EC1" w:rsidRPr="00787196" w:rsidRDefault="006F0EC1" w:rsidP="00BC4BF9">
            <w:pPr>
              <w:spacing w:before="0" w:after="0" w:line="240" w:lineRule="auto"/>
              <w:rPr>
                <w:rFonts w:eastAsia="Calibri" w:cs="Arial"/>
                <w:sz w:val="14"/>
                <w:szCs w:val="14"/>
                <w:lang w:eastAsia="en-US" w:bidi="ar-SA"/>
              </w:rPr>
            </w:pPr>
          </w:p>
          <w:p w14:paraId="1D6BE09B" w14:textId="77777777" w:rsidR="006F0EC1" w:rsidRPr="00787196" w:rsidRDefault="006F0EC1" w:rsidP="00BC4BF9">
            <w:p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இந்த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ஆய்வின்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குறிக்கோள்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செயற்கை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கட்டமைப்பு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வெற்றிபெற</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தாக்கம்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ஏற்படுத்தும்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காரணிகளை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அடையாளம்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காண்பது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ஆகும்</w:t>
            </w:r>
            <w:r w:rsidRPr="00787196">
              <w:rPr>
                <w:rFonts w:eastAsia="Calibri" w:cs="Arial"/>
                <w:sz w:val="14"/>
                <w:szCs w:val="14"/>
                <w:rtl/>
                <w:cs/>
                <w:lang w:eastAsia="en-US" w:bidi="ar-SA"/>
              </w:rPr>
              <w:t>.</w:t>
            </w:r>
          </w:p>
          <w:p w14:paraId="4E944B89" w14:textId="77777777" w:rsidR="006F0EC1" w:rsidRPr="00787196" w:rsidRDefault="006F0EC1" w:rsidP="00BC4BF9">
            <w:p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இந்த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ஆய்வின்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மூலம்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அற்றவர்கள்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மற்றும்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செயற்கைப்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கட்டமைப்பு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அணிவோர்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எதிர்கொள்ளும்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பிரச்சனைகளைப்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பற்றிய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புரிதலை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உயர்த்திக்கொள்ள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முற்படுகிறோம்</w:t>
            </w:r>
            <w:r w:rsidRPr="00787196">
              <w:rPr>
                <w:rFonts w:eastAsia="Calibri" w:cs="Arial"/>
                <w:sz w:val="14"/>
                <w:szCs w:val="14"/>
                <w:rtl/>
                <w:cs/>
                <w:lang w:eastAsia="en-US" w:bidi="ar-SA"/>
              </w:rPr>
              <w:t>.</w:t>
            </w:r>
          </w:p>
          <w:p w14:paraId="2A22AD93" w14:textId="77777777" w:rsidR="006F0EC1" w:rsidRPr="00787196" w:rsidRDefault="006F0EC1" w:rsidP="00BC4BF9">
            <w:pPr>
              <w:spacing w:before="0" w:after="0" w:line="240" w:lineRule="auto"/>
              <w:rPr>
                <w:rFonts w:eastAsia="Calibri" w:cs="Arial"/>
                <w:sz w:val="10"/>
                <w:szCs w:val="10"/>
                <w:lang w:eastAsia="en-US" w:bidi="ar-SA"/>
              </w:rPr>
            </w:pPr>
            <w:r w:rsidRPr="00787196">
              <w:rPr>
                <w:rFonts w:ascii="Latha" w:eastAsia="Calibri" w:hAnsi="Latha" w:cs="Arial Unicode MS"/>
                <w:sz w:val="14"/>
                <w:szCs w:val="14"/>
                <w:cs/>
                <w:lang w:eastAsia="en-US"/>
              </w:rPr>
              <w:t>பின்வரும்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கேள்விகளுக்கு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தாங்கள்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பதிலளிப்பது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மூலம்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இல்லாதோறுடைய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அனுபவங்களைப்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பற்றி</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மேலும்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அறிந்து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எங்களுக்கு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உதவும்</w:t>
            </w:r>
            <w:r w:rsidRPr="00787196">
              <w:rPr>
                <w:rFonts w:eastAsia="Calibri" w:cs="Arial"/>
                <w:sz w:val="10"/>
                <w:szCs w:val="10"/>
                <w:rtl/>
                <w:cs/>
                <w:lang w:eastAsia="en-US" w:bidi="ar-SA"/>
              </w:rPr>
              <w:t>.</w:t>
            </w:r>
          </w:p>
          <w:p w14:paraId="0F699BF9" w14:textId="77777777" w:rsidR="006F0EC1" w:rsidRPr="00787196" w:rsidRDefault="006F0EC1" w:rsidP="00BC4BF9">
            <w:pPr>
              <w:spacing w:before="0" w:after="0" w:line="240" w:lineRule="auto"/>
              <w:rPr>
                <w:rFonts w:eastAsia="Calibri" w:cs="Arial"/>
                <w:sz w:val="12"/>
                <w:szCs w:val="12"/>
                <w:u w:val="single"/>
                <w:lang w:eastAsia="en-US" w:bidi="ar-SA"/>
              </w:rPr>
            </w:pPr>
          </w:p>
          <w:p w14:paraId="4BF85F52" w14:textId="77777777" w:rsidR="00BC4BF9" w:rsidRPr="00787196" w:rsidRDefault="00BC4BF9" w:rsidP="00BC4BF9">
            <w:pPr>
              <w:spacing w:before="0" w:after="0" w:line="240" w:lineRule="auto"/>
              <w:rPr>
                <w:rFonts w:ascii="Latha" w:eastAsia="Calibri" w:hAnsi="Latha" w:cs="Arial Unicode MS"/>
                <w:b/>
                <w:bCs/>
                <w:sz w:val="12"/>
                <w:szCs w:val="12"/>
                <w:u w:val="single"/>
                <w:lang w:eastAsia="en-US"/>
              </w:rPr>
            </w:pPr>
          </w:p>
          <w:p w14:paraId="0093031E" w14:textId="77777777" w:rsidR="00BC4BF9" w:rsidRPr="00787196" w:rsidRDefault="00BC4BF9" w:rsidP="00BC4BF9">
            <w:pPr>
              <w:spacing w:before="0" w:after="0" w:line="240" w:lineRule="auto"/>
              <w:rPr>
                <w:rFonts w:ascii="Latha" w:eastAsia="Calibri" w:hAnsi="Latha" w:cs="Arial Unicode MS"/>
                <w:b/>
                <w:bCs/>
                <w:sz w:val="12"/>
                <w:szCs w:val="12"/>
                <w:u w:val="single"/>
                <w:lang w:eastAsia="en-US"/>
              </w:rPr>
            </w:pPr>
          </w:p>
          <w:p w14:paraId="22EB4029" w14:textId="77777777" w:rsidR="00BC4BF9" w:rsidRPr="00787196" w:rsidRDefault="00BC4BF9" w:rsidP="00BC4BF9">
            <w:pPr>
              <w:spacing w:before="0" w:after="0" w:line="240" w:lineRule="auto"/>
              <w:rPr>
                <w:rFonts w:ascii="Latha" w:eastAsia="Calibri" w:hAnsi="Latha" w:cs="Arial Unicode MS"/>
                <w:b/>
                <w:bCs/>
                <w:sz w:val="12"/>
                <w:szCs w:val="12"/>
                <w:u w:val="single"/>
                <w:lang w:eastAsia="en-US"/>
              </w:rPr>
            </w:pPr>
          </w:p>
          <w:p w14:paraId="61916271" w14:textId="77777777" w:rsidR="006F0EC1" w:rsidRPr="00787196" w:rsidRDefault="006F0EC1" w:rsidP="00BC4BF9">
            <w:pPr>
              <w:spacing w:before="0" w:after="0" w:line="240" w:lineRule="auto"/>
              <w:rPr>
                <w:rFonts w:eastAsia="Calibri" w:cs="Arial"/>
                <w:b/>
                <w:bCs/>
                <w:sz w:val="12"/>
                <w:szCs w:val="12"/>
                <w:u w:val="single"/>
                <w:lang w:eastAsia="en-US" w:bidi="ar-SA"/>
              </w:rPr>
            </w:pPr>
            <w:r w:rsidRPr="00787196">
              <w:rPr>
                <w:rFonts w:ascii="Latha" w:eastAsia="Calibri" w:hAnsi="Latha" w:cs="Arial Unicode MS"/>
                <w:b/>
                <w:bCs/>
                <w:sz w:val="12"/>
                <w:szCs w:val="12"/>
                <w:u w:val="single"/>
                <w:cs/>
                <w:lang w:eastAsia="en-US"/>
              </w:rPr>
              <w:t>தயவு</w:t>
            </w:r>
            <w:r w:rsidRPr="00787196">
              <w:rPr>
                <w:rFonts w:eastAsia="Calibri" w:cs="Arial"/>
                <w:b/>
                <w:bCs/>
                <w:sz w:val="12"/>
                <w:szCs w:val="12"/>
                <w:u w:val="single"/>
                <w:rtl/>
                <w:cs/>
                <w:lang w:eastAsia="en-US" w:bidi="ar-SA"/>
              </w:rPr>
              <w:t xml:space="preserve"> </w:t>
            </w:r>
            <w:r w:rsidRPr="00787196">
              <w:rPr>
                <w:rFonts w:ascii="Latha" w:eastAsia="Calibri" w:hAnsi="Latha" w:cs="Arial Unicode MS"/>
                <w:b/>
                <w:bCs/>
                <w:sz w:val="12"/>
                <w:szCs w:val="12"/>
                <w:u w:val="single"/>
                <w:cs/>
                <w:lang w:eastAsia="en-US"/>
              </w:rPr>
              <w:t>செய்து</w:t>
            </w:r>
            <w:r w:rsidRPr="00787196">
              <w:rPr>
                <w:rFonts w:eastAsia="Calibri" w:cs="Arial"/>
                <w:b/>
                <w:bCs/>
                <w:sz w:val="12"/>
                <w:szCs w:val="12"/>
                <w:u w:val="single"/>
                <w:rtl/>
                <w:cs/>
                <w:lang w:eastAsia="en-US" w:bidi="ar-SA"/>
              </w:rPr>
              <w:t xml:space="preserve"> </w:t>
            </w:r>
            <w:r w:rsidRPr="00787196">
              <w:rPr>
                <w:rFonts w:ascii="Latha" w:eastAsia="Calibri" w:hAnsi="Latha" w:cs="Arial Unicode MS"/>
                <w:b/>
                <w:bCs/>
                <w:sz w:val="12"/>
                <w:szCs w:val="12"/>
                <w:u w:val="single"/>
                <w:cs/>
                <w:lang w:eastAsia="en-US"/>
              </w:rPr>
              <w:t>நினைவு</w:t>
            </w:r>
            <w:r w:rsidRPr="00787196">
              <w:rPr>
                <w:rFonts w:eastAsia="Calibri" w:cs="Arial"/>
                <w:b/>
                <w:bCs/>
                <w:sz w:val="12"/>
                <w:szCs w:val="12"/>
                <w:u w:val="single"/>
                <w:rtl/>
                <w:cs/>
                <w:lang w:eastAsia="en-US" w:bidi="ar-SA"/>
              </w:rPr>
              <w:t xml:space="preserve"> </w:t>
            </w:r>
            <w:r w:rsidRPr="00787196">
              <w:rPr>
                <w:rFonts w:ascii="Latha" w:eastAsia="Calibri" w:hAnsi="Latha" w:cs="Arial Unicode MS"/>
                <w:b/>
                <w:bCs/>
                <w:sz w:val="12"/>
                <w:szCs w:val="12"/>
                <w:u w:val="single"/>
                <w:cs/>
                <w:lang w:eastAsia="en-US"/>
              </w:rPr>
              <w:t>கூர்க</w:t>
            </w:r>
            <w:r w:rsidRPr="00787196">
              <w:rPr>
                <w:rFonts w:eastAsia="Calibri" w:cs="Arial"/>
                <w:b/>
                <w:bCs/>
                <w:sz w:val="12"/>
                <w:szCs w:val="12"/>
                <w:u w:val="single"/>
                <w:lang w:eastAsia="en-US" w:bidi="ar-SA"/>
              </w:rPr>
              <w:t>:</w:t>
            </w:r>
          </w:p>
          <w:p w14:paraId="217A71BA" w14:textId="77777777" w:rsidR="006F0EC1" w:rsidRPr="00787196" w:rsidRDefault="006F0EC1" w:rsidP="00C119A5">
            <w:pPr>
              <w:numPr>
                <w:ilvl w:val="0"/>
                <w:numId w:val="16"/>
              </w:num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வினாத்தொடரில்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எங்கும்</w:t>
            </w:r>
            <w:r w:rsidRPr="00787196">
              <w:rPr>
                <w:rFonts w:eastAsia="Calibri" w:cs="Arial"/>
                <w:sz w:val="14"/>
                <w:szCs w:val="14"/>
                <w:rtl/>
                <w:cs/>
                <w:lang w:eastAsia="en-US" w:bidi="ar-SA"/>
              </w:rPr>
              <w:t xml:space="preserve"> </w:t>
            </w:r>
            <w:r w:rsidRPr="00787196">
              <w:rPr>
                <w:rFonts w:ascii="Latha" w:eastAsia="Calibri" w:hAnsi="Latha" w:cs="Arial Unicode MS"/>
                <w:b/>
                <w:bCs/>
                <w:sz w:val="14"/>
                <w:szCs w:val="14"/>
                <w:u w:val="single"/>
                <w:cs/>
                <w:lang w:eastAsia="en-US"/>
              </w:rPr>
              <w:t>தங்கள்</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பெயரை</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தயவு</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செய்து</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குறிப்பிட</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வேண்டாம்</w:t>
            </w:r>
            <w:r w:rsidRPr="00787196">
              <w:rPr>
                <w:rFonts w:eastAsia="Calibri" w:cs="Arial"/>
                <w:b/>
                <w:bCs/>
                <w:sz w:val="14"/>
                <w:szCs w:val="14"/>
                <w:u w:val="single"/>
                <w:rtl/>
                <w:cs/>
                <w:lang w:eastAsia="en-US" w:bidi="ar-SA"/>
              </w:rPr>
              <w:t>.</w:t>
            </w:r>
          </w:p>
          <w:p w14:paraId="7169BCE4" w14:textId="77777777" w:rsidR="006F0EC1" w:rsidRPr="00787196" w:rsidRDefault="006F0EC1" w:rsidP="00C119A5">
            <w:pPr>
              <w:numPr>
                <w:ilvl w:val="0"/>
                <w:numId w:val="16"/>
              </w:num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இது</w:t>
            </w:r>
            <w:r w:rsidRPr="00787196">
              <w:rPr>
                <w:rFonts w:eastAsia="Calibri" w:cs="Arial"/>
                <w:sz w:val="14"/>
                <w:szCs w:val="14"/>
                <w:rtl/>
                <w:cs/>
                <w:lang w:eastAsia="en-US" w:bidi="ar-SA"/>
              </w:rPr>
              <w:t xml:space="preserve"> </w:t>
            </w:r>
            <w:r w:rsidRPr="00787196">
              <w:rPr>
                <w:rFonts w:ascii="Latha" w:eastAsia="Calibri" w:hAnsi="Latha" w:cs="Arial Unicode MS"/>
                <w:b/>
                <w:bCs/>
                <w:sz w:val="14"/>
                <w:szCs w:val="14"/>
                <w:u w:val="single"/>
                <w:cs/>
                <w:lang w:eastAsia="en-US"/>
              </w:rPr>
              <w:t>ஓர்</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தேர்வு</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அல்ல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எனவே</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இதில்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சரியான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அல்லது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தவறான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பதில்கள்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w:t>
            </w:r>
            <w:r w:rsidRPr="00787196">
              <w:rPr>
                <w:rFonts w:eastAsia="Calibri" w:cs="Arial"/>
                <w:sz w:val="14"/>
                <w:szCs w:val="14"/>
                <w:rtl/>
                <w:cs/>
                <w:lang w:eastAsia="en-US" w:bidi="ar-SA"/>
              </w:rPr>
              <w:t>.</w:t>
            </w:r>
          </w:p>
          <w:p w14:paraId="00806C3F" w14:textId="77777777" w:rsidR="006F0EC1" w:rsidRPr="00787196" w:rsidRDefault="006F0EC1" w:rsidP="00C119A5">
            <w:pPr>
              <w:numPr>
                <w:ilvl w:val="0"/>
                <w:numId w:val="16"/>
              </w:num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பதில்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அளிக்கும்பொழுது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பற்றி</w:t>
            </w:r>
            <w:r w:rsidRPr="00787196">
              <w:rPr>
                <w:rFonts w:eastAsia="Calibri" w:cs="Arial"/>
                <w:sz w:val="14"/>
                <w:szCs w:val="14"/>
                <w:rtl/>
                <w:cs/>
                <w:lang w:eastAsia="en-US" w:bidi="ar-SA"/>
              </w:rPr>
              <w:t xml:space="preserve"> </w:t>
            </w:r>
            <w:r w:rsidRPr="00787196">
              <w:rPr>
                <w:rFonts w:ascii="Latha" w:eastAsia="Calibri" w:hAnsi="Latha" w:cs="Arial Unicode MS"/>
                <w:b/>
                <w:bCs/>
                <w:sz w:val="14"/>
                <w:szCs w:val="14"/>
                <w:u w:val="single"/>
                <w:cs/>
                <w:lang w:eastAsia="en-US"/>
              </w:rPr>
              <w:t>யாரிடமும்</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தயவுசெய்து</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பேசாதீர்</w:t>
            </w:r>
            <w:r w:rsidRPr="00787196">
              <w:rPr>
                <w:rFonts w:eastAsia="Calibri" w:cs="Arial"/>
                <w:b/>
                <w:bCs/>
                <w:sz w:val="14"/>
                <w:szCs w:val="14"/>
                <w:u w:val="single"/>
                <w:rtl/>
                <w:cs/>
                <w:lang w:eastAsia="en-US" w:bidi="ar-SA"/>
              </w:rPr>
              <w:t>.</w:t>
            </w:r>
          </w:p>
          <w:p w14:paraId="59C55246" w14:textId="77777777" w:rsidR="006F0EC1" w:rsidRPr="00787196" w:rsidRDefault="006F0EC1" w:rsidP="00C119A5">
            <w:pPr>
              <w:numPr>
                <w:ilvl w:val="0"/>
                <w:numId w:val="16"/>
              </w:num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ஒவ்வொரு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கேள்வியையும்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கவனமாக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படித்தபின்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உங்களுடைய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கடந்த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அனுபவங்களை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சிந்தித்துப்</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பார்த்து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அதன்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துணை</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கொண்டு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பதிலளிக்கவும்</w:t>
            </w:r>
            <w:r w:rsidRPr="00787196">
              <w:rPr>
                <w:rFonts w:eastAsia="Calibri" w:cs="Arial"/>
                <w:sz w:val="14"/>
                <w:szCs w:val="14"/>
                <w:rtl/>
                <w:cs/>
                <w:lang w:eastAsia="en-US" w:bidi="ar-SA"/>
              </w:rPr>
              <w:t>.</w:t>
            </w:r>
          </w:p>
          <w:p w14:paraId="01F239C7" w14:textId="77777777" w:rsidR="006F0EC1" w:rsidRPr="00787196" w:rsidRDefault="006F0EC1" w:rsidP="00C119A5">
            <w:pPr>
              <w:numPr>
                <w:ilvl w:val="0"/>
                <w:numId w:val="16"/>
              </w:numPr>
              <w:spacing w:before="0" w:after="0" w:line="240" w:lineRule="auto"/>
              <w:rPr>
                <w:rFonts w:eastAsia="Calibri" w:cs="Arial"/>
                <w:sz w:val="14"/>
                <w:szCs w:val="14"/>
                <w:lang w:eastAsia="en-US" w:bidi="ar-SA"/>
              </w:rPr>
            </w:pPr>
            <w:r w:rsidRPr="00787196">
              <w:rPr>
                <w:rFonts w:ascii="Latha" w:eastAsia="Calibri" w:hAnsi="Latha" w:cs="Arial Unicode MS"/>
                <w:sz w:val="14"/>
                <w:szCs w:val="14"/>
                <w:cs/>
                <w:lang w:eastAsia="en-US"/>
              </w:rPr>
              <w:t>பதிலளிக்கையில்</w:t>
            </w:r>
            <w:r w:rsidRPr="00787196">
              <w:rPr>
                <w:rFonts w:eastAsia="Calibri" w:cs="Arial"/>
                <w:sz w:val="14"/>
                <w:szCs w:val="14"/>
                <w:rtl/>
                <w:cs/>
                <w:lang w:eastAsia="en-US" w:bidi="ar-SA"/>
              </w:rPr>
              <w:t xml:space="preserve">, </w:t>
            </w:r>
            <w:r w:rsidRPr="00787196">
              <w:rPr>
                <w:rFonts w:ascii="Latha" w:eastAsia="Calibri" w:hAnsi="Latha" w:cs="Arial Unicode MS"/>
                <w:b/>
                <w:bCs/>
                <w:sz w:val="14"/>
                <w:szCs w:val="14"/>
                <w:u w:val="single"/>
                <w:cs/>
                <w:lang w:eastAsia="en-US"/>
              </w:rPr>
              <w:t>தங்களின்</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தினசரி</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வாழ்க்கையைச்</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சிந்தித்து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நேர்மையாக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பதிலளிக்கவும்</w:t>
            </w:r>
            <w:r w:rsidRPr="00787196">
              <w:rPr>
                <w:rFonts w:eastAsia="Calibri" w:cs="Arial"/>
                <w:sz w:val="14"/>
                <w:szCs w:val="14"/>
                <w:lang w:eastAsia="en-US" w:bidi="ar-SA"/>
              </w:rPr>
              <w:t>.</w:t>
            </w:r>
          </w:p>
          <w:p w14:paraId="449F26EA" w14:textId="77777777" w:rsidR="006F0EC1" w:rsidRPr="00787196" w:rsidRDefault="006F0EC1" w:rsidP="00C119A5">
            <w:pPr>
              <w:numPr>
                <w:ilvl w:val="0"/>
                <w:numId w:val="16"/>
              </w:numPr>
              <w:autoSpaceDE w:val="0"/>
              <w:autoSpaceDN w:val="0"/>
              <w:adjustRightInd w:val="0"/>
              <w:spacing w:before="0" w:after="0" w:line="240" w:lineRule="auto"/>
              <w:rPr>
                <w:rFonts w:eastAsia="Calibri" w:cs="Arial"/>
                <w:b/>
                <w:sz w:val="14"/>
                <w:szCs w:val="14"/>
                <w:lang w:eastAsia="en-US" w:bidi="ar-SA"/>
              </w:rPr>
            </w:pPr>
            <w:r w:rsidRPr="00787196">
              <w:rPr>
                <w:rFonts w:ascii="Latha" w:eastAsia="Calibri" w:hAnsi="Latha" w:cs="Arial Unicode MS"/>
                <w:sz w:val="14"/>
                <w:szCs w:val="14"/>
                <w:cs/>
                <w:lang w:eastAsia="en-US"/>
              </w:rPr>
              <w:t>தங்களுடைய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பதில்களுக்கு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அருகில்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உள்ள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கட்டங்களில்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தயவுசெய்து</w:t>
            </w:r>
            <w:r w:rsidRPr="00787196">
              <w:rPr>
                <w:rFonts w:eastAsia="Calibri" w:cs="Arial"/>
                <w:sz w:val="14"/>
                <w:szCs w:val="14"/>
                <w:lang w:eastAsia="en-US" w:bidi="ar-SA"/>
              </w:rPr>
              <w:t xml:space="preserve">  </w:t>
            </w:r>
            <w:r w:rsidRPr="00787196">
              <w:rPr>
                <w:rFonts w:eastAsia="Calibri" w:cs="Arial"/>
                <w:sz w:val="14"/>
                <w:szCs w:val="14"/>
                <w:lang w:eastAsia="en-US" w:bidi="ar-SA"/>
              </w:rPr>
              <w:sym w:font="Wingdings" w:char="F0FE"/>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செய்யவும்</w:t>
            </w:r>
            <w:r w:rsidRPr="00787196">
              <w:rPr>
                <w:rFonts w:eastAsia="Calibri" w:cs="Arial"/>
                <w:sz w:val="14"/>
                <w:szCs w:val="14"/>
                <w:lang w:eastAsia="en-US" w:bidi="ar-SA"/>
              </w:rPr>
              <w:t>.</w:t>
            </w:r>
          </w:p>
          <w:p w14:paraId="779612E6"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535FEF66"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227000FC"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3DE290B9"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37D6E67E"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4A554F15"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45C7B444"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195B742A"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64843277" w14:textId="77777777" w:rsidR="008E116F" w:rsidRPr="00787196" w:rsidRDefault="008E116F" w:rsidP="008E116F">
            <w:pPr>
              <w:autoSpaceDE w:val="0"/>
              <w:autoSpaceDN w:val="0"/>
              <w:adjustRightInd w:val="0"/>
              <w:spacing w:before="0" w:after="0" w:line="240" w:lineRule="auto"/>
              <w:rPr>
                <w:rFonts w:eastAsia="Calibri" w:cstheme="minorBidi"/>
                <w:sz w:val="14"/>
                <w:szCs w:val="14"/>
                <w:lang w:eastAsia="en-US"/>
              </w:rPr>
            </w:pPr>
          </w:p>
          <w:p w14:paraId="3E90FCD0" w14:textId="77777777" w:rsidR="008E116F" w:rsidRPr="00787196" w:rsidRDefault="008E116F" w:rsidP="008E116F">
            <w:pPr>
              <w:autoSpaceDE w:val="0"/>
              <w:autoSpaceDN w:val="0"/>
              <w:adjustRightInd w:val="0"/>
              <w:spacing w:before="0" w:after="0" w:line="240" w:lineRule="auto"/>
              <w:rPr>
                <w:rFonts w:eastAsia="Calibri" w:cs="Arial"/>
                <w:b/>
                <w:sz w:val="14"/>
                <w:szCs w:val="14"/>
                <w:lang w:eastAsia="en-US" w:bidi="ar-SA"/>
              </w:rPr>
            </w:pPr>
          </w:p>
          <w:p w14:paraId="28A4AB84" w14:textId="77777777" w:rsidR="006F0EC1" w:rsidRPr="00787196" w:rsidRDefault="006F0EC1" w:rsidP="00BC4BF9">
            <w:pPr>
              <w:autoSpaceDE w:val="0"/>
              <w:autoSpaceDN w:val="0"/>
              <w:adjustRightInd w:val="0"/>
              <w:spacing w:before="0" w:after="0" w:line="240" w:lineRule="auto"/>
              <w:ind w:left="720"/>
              <w:rPr>
                <w:rFonts w:eastAsia="Calibri"/>
                <w:b/>
                <w:sz w:val="22"/>
                <w:szCs w:val="21"/>
                <w:lang w:eastAsia="en-US"/>
              </w:rPr>
            </w:pPr>
          </w:p>
          <w:p w14:paraId="1AFA8151" w14:textId="5D10D066" w:rsidR="006F0EC1" w:rsidRPr="00787196" w:rsidRDefault="006F0EC1" w:rsidP="00BC4BF9">
            <w:pPr>
              <w:autoSpaceDE w:val="0"/>
              <w:autoSpaceDN w:val="0"/>
              <w:adjustRightInd w:val="0"/>
              <w:spacing w:before="0" w:after="0" w:line="240" w:lineRule="auto"/>
              <w:rPr>
                <w:rFonts w:eastAsia="Calibri" w:cs="Arial"/>
                <w:b/>
                <w:sz w:val="22"/>
                <w:lang w:eastAsia="en-US" w:bidi="ar-SA"/>
              </w:rPr>
            </w:pPr>
            <w:r w:rsidRPr="00787196">
              <w:rPr>
                <w:rFonts w:eastAsia="Calibri" w:cs="Arial"/>
                <w:b/>
                <w:sz w:val="22"/>
                <w:lang w:eastAsia="en-US" w:bidi="ar-SA"/>
              </w:rPr>
              <w:lastRenderedPageBreak/>
              <w:t xml:space="preserve"> </w:t>
            </w:r>
            <w:r w:rsidR="00BC4BF9" w:rsidRPr="00787196">
              <w:rPr>
                <w:noProof/>
                <w:sz w:val="22"/>
                <w:szCs w:val="21"/>
              </w:rPr>
              <mc:AlternateContent>
                <mc:Choice Requires="wps">
                  <w:drawing>
                    <wp:anchor distT="0" distB="0" distL="114300" distR="114300" simplePos="0" relativeHeight="251639296" behindDoc="0" locked="0" layoutInCell="1" allowOverlap="1" wp14:anchorId="15E6054B" wp14:editId="10251AF6">
                      <wp:simplePos x="0" y="0"/>
                      <wp:positionH relativeFrom="column">
                        <wp:posOffset>3091815</wp:posOffset>
                      </wp:positionH>
                      <wp:positionV relativeFrom="paragraph">
                        <wp:posOffset>153670</wp:posOffset>
                      </wp:positionV>
                      <wp:extent cx="1622425" cy="285750"/>
                      <wp:effectExtent l="0" t="0" r="15875" b="19050"/>
                      <wp:wrapNone/>
                      <wp:docPr id="5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285750"/>
                              </a:xfrm>
                              <a:prstGeom prst="rect">
                                <a:avLst/>
                              </a:prstGeom>
                              <a:solidFill>
                                <a:srgbClr val="FFFFFF"/>
                              </a:solidFill>
                              <a:ln w="9525">
                                <a:solidFill>
                                  <a:srgbClr val="000000"/>
                                </a:solidFill>
                                <a:miter lim="800000"/>
                                <a:headEnd/>
                                <a:tailEnd/>
                              </a:ln>
                            </wps:spPr>
                            <wps:txbx>
                              <w:txbxContent>
                                <w:p w14:paraId="6D537D5A"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36FCCF0C" w14:textId="77777777" w:rsidR="006E7D7A" w:rsidRDefault="006E7D7A"/>
                                <w:p w14:paraId="1B9FC1D3"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5ADB738C" w14:textId="77777777" w:rsidR="006E7D7A" w:rsidRDefault="006E7D7A"/>
                                <w:p w14:paraId="2FECAF08"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26039256" w14:textId="77777777" w:rsidR="006E7D7A" w:rsidRDefault="006E7D7A"/>
                                <w:p w14:paraId="7211AB35"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2AE1F269" w14:textId="77777777" w:rsidR="006E7D7A" w:rsidRDefault="006E7D7A"/>
                                <w:p w14:paraId="5A3C83D9"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5E9AEFAD" w14:textId="77777777" w:rsidR="006E7D7A" w:rsidRDefault="006E7D7A"/>
                                <w:p w14:paraId="78E9A380"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363255AB" w14:textId="77777777" w:rsidR="006E7D7A" w:rsidRDefault="006E7D7A"/>
                                <w:p w14:paraId="41806DC7"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77005550" w14:textId="77777777" w:rsidR="006E7D7A" w:rsidRDefault="006E7D7A"/>
                                <w:p w14:paraId="28EC7283"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054B" id="_x0000_s1213" type="#_x0000_t202" style="position:absolute;left:0;text-align:left;margin-left:243.45pt;margin-top:12.1pt;width:127.75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">
                      <v:textbox>
                        <w:txbxContent>
                          <w:p w14:paraId="6D537D5A"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36FCCF0C" w14:textId="77777777" w:rsidR="006E7D7A" w:rsidRDefault="006E7D7A"/>
                          <w:p w14:paraId="1B9FC1D3"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5ADB738C" w14:textId="77777777" w:rsidR="006E7D7A" w:rsidRDefault="006E7D7A"/>
                          <w:p w14:paraId="2FECAF08"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26039256" w14:textId="77777777" w:rsidR="006E7D7A" w:rsidRDefault="006E7D7A"/>
                          <w:p w14:paraId="7211AB35"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2AE1F269" w14:textId="77777777" w:rsidR="006E7D7A" w:rsidRDefault="006E7D7A"/>
                          <w:p w14:paraId="5A3C83D9"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5E9AEFAD" w14:textId="77777777" w:rsidR="006E7D7A" w:rsidRDefault="006E7D7A"/>
                          <w:p w14:paraId="78E9A380"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363255AB" w14:textId="77777777" w:rsidR="006E7D7A" w:rsidRDefault="006E7D7A"/>
                          <w:p w14:paraId="41806DC7"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p w14:paraId="77005550" w14:textId="77777777" w:rsidR="006E7D7A" w:rsidRDefault="006E7D7A"/>
                          <w:p w14:paraId="28EC7283" w14:textId="77777777" w:rsidR="006E7D7A" w:rsidRDefault="006E7D7A" w:rsidP="00020A78">
                            <w:pPr>
                              <w:spacing w:before="0" w:after="0"/>
                            </w:pPr>
                            <w:r w:rsidRPr="003D3538">
                              <w:rPr>
                                <w:rFonts w:cs="Arial Unicode MS" w:hint="cs"/>
                                <w:bCs/>
                                <w:sz w:val="18"/>
                                <w:szCs w:val="18"/>
                                <w:cs/>
                              </w:rPr>
                              <w:t>தேதி</w:t>
                            </w:r>
                            <w:r>
                              <w:t>___/___/_</w:t>
                            </w:r>
                            <w:r w:rsidRPr="00B25E72">
                              <w:rPr>
                                <w:u w:val="single"/>
                              </w:rPr>
                              <w:t>201</w:t>
                            </w:r>
                            <w:r>
                              <w:rPr>
                                <w:u w:val="single"/>
                              </w:rPr>
                              <w:t>4</w:t>
                            </w:r>
                            <w:r>
                              <w:t>_</w:t>
                            </w:r>
                          </w:p>
                        </w:txbxContent>
                      </v:textbox>
                    </v:shape>
                  </w:pict>
                </mc:Fallback>
              </mc:AlternateContent>
            </w:r>
            <w:r w:rsidRPr="00787196">
              <w:rPr>
                <w:rFonts w:ascii="Latha" w:eastAsia="Calibri" w:hAnsi="Latha" w:cs="Arial Unicode MS"/>
                <w:bCs/>
                <w:sz w:val="18"/>
                <w:szCs w:val="18"/>
                <w:cs/>
                <w:lang w:eastAsia="en-US"/>
              </w:rPr>
              <w:t>பின்வரும்</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கேள்விகளுக்கு</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பதில்</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அளிக்கவும்</w:t>
            </w:r>
            <w:r w:rsidRPr="00787196">
              <w:rPr>
                <w:rFonts w:eastAsia="Calibri" w:cs="Arial"/>
                <w:b/>
                <w:sz w:val="22"/>
                <w:rtl/>
                <w:cs/>
                <w:lang w:eastAsia="en-US" w:bidi="ar-SA"/>
              </w:rPr>
              <w:t>:</w:t>
            </w:r>
          </w:p>
          <w:p w14:paraId="173FB447" w14:textId="1C37EDBD" w:rsidR="006F0EC1" w:rsidRPr="00787196" w:rsidRDefault="006F0EC1" w:rsidP="00BC4BF9">
            <w:pPr>
              <w:autoSpaceDE w:val="0"/>
              <w:autoSpaceDN w:val="0"/>
              <w:adjustRightInd w:val="0"/>
              <w:spacing w:before="0" w:after="0" w:line="240" w:lineRule="auto"/>
              <w:rPr>
                <w:rFonts w:eastAsia="Calibri" w:cs="Arial"/>
                <w:b/>
                <w:iCs/>
                <w:sz w:val="22"/>
                <w:szCs w:val="28"/>
                <w:lang w:eastAsia="en-US" w:bidi="ar-SA"/>
              </w:rPr>
            </w:pPr>
            <w:r w:rsidRPr="00787196">
              <w:rPr>
                <w:rFonts w:eastAsia="Calibri" w:cs="Arial"/>
                <w:iCs/>
                <w:sz w:val="18"/>
                <w:lang w:eastAsia="en-US" w:bidi="ar-SA"/>
              </w:rPr>
              <w:tab/>
            </w:r>
            <w:r w:rsidRPr="00787196">
              <w:rPr>
                <w:rFonts w:eastAsia="Calibri" w:cs="Arial"/>
                <w:iCs/>
                <w:sz w:val="18"/>
                <w:lang w:eastAsia="en-US" w:bidi="ar-SA"/>
              </w:rPr>
              <w:tab/>
            </w:r>
          </w:p>
          <w:p w14:paraId="01F3D5F3" w14:textId="77777777" w:rsidR="006F0EC1" w:rsidRPr="00787196" w:rsidRDefault="00C02B80" w:rsidP="00C119A5">
            <w:pPr>
              <w:pStyle w:val="ListParagraph"/>
              <w:numPr>
                <w:ilvl w:val="3"/>
                <w:numId w:val="20"/>
              </w:numPr>
              <w:spacing w:before="0" w:after="0" w:line="240" w:lineRule="auto"/>
              <w:ind w:left="284" w:hanging="284"/>
              <w:rPr>
                <w:rFonts w:eastAsia="Calibri" w:cs="Arial"/>
                <w:b/>
                <w:sz w:val="14"/>
                <w:szCs w:val="14"/>
                <w:lang w:eastAsia="en-US" w:bidi="ar-SA"/>
              </w:rPr>
            </w:pPr>
            <w:r w:rsidRPr="00787196">
              <w:rPr>
                <w:rFonts w:ascii="Latha" w:eastAsia="Calibri" w:hAnsi="Latha"/>
                <w:b/>
                <w:sz w:val="14"/>
                <w:szCs w:val="14"/>
                <w:cs/>
                <w:lang w:eastAsia="en-US"/>
              </w:rPr>
              <w:t xml:space="preserve"> </w:t>
            </w:r>
            <w:r w:rsidR="006F0EC1" w:rsidRPr="00787196">
              <w:rPr>
                <w:rFonts w:ascii="Latha" w:eastAsia="Calibri" w:hAnsi="Latha" w:cs="Arial Unicode MS"/>
                <w:b/>
                <w:sz w:val="14"/>
                <w:szCs w:val="14"/>
                <w:cs/>
                <w:lang w:eastAsia="en-US"/>
              </w:rPr>
              <w:t>தங்கள்</w:t>
            </w:r>
            <w:r w:rsidR="006F0EC1" w:rsidRPr="00787196">
              <w:rPr>
                <w:rFonts w:eastAsia="Calibri" w:cs="Arial"/>
                <w:b/>
                <w:sz w:val="14"/>
                <w:szCs w:val="14"/>
                <w:rtl/>
                <w:cs/>
                <w:lang w:eastAsia="en-US" w:bidi="ar-SA"/>
              </w:rPr>
              <w:t xml:space="preserve"> </w:t>
            </w:r>
            <w:r w:rsidR="006F0EC1" w:rsidRPr="00787196">
              <w:rPr>
                <w:rFonts w:ascii="Latha" w:eastAsia="Calibri" w:hAnsi="Latha" w:cs="Arial Unicode MS"/>
                <w:b/>
                <w:sz w:val="14"/>
                <w:szCs w:val="14"/>
                <w:cs/>
                <w:lang w:eastAsia="en-US"/>
              </w:rPr>
              <w:t>வயது</w:t>
            </w:r>
            <w:r w:rsidR="006F0EC1" w:rsidRPr="00787196">
              <w:rPr>
                <w:rFonts w:eastAsia="Calibri" w:cs="Arial"/>
                <w:b/>
                <w:sz w:val="14"/>
                <w:szCs w:val="14"/>
                <w:lang w:eastAsia="en-US" w:bidi="ar-SA"/>
              </w:rPr>
              <w:t xml:space="preserve"> ___________</w:t>
            </w:r>
          </w:p>
          <w:p w14:paraId="026369B4" w14:textId="77777777" w:rsidR="006F0EC1" w:rsidRPr="00787196" w:rsidRDefault="006F0EC1" w:rsidP="00BC4BF9">
            <w:pPr>
              <w:pStyle w:val="ListParagraph"/>
              <w:spacing w:before="0" w:after="0" w:line="240" w:lineRule="auto"/>
              <w:ind w:left="284"/>
              <w:rPr>
                <w:rFonts w:eastAsia="Calibri" w:cs="Arial"/>
                <w:b/>
                <w:sz w:val="14"/>
                <w:szCs w:val="14"/>
                <w:lang w:eastAsia="en-US" w:bidi="ar-SA"/>
              </w:rPr>
            </w:pPr>
          </w:p>
          <w:p w14:paraId="3ADAC821" w14:textId="77777777" w:rsidR="006F0EC1" w:rsidRPr="00787196" w:rsidRDefault="006F0EC1" w:rsidP="00C119A5">
            <w:pPr>
              <w:pStyle w:val="ListParagraph"/>
              <w:numPr>
                <w:ilvl w:val="3"/>
                <w:numId w:val="20"/>
              </w:numPr>
              <w:spacing w:before="0" w:after="0" w:line="240" w:lineRule="auto"/>
              <w:ind w:left="284" w:hanging="284"/>
              <w:rPr>
                <w:rFonts w:eastAsia="Calibri" w:cs="Arial"/>
                <w:b/>
                <w:sz w:val="14"/>
                <w:szCs w:val="14"/>
                <w:lang w:eastAsia="en-US" w:bidi="ar-SA"/>
              </w:rPr>
            </w:pPr>
            <w:r w:rsidRPr="00787196">
              <w:rPr>
                <w:rFonts w:eastAsia="Calibri" w:cs="Arial"/>
                <w:b/>
                <w:sz w:val="14"/>
                <w:szCs w:val="14"/>
                <w:lang w:eastAsia="en-US" w:bidi="ar-SA"/>
              </w:rPr>
              <w:t xml:space="preserve"> </w:t>
            </w:r>
            <w:r w:rsidRPr="00787196">
              <w:rPr>
                <w:rFonts w:ascii="Latha" w:eastAsia="Calibri" w:hAnsi="Latha" w:cs="Arial Unicode MS"/>
                <w:b/>
                <w:sz w:val="14"/>
                <w:szCs w:val="14"/>
                <w:cs/>
                <w:lang w:eastAsia="en-US"/>
              </w:rPr>
              <w:t>தங்கள்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மணவாழ்வு</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நிலை</w:t>
            </w:r>
            <w:r w:rsidRPr="00787196">
              <w:rPr>
                <w:rFonts w:eastAsia="Calibri" w:cs="Arial"/>
                <w:b/>
                <w:sz w:val="14"/>
                <w:szCs w:val="14"/>
                <w:rtl/>
                <w:cs/>
                <w:lang w:eastAsia="en-US" w:bidi="ar-SA"/>
              </w:rPr>
              <w:t xml:space="preserve"> </w:t>
            </w:r>
            <w:r w:rsidRPr="00787196">
              <w:rPr>
                <w:rFonts w:eastAsia="Calibri" w:cs="Arial"/>
                <w:b/>
                <w:sz w:val="14"/>
                <w:szCs w:val="14"/>
                <w:lang w:eastAsia="en-US" w:bidi="ar-SA"/>
              </w:rPr>
              <w:t>:</w:t>
            </w:r>
          </w:p>
          <w:p w14:paraId="763C6B21" w14:textId="77777777" w:rsidR="006F0EC1" w:rsidRPr="00787196" w:rsidRDefault="006F0EC1" w:rsidP="00C119A5">
            <w:pPr>
              <w:pStyle w:val="ListParagraph"/>
              <w:numPr>
                <w:ilvl w:val="0"/>
                <w:numId w:val="17"/>
              </w:numPr>
              <w:tabs>
                <w:tab w:val="left" w:pos="1080"/>
              </w:tabs>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திருமணமானவர்</w:t>
            </w:r>
            <w:r w:rsidRPr="00787196">
              <w:rPr>
                <w:rFonts w:eastAsia="Calibri" w:cs="Arial"/>
                <w:b/>
                <w:sz w:val="14"/>
                <w:szCs w:val="14"/>
                <w:lang w:eastAsia="en-US" w:bidi="ar-SA"/>
              </w:rPr>
              <w:t xml:space="preserve"> </w:t>
            </w:r>
          </w:p>
          <w:p w14:paraId="06E6BEB0" w14:textId="77777777" w:rsidR="006F0EC1" w:rsidRPr="00787196" w:rsidRDefault="006F0EC1" w:rsidP="00C119A5">
            <w:pPr>
              <w:pStyle w:val="ListParagraph"/>
              <w:numPr>
                <w:ilvl w:val="0"/>
                <w:numId w:val="17"/>
              </w:numPr>
              <w:tabs>
                <w:tab w:val="left" w:pos="1080"/>
              </w:tabs>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திருமணம்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ஆகாதவர்</w:t>
            </w:r>
          </w:p>
          <w:p w14:paraId="5D2E166A" w14:textId="77777777" w:rsidR="006F0EC1" w:rsidRPr="00787196" w:rsidRDefault="006F0EC1" w:rsidP="00C119A5">
            <w:pPr>
              <w:pStyle w:val="ListParagraph"/>
              <w:numPr>
                <w:ilvl w:val="0"/>
                <w:numId w:val="17"/>
              </w:numPr>
              <w:tabs>
                <w:tab w:val="left" w:pos="1080"/>
              </w:tabs>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விவாகரத்து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ஆனவர்</w:t>
            </w:r>
          </w:p>
          <w:p w14:paraId="4C1ECE5A" w14:textId="77777777" w:rsidR="006F0EC1" w:rsidRPr="00787196" w:rsidRDefault="006F0EC1" w:rsidP="00C119A5">
            <w:pPr>
              <w:pStyle w:val="ListParagraph"/>
              <w:numPr>
                <w:ilvl w:val="0"/>
                <w:numId w:val="17"/>
              </w:numPr>
              <w:tabs>
                <w:tab w:val="left" w:pos="1080"/>
              </w:tabs>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வாழ்க்கை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துணை</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இழந்தவர்</w:t>
            </w:r>
          </w:p>
          <w:p w14:paraId="54DF3779" w14:textId="77777777" w:rsidR="006F0EC1" w:rsidRPr="00787196" w:rsidRDefault="006F0EC1" w:rsidP="00BC4BF9">
            <w:pPr>
              <w:pStyle w:val="ListParagraph"/>
              <w:tabs>
                <w:tab w:val="left" w:pos="1080"/>
              </w:tabs>
              <w:spacing w:before="0" w:after="0" w:line="240" w:lineRule="auto"/>
              <w:ind w:left="777"/>
              <w:rPr>
                <w:rFonts w:eastAsia="Calibri" w:cs="Arial"/>
                <w:bCs/>
                <w:sz w:val="14"/>
                <w:szCs w:val="14"/>
                <w:lang w:eastAsia="en-US" w:bidi="ar-SA"/>
              </w:rPr>
            </w:pPr>
          </w:p>
          <w:p w14:paraId="12600290" w14:textId="77777777" w:rsidR="006F0EC1" w:rsidRPr="00787196" w:rsidRDefault="006F0EC1" w:rsidP="00BC4BF9">
            <w:pPr>
              <w:tabs>
                <w:tab w:val="left" w:pos="1080"/>
              </w:tabs>
              <w:spacing w:before="0" w:after="0" w:line="240" w:lineRule="auto"/>
              <w:contextualSpacing/>
              <w:rPr>
                <w:rFonts w:eastAsia="Calibri" w:cs="Arial"/>
                <w:bCs/>
                <w:sz w:val="14"/>
                <w:szCs w:val="14"/>
                <w:lang w:eastAsia="en-US" w:bidi="ar-SA"/>
              </w:rPr>
            </w:pPr>
            <w:r w:rsidRPr="00787196">
              <w:rPr>
                <w:rFonts w:eastAsia="Calibri" w:cs="Arial"/>
                <w:bCs/>
                <w:sz w:val="14"/>
                <w:szCs w:val="14"/>
                <w:lang w:eastAsia="en-US" w:bidi="ar-SA"/>
              </w:rPr>
              <w:t xml:space="preserve">3) </w:t>
            </w:r>
            <w:r w:rsidRPr="00787196">
              <w:rPr>
                <w:rFonts w:ascii="Latha" w:eastAsia="Calibri" w:hAnsi="Latha" w:cs="Arial Unicode MS"/>
                <w:b/>
                <w:sz w:val="14"/>
                <w:szCs w:val="14"/>
                <w:cs/>
                <w:lang w:eastAsia="en-US"/>
              </w:rPr>
              <w:t>தங்களுடைய</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தொழில்</w:t>
            </w:r>
            <w:r w:rsidRPr="00787196">
              <w:rPr>
                <w:rFonts w:eastAsia="Calibri" w:cs="Arial"/>
                <w:b/>
                <w:sz w:val="14"/>
                <w:szCs w:val="14"/>
                <w:lang w:eastAsia="en-US" w:bidi="ar-SA"/>
              </w:rPr>
              <w:t>?</w:t>
            </w:r>
          </w:p>
          <w:p w14:paraId="084F0D7B"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தொழில்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வல்லுநர்</w:t>
            </w:r>
          </w:p>
          <w:p w14:paraId="5BC4DFE1"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பகுதித்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தொழில்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வல்லுநர்</w:t>
            </w:r>
          </w:p>
          <w:p w14:paraId="2ACD9D6C"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எழுத்தர்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உரிமையாளர்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விவசாயி</w:t>
            </w:r>
          </w:p>
          <w:p w14:paraId="2D1CF42E"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திறமை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தேர்ந்த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தொழிலாளி</w:t>
            </w:r>
          </w:p>
          <w:p w14:paraId="4AD0482D"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பகுதி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திறமை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தேர்ந்த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தொழிலாளி</w:t>
            </w:r>
          </w:p>
          <w:p w14:paraId="336DBA6B"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திறமை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தேர்ச்சியற்ற</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தொழிலாளி</w:t>
            </w:r>
          </w:p>
          <w:p w14:paraId="13956D12" w14:textId="77777777" w:rsidR="006F0EC1" w:rsidRPr="00787196" w:rsidRDefault="006F0EC1" w:rsidP="00C119A5">
            <w:pPr>
              <w:pStyle w:val="ListParagraph"/>
              <w:numPr>
                <w:ilvl w:val="0"/>
                <w:numId w:val="18"/>
              </w:numPr>
              <w:spacing w:before="0" w:after="0" w:line="240" w:lineRule="auto"/>
              <w:ind w:left="777" w:hanging="357"/>
              <w:rPr>
                <w:rFonts w:eastAsia="Calibri" w:cs="Arial"/>
                <w:b/>
                <w:sz w:val="14"/>
                <w:szCs w:val="14"/>
                <w:lang w:eastAsia="en-US" w:bidi="ar-SA"/>
              </w:rPr>
            </w:pPr>
            <w:r w:rsidRPr="00787196">
              <w:rPr>
                <w:rFonts w:ascii="Latha" w:eastAsia="Calibri" w:hAnsi="Latha" w:cs="Arial Unicode MS"/>
                <w:b/>
                <w:sz w:val="14"/>
                <w:szCs w:val="14"/>
                <w:cs/>
                <w:lang w:eastAsia="en-US"/>
              </w:rPr>
              <w:t>வேலையில்லாதவர்</w:t>
            </w:r>
          </w:p>
          <w:p w14:paraId="668608FA" w14:textId="77777777" w:rsidR="006F0EC1" w:rsidRPr="00787196" w:rsidRDefault="006F0EC1" w:rsidP="00BC4BF9">
            <w:pPr>
              <w:pStyle w:val="ListParagraph"/>
              <w:spacing w:before="0" w:after="0" w:line="240" w:lineRule="auto"/>
              <w:ind w:left="777"/>
              <w:rPr>
                <w:rFonts w:eastAsia="Calibri" w:cs="Arial"/>
                <w:bCs/>
                <w:sz w:val="14"/>
                <w:szCs w:val="14"/>
                <w:lang w:eastAsia="en-US" w:bidi="ar-SA"/>
              </w:rPr>
            </w:pPr>
          </w:p>
          <w:p w14:paraId="3F135CED" w14:textId="77777777" w:rsidR="006F0EC1" w:rsidRPr="00787196" w:rsidRDefault="006F0EC1" w:rsidP="00BC4BF9">
            <w:p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4) </w:t>
            </w:r>
            <w:r w:rsidRPr="00787196">
              <w:rPr>
                <w:rFonts w:eastAsia="Calibri" w:cs="Arial"/>
                <w:bCs/>
                <w:sz w:val="14"/>
                <w:szCs w:val="14"/>
                <w:rtl/>
                <w:cs/>
                <w:lang w:eastAsia="en-US" w:bidi="ar-SA"/>
              </w:rPr>
              <w:t xml:space="preserve"> </w:t>
            </w:r>
            <w:r w:rsidRPr="00787196">
              <w:rPr>
                <w:rFonts w:ascii="Latha" w:eastAsia="Calibri" w:hAnsi="Latha" w:cs="Arial Unicode MS"/>
                <w:b/>
                <w:sz w:val="14"/>
                <w:szCs w:val="14"/>
                <w:cs/>
                <w:lang w:eastAsia="en-US"/>
              </w:rPr>
              <w:t>தங்களுடைய</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தோராயமான</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u w:val="single"/>
                <w:cs/>
                <w:lang w:eastAsia="en-US"/>
              </w:rPr>
              <w:t>மாத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வருமானம்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ரூபாயில்</w:t>
            </w:r>
            <w:r w:rsidRPr="00787196">
              <w:rPr>
                <w:rFonts w:eastAsia="Calibri" w:cs="Arial"/>
                <w:b/>
                <w:sz w:val="14"/>
                <w:szCs w:val="14"/>
                <w:lang w:eastAsia="en-US" w:bidi="ar-SA"/>
              </w:rPr>
              <w:t xml:space="preserve"> (</w:t>
            </w:r>
            <w:r w:rsidRPr="00787196">
              <w:rPr>
                <w:rFonts w:eastAsia="Calibri" w:cs="Arial"/>
                <w:b/>
                <w:color w:val="444444"/>
                <w:sz w:val="14"/>
                <w:szCs w:val="14"/>
                <w:shd w:val="clear" w:color="auto" w:fill="FFFFFF"/>
                <w:lang w:eastAsia="en-US" w:bidi="ar-SA"/>
              </w:rPr>
              <w:t>₹)</w:t>
            </w:r>
            <w:r w:rsidRPr="00787196">
              <w:rPr>
                <w:rFonts w:eastAsia="Calibri" w:cs="Arial"/>
                <w:b/>
                <w:sz w:val="14"/>
                <w:szCs w:val="14"/>
                <w:lang w:eastAsia="en-US" w:bidi="ar-SA"/>
              </w:rPr>
              <w:t>?</w:t>
            </w:r>
          </w:p>
          <w:p w14:paraId="64E0BE79"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  =1520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கீழ்</w:t>
            </w:r>
          </w:p>
          <w:p w14:paraId="1CF801A6"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 1521-4555</w:t>
            </w:r>
          </w:p>
          <w:p w14:paraId="7164010A"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 4556-7593</w:t>
            </w:r>
          </w:p>
          <w:p w14:paraId="2488BE44"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 7594-11361</w:t>
            </w:r>
          </w:p>
          <w:p w14:paraId="2CF80441"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11362-15187</w:t>
            </w:r>
          </w:p>
          <w:p w14:paraId="41C80B61"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15188-30374</w:t>
            </w:r>
          </w:p>
          <w:p w14:paraId="326952F1" w14:textId="77777777" w:rsidR="006F0EC1" w:rsidRPr="00787196" w:rsidRDefault="006F0EC1" w:rsidP="00C119A5">
            <w:pPr>
              <w:pStyle w:val="ListParagraph"/>
              <w:numPr>
                <w:ilvl w:val="0"/>
                <w:numId w:val="19"/>
              </w:num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 30375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மேல்</w:t>
            </w:r>
          </w:p>
          <w:p w14:paraId="0D9FC511" w14:textId="77777777" w:rsidR="006F0EC1" w:rsidRPr="00787196" w:rsidRDefault="006F0EC1" w:rsidP="00BC4BF9">
            <w:pPr>
              <w:pStyle w:val="ListParagraph"/>
              <w:spacing w:before="0" w:after="0" w:line="240" w:lineRule="auto"/>
              <w:rPr>
                <w:rFonts w:eastAsia="Calibri" w:cs="Arial"/>
                <w:b/>
                <w:sz w:val="14"/>
                <w:szCs w:val="14"/>
                <w:lang w:eastAsia="en-US" w:bidi="ar-SA"/>
              </w:rPr>
            </w:pPr>
          </w:p>
          <w:p w14:paraId="4557C4AA" w14:textId="77777777" w:rsidR="006F0EC1" w:rsidRPr="00787196" w:rsidRDefault="006F0EC1" w:rsidP="00BC4BF9">
            <w:pPr>
              <w:spacing w:before="0" w:after="0" w:line="240" w:lineRule="auto"/>
              <w:rPr>
                <w:rFonts w:eastAsia="Calibri" w:cs="Arial"/>
                <w:b/>
                <w:sz w:val="14"/>
                <w:szCs w:val="14"/>
                <w:lang w:eastAsia="en-US" w:bidi="ar-SA"/>
              </w:rPr>
            </w:pPr>
            <w:r w:rsidRPr="00787196">
              <w:rPr>
                <w:rFonts w:eastAsia="Calibri" w:cs="Arial"/>
                <w:b/>
                <w:sz w:val="14"/>
                <w:szCs w:val="14"/>
                <w:lang w:eastAsia="en-US" w:bidi="ar-SA"/>
              </w:rPr>
              <w:t xml:space="preserve">5) </w:t>
            </w:r>
            <w:r w:rsidRPr="00787196">
              <w:rPr>
                <w:rFonts w:ascii="Latha" w:eastAsia="Calibri" w:hAnsi="Latha" w:cs="Arial Unicode MS"/>
                <w:b/>
                <w:sz w:val="14"/>
                <w:szCs w:val="14"/>
                <w:cs/>
                <w:lang w:eastAsia="en-US"/>
              </w:rPr>
              <w:t>தங்களுடைய</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கல்வித்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தகுதி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எவ்வளவு</w:t>
            </w:r>
            <w:r w:rsidRPr="00787196">
              <w:rPr>
                <w:rFonts w:eastAsia="Calibri" w:cs="Arial"/>
                <w:b/>
                <w:sz w:val="14"/>
                <w:szCs w:val="14"/>
                <w:rtl/>
                <w:cs/>
                <w:lang w:eastAsia="en-US" w:bidi="ar-SA"/>
              </w:rPr>
              <w:t>?</w:t>
            </w:r>
          </w:p>
          <w:p w14:paraId="53207D08"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தொழில்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சார்ந்த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கௌரவ</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மதிப்பு</w:t>
            </w:r>
          </w:p>
          <w:p w14:paraId="20697C7E"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இளநிலை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முதுநிலை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பட்டம்</w:t>
            </w:r>
          </w:p>
          <w:p w14:paraId="09D9A66C"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இடைநிலை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அல்லது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உயர்நிலைப்</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பள்ளி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முதுநிலை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பட்டயம்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பாலிடெக்னிக்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போன்றவை</w:t>
            </w:r>
            <w:r w:rsidRPr="00787196">
              <w:rPr>
                <w:rFonts w:eastAsia="Calibri" w:cs="Arial"/>
                <w:b/>
                <w:sz w:val="14"/>
                <w:szCs w:val="14"/>
                <w:rtl/>
                <w:cs/>
                <w:lang w:eastAsia="en-US" w:bidi="ar-SA"/>
              </w:rPr>
              <w:t>)</w:t>
            </w:r>
          </w:p>
          <w:p w14:paraId="7DD23CFF"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உயர்நிலைப்பள்ளிச்</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சான்றிதழ்</w:t>
            </w:r>
          </w:p>
          <w:p w14:paraId="057AF295"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இடைநிலைப்பள்ளிச்</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சான்றிதழ்</w:t>
            </w:r>
          </w:p>
          <w:p w14:paraId="58B8FFFD"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ஆரம்பநிலைப்பள்ளிச்</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சான்றிதழ்</w:t>
            </w:r>
          </w:p>
          <w:p w14:paraId="4C418026" w14:textId="77777777" w:rsidR="006F0EC1" w:rsidRPr="00787196" w:rsidRDefault="006F0EC1" w:rsidP="00C119A5">
            <w:pPr>
              <w:pStyle w:val="ListParagraph"/>
              <w:numPr>
                <w:ilvl w:val="0"/>
                <w:numId w:val="19"/>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படிப்பறிவற்றோர்</w:t>
            </w:r>
          </w:p>
          <w:p w14:paraId="07DE1996" w14:textId="77777777" w:rsidR="006F0EC1" w:rsidRPr="00787196" w:rsidRDefault="006F0EC1" w:rsidP="00BC4BF9">
            <w:pPr>
              <w:pStyle w:val="ListParagraph"/>
              <w:spacing w:before="0" w:after="0" w:line="240" w:lineRule="auto"/>
              <w:rPr>
                <w:rFonts w:eastAsia="Calibri" w:cs="Arial"/>
                <w:bCs/>
                <w:sz w:val="14"/>
                <w:szCs w:val="14"/>
                <w:lang w:eastAsia="en-US" w:bidi="ar-SA"/>
              </w:rPr>
            </w:pPr>
          </w:p>
          <w:p w14:paraId="6E88328E" w14:textId="77777777" w:rsidR="006F0EC1" w:rsidRPr="00787196" w:rsidRDefault="006F0EC1" w:rsidP="00BC4BF9">
            <w:pPr>
              <w:spacing w:before="0" w:after="0" w:line="240" w:lineRule="auto"/>
              <w:rPr>
                <w:rFonts w:eastAsia="Calibri" w:cs="Arial"/>
                <w:bCs/>
                <w:sz w:val="14"/>
                <w:szCs w:val="14"/>
                <w:lang w:eastAsia="en-US" w:bidi="ar-SA"/>
              </w:rPr>
            </w:pPr>
            <w:r w:rsidRPr="00787196">
              <w:rPr>
                <w:rFonts w:eastAsia="Calibri" w:cs="Arial"/>
                <w:bCs/>
                <w:sz w:val="14"/>
                <w:szCs w:val="14"/>
                <w:lang w:eastAsia="en-US" w:bidi="ar-SA"/>
              </w:rPr>
              <w:t xml:space="preserve">6) </w:t>
            </w:r>
            <w:r w:rsidRPr="00787196">
              <w:rPr>
                <w:rFonts w:ascii="Latha" w:eastAsia="Calibri" w:hAnsi="Latha" w:cs="Arial Unicode MS"/>
                <w:b/>
                <w:sz w:val="14"/>
                <w:szCs w:val="14"/>
                <w:cs/>
                <w:lang w:eastAsia="en-US"/>
              </w:rPr>
              <w:t>தங்களுடைய</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நம்பிக்கை</w:t>
            </w:r>
            <w:r w:rsidRPr="00787196">
              <w:rPr>
                <w:rFonts w:eastAsia="Calibri" w:cs="Arial"/>
                <w:b/>
                <w:sz w:val="14"/>
                <w:szCs w:val="14"/>
                <w:rtl/>
                <w:cs/>
                <w:lang w:eastAsia="en-US" w:bidi="ar-SA"/>
              </w:rPr>
              <w:t>?</w:t>
            </w:r>
          </w:p>
          <w:p w14:paraId="7A087216"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இந்து</w:t>
            </w:r>
          </w:p>
          <w:p w14:paraId="310DA39D"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இசுலாமியர்</w:t>
            </w:r>
          </w:p>
          <w:p w14:paraId="734A8DFB"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சீக்கியர்</w:t>
            </w:r>
          </w:p>
          <w:p w14:paraId="0E35CF1F"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கிறித்துவர்</w:t>
            </w:r>
          </w:p>
          <w:p w14:paraId="41579255"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மற்றவை</w:t>
            </w:r>
            <w:r w:rsidRPr="00787196">
              <w:rPr>
                <w:rFonts w:eastAsia="Calibri" w:cs="Arial"/>
                <w:b/>
                <w:sz w:val="14"/>
                <w:szCs w:val="14"/>
                <w:lang w:eastAsia="en-US" w:bidi="ar-SA"/>
              </w:rPr>
              <w:t xml:space="preserve"> </w:t>
            </w:r>
            <w:r w:rsidRPr="00787196">
              <w:rPr>
                <w:rFonts w:eastAsia="Calibri" w:cs="Arial"/>
                <w:b/>
                <w:sz w:val="14"/>
                <w:szCs w:val="14"/>
                <w:rtl/>
                <w:cs/>
                <w:lang w:eastAsia="en-US" w:bidi="ar-SA"/>
              </w:rPr>
              <w:t>(</w:t>
            </w:r>
            <w:r w:rsidRPr="00787196">
              <w:rPr>
                <w:rFonts w:ascii="Latha" w:eastAsia="Calibri" w:hAnsi="Latha" w:cs="Arial Unicode MS"/>
                <w:b/>
                <w:sz w:val="14"/>
                <w:szCs w:val="14"/>
                <w:cs/>
                <w:lang w:eastAsia="en-US"/>
              </w:rPr>
              <w:t>குறிப்பிடவும்</w:t>
            </w:r>
            <w:r w:rsidRPr="00787196">
              <w:rPr>
                <w:rFonts w:eastAsia="Calibri" w:cs="Arial"/>
                <w:b/>
                <w:sz w:val="14"/>
                <w:szCs w:val="14"/>
                <w:rtl/>
                <w:cs/>
                <w:lang w:eastAsia="en-US" w:bidi="ar-SA"/>
              </w:rPr>
              <w:t>)</w:t>
            </w:r>
            <w:r w:rsidRPr="00787196">
              <w:rPr>
                <w:rFonts w:eastAsia="Calibri" w:cs="Arial"/>
                <w:b/>
                <w:sz w:val="14"/>
                <w:szCs w:val="14"/>
                <w:lang w:eastAsia="en-US" w:bidi="ar-SA"/>
              </w:rPr>
              <w:t xml:space="preserve"> ____________________________</w:t>
            </w:r>
          </w:p>
          <w:p w14:paraId="50ABBFD0" w14:textId="77777777" w:rsidR="005F2264" w:rsidRPr="00787196" w:rsidRDefault="005F2264" w:rsidP="005F2264">
            <w:pPr>
              <w:pStyle w:val="ListParagraph"/>
              <w:spacing w:before="0" w:after="0" w:line="240" w:lineRule="auto"/>
              <w:rPr>
                <w:rFonts w:eastAsia="Calibri" w:cs="Arial"/>
                <w:b/>
                <w:sz w:val="14"/>
                <w:szCs w:val="14"/>
                <w:lang w:eastAsia="en-US" w:bidi="ar-SA"/>
              </w:rPr>
            </w:pPr>
          </w:p>
          <w:p w14:paraId="579597F3" w14:textId="77777777" w:rsidR="006F0EC1" w:rsidRPr="00787196" w:rsidRDefault="006F0EC1" w:rsidP="00BC4BF9">
            <w:pPr>
              <w:pStyle w:val="ListParagraph"/>
              <w:spacing w:before="0" w:after="0" w:line="240" w:lineRule="auto"/>
              <w:rPr>
                <w:rFonts w:eastAsia="Calibri" w:cs="Arial"/>
                <w:bCs/>
                <w:sz w:val="14"/>
                <w:szCs w:val="14"/>
                <w:lang w:eastAsia="en-US" w:bidi="ar-SA"/>
              </w:rPr>
            </w:pPr>
          </w:p>
          <w:p w14:paraId="20F333A6" w14:textId="279FBE7D" w:rsidR="006F0EC1" w:rsidRPr="00787196" w:rsidRDefault="006F0EC1" w:rsidP="00BC4BF9">
            <w:pPr>
              <w:spacing w:before="0" w:after="0" w:line="240" w:lineRule="auto"/>
              <w:contextualSpacing/>
              <w:rPr>
                <w:rFonts w:eastAsia="Calibri" w:cs="Arial"/>
                <w:bCs/>
                <w:sz w:val="14"/>
                <w:szCs w:val="14"/>
                <w:lang w:eastAsia="en-US" w:bidi="ar-SA"/>
              </w:rPr>
            </w:pPr>
            <w:r w:rsidRPr="00787196">
              <w:rPr>
                <w:rFonts w:eastAsia="Calibri" w:cs="Arial"/>
                <w:bCs/>
                <w:sz w:val="14"/>
                <w:szCs w:val="14"/>
                <w:lang w:eastAsia="en-US" w:bidi="ar-SA"/>
              </w:rPr>
              <w:t xml:space="preserve">7) </w:t>
            </w:r>
            <w:r w:rsidRPr="00787196">
              <w:rPr>
                <w:rFonts w:ascii="Latha" w:eastAsia="Calibri" w:hAnsi="Latha" w:cs="Arial Unicode MS"/>
                <w:b/>
                <w:sz w:val="14"/>
                <w:szCs w:val="14"/>
                <w:cs/>
                <w:lang w:eastAsia="en-US"/>
              </w:rPr>
              <w:t>சாதி</w:t>
            </w:r>
            <w:r w:rsidR="005F2264" w:rsidRPr="00787196">
              <w:rPr>
                <w:rFonts w:ascii="Latha" w:eastAsia="Calibri" w:hAnsi="Latha" w:cs="Arial Unicode MS"/>
                <w:b/>
                <w:sz w:val="14"/>
                <w:szCs w:val="14"/>
                <w:cs/>
                <w:lang w:eastAsia="en-US"/>
              </w:rPr>
              <w:t xml:space="preserve"> வழிபாடு</w:t>
            </w:r>
          </w:p>
          <w:p w14:paraId="2D113023"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முற்படுத்தப்பட்ட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வகுப்பினர்</w:t>
            </w:r>
          </w:p>
          <w:p w14:paraId="07707779"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பிற்படுத்தப்பட்ட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வகுப்பினர்</w:t>
            </w:r>
          </w:p>
          <w:p w14:paraId="00A41EC0"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மிகவும்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பிற்படுத்தப்பட்ட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வகுப்பினர்</w:t>
            </w:r>
          </w:p>
          <w:p w14:paraId="333C4B4C" w14:textId="77777777" w:rsidR="006F0EC1" w:rsidRPr="00787196" w:rsidRDefault="006F0EC1" w:rsidP="00C119A5">
            <w:pPr>
              <w:pStyle w:val="ListParagraph"/>
              <w:numPr>
                <w:ilvl w:val="0"/>
                <w:numId w:val="20"/>
              </w:numPr>
              <w:spacing w:before="0" w:after="0" w:line="240" w:lineRule="auto"/>
              <w:rPr>
                <w:rFonts w:eastAsia="Calibri" w:cs="Arial"/>
                <w:b/>
                <w:sz w:val="14"/>
                <w:szCs w:val="14"/>
                <w:lang w:eastAsia="en-US" w:bidi="ar-SA"/>
              </w:rPr>
            </w:pPr>
            <w:r w:rsidRPr="00787196">
              <w:rPr>
                <w:rFonts w:ascii="Latha" w:eastAsia="Calibri" w:hAnsi="Latha" w:cs="Arial Unicode MS"/>
                <w:b/>
                <w:sz w:val="14"/>
                <w:szCs w:val="14"/>
                <w:cs/>
                <w:lang w:eastAsia="en-US"/>
              </w:rPr>
              <w:t>அட்டவணை</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வகுப்பினர்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மற்றும்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பழங்குடியினர்</w:t>
            </w:r>
          </w:p>
          <w:p w14:paraId="2B216825" w14:textId="77777777" w:rsidR="006F0EC1" w:rsidRPr="00787196" w:rsidRDefault="006F0EC1" w:rsidP="00C119A5">
            <w:pPr>
              <w:pStyle w:val="ListParagraph"/>
              <w:numPr>
                <w:ilvl w:val="0"/>
                <w:numId w:val="20"/>
              </w:numPr>
              <w:spacing w:before="0" w:after="0" w:line="240" w:lineRule="auto"/>
              <w:rPr>
                <w:rFonts w:eastAsia="Calibri" w:cs="Arial"/>
                <w:szCs w:val="24"/>
                <w:lang w:eastAsia="en-US" w:bidi="ar-SA"/>
              </w:rPr>
            </w:pPr>
            <w:r w:rsidRPr="00787196">
              <w:rPr>
                <w:rFonts w:ascii="Latha" w:eastAsia="Calibri" w:hAnsi="Latha" w:cs="Arial Unicode MS"/>
                <w:b/>
                <w:sz w:val="14"/>
                <w:szCs w:val="14"/>
                <w:cs/>
                <w:lang w:eastAsia="en-US"/>
              </w:rPr>
              <w:t>மற்றவை</w:t>
            </w:r>
            <w:r w:rsidRPr="00787196">
              <w:rPr>
                <w:rFonts w:eastAsia="Calibri" w:cs="Arial"/>
                <w:b/>
                <w:sz w:val="14"/>
                <w:szCs w:val="14"/>
                <w:rtl/>
                <w:cs/>
                <w:lang w:eastAsia="en-US" w:bidi="ar-SA"/>
              </w:rPr>
              <w:t xml:space="preserve"> </w:t>
            </w:r>
            <w:r w:rsidRPr="00787196">
              <w:rPr>
                <w:rFonts w:eastAsia="Calibri" w:cs="Arial"/>
                <w:b/>
                <w:sz w:val="14"/>
                <w:szCs w:val="14"/>
                <w:lang w:eastAsia="en-US" w:bidi="ar-SA"/>
              </w:rPr>
              <w:t>(</w:t>
            </w:r>
            <w:r w:rsidRPr="00787196">
              <w:rPr>
                <w:rFonts w:ascii="Latha" w:eastAsia="Calibri" w:hAnsi="Latha" w:cs="Arial Unicode MS"/>
                <w:b/>
                <w:sz w:val="14"/>
                <w:szCs w:val="14"/>
                <w:cs/>
                <w:lang w:eastAsia="en-US"/>
              </w:rPr>
              <w:t>தயவுசெய்து</w:t>
            </w:r>
            <w:r w:rsidRPr="00787196">
              <w:rPr>
                <w:rFonts w:eastAsia="Calibri" w:cs="Arial"/>
                <w:b/>
                <w:sz w:val="14"/>
                <w:szCs w:val="14"/>
                <w:rtl/>
                <w:cs/>
                <w:lang w:eastAsia="en-US" w:bidi="ar-SA"/>
              </w:rPr>
              <w:t xml:space="preserve"> </w:t>
            </w:r>
            <w:r w:rsidRPr="00787196">
              <w:rPr>
                <w:rFonts w:ascii="Latha" w:eastAsia="Calibri" w:hAnsi="Latha" w:cs="Arial Unicode MS"/>
                <w:b/>
                <w:sz w:val="16"/>
                <w:szCs w:val="16"/>
                <w:cs/>
                <w:lang w:eastAsia="en-US"/>
              </w:rPr>
              <w:t>குறிப்பிடவும்</w:t>
            </w:r>
            <w:r w:rsidRPr="00787196">
              <w:rPr>
                <w:rFonts w:eastAsia="Calibri" w:cs="Arial"/>
                <w:b/>
                <w:sz w:val="16"/>
                <w:szCs w:val="16"/>
                <w:lang w:eastAsia="en-US" w:bidi="ar-SA"/>
              </w:rPr>
              <w:t xml:space="preserve">) </w:t>
            </w:r>
            <w:r w:rsidRPr="00787196">
              <w:rPr>
                <w:rFonts w:eastAsia="Calibri" w:cs="Arial"/>
                <w:bCs/>
                <w:sz w:val="16"/>
                <w:szCs w:val="16"/>
                <w:lang w:eastAsia="en-US" w:bidi="ar-SA"/>
              </w:rPr>
              <w:t>________________________</w:t>
            </w:r>
            <w:r w:rsidR="00C02B80" w:rsidRPr="00787196">
              <w:rPr>
                <w:rFonts w:eastAsia="Calibri"/>
                <w:bCs/>
                <w:sz w:val="16"/>
                <w:szCs w:val="16"/>
                <w:cs/>
                <w:lang w:eastAsia="en-US"/>
              </w:rPr>
              <w:t xml:space="preserve"> </w:t>
            </w:r>
          </w:p>
        </w:tc>
      </w:tr>
    </w:tbl>
    <w:p w14:paraId="2799A50D" w14:textId="77777777" w:rsidR="00BC4BF9" w:rsidRPr="00787196" w:rsidRDefault="00BC4BF9" w:rsidP="00513F57">
      <w:pPr>
        <w:spacing w:before="0" w:after="0"/>
        <w:rPr>
          <w:rFonts w:cs="Arial"/>
          <w:b/>
          <w:bCs/>
          <w:sz w:val="20"/>
          <w:szCs w:val="20"/>
        </w:rPr>
      </w:pPr>
    </w:p>
    <w:p w14:paraId="415E0495" w14:textId="77777777" w:rsidR="00BC4BF9" w:rsidRPr="00787196" w:rsidRDefault="00BC4BF9">
      <w:pPr>
        <w:spacing w:before="0" w:after="0" w:line="240" w:lineRule="auto"/>
        <w:jc w:val="left"/>
        <w:rPr>
          <w:rFonts w:cs="Arial"/>
          <w:b/>
          <w:bCs/>
          <w:sz w:val="20"/>
          <w:szCs w:val="20"/>
        </w:rPr>
      </w:pPr>
      <w:r w:rsidRPr="00787196">
        <w:rPr>
          <w:rFonts w:cs="Arial"/>
          <w:b/>
          <w:bCs/>
          <w:sz w:val="20"/>
          <w:szCs w:val="20"/>
        </w:rPr>
        <w:br w:type="page"/>
      </w:r>
    </w:p>
    <w:p w14:paraId="49FC4DF2" w14:textId="4C5DB10C" w:rsidR="006F0EC1" w:rsidRPr="00787196" w:rsidRDefault="006F0EC1" w:rsidP="00314F8C">
      <w:pPr>
        <w:spacing w:before="0" w:after="0"/>
        <w:ind w:right="140"/>
        <w:rPr>
          <w:rFonts w:cs="Arial"/>
          <w:b/>
          <w:bCs/>
          <w:sz w:val="20"/>
          <w:szCs w:val="20"/>
        </w:rPr>
      </w:pPr>
      <w:r w:rsidRPr="00787196">
        <w:rPr>
          <w:rFonts w:cs="Arial"/>
          <w:b/>
          <w:bCs/>
          <w:sz w:val="20"/>
          <w:szCs w:val="20"/>
        </w:rPr>
        <w:lastRenderedPageBreak/>
        <w:t xml:space="preserve">8.) </w:t>
      </w:r>
      <w:r w:rsidRPr="00787196">
        <w:rPr>
          <w:rFonts w:ascii="Latha" w:hAnsi="Latha" w:cs="Arial Unicode MS"/>
          <w:b/>
          <w:bCs/>
          <w:sz w:val="16"/>
          <w:szCs w:val="16"/>
          <w:cs/>
        </w:rPr>
        <w:t>இந்த</w:t>
      </w:r>
      <w:r w:rsidRPr="00787196">
        <w:rPr>
          <w:rFonts w:cs="Arial"/>
          <w:b/>
          <w:bCs/>
          <w:sz w:val="16"/>
          <w:szCs w:val="16"/>
          <w:cs/>
        </w:rPr>
        <w:t xml:space="preserve"> </w:t>
      </w:r>
      <w:r w:rsidRPr="00787196">
        <w:rPr>
          <w:rFonts w:ascii="Latha" w:hAnsi="Latha" w:cs="Arial Unicode MS"/>
          <w:b/>
          <w:bCs/>
          <w:sz w:val="16"/>
          <w:szCs w:val="16"/>
          <w:cs/>
        </w:rPr>
        <w:t>ஏணி</w:t>
      </w:r>
      <w:r w:rsidRPr="00787196">
        <w:rPr>
          <w:rFonts w:cs="Arial"/>
          <w:b/>
          <w:bCs/>
          <w:sz w:val="16"/>
          <w:szCs w:val="16"/>
          <w:cs/>
        </w:rPr>
        <w:t xml:space="preserve"> </w:t>
      </w:r>
      <w:r w:rsidRPr="00787196">
        <w:rPr>
          <w:rFonts w:ascii="Latha" w:hAnsi="Latha" w:cs="Arial Unicode MS"/>
          <w:b/>
          <w:bCs/>
          <w:sz w:val="16"/>
          <w:szCs w:val="16"/>
          <w:cs/>
        </w:rPr>
        <w:t>இந்திய</w:t>
      </w:r>
      <w:r w:rsidRPr="00787196">
        <w:rPr>
          <w:rFonts w:cs="Arial"/>
          <w:b/>
          <w:bCs/>
          <w:sz w:val="16"/>
          <w:szCs w:val="16"/>
          <w:cs/>
        </w:rPr>
        <w:t xml:space="preserve"> </w:t>
      </w:r>
      <w:r w:rsidRPr="00787196">
        <w:rPr>
          <w:rFonts w:ascii="Latha" w:hAnsi="Latha" w:cs="Arial Unicode MS"/>
          <w:b/>
          <w:bCs/>
          <w:sz w:val="16"/>
          <w:szCs w:val="16"/>
          <w:cs/>
        </w:rPr>
        <w:t>சமூக</w:t>
      </w:r>
      <w:r w:rsidRPr="00787196">
        <w:rPr>
          <w:rFonts w:cs="Arial"/>
          <w:b/>
          <w:bCs/>
          <w:sz w:val="16"/>
          <w:szCs w:val="16"/>
          <w:cs/>
        </w:rPr>
        <w:t xml:space="preserve"> </w:t>
      </w:r>
      <w:r w:rsidRPr="00787196">
        <w:rPr>
          <w:rFonts w:ascii="Latha" w:hAnsi="Latha" w:cs="Arial Unicode MS"/>
          <w:b/>
          <w:bCs/>
          <w:sz w:val="16"/>
          <w:szCs w:val="16"/>
          <w:cs/>
        </w:rPr>
        <w:t>அமைப்பினை</w:t>
      </w:r>
      <w:r w:rsidRPr="00787196">
        <w:rPr>
          <w:rFonts w:cs="Arial"/>
          <w:b/>
          <w:bCs/>
          <w:sz w:val="16"/>
          <w:szCs w:val="16"/>
          <w:cs/>
        </w:rPr>
        <w:t xml:space="preserve"> </w:t>
      </w:r>
      <w:r w:rsidRPr="00787196">
        <w:rPr>
          <w:rFonts w:ascii="Latha" w:hAnsi="Latha" w:cs="Arial Unicode MS"/>
          <w:b/>
          <w:bCs/>
          <w:sz w:val="16"/>
          <w:szCs w:val="16"/>
          <w:cs/>
        </w:rPr>
        <w:t>படம்</w:t>
      </w:r>
      <w:r w:rsidRPr="00787196">
        <w:rPr>
          <w:rFonts w:cs="Arial"/>
          <w:b/>
          <w:bCs/>
          <w:sz w:val="16"/>
          <w:szCs w:val="16"/>
          <w:cs/>
        </w:rPr>
        <w:t xml:space="preserve"> </w:t>
      </w:r>
      <w:r w:rsidRPr="00787196">
        <w:rPr>
          <w:rFonts w:ascii="Latha" w:hAnsi="Latha" w:cs="Arial Unicode MS"/>
          <w:b/>
          <w:bCs/>
          <w:sz w:val="16"/>
          <w:szCs w:val="16"/>
          <w:cs/>
        </w:rPr>
        <w:t>பிடித்துக்காட்டுவதாக</w:t>
      </w:r>
      <w:r w:rsidRPr="00787196">
        <w:rPr>
          <w:rFonts w:cs="Arial"/>
          <w:b/>
          <w:bCs/>
          <w:sz w:val="16"/>
          <w:szCs w:val="16"/>
          <w:cs/>
        </w:rPr>
        <w:t xml:space="preserve"> </w:t>
      </w:r>
      <w:r w:rsidRPr="00787196">
        <w:rPr>
          <w:rFonts w:ascii="Latha" w:hAnsi="Latha" w:cs="Arial Unicode MS"/>
          <w:b/>
          <w:bCs/>
          <w:sz w:val="16"/>
          <w:szCs w:val="16"/>
          <w:cs/>
        </w:rPr>
        <w:t>கற்பனை</w:t>
      </w:r>
      <w:r w:rsidRPr="00787196">
        <w:rPr>
          <w:rFonts w:cs="Arial"/>
          <w:b/>
          <w:bCs/>
          <w:sz w:val="16"/>
          <w:szCs w:val="16"/>
          <w:cs/>
        </w:rPr>
        <w:t xml:space="preserve"> </w:t>
      </w:r>
      <w:r w:rsidRPr="00787196">
        <w:rPr>
          <w:rFonts w:ascii="Latha" w:hAnsi="Latha" w:cs="Arial Unicode MS"/>
          <w:b/>
          <w:bCs/>
          <w:sz w:val="16"/>
          <w:szCs w:val="16"/>
          <w:cs/>
        </w:rPr>
        <w:t>செய்து</w:t>
      </w:r>
      <w:r w:rsidRPr="00787196">
        <w:rPr>
          <w:rFonts w:cs="Arial"/>
          <w:b/>
          <w:bCs/>
          <w:sz w:val="16"/>
          <w:szCs w:val="16"/>
          <w:cs/>
        </w:rPr>
        <w:t xml:space="preserve"> </w:t>
      </w:r>
      <w:r w:rsidRPr="00787196">
        <w:rPr>
          <w:rFonts w:ascii="Latha" w:hAnsi="Latha" w:cs="Arial Unicode MS"/>
          <w:b/>
          <w:bCs/>
          <w:sz w:val="16"/>
          <w:szCs w:val="16"/>
          <w:cs/>
        </w:rPr>
        <w:t>கொள்ளுங்கள்</w:t>
      </w:r>
    </w:p>
    <w:p w14:paraId="6F471913" w14:textId="77777777" w:rsidR="006F0EC1" w:rsidRPr="00787196" w:rsidRDefault="006F0EC1" w:rsidP="00C119A5">
      <w:pPr>
        <w:numPr>
          <w:ilvl w:val="0"/>
          <w:numId w:val="22"/>
        </w:numPr>
        <w:spacing w:before="0" w:after="0" w:line="240" w:lineRule="auto"/>
        <w:ind w:right="140"/>
        <w:rPr>
          <w:rFonts w:cs="Arial"/>
          <w:sz w:val="20"/>
          <w:szCs w:val="20"/>
        </w:rPr>
      </w:pPr>
      <w:r w:rsidRPr="00787196">
        <w:rPr>
          <w:rFonts w:ascii="Latha" w:hAnsi="Latha" w:cs="Arial Unicode MS"/>
          <w:bCs/>
          <w:sz w:val="14"/>
          <w:szCs w:val="14"/>
          <w:cs/>
        </w:rPr>
        <w:t>ஏணியின்</w:t>
      </w:r>
      <w:r w:rsidRPr="00787196">
        <w:rPr>
          <w:rFonts w:cs="Arial"/>
          <w:bCs/>
          <w:sz w:val="14"/>
          <w:szCs w:val="14"/>
          <w:cs/>
        </w:rPr>
        <w:t xml:space="preserve"> </w:t>
      </w:r>
      <w:r w:rsidRPr="00787196">
        <w:rPr>
          <w:rFonts w:ascii="Latha" w:hAnsi="Latha" w:cs="Arial Unicode MS"/>
          <w:bCs/>
          <w:sz w:val="14"/>
          <w:szCs w:val="14"/>
          <w:cs/>
        </w:rPr>
        <w:t>மேல்</w:t>
      </w:r>
      <w:r w:rsidRPr="00787196">
        <w:rPr>
          <w:rFonts w:cs="Arial"/>
          <w:bCs/>
          <w:sz w:val="14"/>
          <w:szCs w:val="14"/>
          <w:cs/>
        </w:rPr>
        <w:t xml:space="preserve"> </w:t>
      </w:r>
      <w:r w:rsidRPr="00787196">
        <w:rPr>
          <w:rFonts w:ascii="Latha" w:hAnsi="Latha" w:cs="Arial Unicode MS"/>
          <w:bCs/>
          <w:sz w:val="14"/>
          <w:szCs w:val="14"/>
          <w:cs/>
        </w:rPr>
        <w:t>உள்ளோர்</w:t>
      </w:r>
      <w:r w:rsidRPr="00787196">
        <w:rPr>
          <w:rFonts w:cs="Arial"/>
          <w:bCs/>
          <w:sz w:val="14"/>
          <w:szCs w:val="14"/>
          <w:cs/>
        </w:rPr>
        <w:t xml:space="preserve"> </w:t>
      </w:r>
      <w:r w:rsidRPr="00787196">
        <w:rPr>
          <w:rFonts w:ascii="Latha" w:hAnsi="Latha" w:cs="Arial Unicode MS"/>
          <w:bCs/>
          <w:sz w:val="14"/>
          <w:szCs w:val="14"/>
          <w:cs/>
        </w:rPr>
        <w:t>செழிப்பானோர்</w:t>
      </w:r>
      <w:r w:rsidRPr="00787196">
        <w:rPr>
          <w:rFonts w:cs="Arial"/>
          <w:sz w:val="20"/>
          <w:szCs w:val="20"/>
        </w:rPr>
        <w:t xml:space="preserve"> –</w:t>
      </w:r>
      <w:r w:rsidRPr="00787196">
        <w:rPr>
          <w:rFonts w:ascii="Latha" w:hAnsi="Latha" w:cs="Arial Unicode MS"/>
          <w:sz w:val="14"/>
          <w:szCs w:val="14"/>
          <w:cs/>
        </w:rPr>
        <w:t>பண</w:t>
      </w:r>
      <w:r w:rsidRPr="00787196">
        <w:rPr>
          <w:rFonts w:cs="Arial"/>
          <w:sz w:val="14"/>
          <w:szCs w:val="14"/>
          <w:cs/>
        </w:rPr>
        <w:t xml:space="preserve"> </w:t>
      </w:r>
      <w:r w:rsidRPr="00787196">
        <w:rPr>
          <w:rFonts w:ascii="Latha" w:hAnsi="Latha" w:cs="Arial Unicode MS"/>
          <w:sz w:val="14"/>
          <w:szCs w:val="14"/>
          <w:cs/>
        </w:rPr>
        <w:t>வசதி</w:t>
      </w:r>
      <w:r w:rsidRPr="00787196">
        <w:rPr>
          <w:rFonts w:cs="Arial"/>
          <w:sz w:val="14"/>
          <w:szCs w:val="14"/>
          <w:cs/>
        </w:rPr>
        <w:t xml:space="preserve">, </w:t>
      </w:r>
      <w:r w:rsidRPr="00787196">
        <w:rPr>
          <w:rFonts w:ascii="Latha" w:hAnsi="Latha" w:cs="Arial Unicode MS"/>
          <w:sz w:val="14"/>
          <w:szCs w:val="14"/>
          <w:cs/>
        </w:rPr>
        <w:t>உயர்</w:t>
      </w:r>
      <w:r w:rsidRPr="00787196">
        <w:rPr>
          <w:rFonts w:cs="Arial"/>
          <w:sz w:val="14"/>
          <w:szCs w:val="14"/>
          <w:cs/>
        </w:rPr>
        <w:t xml:space="preserve"> </w:t>
      </w:r>
      <w:r w:rsidRPr="00787196">
        <w:rPr>
          <w:rFonts w:ascii="Latha" w:hAnsi="Latha" w:cs="Arial Unicode MS"/>
          <w:sz w:val="14"/>
          <w:szCs w:val="14"/>
          <w:cs/>
        </w:rPr>
        <w:t>ரக</w:t>
      </w:r>
      <w:r w:rsidRPr="00787196">
        <w:rPr>
          <w:rFonts w:cs="Arial"/>
          <w:sz w:val="14"/>
          <w:szCs w:val="14"/>
          <w:cs/>
        </w:rPr>
        <w:t xml:space="preserve"> </w:t>
      </w:r>
      <w:r w:rsidRPr="00787196">
        <w:rPr>
          <w:rFonts w:ascii="Latha" w:hAnsi="Latha" w:cs="Arial Unicode MS"/>
          <w:sz w:val="14"/>
          <w:szCs w:val="14"/>
          <w:cs/>
        </w:rPr>
        <w:t>கல்வி</w:t>
      </w:r>
      <w:r w:rsidRPr="00787196">
        <w:rPr>
          <w:rFonts w:cs="Arial"/>
          <w:sz w:val="14"/>
          <w:szCs w:val="14"/>
          <w:cs/>
        </w:rPr>
        <w:t xml:space="preserve">, </w:t>
      </w:r>
      <w:r w:rsidRPr="00787196">
        <w:rPr>
          <w:rFonts w:ascii="Latha" w:hAnsi="Latha" w:cs="Arial Unicode MS"/>
          <w:sz w:val="14"/>
          <w:szCs w:val="14"/>
          <w:cs/>
        </w:rPr>
        <w:t>மரியாதைக்குரிய</w:t>
      </w:r>
      <w:r w:rsidRPr="00787196">
        <w:rPr>
          <w:rFonts w:cs="Arial"/>
          <w:sz w:val="14"/>
          <w:szCs w:val="14"/>
          <w:cs/>
        </w:rPr>
        <w:t xml:space="preserve"> </w:t>
      </w:r>
      <w:r w:rsidRPr="00787196">
        <w:rPr>
          <w:rFonts w:ascii="Latha" w:hAnsi="Latha" w:cs="Arial Unicode MS"/>
          <w:sz w:val="14"/>
          <w:szCs w:val="14"/>
          <w:cs/>
        </w:rPr>
        <w:t>வேலை</w:t>
      </w:r>
      <w:r w:rsidRPr="00787196">
        <w:rPr>
          <w:rFonts w:cs="Arial"/>
          <w:sz w:val="14"/>
          <w:szCs w:val="14"/>
          <w:cs/>
        </w:rPr>
        <w:t xml:space="preserve"> </w:t>
      </w:r>
      <w:r w:rsidRPr="00787196">
        <w:rPr>
          <w:rFonts w:ascii="Latha" w:hAnsi="Latha" w:cs="Arial Unicode MS"/>
          <w:sz w:val="14"/>
          <w:szCs w:val="14"/>
          <w:cs/>
        </w:rPr>
        <w:t>போன்றவற்றைக்</w:t>
      </w:r>
      <w:r w:rsidRPr="00787196">
        <w:rPr>
          <w:rFonts w:cs="Arial"/>
          <w:sz w:val="14"/>
          <w:szCs w:val="14"/>
          <w:cs/>
        </w:rPr>
        <w:t xml:space="preserve"> </w:t>
      </w:r>
      <w:r w:rsidRPr="00787196">
        <w:rPr>
          <w:rFonts w:ascii="Latha" w:hAnsi="Latha" w:cs="Arial Unicode MS"/>
          <w:sz w:val="14"/>
          <w:szCs w:val="14"/>
          <w:cs/>
        </w:rPr>
        <w:t>கொண்டவர்கள்</w:t>
      </w:r>
      <w:r w:rsidRPr="00787196">
        <w:rPr>
          <w:rFonts w:cs="Arial"/>
          <w:sz w:val="14"/>
          <w:szCs w:val="14"/>
          <w:cs/>
        </w:rPr>
        <w:t>.</w:t>
      </w:r>
    </w:p>
    <w:p w14:paraId="1599D7C7" w14:textId="77777777" w:rsidR="006F0EC1" w:rsidRPr="00787196" w:rsidRDefault="006F0EC1" w:rsidP="00C119A5">
      <w:pPr>
        <w:numPr>
          <w:ilvl w:val="0"/>
          <w:numId w:val="22"/>
        </w:numPr>
        <w:spacing w:before="0" w:after="0" w:line="240" w:lineRule="auto"/>
        <w:ind w:right="140"/>
        <w:rPr>
          <w:rFonts w:cs="Arial"/>
          <w:sz w:val="20"/>
          <w:szCs w:val="20"/>
        </w:rPr>
      </w:pPr>
      <w:r w:rsidRPr="00787196">
        <w:rPr>
          <w:rFonts w:ascii="Latha" w:hAnsi="Latha" w:cs="Arial Unicode MS"/>
          <w:bCs/>
          <w:sz w:val="14"/>
          <w:szCs w:val="14"/>
          <w:cs/>
        </w:rPr>
        <w:t>ஏணியின்</w:t>
      </w:r>
      <w:r w:rsidRPr="00787196">
        <w:rPr>
          <w:rFonts w:cs="Arial"/>
          <w:bCs/>
          <w:sz w:val="14"/>
          <w:szCs w:val="14"/>
          <w:cs/>
        </w:rPr>
        <w:t xml:space="preserve"> </w:t>
      </w:r>
      <w:r w:rsidRPr="00787196">
        <w:rPr>
          <w:rFonts w:ascii="Latha" w:hAnsi="Latha" w:cs="Arial Unicode MS"/>
          <w:bCs/>
          <w:sz w:val="14"/>
          <w:szCs w:val="14"/>
          <w:cs/>
        </w:rPr>
        <w:t>கீழுள்ளோர்</w:t>
      </w:r>
      <w:r w:rsidRPr="00787196">
        <w:rPr>
          <w:rFonts w:cs="Arial"/>
          <w:bCs/>
          <w:sz w:val="14"/>
          <w:szCs w:val="14"/>
          <w:cs/>
        </w:rPr>
        <w:t xml:space="preserve"> </w:t>
      </w:r>
      <w:r w:rsidRPr="00787196">
        <w:rPr>
          <w:rFonts w:ascii="Latha" w:hAnsi="Latha" w:cs="Arial Unicode MS"/>
          <w:bCs/>
          <w:sz w:val="14"/>
          <w:szCs w:val="14"/>
          <w:cs/>
        </w:rPr>
        <w:t>செழிப்பற்ற</w:t>
      </w:r>
      <w:r w:rsidRPr="00787196">
        <w:rPr>
          <w:rFonts w:cs="Arial"/>
          <w:bCs/>
          <w:sz w:val="14"/>
          <w:szCs w:val="14"/>
          <w:cs/>
        </w:rPr>
        <w:t xml:space="preserve"> </w:t>
      </w:r>
      <w:r w:rsidRPr="00787196">
        <w:rPr>
          <w:rFonts w:ascii="Latha" w:hAnsi="Latha" w:cs="Arial Unicode MS"/>
          <w:bCs/>
          <w:sz w:val="14"/>
          <w:szCs w:val="14"/>
          <w:cs/>
        </w:rPr>
        <w:t>சிரம</w:t>
      </w:r>
      <w:r w:rsidRPr="00787196">
        <w:rPr>
          <w:rFonts w:cs="Arial"/>
          <w:bCs/>
          <w:sz w:val="14"/>
          <w:szCs w:val="14"/>
          <w:cs/>
        </w:rPr>
        <w:t xml:space="preserve"> </w:t>
      </w:r>
      <w:r w:rsidRPr="00787196">
        <w:rPr>
          <w:rFonts w:ascii="Latha" w:hAnsi="Latha" w:cs="Arial Unicode MS"/>
          <w:bCs/>
          <w:sz w:val="14"/>
          <w:szCs w:val="14"/>
          <w:cs/>
        </w:rPr>
        <w:t>நிலையில்</w:t>
      </w:r>
      <w:r w:rsidRPr="00787196">
        <w:rPr>
          <w:rFonts w:cs="Arial"/>
          <w:bCs/>
          <w:sz w:val="14"/>
          <w:szCs w:val="14"/>
          <w:cs/>
        </w:rPr>
        <w:t xml:space="preserve"> </w:t>
      </w:r>
      <w:r w:rsidRPr="00787196">
        <w:rPr>
          <w:rFonts w:ascii="Latha" w:hAnsi="Latha" w:cs="Arial Unicode MS"/>
          <w:bCs/>
          <w:sz w:val="14"/>
          <w:szCs w:val="14"/>
          <w:cs/>
        </w:rPr>
        <w:t>உள்ளவர்</w:t>
      </w:r>
      <w:r w:rsidRPr="00787196">
        <w:rPr>
          <w:rFonts w:cs="Arial"/>
          <w:sz w:val="20"/>
          <w:szCs w:val="20"/>
        </w:rPr>
        <w:t>-</w:t>
      </w:r>
      <w:r w:rsidRPr="00787196">
        <w:rPr>
          <w:rFonts w:cs="Arial"/>
          <w:sz w:val="20"/>
          <w:szCs w:val="20"/>
          <w:cs/>
        </w:rPr>
        <w:t xml:space="preserve"> </w:t>
      </w:r>
      <w:r w:rsidRPr="00787196">
        <w:rPr>
          <w:rFonts w:ascii="Latha" w:hAnsi="Latha" w:cs="Arial Unicode MS"/>
          <w:sz w:val="14"/>
          <w:szCs w:val="14"/>
          <w:cs/>
        </w:rPr>
        <w:t>மிகக்</w:t>
      </w:r>
      <w:r w:rsidRPr="00787196">
        <w:rPr>
          <w:rFonts w:cs="Arial"/>
          <w:sz w:val="14"/>
          <w:szCs w:val="14"/>
          <w:cs/>
        </w:rPr>
        <w:t xml:space="preserve"> </w:t>
      </w:r>
      <w:r w:rsidRPr="00787196">
        <w:rPr>
          <w:rFonts w:ascii="Latha" w:hAnsi="Latha" w:cs="Arial Unicode MS"/>
          <w:sz w:val="14"/>
          <w:szCs w:val="14"/>
          <w:cs/>
        </w:rPr>
        <w:t>குறைந்த</w:t>
      </w:r>
      <w:r w:rsidRPr="00787196">
        <w:rPr>
          <w:rFonts w:cs="Arial"/>
          <w:sz w:val="14"/>
          <w:szCs w:val="14"/>
          <w:cs/>
        </w:rPr>
        <w:t xml:space="preserve"> </w:t>
      </w:r>
      <w:r w:rsidRPr="00787196">
        <w:rPr>
          <w:rFonts w:ascii="Latha" w:hAnsi="Latha" w:cs="Arial Unicode MS"/>
          <w:sz w:val="14"/>
          <w:szCs w:val="14"/>
          <w:cs/>
        </w:rPr>
        <w:t>பண</w:t>
      </w:r>
      <w:r w:rsidRPr="00787196">
        <w:rPr>
          <w:rFonts w:cs="Arial"/>
          <w:sz w:val="14"/>
          <w:szCs w:val="14"/>
          <w:cs/>
        </w:rPr>
        <w:t xml:space="preserve"> </w:t>
      </w:r>
      <w:r w:rsidRPr="00787196">
        <w:rPr>
          <w:rFonts w:ascii="Latha" w:hAnsi="Latha" w:cs="Arial Unicode MS"/>
          <w:sz w:val="14"/>
          <w:szCs w:val="14"/>
          <w:cs/>
        </w:rPr>
        <w:t>வசதி</w:t>
      </w:r>
      <w:r w:rsidRPr="00787196">
        <w:rPr>
          <w:rFonts w:cs="Arial"/>
          <w:sz w:val="14"/>
          <w:szCs w:val="14"/>
          <w:cs/>
        </w:rPr>
        <w:t xml:space="preserve">, </w:t>
      </w:r>
      <w:r w:rsidRPr="00787196">
        <w:rPr>
          <w:rFonts w:ascii="Latha" w:hAnsi="Latha" w:cs="Arial Unicode MS"/>
          <w:sz w:val="14"/>
          <w:szCs w:val="14"/>
          <w:cs/>
        </w:rPr>
        <w:t>படிப்பறிவு</w:t>
      </w:r>
      <w:r w:rsidRPr="00787196">
        <w:rPr>
          <w:rFonts w:cs="Arial"/>
          <w:sz w:val="14"/>
          <w:szCs w:val="14"/>
          <w:cs/>
        </w:rPr>
        <w:t xml:space="preserve"> </w:t>
      </w:r>
      <w:r w:rsidRPr="00787196">
        <w:rPr>
          <w:rFonts w:ascii="Latha" w:hAnsi="Latha" w:cs="Arial Unicode MS"/>
          <w:sz w:val="14"/>
          <w:szCs w:val="14"/>
          <w:cs/>
        </w:rPr>
        <w:t>குறைந்த</w:t>
      </w:r>
      <w:r w:rsidRPr="00787196">
        <w:rPr>
          <w:rFonts w:cs="Arial"/>
          <w:sz w:val="14"/>
          <w:szCs w:val="14"/>
          <w:cs/>
        </w:rPr>
        <w:t xml:space="preserve"> </w:t>
      </w:r>
      <w:r w:rsidRPr="00787196">
        <w:rPr>
          <w:rFonts w:ascii="Latha" w:hAnsi="Latha" w:cs="Arial Unicode MS"/>
          <w:sz w:val="14"/>
          <w:szCs w:val="14"/>
          <w:cs/>
        </w:rPr>
        <w:t>அல்லது</w:t>
      </w:r>
      <w:r w:rsidRPr="00787196">
        <w:rPr>
          <w:rFonts w:cs="Arial"/>
          <w:sz w:val="14"/>
          <w:szCs w:val="14"/>
          <w:cs/>
        </w:rPr>
        <w:t xml:space="preserve"> </w:t>
      </w:r>
      <w:r w:rsidRPr="00787196">
        <w:rPr>
          <w:rFonts w:ascii="Latha" w:hAnsi="Latha" w:cs="Arial Unicode MS"/>
          <w:sz w:val="14"/>
          <w:szCs w:val="14"/>
          <w:cs/>
        </w:rPr>
        <w:t>அற்றவர்</w:t>
      </w:r>
      <w:r w:rsidRPr="00787196">
        <w:rPr>
          <w:rFonts w:cs="Arial"/>
          <w:sz w:val="14"/>
          <w:szCs w:val="14"/>
          <w:cs/>
        </w:rPr>
        <w:t xml:space="preserve">, </w:t>
      </w:r>
      <w:r w:rsidRPr="00787196">
        <w:rPr>
          <w:rFonts w:ascii="Latha" w:hAnsi="Latha" w:cs="Arial Unicode MS"/>
          <w:sz w:val="14"/>
          <w:szCs w:val="14"/>
          <w:cs/>
        </w:rPr>
        <w:t>வேலையற்ற</w:t>
      </w:r>
      <w:r w:rsidRPr="00787196">
        <w:rPr>
          <w:rFonts w:cs="Arial"/>
          <w:sz w:val="14"/>
          <w:szCs w:val="14"/>
          <w:cs/>
        </w:rPr>
        <w:t xml:space="preserve"> </w:t>
      </w:r>
      <w:r w:rsidRPr="00787196">
        <w:rPr>
          <w:rFonts w:ascii="Latha" w:hAnsi="Latha" w:cs="Arial Unicode MS"/>
          <w:sz w:val="14"/>
          <w:szCs w:val="14"/>
          <w:cs/>
        </w:rPr>
        <w:t>அல்லது</w:t>
      </w:r>
      <w:r w:rsidRPr="00787196">
        <w:rPr>
          <w:rFonts w:cs="Arial"/>
          <w:sz w:val="14"/>
          <w:szCs w:val="14"/>
          <w:cs/>
        </w:rPr>
        <w:t xml:space="preserve"> </w:t>
      </w:r>
      <w:r w:rsidRPr="00787196">
        <w:rPr>
          <w:rFonts w:ascii="Latha" w:hAnsi="Latha" w:cs="Arial Unicode MS"/>
          <w:sz w:val="14"/>
          <w:szCs w:val="14"/>
          <w:cs/>
        </w:rPr>
        <w:t>மரியாதை</w:t>
      </w:r>
      <w:r w:rsidRPr="00787196">
        <w:rPr>
          <w:rFonts w:cs="Arial"/>
          <w:sz w:val="14"/>
          <w:szCs w:val="14"/>
          <w:cs/>
        </w:rPr>
        <w:t xml:space="preserve"> </w:t>
      </w:r>
      <w:r w:rsidRPr="00787196">
        <w:rPr>
          <w:rFonts w:ascii="Latha" w:hAnsi="Latha" w:cs="Arial Unicode MS"/>
          <w:sz w:val="14"/>
          <w:szCs w:val="14"/>
          <w:cs/>
        </w:rPr>
        <w:t>குறைந்த</w:t>
      </w:r>
      <w:r w:rsidRPr="00787196">
        <w:rPr>
          <w:rFonts w:cs="Arial"/>
          <w:sz w:val="14"/>
          <w:szCs w:val="14"/>
          <w:cs/>
        </w:rPr>
        <w:t xml:space="preserve"> </w:t>
      </w:r>
      <w:r w:rsidRPr="00787196">
        <w:rPr>
          <w:rFonts w:ascii="Latha" w:hAnsi="Latha" w:cs="Arial Unicode MS"/>
          <w:sz w:val="14"/>
          <w:szCs w:val="14"/>
          <w:cs/>
        </w:rPr>
        <w:t>பலரும்</w:t>
      </w:r>
      <w:r w:rsidRPr="00787196">
        <w:rPr>
          <w:rFonts w:cs="Arial"/>
          <w:sz w:val="14"/>
          <w:szCs w:val="14"/>
          <w:cs/>
        </w:rPr>
        <w:t xml:space="preserve"> </w:t>
      </w:r>
      <w:r w:rsidRPr="00787196">
        <w:rPr>
          <w:rFonts w:ascii="Latha" w:hAnsi="Latha" w:cs="Arial Unicode MS"/>
          <w:sz w:val="14"/>
          <w:szCs w:val="14"/>
          <w:cs/>
        </w:rPr>
        <w:t>விரும்பாத</w:t>
      </w:r>
      <w:r w:rsidRPr="00787196">
        <w:rPr>
          <w:rFonts w:cs="Arial"/>
          <w:sz w:val="14"/>
          <w:szCs w:val="14"/>
          <w:cs/>
        </w:rPr>
        <w:t xml:space="preserve"> </w:t>
      </w:r>
      <w:r w:rsidRPr="00787196">
        <w:rPr>
          <w:rFonts w:ascii="Latha" w:hAnsi="Latha" w:cs="Arial Unicode MS"/>
          <w:sz w:val="14"/>
          <w:szCs w:val="14"/>
          <w:cs/>
        </w:rPr>
        <w:t>வேலை</w:t>
      </w:r>
      <w:r w:rsidRPr="00787196">
        <w:rPr>
          <w:rFonts w:cs="Arial"/>
          <w:sz w:val="14"/>
          <w:szCs w:val="14"/>
          <w:cs/>
        </w:rPr>
        <w:t xml:space="preserve"> </w:t>
      </w:r>
      <w:r w:rsidRPr="00787196">
        <w:rPr>
          <w:rFonts w:ascii="Latha" w:hAnsi="Latha" w:cs="Arial Unicode MS"/>
          <w:sz w:val="14"/>
          <w:szCs w:val="14"/>
          <w:cs/>
        </w:rPr>
        <w:t>செய்வோர்</w:t>
      </w:r>
      <w:r w:rsidRPr="00787196">
        <w:rPr>
          <w:rFonts w:cs="Arial"/>
          <w:sz w:val="14"/>
          <w:szCs w:val="14"/>
          <w:cs/>
        </w:rPr>
        <w:t>.</w:t>
      </w:r>
    </w:p>
    <w:p w14:paraId="49F7BA18" w14:textId="77777777" w:rsidR="006F0EC1" w:rsidRPr="00787196" w:rsidRDefault="006F0EC1" w:rsidP="00314F8C">
      <w:pPr>
        <w:spacing w:before="0" w:after="0" w:line="240" w:lineRule="auto"/>
        <w:ind w:left="720" w:right="140"/>
        <w:rPr>
          <w:rFonts w:cs="Arial"/>
          <w:sz w:val="20"/>
          <w:szCs w:val="20"/>
        </w:rPr>
      </w:pPr>
    </w:p>
    <w:p w14:paraId="3FAB0B87" w14:textId="77777777" w:rsidR="006F0EC1" w:rsidRPr="00787196" w:rsidRDefault="006F0EC1" w:rsidP="00314F8C">
      <w:pPr>
        <w:spacing w:before="0" w:after="0" w:line="240" w:lineRule="auto"/>
        <w:ind w:right="140"/>
        <w:rPr>
          <w:rFonts w:cs="Arial"/>
          <w:sz w:val="20"/>
          <w:szCs w:val="20"/>
        </w:rPr>
      </w:pPr>
      <w:r w:rsidRPr="00787196">
        <w:rPr>
          <w:rFonts w:ascii="Latha" w:hAnsi="Latha" w:cs="Arial Unicode MS"/>
          <w:sz w:val="14"/>
          <w:szCs w:val="14"/>
          <w:cs/>
        </w:rPr>
        <w:t>இப்பொழுது</w:t>
      </w:r>
      <w:r w:rsidRPr="00787196">
        <w:rPr>
          <w:rFonts w:cs="Arial"/>
          <w:sz w:val="14"/>
          <w:szCs w:val="14"/>
          <w:cs/>
        </w:rPr>
        <w:t xml:space="preserve"> </w:t>
      </w:r>
      <w:r w:rsidRPr="00787196">
        <w:rPr>
          <w:rFonts w:ascii="Latha" w:hAnsi="Latha" w:cs="Arial Unicode MS"/>
          <w:sz w:val="14"/>
          <w:szCs w:val="14"/>
          <w:cs/>
        </w:rPr>
        <w:t>இந்த</w:t>
      </w:r>
      <w:r w:rsidRPr="00787196">
        <w:rPr>
          <w:rFonts w:cs="Arial"/>
          <w:sz w:val="14"/>
          <w:szCs w:val="14"/>
          <w:cs/>
        </w:rPr>
        <w:t xml:space="preserve"> </w:t>
      </w:r>
      <w:r w:rsidRPr="00787196">
        <w:rPr>
          <w:rFonts w:ascii="Latha" w:hAnsi="Latha" w:cs="Arial Unicode MS"/>
          <w:sz w:val="14"/>
          <w:szCs w:val="14"/>
          <w:cs/>
        </w:rPr>
        <w:t>ஏணியில்</w:t>
      </w:r>
      <w:r w:rsidRPr="00787196">
        <w:rPr>
          <w:rFonts w:cs="Arial"/>
          <w:sz w:val="14"/>
          <w:szCs w:val="14"/>
          <w:cs/>
        </w:rPr>
        <w:t xml:space="preserve"> </w:t>
      </w:r>
      <w:r w:rsidRPr="00787196">
        <w:rPr>
          <w:rFonts w:ascii="Latha" w:hAnsi="Latha" w:cs="Arial Unicode MS"/>
          <w:sz w:val="14"/>
          <w:szCs w:val="14"/>
          <w:cs/>
        </w:rPr>
        <w:t>தங்களை</w:t>
      </w:r>
      <w:r w:rsidRPr="00787196">
        <w:rPr>
          <w:rFonts w:cs="Arial"/>
          <w:sz w:val="14"/>
          <w:szCs w:val="14"/>
          <w:cs/>
        </w:rPr>
        <w:t xml:space="preserve"> </w:t>
      </w:r>
      <w:r w:rsidRPr="00787196">
        <w:rPr>
          <w:rFonts w:ascii="Latha" w:hAnsi="Latha" w:cs="Arial Unicode MS"/>
          <w:sz w:val="14"/>
          <w:szCs w:val="14"/>
          <w:cs/>
        </w:rPr>
        <w:t>தாங்கள்</w:t>
      </w:r>
      <w:r w:rsidRPr="00787196">
        <w:rPr>
          <w:rFonts w:cs="Arial"/>
          <w:sz w:val="14"/>
          <w:szCs w:val="14"/>
          <w:cs/>
        </w:rPr>
        <w:t xml:space="preserve"> </w:t>
      </w:r>
      <w:r w:rsidRPr="00787196">
        <w:rPr>
          <w:rFonts w:ascii="Latha" w:hAnsi="Latha" w:cs="Arial Unicode MS"/>
          <w:sz w:val="14"/>
          <w:szCs w:val="14"/>
          <w:cs/>
        </w:rPr>
        <w:t>மற்றவர்களுடன்</w:t>
      </w:r>
      <w:r w:rsidRPr="00787196">
        <w:rPr>
          <w:rFonts w:cs="Arial"/>
          <w:sz w:val="14"/>
          <w:szCs w:val="14"/>
          <w:cs/>
        </w:rPr>
        <w:t xml:space="preserve"> </w:t>
      </w:r>
      <w:r w:rsidRPr="00787196">
        <w:rPr>
          <w:rFonts w:ascii="Latha" w:hAnsi="Latha" w:cs="Arial Unicode MS"/>
          <w:sz w:val="14"/>
          <w:szCs w:val="14"/>
          <w:cs/>
        </w:rPr>
        <w:t>ஒப்பிட்டு</w:t>
      </w:r>
      <w:r w:rsidRPr="00787196">
        <w:rPr>
          <w:rFonts w:cs="Arial"/>
          <w:sz w:val="14"/>
          <w:szCs w:val="14"/>
          <w:cs/>
        </w:rPr>
        <w:t xml:space="preserve"> </w:t>
      </w:r>
      <w:r w:rsidRPr="00787196">
        <w:rPr>
          <w:rFonts w:ascii="Latha" w:hAnsi="Latha" w:cs="Arial Unicode MS"/>
          <w:sz w:val="14"/>
          <w:szCs w:val="14"/>
          <w:cs/>
        </w:rPr>
        <w:t>எங்கு</w:t>
      </w:r>
      <w:r w:rsidRPr="00787196">
        <w:rPr>
          <w:rFonts w:cs="Arial"/>
          <w:sz w:val="14"/>
          <w:szCs w:val="14"/>
          <w:cs/>
        </w:rPr>
        <w:t xml:space="preserve"> </w:t>
      </w:r>
      <w:r w:rsidRPr="00787196">
        <w:rPr>
          <w:rFonts w:ascii="Latha" w:hAnsi="Latha" w:cs="Arial Unicode MS"/>
          <w:sz w:val="14"/>
          <w:szCs w:val="14"/>
          <w:cs/>
        </w:rPr>
        <w:t>அமர்த்திக்</w:t>
      </w:r>
      <w:r w:rsidRPr="00787196">
        <w:rPr>
          <w:rFonts w:cs="Arial"/>
          <w:sz w:val="14"/>
          <w:szCs w:val="14"/>
          <w:cs/>
        </w:rPr>
        <w:t xml:space="preserve"> </w:t>
      </w:r>
      <w:r w:rsidRPr="00787196">
        <w:rPr>
          <w:rFonts w:ascii="Latha" w:hAnsi="Latha" w:cs="Arial Unicode MS"/>
          <w:sz w:val="14"/>
          <w:szCs w:val="14"/>
          <w:cs/>
        </w:rPr>
        <w:t>கொள்வீர்</w:t>
      </w:r>
      <w:r w:rsidRPr="00787196">
        <w:rPr>
          <w:rFonts w:cs="Arial"/>
          <w:sz w:val="20"/>
          <w:szCs w:val="20"/>
          <w:cs/>
        </w:rPr>
        <w:t>?</w:t>
      </w:r>
    </w:p>
    <w:p w14:paraId="1FE60799" w14:textId="77777777" w:rsidR="006F0EC1" w:rsidRPr="00787196" w:rsidRDefault="006F0EC1" w:rsidP="00314F8C">
      <w:pPr>
        <w:spacing w:before="0" w:after="0" w:line="240" w:lineRule="auto"/>
        <w:ind w:right="140"/>
        <w:rPr>
          <w:rFonts w:cs="Arial"/>
        </w:rPr>
      </w:pPr>
      <w:r w:rsidRPr="00787196">
        <w:rPr>
          <w:rFonts w:ascii="Latha" w:hAnsi="Latha" w:cs="Arial Unicode MS"/>
          <w:bCs/>
          <w:sz w:val="14"/>
          <w:szCs w:val="14"/>
          <w:cs/>
        </w:rPr>
        <w:t>அங்கு</w:t>
      </w:r>
      <w:r w:rsidRPr="00787196">
        <w:rPr>
          <w:rFonts w:cs="Arial"/>
          <w:bCs/>
          <w:sz w:val="20"/>
          <w:szCs w:val="20"/>
        </w:rPr>
        <w:t xml:space="preserve"> </w:t>
      </w:r>
      <w:r w:rsidRPr="00787196">
        <w:rPr>
          <w:rFonts w:cs="Arial"/>
          <w:b/>
          <w:sz w:val="20"/>
          <w:szCs w:val="20"/>
        </w:rPr>
        <w:t>“X”</w:t>
      </w:r>
      <w:r w:rsidRPr="00787196">
        <w:rPr>
          <w:rFonts w:cs="Arial"/>
          <w:bCs/>
          <w:sz w:val="20"/>
          <w:szCs w:val="20"/>
          <w:cs/>
        </w:rPr>
        <w:t xml:space="preserve"> </w:t>
      </w:r>
      <w:r w:rsidRPr="00787196">
        <w:rPr>
          <w:rFonts w:ascii="Latha" w:hAnsi="Latha" w:cs="Arial Unicode MS"/>
          <w:bCs/>
          <w:sz w:val="14"/>
          <w:szCs w:val="14"/>
          <w:cs/>
        </w:rPr>
        <w:t>குறியிட்டு</w:t>
      </w:r>
      <w:r w:rsidRPr="00787196">
        <w:rPr>
          <w:rFonts w:cs="Arial"/>
          <w:bCs/>
          <w:sz w:val="14"/>
          <w:szCs w:val="14"/>
          <w:cs/>
        </w:rPr>
        <w:t xml:space="preserve"> </w:t>
      </w:r>
      <w:r w:rsidRPr="00787196">
        <w:rPr>
          <w:rFonts w:ascii="Latha" w:hAnsi="Latha" w:cs="Arial Unicode MS"/>
          <w:bCs/>
          <w:sz w:val="14"/>
          <w:szCs w:val="14"/>
          <w:cs/>
        </w:rPr>
        <w:t>தங்கள்</w:t>
      </w:r>
      <w:r w:rsidRPr="00787196">
        <w:rPr>
          <w:rFonts w:cs="Arial"/>
          <w:bCs/>
          <w:sz w:val="14"/>
          <w:szCs w:val="14"/>
          <w:cs/>
        </w:rPr>
        <w:t xml:space="preserve"> </w:t>
      </w:r>
      <w:r w:rsidRPr="00787196">
        <w:rPr>
          <w:rFonts w:ascii="Latha" w:hAnsi="Latha" w:cs="Arial Unicode MS"/>
          <w:bCs/>
          <w:sz w:val="14"/>
          <w:szCs w:val="14"/>
          <w:cs/>
        </w:rPr>
        <w:t>நிலைப்பாட்டைத்</w:t>
      </w:r>
      <w:r w:rsidRPr="00787196">
        <w:rPr>
          <w:rFonts w:cs="Arial"/>
          <w:bCs/>
          <w:sz w:val="14"/>
          <w:szCs w:val="14"/>
          <w:cs/>
        </w:rPr>
        <w:t xml:space="preserve"> </w:t>
      </w:r>
      <w:r w:rsidRPr="00787196">
        <w:rPr>
          <w:rFonts w:ascii="Latha" w:hAnsi="Latha" w:cs="Arial Unicode MS"/>
          <w:bCs/>
          <w:sz w:val="14"/>
          <w:szCs w:val="14"/>
          <w:cs/>
        </w:rPr>
        <w:t>தெரிவிக்கவும்</w:t>
      </w:r>
    </w:p>
    <w:p w14:paraId="56BE2BFB" w14:textId="0C5586E8" w:rsidR="006F0EC1"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38272" behindDoc="0" locked="0" layoutInCell="1" allowOverlap="1" wp14:anchorId="3465C804" wp14:editId="7A88022A">
                <wp:simplePos x="0" y="0"/>
                <wp:positionH relativeFrom="column">
                  <wp:posOffset>2243455</wp:posOffset>
                </wp:positionH>
                <wp:positionV relativeFrom="paragraph">
                  <wp:posOffset>125730</wp:posOffset>
                </wp:positionV>
                <wp:extent cx="2042160" cy="372110"/>
                <wp:effectExtent l="0" t="0" r="15240" b="27940"/>
                <wp:wrapNone/>
                <wp:docPr id="5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72110"/>
                        </a:xfrm>
                        <a:prstGeom prst="rect">
                          <a:avLst/>
                        </a:prstGeom>
                        <a:solidFill>
                          <a:srgbClr val="FFFFFF"/>
                        </a:solidFill>
                        <a:ln w="9525">
                          <a:solidFill>
                            <a:srgbClr val="000000"/>
                          </a:solidFill>
                          <a:miter lim="800000"/>
                          <a:headEnd/>
                          <a:tailEnd/>
                        </a:ln>
                      </wps:spPr>
                      <wps:txbx>
                        <w:txbxContent>
                          <w:p w14:paraId="7A48C7E6"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529BE56" w14:textId="77777777" w:rsidR="006E7D7A" w:rsidRDefault="006E7D7A"/>
                          <w:p w14:paraId="3D77C5C7"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36EB49A5" w14:textId="77777777" w:rsidR="006E7D7A" w:rsidRDefault="006E7D7A"/>
                          <w:p w14:paraId="7B751D6C"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6F6BA4F" w14:textId="77777777" w:rsidR="006E7D7A" w:rsidRDefault="006E7D7A"/>
                          <w:p w14:paraId="52564F20"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4266414" w14:textId="77777777" w:rsidR="006E7D7A" w:rsidRDefault="006E7D7A"/>
                          <w:p w14:paraId="7EB73D8A"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6C0C307" w14:textId="77777777" w:rsidR="006E7D7A" w:rsidRDefault="006E7D7A"/>
                          <w:p w14:paraId="3C06D2F6"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6CD80506" w14:textId="77777777" w:rsidR="006E7D7A" w:rsidRDefault="006E7D7A"/>
                          <w:p w14:paraId="35CE5FEB"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49428752" w14:textId="77777777" w:rsidR="006E7D7A" w:rsidRDefault="006E7D7A"/>
                          <w:p w14:paraId="03D6CE5C"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C804" id="_x0000_s1214" type="#_x0000_t202" style="position:absolute;left:0;text-align:left;margin-left:176.65pt;margin-top:9.9pt;width:160.8pt;height:29.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">
                <v:textbox>
                  <w:txbxContent>
                    <w:p w14:paraId="7A48C7E6"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529BE56" w14:textId="77777777" w:rsidR="006E7D7A" w:rsidRDefault="006E7D7A"/>
                    <w:p w14:paraId="3D77C5C7"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36EB49A5" w14:textId="77777777" w:rsidR="006E7D7A" w:rsidRDefault="006E7D7A"/>
                    <w:p w14:paraId="7B751D6C"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6F6BA4F" w14:textId="77777777" w:rsidR="006E7D7A" w:rsidRDefault="006E7D7A"/>
                    <w:p w14:paraId="52564F20"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4266414" w14:textId="77777777" w:rsidR="006E7D7A" w:rsidRDefault="006E7D7A"/>
                    <w:p w14:paraId="7EB73D8A"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56C0C307" w14:textId="77777777" w:rsidR="006E7D7A" w:rsidRDefault="006E7D7A"/>
                    <w:p w14:paraId="3C06D2F6"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6CD80506" w14:textId="77777777" w:rsidR="006E7D7A" w:rsidRDefault="006E7D7A"/>
                    <w:p w14:paraId="35CE5FEB"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p w14:paraId="49428752" w14:textId="77777777" w:rsidR="006E7D7A" w:rsidRDefault="006E7D7A"/>
                    <w:p w14:paraId="03D6CE5C" w14:textId="77777777" w:rsidR="006E7D7A" w:rsidRPr="00640DB6" w:rsidRDefault="006E7D7A" w:rsidP="00020A78">
                      <w:pPr>
                        <w:spacing w:before="0" w:after="0"/>
                        <w:jc w:val="center"/>
                        <w:rPr>
                          <w:bCs/>
                          <w:szCs w:val="24"/>
                        </w:rPr>
                      </w:pPr>
                      <w:r w:rsidRPr="00640DB6">
                        <w:rPr>
                          <w:rFonts w:cs="Arial Unicode MS" w:hint="cs"/>
                          <w:bCs/>
                          <w:szCs w:val="24"/>
                          <w:cs/>
                        </w:rPr>
                        <w:t>செழிப்பான மக்கள்</w:t>
                      </w:r>
                    </w:p>
                  </w:txbxContent>
                </v:textbox>
              </v:shape>
            </w:pict>
          </mc:Fallback>
        </mc:AlternateContent>
      </w:r>
    </w:p>
    <w:p w14:paraId="58AA2D40" w14:textId="77777777" w:rsidR="006F0EC1" w:rsidRPr="00787196" w:rsidRDefault="006F0EC1" w:rsidP="00513F57">
      <w:pPr>
        <w:spacing w:before="0" w:after="0" w:line="240" w:lineRule="auto"/>
        <w:rPr>
          <w:rFonts w:cs="Arial"/>
        </w:rPr>
      </w:pPr>
    </w:p>
    <w:p w14:paraId="1396CDC3" w14:textId="7DE24698"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24960" behindDoc="0" locked="0" layoutInCell="1" allowOverlap="1" wp14:anchorId="3FB71D04" wp14:editId="4EC80B4E">
                <wp:simplePos x="0" y="0"/>
                <wp:positionH relativeFrom="column">
                  <wp:posOffset>1573530</wp:posOffset>
                </wp:positionH>
                <wp:positionV relativeFrom="paragraph">
                  <wp:posOffset>329565</wp:posOffset>
                </wp:positionV>
                <wp:extent cx="1619250" cy="5762625"/>
                <wp:effectExtent l="19050" t="0" r="38100" b="47625"/>
                <wp:wrapNone/>
                <wp:docPr id="57"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57626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8C6BB" id="AutoShape 271" o:spid="_x0000_s1026" type="#_x0000_t32" style="position:absolute;margin-left:123.9pt;margin-top:25.95pt;width:127.5pt;height:453.7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" strokeweight="5pt"/>
            </w:pict>
          </mc:Fallback>
        </mc:AlternateContent>
      </w:r>
      <w:r w:rsidRPr="00787196">
        <w:rPr>
          <w:noProof/>
        </w:rPr>
        <mc:AlternateContent>
          <mc:Choice Requires="wps">
            <w:drawing>
              <wp:anchor distT="0" distB="0" distL="114300" distR="114300" simplePos="0" relativeHeight="251625984" behindDoc="0" locked="0" layoutInCell="1" allowOverlap="1" wp14:anchorId="6EE0FAF1" wp14:editId="6B668786">
                <wp:simplePos x="0" y="0"/>
                <wp:positionH relativeFrom="column">
                  <wp:posOffset>3179445</wp:posOffset>
                </wp:positionH>
                <wp:positionV relativeFrom="paragraph">
                  <wp:posOffset>230505</wp:posOffset>
                </wp:positionV>
                <wp:extent cx="1552575" cy="5495925"/>
                <wp:effectExtent l="19050" t="0" r="47625" b="47625"/>
                <wp:wrapNone/>
                <wp:docPr id="56"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54959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D0691" id="AutoShape 272" o:spid="_x0000_s1026" type="#_x0000_t32" style="position:absolute;margin-left:250.35pt;margin-top:18.15pt;width:122.25pt;height:432.7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" strokeweight="5pt"/>
            </w:pict>
          </mc:Fallback>
        </mc:AlternateContent>
      </w:r>
    </w:p>
    <w:p w14:paraId="1B607FB1" w14:textId="501E319B"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27008" behindDoc="0" locked="0" layoutInCell="1" allowOverlap="1" wp14:anchorId="4807DD3F" wp14:editId="576A17DD">
                <wp:simplePos x="0" y="0"/>
                <wp:positionH relativeFrom="column">
                  <wp:posOffset>3051810</wp:posOffset>
                </wp:positionH>
                <wp:positionV relativeFrom="paragraph">
                  <wp:posOffset>201295</wp:posOffset>
                </wp:positionV>
                <wp:extent cx="1591310" cy="332740"/>
                <wp:effectExtent l="0" t="0" r="27940" b="29210"/>
                <wp:wrapNone/>
                <wp:docPr id="55"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31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9431F" id="AutoShape 273" o:spid="_x0000_s1026" type="#_x0000_t32" style="position:absolute;margin-left:240.3pt;margin-top:15.85pt;width:125.3pt;height:26.2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JMLQIAAE0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"/>
            </w:pict>
          </mc:Fallback>
        </mc:AlternateContent>
      </w:r>
    </w:p>
    <w:p w14:paraId="600F7893" w14:textId="77777777" w:rsidR="006F0EC1" w:rsidRPr="00787196" w:rsidRDefault="006F0EC1" w:rsidP="00513F57">
      <w:pPr>
        <w:spacing w:before="0" w:after="0" w:line="240" w:lineRule="auto"/>
        <w:rPr>
          <w:rFonts w:cs="Arial"/>
          <w:sz w:val="48"/>
          <w:szCs w:val="48"/>
        </w:rPr>
      </w:pPr>
    </w:p>
    <w:p w14:paraId="4C917FFC" w14:textId="0C3F5735"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28032" behindDoc="0" locked="0" layoutInCell="1" allowOverlap="1" wp14:anchorId="70BF90BA" wp14:editId="1C22609D">
                <wp:simplePos x="0" y="0"/>
                <wp:positionH relativeFrom="column">
                  <wp:posOffset>2921635</wp:posOffset>
                </wp:positionH>
                <wp:positionV relativeFrom="paragraph">
                  <wp:posOffset>-635</wp:posOffset>
                </wp:positionV>
                <wp:extent cx="1543050" cy="355600"/>
                <wp:effectExtent l="0" t="0" r="19050" b="25400"/>
                <wp:wrapNone/>
                <wp:docPr id="54"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3592E" id="AutoShape 274" o:spid="_x0000_s1026" type="#_x0000_t32" style="position:absolute;margin-left:230.05pt;margin-top:-.05pt;width:121.5pt;height:28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"/>
            </w:pict>
          </mc:Fallback>
        </mc:AlternateContent>
      </w:r>
    </w:p>
    <w:p w14:paraId="04E7C58F" w14:textId="62840781"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29056" behindDoc="0" locked="0" layoutInCell="1" allowOverlap="1" wp14:anchorId="00201D6B" wp14:editId="6DE12D04">
                <wp:simplePos x="0" y="0"/>
                <wp:positionH relativeFrom="column">
                  <wp:posOffset>2711450</wp:posOffset>
                </wp:positionH>
                <wp:positionV relativeFrom="paragraph">
                  <wp:posOffset>148590</wp:posOffset>
                </wp:positionV>
                <wp:extent cx="1630680" cy="415925"/>
                <wp:effectExtent l="0" t="0" r="26670" b="22225"/>
                <wp:wrapNone/>
                <wp:docPr id="53"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0680"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1E9A7" id="AutoShape 275" o:spid="_x0000_s1026" type="#_x0000_t32" style="position:absolute;margin-left:213.5pt;margin-top:11.7pt;width:128.4pt;height:32.7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"/>
            </w:pict>
          </mc:Fallback>
        </mc:AlternateContent>
      </w:r>
    </w:p>
    <w:p w14:paraId="4A92BEB6" w14:textId="77777777" w:rsidR="006F0EC1" w:rsidRPr="00787196" w:rsidRDefault="006F0EC1" w:rsidP="00513F57">
      <w:pPr>
        <w:spacing w:before="0" w:after="0" w:line="240" w:lineRule="auto"/>
        <w:rPr>
          <w:rFonts w:cs="Arial"/>
          <w:sz w:val="48"/>
          <w:szCs w:val="48"/>
        </w:rPr>
      </w:pPr>
    </w:p>
    <w:p w14:paraId="7AAB3C0F" w14:textId="7F93595C"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30080" behindDoc="0" locked="0" layoutInCell="1" allowOverlap="1" wp14:anchorId="6B15506F" wp14:editId="7288E551">
                <wp:simplePos x="0" y="0"/>
                <wp:positionH relativeFrom="column">
                  <wp:posOffset>2541270</wp:posOffset>
                </wp:positionH>
                <wp:positionV relativeFrom="paragraph">
                  <wp:posOffset>15875</wp:posOffset>
                </wp:positionV>
                <wp:extent cx="1614805" cy="379730"/>
                <wp:effectExtent l="0" t="0" r="23495" b="20320"/>
                <wp:wrapNone/>
                <wp:docPr id="5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805"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A0F43" id="AutoShape 276" o:spid="_x0000_s1026" type="#_x0000_t32" style="position:absolute;margin-left:200.1pt;margin-top:1.25pt;width:127.15pt;height:29.9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RpLgIAAE0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"/>
            </w:pict>
          </mc:Fallback>
        </mc:AlternateContent>
      </w:r>
    </w:p>
    <w:p w14:paraId="162BF387" w14:textId="37ACF2FD"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31104" behindDoc="0" locked="0" layoutInCell="1" allowOverlap="1" wp14:anchorId="2BBBA5DE" wp14:editId="08D23FCD">
                <wp:simplePos x="0" y="0"/>
                <wp:positionH relativeFrom="column">
                  <wp:posOffset>2398395</wp:posOffset>
                </wp:positionH>
                <wp:positionV relativeFrom="paragraph">
                  <wp:posOffset>151765</wp:posOffset>
                </wp:positionV>
                <wp:extent cx="1664335" cy="415290"/>
                <wp:effectExtent l="0" t="0" r="31115" b="22860"/>
                <wp:wrapNone/>
                <wp:docPr id="51"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4335"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C0B54" id="AutoShape 277" o:spid="_x0000_s1026" type="#_x0000_t32" style="position:absolute;margin-left:188.85pt;margin-top:11.95pt;width:131.05pt;height:32.7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pOLQIAAE0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"/>
            </w:pict>
          </mc:Fallback>
        </mc:AlternateContent>
      </w:r>
    </w:p>
    <w:p w14:paraId="2F2A410F" w14:textId="77777777" w:rsidR="006F0EC1" w:rsidRPr="00787196" w:rsidRDefault="006F0EC1" w:rsidP="00513F57">
      <w:pPr>
        <w:spacing w:before="0" w:after="0" w:line="240" w:lineRule="auto"/>
        <w:rPr>
          <w:rFonts w:cs="Arial"/>
          <w:sz w:val="48"/>
          <w:szCs w:val="48"/>
        </w:rPr>
      </w:pPr>
    </w:p>
    <w:p w14:paraId="030EAD13" w14:textId="02D828EC"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32128" behindDoc="0" locked="0" layoutInCell="1" allowOverlap="1" wp14:anchorId="58D6FAF5" wp14:editId="04E65A31">
                <wp:simplePos x="0" y="0"/>
                <wp:positionH relativeFrom="column">
                  <wp:posOffset>2244090</wp:posOffset>
                </wp:positionH>
                <wp:positionV relativeFrom="paragraph">
                  <wp:posOffset>45720</wp:posOffset>
                </wp:positionV>
                <wp:extent cx="1640840" cy="391795"/>
                <wp:effectExtent l="0" t="0" r="35560" b="27305"/>
                <wp:wrapNone/>
                <wp:docPr id="5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0840"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95199" id="AutoShape 278" o:spid="_x0000_s1026" type="#_x0000_t32" style="position:absolute;margin-left:176.7pt;margin-top:3.6pt;width:129.2pt;height:30.8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"/>
            </w:pict>
          </mc:Fallback>
        </mc:AlternateContent>
      </w:r>
    </w:p>
    <w:p w14:paraId="65127676" w14:textId="007B02CA" w:rsidR="006F0EC1" w:rsidRPr="00787196" w:rsidRDefault="00407764" w:rsidP="00513F57">
      <w:pPr>
        <w:spacing w:before="0" w:after="0" w:line="240" w:lineRule="auto"/>
        <w:rPr>
          <w:rFonts w:cs="Arial"/>
          <w:sz w:val="48"/>
          <w:szCs w:val="48"/>
        </w:rPr>
      </w:pPr>
      <w:r w:rsidRPr="00787196">
        <w:rPr>
          <w:noProof/>
        </w:rPr>
        <mc:AlternateContent>
          <mc:Choice Requires="wps">
            <w:drawing>
              <wp:anchor distT="0" distB="0" distL="114300" distR="114300" simplePos="0" relativeHeight="251633152" behindDoc="0" locked="0" layoutInCell="1" allowOverlap="1" wp14:anchorId="4A666384" wp14:editId="141EBE8E">
                <wp:simplePos x="0" y="0"/>
                <wp:positionH relativeFrom="column">
                  <wp:posOffset>2101850</wp:posOffset>
                </wp:positionH>
                <wp:positionV relativeFrom="paragraph">
                  <wp:posOffset>241300</wp:posOffset>
                </wp:positionV>
                <wp:extent cx="1604645" cy="391795"/>
                <wp:effectExtent l="0" t="0" r="33655" b="27305"/>
                <wp:wrapNone/>
                <wp:docPr id="49"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4645" cy="391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A3DD6" id="AutoShape 279" o:spid="_x0000_s1026" type="#_x0000_t32" style="position:absolute;margin-left:165.5pt;margin-top:19pt;width:126.35pt;height:30.8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"/>
            </w:pict>
          </mc:Fallback>
        </mc:AlternateContent>
      </w:r>
    </w:p>
    <w:p w14:paraId="10576E6E" w14:textId="77777777" w:rsidR="006F0EC1" w:rsidRPr="00787196" w:rsidRDefault="006F0EC1" w:rsidP="00513F57">
      <w:pPr>
        <w:spacing w:before="0" w:after="0" w:line="240" w:lineRule="auto"/>
        <w:rPr>
          <w:rFonts w:cs="Arial"/>
        </w:rPr>
      </w:pPr>
    </w:p>
    <w:p w14:paraId="0534291D" w14:textId="77777777" w:rsidR="006F0EC1" w:rsidRPr="00787196" w:rsidRDefault="006F0EC1" w:rsidP="00513F57">
      <w:pPr>
        <w:spacing w:before="0" w:after="0" w:line="240" w:lineRule="auto"/>
        <w:rPr>
          <w:rFonts w:cs="Arial"/>
        </w:rPr>
      </w:pPr>
    </w:p>
    <w:p w14:paraId="3D19E506" w14:textId="2D28DF55" w:rsidR="006F0EC1"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34176" behindDoc="0" locked="0" layoutInCell="1" allowOverlap="1" wp14:anchorId="5504A8FA" wp14:editId="7A80FC43">
                <wp:simplePos x="0" y="0"/>
                <wp:positionH relativeFrom="column">
                  <wp:posOffset>1988185</wp:posOffset>
                </wp:positionH>
                <wp:positionV relativeFrom="paragraph">
                  <wp:posOffset>108585</wp:posOffset>
                </wp:positionV>
                <wp:extent cx="1584325" cy="371475"/>
                <wp:effectExtent l="0" t="0" r="34925" b="28575"/>
                <wp:wrapNone/>
                <wp:docPr id="4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3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97769" id="AutoShape 280" o:spid="_x0000_s1026" type="#_x0000_t32" style="position:absolute;margin-left:156.55pt;margin-top:8.55pt;width:124.75pt;height:29.2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"/>
            </w:pict>
          </mc:Fallback>
        </mc:AlternateContent>
      </w:r>
    </w:p>
    <w:p w14:paraId="2573E675" w14:textId="77777777" w:rsidR="006F0EC1" w:rsidRPr="00787196" w:rsidRDefault="006F0EC1" w:rsidP="00513F57">
      <w:pPr>
        <w:spacing w:before="0" w:after="0" w:line="240" w:lineRule="auto"/>
        <w:rPr>
          <w:rFonts w:cs="Arial"/>
        </w:rPr>
      </w:pPr>
    </w:p>
    <w:p w14:paraId="6A5CD0B9" w14:textId="77777777" w:rsidR="006F0EC1" w:rsidRPr="00787196" w:rsidRDefault="006F0EC1" w:rsidP="00513F57">
      <w:pPr>
        <w:spacing w:before="0" w:after="0" w:line="240" w:lineRule="auto"/>
        <w:rPr>
          <w:rFonts w:cs="Arial"/>
        </w:rPr>
      </w:pPr>
    </w:p>
    <w:p w14:paraId="05C02838" w14:textId="5CAB258D" w:rsidR="006F0EC1"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35200" behindDoc="0" locked="0" layoutInCell="1" allowOverlap="1" wp14:anchorId="2ED3597C" wp14:editId="415A9CC3">
                <wp:simplePos x="0" y="0"/>
                <wp:positionH relativeFrom="column">
                  <wp:posOffset>1865630</wp:posOffset>
                </wp:positionH>
                <wp:positionV relativeFrom="paragraph">
                  <wp:posOffset>121920</wp:posOffset>
                </wp:positionV>
                <wp:extent cx="1533525" cy="342900"/>
                <wp:effectExtent l="0" t="0" r="28575" b="19050"/>
                <wp:wrapNone/>
                <wp:docPr id="47"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916C3" id="AutoShape 281" o:spid="_x0000_s1026" type="#_x0000_t32" style="position:absolute;margin-left:146.9pt;margin-top:9.6pt;width:120.75pt;height:27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"/>
            </w:pict>
          </mc:Fallback>
        </mc:AlternateContent>
      </w:r>
    </w:p>
    <w:p w14:paraId="37D3AC1C" w14:textId="77777777" w:rsidR="006F0EC1" w:rsidRPr="00787196" w:rsidRDefault="006F0EC1" w:rsidP="00513F57">
      <w:pPr>
        <w:spacing w:before="0" w:after="0" w:line="240" w:lineRule="auto"/>
        <w:rPr>
          <w:rFonts w:cs="Arial"/>
        </w:rPr>
      </w:pPr>
    </w:p>
    <w:p w14:paraId="4E7E77C0" w14:textId="77777777" w:rsidR="006F0EC1" w:rsidRPr="00787196" w:rsidRDefault="006F0EC1" w:rsidP="00513F57">
      <w:pPr>
        <w:spacing w:before="0" w:after="0" w:line="240" w:lineRule="auto"/>
        <w:rPr>
          <w:rFonts w:cs="Arial"/>
        </w:rPr>
      </w:pPr>
    </w:p>
    <w:p w14:paraId="64C4E8D3" w14:textId="471CD40C" w:rsidR="006F0EC1"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36224" behindDoc="0" locked="0" layoutInCell="1" allowOverlap="1" wp14:anchorId="7D1CBBA4" wp14:editId="4C3CB995">
                <wp:simplePos x="0" y="0"/>
                <wp:positionH relativeFrom="column">
                  <wp:posOffset>1722120</wp:posOffset>
                </wp:positionH>
                <wp:positionV relativeFrom="paragraph">
                  <wp:posOffset>106045</wp:posOffset>
                </wp:positionV>
                <wp:extent cx="1595755" cy="333375"/>
                <wp:effectExtent l="0" t="0" r="23495" b="28575"/>
                <wp:wrapNone/>
                <wp:docPr id="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575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8AB7E" id="AutoShape 282" o:spid="_x0000_s1026" type="#_x0000_t32" style="position:absolute;margin-left:135.6pt;margin-top:8.35pt;width:125.65pt;height:26.2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"/>
            </w:pict>
          </mc:Fallback>
        </mc:AlternateContent>
      </w:r>
    </w:p>
    <w:p w14:paraId="7124CBF4" w14:textId="77777777" w:rsidR="006F0EC1" w:rsidRPr="00787196" w:rsidRDefault="006F0EC1" w:rsidP="00513F57">
      <w:pPr>
        <w:spacing w:before="0" w:after="0" w:line="240" w:lineRule="auto"/>
        <w:rPr>
          <w:rFonts w:cs="Arial"/>
        </w:rPr>
      </w:pPr>
    </w:p>
    <w:p w14:paraId="2BB13FA9" w14:textId="77777777" w:rsidR="006F0EC1" w:rsidRPr="00787196" w:rsidRDefault="006F0EC1" w:rsidP="00513F57">
      <w:pPr>
        <w:spacing w:before="0" w:after="0" w:line="240" w:lineRule="auto"/>
        <w:rPr>
          <w:rFonts w:cs="Arial"/>
        </w:rPr>
      </w:pPr>
    </w:p>
    <w:p w14:paraId="49E3FF26" w14:textId="77777777" w:rsidR="006F0EC1" w:rsidRPr="00787196" w:rsidRDefault="006F0EC1" w:rsidP="00513F57">
      <w:pPr>
        <w:spacing w:before="0" w:after="0" w:line="240" w:lineRule="auto"/>
        <w:rPr>
          <w:rFonts w:cs="Arial"/>
        </w:rPr>
      </w:pPr>
    </w:p>
    <w:p w14:paraId="4AC03CF4" w14:textId="77777777" w:rsidR="006F0EC1" w:rsidRPr="00787196" w:rsidRDefault="006F0EC1" w:rsidP="00513F57">
      <w:pPr>
        <w:spacing w:before="0" w:after="0" w:line="240" w:lineRule="auto"/>
        <w:rPr>
          <w:rFonts w:cs="Arial"/>
        </w:rPr>
      </w:pPr>
    </w:p>
    <w:p w14:paraId="4BEF48E9" w14:textId="77777777" w:rsidR="006F0EC1" w:rsidRPr="00787196" w:rsidRDefault="006F0EC1" w:rsidP="00513F57">
      <w:pPr>
        <w:spacing w:before="0" w:after="0" w:line="240" w:lineRule="auto"/>
        <w:rPr>
          <w:rFonts w:cs="Arial"/>
        </w:rPr>
      </w:pPr>
    </w:p>
    <w:p w14:paraId="35CCFE8B" w14:textId="006C70D1" w:rsidR="006F0EC1" w:rsidRPr="00787196" w:rsidRDefault="00407764" w:rsidP="00513F57">
      <w:pPr>
        <w:spacing w:before="0" w:after="0" w:line="240" w:lineRule="auto"/>
        <w:rPr>
          <w:rFonts w:cs="Arial"/>
        </w:rPr>
      </w:pPr>
      <w:r w:rsidRPr="00787196">
        <w:rPr>
          <w:noProof/>
        </w:rPr>
        <mc:AlternateContent>
          <mc:Choice Requires="wps">
            <w:drawing>
              <wp:anchor distT="0" distB="0" distL="114300" distR="114300" simplePos="0" relativeHeight="251637248" behindDoc="0" locked="0" layoutInCell="1" allowOverlap="1" wp14:anchorId="52577B5D" wp14:editId="50A873AD">
                <wp:simplePos x="0" y="0"/>
                <wp:positionH relativeFrom="column">
                  <wp:posOffset>1579880</wp:posOffset>
                </wp:positionH>
                <wp:positionV relativeFrom="paragraph">
                  <wp:posOffset>92075</wp:posOffset>
                </wp:positionV>
                <wp:extent cx="2047875" cy="330200"/>
                <wp:effectExtent l="0" t="0" r="28575" b="12700"/>
                <wp:wrapNone/>
                <wp:docPr id="4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30200"/>
                        </a:xfrm>
                        <a:prstGeom prst="rect">
                          <a:avLst/>
                        </a:prstGeom>
                        <a:solidFill>
                          <a:srgbClr val="FFFFFF"/>
                        </a:solidFill>
                        <a:ln w="9525">
                          <a:solidFill>
                            <a:srgbClr val="000000"/>
                          </a:solidFill>
                          <a:miter lim="800000"/>
                          <a:headEnd/>
                          <a:tailEnd/>
                        </a:ln>
                      </wps:spPr>
                      <wps:txbx>
                        <w:txbxContent>
                          <w:p w14:paraId="4BF42919"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70D98556" w14:textId="77777777" w:rsidR="006E7D7A" w:rsidRDefault="006E7D7A"/>
                          <w:p w14:paraId="63DD2B9A"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36DE9A6C" w14:textId="77777777" w:rsidR="006E7D7A" w:rsidRDefault="006E7D7A"/>
                          <w:p w14:paraId="14D6F528"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1587C3CB" w14:textId="77777777" w:rsidR="006E7D7A" w:rsidRDefault="006E7D7A"/>
                          <w:p w14:paraId="146F086F"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02A33AF5" w14:textId="77777777" w:rsidR="006E7D7A" w:rsidRDefault="006E7D7A"/>
                          <w:p w14:paraId="72F4E17C" w14:textId="6E95B914"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377B4A4F" w14:textId="77777777" w:rsidR="006E7D7A" w:rsidRDefault="006E7D7A"/>
                          <w:p w14:paraId="0FDE80B5"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65FC6895" w14:textId="77777777" w:rsidR="006E7D7A" w:rsidRDefault="006E7D7A"/>
                          <w:p w14:paraId="29FE9948"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274B2704" w14:textId="77777777" w:rsidR="006E7D7A" w:rsidRDefault="006E7D7A"/>
                          <w:p w14:paraId="2BCF0BEE"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77B5D" id="_x0000_s1215" type="#_x0000_t202" style="position:absolute;left:0;text-align:left;margin-left:124.4pt;margin-top:7.25pt;width:161.25pt;height: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">
                <v:textbox>
                  <w:txbxContent>
                    <w:p w14:paraId="4BF42919"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70D98556" w14:textId="77777777" w:rsidR="006E7D7A" w:rsidRDefault="006E7D7A"/>
                    <w:p w14:paraId="63DD2B9A"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36DE9A6C" w14:textId="77777777" w:rsidR="006E7D7A" w:rsidRDefault="006E7D7A"/>
                    <w:p w14:paraId="14D6F528"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1587C3CB" w14:textId="77777777" w:rsidR="006E7D7A" w:rsidRDefault="006E7D7A"/>
                    <w:p w14:paraId="146F086F"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02A33AF5" w14:textId="77777777" w:rsidR="006E7D7A" w:rsidRDefault="006E7D7A"/>
                    <w:p w14:paraId="72F4E17C" w14:textId="6E95B914"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377B4A4F" w14:textId="77777777" w:rsidR="006E7D7A" w:rsidRDefault="006E7D7A"/>
                    <w:p w14:paraId="0FDE80B5"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65FC6895" w14:textId="77777777" w:rsidR="006E7D7A" w:rsidRDefault="006E7D7A"/>
                    <w:p w14:paraId="29FE9948"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p w14:paraId="274B2704" w14:textId="77777777" w:rsidR="006E7D7A" w:rsidRDefault="006E7D7A"/>
                    <w:p w14:paraId="2BCF0BEE" w14:textId="77777777" w:rsidR="006E7D7A" w:rsidRPr="00640DB6" w:rsidRDefault="006E7D7A" w:rsidP="00020A78">
                      <w:pPr>
                        <w:spacing w:before="0" w:after="0"/>
                        <w:jc w:val="center"/>
                        <w:rPr>
                          <w:bCs/>
                          <w:szCs w:val="24"/>
                        </w:rPr>
                      </w:pPr>
                      <w:r w:rsidRPr="00640DB6">
                        <w:rPr>
                          <w:rFonts w:cs="Arial Unicode MS" w:hint="cs"/>
                          <w:bCs/>
                          <w:szCs w:val="24"/>
                          <w:cs/>
                        </w:rPr>
                        <w:t>செழிப்பற்ற மக்கள்</w:t>
                      </w:r>
                    </w:p>
                  </w:txbxContent>
                </v:textbox>
              </v:shape>
            </w:pict>
          </mc:Fallback>
        </mc:AlternateContent>
      </w:r>
    </w:p>
    <w:p w14:paraId="144DE38E" w14:textId="77777777" w:rsidR="006F0EC1" w:rsidRPr="00787196" w:rsidRDefault="006F0EC1" w:rsidP="00513F57">
      <w:pPr>
        <w:spacing w:before="0" w:after="0" w:line="240" w:lineRule="auto"/>
        <w:rPr>
          <w:rFonts w:cs="Arial"/>
        </w:rPr>
      </w:pPr>
    </w:p>
    <w:p w14:paraId="0B1F75E3" w14:textId="77777777" w:rsidR="006F0EC1" w:rsidRPr="00787196" w:rsidRDefault="006F0EC1" w:rsidP="00513F57">
      <w:pPr>
        <w:spacing w:before="0" w:after="0" w:line="240" w:lineRule="auto"/>
        <w:rPr>
          <w:rFonts w:cs="Arial"/>
          <w:bCs/>
          <w:sz w:val="16"/>
          <w:szCs w:val="16"/>
        </w:rPr>
      </w:pPr>
    </w:p>
    <w:p w14:paraId="2046B05E" w14:textId="77777777" w:rsidR="00314F8C" w:rsidRPr="00787196" w:rsidRDefault="00314F8C">
      <w:pPr>
        <w:spacing w:before="0" w:after="0" w:line="240" w:lineRule="auto"/>
        <w:jc w:val="left"/>
        <w:rPr>
          <w:rFonts w:ascii="Latha" w:hAnsi="Latha" w:cs="Arial Unicode MS" w:hint="eastAsia"/>
          <w:bCs/>
          <w:sz w:val="16"/>
          <w:szCs w:val="16"/>
          <w:cs/>
        </w:rPr>
      </w:pPr>
      <w:r w:rsidRPr="00787196">
        <w:rPr>
          <w:rFonts w:ascii="Latha" w:hAnsi="Latha" w:cs="Arial Unicode MS"/>
          <w:bCs/>
          <w:sz w:val="16"/>
          <w:szCs w:val="16"/>
          <w:cs/>
        </w:rPr>
        <w:br w:type="page"/>
      </w:r>
    </w:p>
    <w:p w14:paraId="50FA3AE3" w14:textId="5F64275B" w:rsidR="006F0EC1" w:rsidRPr="00787196" w:rsidRDefault="006F0EC1" w:rsidP="00314F8C">
      <w:pPr>
        <w:spacing w:before="0" w:after="0" w:line="240" w:lineRule="auto"/>
        <w:ind w:right="140"/>
        <w:rPr>
          <w:rFonts w:cs="Arial"/>
          <w:bCs/>
          <w:sz w:val="16"/>
          <w:szCs w:val="16"/>
        </w:rPr>
      </w:pPr>
      <w:r w:rsidRPr="00787196">
        <w:rPr>
          <w:rFonts w:ascii="Latha" w:hAnsi="Latha" w:cs="Arial Unicode MS"/>
          <w:bCs/>
          <w:sz w:val="16"/>
          <w:szCs w:val="16"/>
          <w:cs/>
        </w:rPr>
        <w:lastRenderedPageBreak/>
        <w:t>வாய்</w:t>
      </w:r>
      <w:r w:rsidRPr="00787196">
        <w:rPr>
          <w:rFonts w:cs="Arial"/>
          <w:bCs/>
          <w:sz w:val="16"/>
          <w:szCs w:val="16"/>
          <w:cs/>
        </w:rPr>
        <w:t xml:space="preserve"> </w:t>
      </w:r>
      <w:r w:rsidRPr="00787196">
        <w:rPr>
          <w:rFonts w:ascii="Latha" w:hAnsi="Latha" w:cs="Arial Unicode MS"/>
          <w:bCs/>
          <w:sz w:val="16"/>
          <w:szCs w:val="16"/>
          <w:cs/>
        </w:rPr>
        <w:t>மற்றும்</w:t>
      </w:r>
      <w:r w:rsidRPr="00787196">
        <w:rPr>
          <w:rFonts w:cs="Arial"/>
          <w:bCs/>
          <w:sz w:val="16"/>
          <w:szCs w:val="16"/>
          <w:cs/>
        </w:rPr>
        <w:t xml:space="preserve"> </w:t>
      </w:r>
      <w:r w:rsidRPr="00787196">
        <w:rPr>
          <w:rFonts w:ascii="Latha" w:hAnsi="Latha" w:cs="Arial Unicode MS"/>
          <w:bCs/>
          <w:sz w:val="16"/>
          <w:szCs w:val="16"/>
          <w:cs/>
        </w:rPr>
        <w:t>பற்கள்</w:t>
      </w:r>
      <w:r w:rsidRPr="00787196">
        <w:rPr>
          <w:rFonts w:cs="Arial"/>
          <w:bCs/>
          <w:sz w:val="16"/>
          <w:szCs w:val="16"/>
          <w:cs/>
        </w:rPr>
        <w:t xml:space="preserve"> </w:t>
      </w:r>
      <w:r w:rsidRPr="00787196">
        <w:rPr>
          <w:rFonts w:ascii="Latha" w:hAnsi="Latha" w:cs="Arial Unicode MS"/>
          <w:bCs/>
          <w:sz w:val="16"/>
          <w:szCs w:val="16"/>
          <w:cs/>
        </w:rPr>
        <w:t>பற்றிய</w:t>
      </w:r>
      <w:r w:rsidRPr="00787196">
        <w:rPr>
          <w:rFonts w:cs="Arial"/>
          <w:bCs/>
          <w:sz w:val="16"/>
          <w:szCs w:val="16"/>
          <w:cs/>
        </w:rPr>
        <w:t xml:space="preserve"> </w:t>
      </w:r>
      <w:r w:rsidRPr="00787196">
        <w:rPr>
          <w:rFonts w:ascii="Latha" w:hAnsi="Latha" w:cs="Arial Unicode MS"/>
          <w:bCs/>
          <w:sz w:val="16"/>
          <w:szCs w:val="16"/>
          <w:cs/>
        </w:rPr>
        <w:t>அக்கறை</w:t>
      </w:r>
    </w:p>
    <w:p w14:paraId="2AB203DD" w14:textId="77777777" w:rsidR="006F0EC1" w:rsidRPr="00787196" w:rsidRDefault="006F0EC1" w:rsidP="00314F8C">
      <w:pPr>
        <w:spacing w:before="0" w:after="0" w:line="240" w:lineRule="auto"/>
        <w:ind w:right="140"/>
        <w:rPr>
          <w:rFonts w:cs="Arial"/>
          <w:bCs/>
        </w:rPr>
      </w:pPr>
    </w:p>
    <w:p w14:paraId="0A4AF042" w14:textId="77777777" w:rsidR="006F0EC1" w:rsidRPr="00787196" w:rsidRDefault="006F0EC1" w:rsidP="00314F8C">
      <w:pPr>
        <w:spacing w:before="0" w:after="0" w:line="240" w:lineRule="auto"/>
        <w:ind w:right="140"/>
        <w:rPr>
          <w:rFonts w:cs="Arial"/>
          <w:bCs/>
        </w:rPr>
      </w:pPr>
      <w:r w:rsidRPr="00787196">
        <w:rPr>
          <w:rFonts w:ascii="Latha" w:hAnsi="Latha" w:cs="Arial Unicode MS"/>
          <w:b/>
          <w:sz w:val="16"/>
          <w:szCs w:val="16"/>
          <w:cs/>
        </w:rPr>
        <w:t>பின்வரும்</w:t>
      </w:r>
      <w:r w:rsidRPr="00787196">
        <w:rPr>
          <w:rFonts w:cs="Arial"/>
          <w:b/>
          <w:sz w:val="16"/>
          <w:szCs w:val="16"/>
          <w:cs/>
        </w:rPr>
        <w:t xml:space="preserve"> </w:t>
      </w:r>
      <w:r w:rsidRPr="00787196">
        <w:rPr>
          <w:rFonts w:ascii="Latha" w:hAnsi="Latha" w:cs="Arial Unicode MS"/>
          <w:b/>
          <w:sz w:val="16"/>
          <w:szCs w:val="16"/>
          <w:cs/>
        </w:rPr>
        <w:t>அளவுகோள்க்</w:t>
      </w:r>
      <w:r w:rsidRPr="00787196">
        <w:rPr>
          <w:rFonts w:cs="Arial"/>
          <w:b/>
          <w:sz w:val="16"/>
          <w:szCs w:val="16"/>
          <w:cs/>
        </w:rPr>
        <w:t xml:space="preserve"> </w:t>
      </w:r>
      <w:r w:rsidRPr="00787196">
        <w:rPr>
          <w:rFonts w:ascii="Latha" w:hAnsi="Latha" w:cs="Arial Unicode MS"/>
          <w:b/>
          <w:sz w:val="16"/>
          <w:szCs w:val="16"/>
          <w:cs/>
        </w:rPr>
        <w:t>கேள்விகள்</w:t>
      </w:r>
      <w:r w:rsidRPr="00787196">
        <w:rPr>
          <w:rFonts w:cs="Arial"/>
          <w:b/>
          <w:sz w:val="16"/>
          <w:szCs w:val="16"/>
          <w:cs/>
        </w:rPr>
        <w:t xml:space="preserve">, </w:t>
      </w:r>
      <w:r w:rsidRPr="00787196">
        <w:rPr>
          <w:rFonts w:ascii="Latha" w:hAnsi="Latha" w:cs="Arial Unicode MS"/>
          <w:b/>
          <w:sz w:val="16"/>
          <w:szCs w:val="16"/>
          <w:cs/>
        </w:rPr>
        <w:t>தினசரி</w:t>
      </w:r>
      <w:r w:rsidRPr="00787196">
        <w:rPr>
          <w:rFonts w:cs="Arial"/>
          <w:b/>
          <w:sz w:val="16"/>
          <w:szCs w:val="16"/>
          <w:cs/>
        </w:rPr>
        <w:t xml:space="preserve"> </w:t>
      </w:r>
      <w:r w:rsidRPr="00787196">
        <w:rPr>
          <w:rFonts w:ascii="Latha" w:hAnsi="Latha" w:cs="Arial Unicode MS"/>
          <w:b/>
          <w:sz w:val="16"/>
          <w:szCs w:val="16"/>
          <w:cs/>
        </w:rPr>
        <w:t>வாழ்கையில்</w:t>
      </w:r>
      <w:r w:rsidRPr="00787196">
        <w:rPr>
          <w:rFonts w:cs="Arial"/>
          <w:b/>
          <w:sz w:val="16"/>
          <w:szCs w:val="16"/>
          <w:cs/>
        </w:rPr>
        <w:t xml:space="preserve"> </w:t>
      </w:r>
      <w:r w:rsidRPr="00787196">
        <w:rPr>
          <w:rFonts w:ascii="Latha" w:hAnsi="Latha" w:cs="Arial Unicode MS"/>
          <w:b/>
          <w:sz w:val="16"/>
          <w:szCs w:val="16"/>
          <w:cs/>
        </w:rPr>
        <w:t>வாய்</w:t>
      </w:r>
      <w:r w:rsidRPr="00787196">
        <w:rPr>
          <w:rFonts w:cs="Arial"/>
          <w:b/>
          <w:sz w:val="16"/>
          <w:szCs w:val="16"/>
          <w:cs/>
        </w:rPr>
        <w:t xml:space="preserve"> </w:t>
      </w:r>
      <w:r w:rsidRPr="00787196">
        <w:rPr>
          <w:rFonts w:ascii="Latha" w:hAnsi="Latha" w:cs="Arial Unicode MS"/>
          <w:b/>
          <w:sz w:val="16"/>
          <w:szCs w:val="16"/>
          <w:cs/>
        </w:rPr>
        <w:t>மற்றும்</w:t>
      </w:r>
      <w:r w:rsidRPr="00787196">
        <w:rPr>
          <w:rFonts w:cs="Arial"/>
          <w:b/>
          <w:sz w:val="16"/>
          <w:szCs w:val="16"/>
          <w:cs/>
        </w:rPr>
        <w:t xml:space="preserve"> </w:t>
      </w:r>
      <w:r w:rsidRPr="00787196">
        <w:rPr>
          <w:rFonts w:ascii="Latha" w:hAnsi="Latha" w:cs="Arial Unicode MS"/>
          <w:b/>
          <w:sz w:val="16"/>
          <w:szCs w:val="16"/>
          <w:cs/>
        </w:rPr>
        <w:t>பற்கள்</w:t>
      </w:r>
      <w:r w:rsidRPr="00787196">
        <w:rPr>
          <w:rFonts w:cs="Arial"/>
          <w:b/>
          <w:sz w:val="16"/>
          <w:szCs w:val="16"/>
          <w:cs/>
        </w:rPr>
        <w:t xml:space="preserve"> </w:t>
      </w:r>
      <w:r w:rsidRPr="00787196">
        <w:rPr>
          <w:rFonts w:ascii="Latha" w:hAnsi="Latha" w:cs="Arial Unicode MS"/>
          <w:b/>
          <w:sz w:val="16"/>
          <w:szCs w:val="16"/>
          <w:cs/>
        </w:rPr>
        <w:t>மீதுள்ள</w:t>
      </w:r>
      <w:r w:rsidRPr="00787196">
        <w:rPr>
          <w:rFonts w:cs="Arial"/>
          <w:b/>
          <w:sz w:val="16"/>
          <w:szCs w:val="16"/>
          <w:cs/>
        </w:rPr>
        <w:t xml:space="preserve"> </w:t>
      </w:r>
      <w:r w:rsidRPr="00787196">
        <w:rPr>
          <w:rFonts w:ascii="Latha" w:hAnsi="Latha" w:cs="Arial Unicode MS"/>
          <w:b/>
          <w:sz w:val="16"/>
          <w:szCs w:val="16"/>
          <w:cs/>
        </w:rPr>
        <w:t>தங்களுடைய</w:t>
      </w:r>
      <w:r w:rsidRPr="00787196">
        <w:rPr>
          <w:rFonts w:cs="Arial"/>
          <w:b/>
          <w:sz w:val="16"/>
          <w:szCs w:val="16"/>
          <w:cs/>
        </w:rPr>
        <w:t xml:space="preserve"> </w:t>
      </w:r>
      <w:r w:rsidRPr="00787196">
        <w:rPr>
          <w:rFonts w:ascii="Latha" w:hAnsi="Latha" w:cs="Arial Unicode MS"/>
          <w:b/>
          <w:sz w:val="16"/>
          <w:szCs w:val="16"/>
          <w:cs/>
        </w:rPr>
        <w:t>அக்கறை</w:t>
      </w:r>
      <w:r w:rsidRPr="00787196">
        <w:rPr>
          <w:rFonts w:cs="Arial"/>
          <w:b/>
          <w:sz w:val="16"/>
          <w:szCs w:val="16"/>
          <w:cs/>
        </w:rPr>
        <w:t xml:space="preserve"> </w:t>
      </w:r>
      <w:r w:rsidRPr="00787196">
        <w:rPr>
          <w:rFonts w:ascii="Latha" w:hAnsi="Latha" w:cs="Arial Unicode MS"/>
          <w:b/>
          <w:sz w:val="16"/>
          <w:szCs w:val="16"/>
          <w:cs/>
        </w:rPr>
        <w:t>மற்றும்</w:t>
      </w:r>
      <w:r w:rsidRPr="00787196">
        <w:rPr>
          <w:rFonts w:cs="Arial"/>
          <w:b/>
          <w:sz w:val="16"/>
          <w:szCs w:val="16"/>
          <w:cs/>
        </w:rPr>
        <w:t xml:space="preserve"> </w:t>
      </w:r>
      <w:r w:rsidRPr="00787196">
        <w:rPr>
          <w:rFonts w:ascii="Latha" w:hAnsi="Latha" w:cs="Arial Unicode MS"/>
          <w:b/>
          <w:sz w:val="16"/>
          <w:szCs w:val="16"/>
          <w:cs/>
        </w:rPr>
        <w:t>தேவைகளின்</w:t>
      </w:r>
      <w:r w:rsidRPr="00787196">
        <w:rPr>
          <w:rFonts w:cs="Arial"/>
          <w:b/>
          <w:sz w:val="16"/>
          <w:szCs w:val="16"/>
          <w:cs/>
        </w:rPr>
        <w:t xml:space="preserve"> </w:t>
      </w:r>
      <w:r w:rsidRPr="00787196">
        <w:rPr>
          <w:rFonts w:ascii="Latha" w:hAnsi="Latha" w:cs="Arial Unicode MS"/>
          <w:b/>
          <w:sz w:val="16"/>
          <w:szCs w:val="16"/>
          <w:cs/>
        </w:rPr>
        <w:t>அளவினை</w:t>
      </w:r>
      <w:r w:rsidRPr="00787196">
        <w:rPr>
          <w:rFonts w:cs="Arial"/>
          <w:b/>
          <w:sz w:val="16"/>
          <w:szCs w:val="16"/>
          <w:cs/>
        </w:rPr>
        <w:t xml:space="preserve"> </w:t>
      </w:r>
      <w:r w:rsidRPr="00787196">
        <w:rPr>
          <w:rFonts w:ascii="Latha" w:hAnsi="Latha" w:cs="Arial Unicode MS"/>
          <w:b/>
          <w:sz w:val="16"/>
          <w:szCs w:val="16"/>
          <w:cs/>
        </w:rPr>
        <w:t>பற்றிக்</w:t>
      </w:r>
      <w:r w:rsidRPr="00787196">
        <w:rPr>
          <w:rFonts w:cs="Arial"/>
          <w:b/>
          <w:sz w:val="16"/>
          <w:szCs w:val="16"/>
          <w:cs/>
        </w:rPr>
        <w:t xml:space="preserve"> </w:t>
      </w:r>
      <w:r w:rsidRPr="00787196">
        <w:rPr>
          <w:rFonts w:ascii="Latha" w:hAnsi="Latha" w:cs="Arial Unicode MS"/>
          <w:b/>
          <w:sz w:val="16"/>
          <w:szCs w:val="16"/>
          <w:cs/>
        </w:rPr>
        <w:t>கேட்பவை</w:t>
      </w:r>
      <w:r w:rsidRPr="00787196">
        <w:rPr>
          <w:rFonts w:cs="Arial"/>
          <w:b/>
          <w:sz w:val="16"/>
          <w:szCs w:val="16"/>
          <w:cs/>
        </w:rPr>
        <w:t xml:space="preserve"> </w:t>
      </w:r>
      <w:r w:rsidRPr="00787196">
        <w:rPr>
          <w:rFonts w:ascii="Latha" w:hAnsi="Latha" w:cs="Arial Unicode MS"/>
          <w:b/>
          <w:sz w:val="16"/>
          <w:szCs w:val="16"/>
          <w:cs/>
        </w:rPr>
        <w:t>ஆகும்</w:t>
      </w:r>
      <w:r w:rsidRPr="00787196">
        <w:rPr>
          <w:rFonts w:cs="Arial"/>
          <w:b/>
          <w:sz w:val="16"/>
          <w:szCs w:val="16"/>
          <w:cs/>
        </w:rPr>
        <w:t xml:space="preserve">. </w:t>
      </w:r>
      <w:r w:rsidRPr="00787196">
        <w:rPr>
          <w:rFonts w:ascii="Latha" w:hAnsi="Latha" w:cs="Arial Unicode MS"/>
          <w:b/>
          <w:sz w:val="16"/>
          <w:szCs w:val="16"/>
          <w:cs/>
        </w:rPr>
        <w:t>இதில்</w:t>
      </w:r>
      <w:r w:rsidRPr="00787196">
        <w:rPr>
          <w:rFonts w:cs="Arial"/>
          <w:b/>
          <w:sz w:val="16"/>
          <w:szCs w:val="16"/>
          <w:cs/>
        </w:rPr>
        <w:t xml:space="preserve"> </w:t>
      </w:r>
      <w:r w:rsidRPr="00787196">
        <w:rPr>
          <w:rFonts w:ascii="Latha" w:hAnsi="Latha" w:cs="Arial Unicode MS"/>
          <w:b/>
          <w:sz w:val="16"/>
          <w:szCs w:val="16"/>
          <w:cs/>
        </w:rPr>
        <w:t>சரியான</w:t>
      </w:r>
      <w:r w:rsidRPr="00787196">
        <w:rPr>
          <w:rFonts w:cs="Arial"/>
          <w:b/>
          <w:sz w:val="16"/>
          <w:szCs w:val="16"/>
          <w:cs/>
        </w:rPr>
        <w:t xml:space="preserve"> </w:t>
      </w:r>
      <w:r w:rsidRPr="00787196">
        <w:rPr>
          <w:rFonts w:ascii="Latha" w:hAnsi="Latha" w:cs="Arial Unicode MS"/>
          <w:b/>
          <w:sz w:val="16"/>
          <w:szCs w:val="16"/>
          <w:cs/>
        </w:rPr>
        <w:t>பதில்</w:t>
      </w:r>
      <w:r w:rsidRPr="00787196">
        <w:rPr>
          <w:rFonts w:cs="Arial"/>
          <w:b/>
          <w:sz w:val="16"/>
          <w:szCs w:val="16"/>
          <w:cs/>
        </w:rPr>
        <w:t xml:space="preserve"> </w:t>
      </w:r>
      <w:r w:rsidRPr="00787196">
        <w:rPr>
          <w:rFonts w:ascii="Latha" w:hAnsi="Latha" w:cs="Arial Unicode MS"/>
          <w:b/>
          <w:sz w:val="16"/>
          <w:szCs w:val="16"/>
          <w:cs/>
        </w:rPr>
        <w:t>என்று</w:t>
      </w:r>
      <w:r w:rsidRPr="00787196">
        <w:rPr>
          <w:rFonts w:cs="Arial"/>
          <w:b/>
          <w:sz w:val="16"/>
          <w:szCs w:val="16"/>
          <w:cs/>
        </w:rPr>
        <w:t xml:space="preserve"> </w:t>
      </w:r>
      <w:r w:rsidRPr="00787196">
        <w:rPr>
          <w:rFonts w:ascii="Latha" w:hAnsi="Latha" w:cs="Arial Unicode MS"/>
          <w:b/>
          <w:sz w:val="16"/>
          <w:szCs w:val="16"/>
          <w:cs/>
        </w:rPr>
        <w:t>எதுவும்</w:t>
      </w:r>
      <w:r w:rsidRPr="00787196">
        <w:rPr>
          <w:rFonts w:cs="Arial"/>
          <w:b/>
          <w:sz w:val="16"/>
          <w:szCs w:val="16"/>
          <w:cs/>
        </w:rPr>
        <w:t xml:space="preserve"> </w:t>
      </w:r>
      <w:r w:rsidRPr="00787196">
        <w:rPr>
          <w:rFonts w:ascii="Latha" w:hAnsi="Latha" w:cs="Arial Unicode MS"/>
          <w:b/>
          <w:sz w:val="16"/>
          <w:szCs w:val="16"/>
          <w:cs/>
        </w:rPr>
        <w:t>இல்லை</w:t>
      </w:r>
      <w:r w:rsidRPr="00787196">
        <w:rPr>
          <w:rFonts w:cs="Arial"/>
          <w:b/>
          <w:sz w:val="16"/>
          <w:szCs w:val="16"/>
          <w:cs/>
        </w:rPr>
        <w:t xml:space="preserve">, </w:t>
      </w:r>
      <w:r w:rsidRPr="00787196">
        <w:rPr>
          <w:rFonts w:ascii="Latha" w:hAnsi="Latha" w:cs="Arial Unicode MS"/>
          <w:b/>
          <w:sz w:val="16"/>
          <w:szCs w:val="16"/>
          <w:cs/>
        </w:rPr>
        <w:t>ஆனால்</w:t>
      </w:r>
      <w:r w:rsidRPr="00787196">
        <w:rPr>
          <w:rFonts w:cs="Arial"/>
          <w:b/>
          <w:sz w:val="16"/>
          <w:szCs w:val="16"/>
          <w:cs/>
        </w:rPr>
        <w:t xml:space="preserve"> </w:t>
      </w:r>
      <w:r w:rsidRPr="00787196">
        <w:rPr>
          <w:rFonts w:ascii="Latha" w:hAnsi="Latha" w:cs="Arial Unicode MS"/>
          <w:b/>
          <w:sz w:val="16"/>
          <w:szCs w:val="16"/>
          <w:cs/>
        </w:rPr>
        <w:t>ஏற்றுக்கொள்ளக்</w:t>
      </w:r>
      <w:r w:rsidRPr="00787196">
        <w:rPr>
          <w:rFonts w:cs="Arial"/>
          <w:b/>
          <w:sz w:val="16"/>
          <w:szCs w:val="16"/>
          <w:cs/>
        </w:rPr>
        <w:t xml:space="preserve"> </w:t>
      </w:r>
      <w:r w:rsidRPr="00787196">
        <w:rPr>
          <w:rFonts w:ascii="Latha" w:hAnsi="Latha" w:cs="Arial Unicode MS"/>
          <w:b/>
          <w:sz w:val="16"/>
          <w:szCs w:val="16"/>
          <w:cs/>
        </w:rPr>
        <w:t>கூடிய</w:t>
      </w:r>
      <w:r w:rsidRPr="00787196">
        <w:rPr>
          <w:rFonts w:cs="Arial"/>
          <w:b/>
          <w:sz w:val="16"/>
          <w:szCs w:val="16"/>
          <w:cs/>
        </w:rPr>
        <w:t xml:space="preserve"> </w:t>
      </w:r>
      <w:r w:rsidRPr="00787196">
        <w:rPr>
          <w:rFonts w:ascii="Latha" w:hAnsi="Latha" w:cs="Arial Unicode MS"/>
          <w:b/>
          <w:sz w:val="16"/>
          <w:szCs w:val="16"/>
          <w:cs/>
        </w:rPr>
        <w:t>வரையறையில்</w:t>
      </w:r>
      <w:r w:rsidRPr="00787196">
        <w:rPr>
          <w:rFonts w:cs="Arial"/>
          <w:b/>
          <w:sz w:val="16"/>
          <w:szCs w:val="16"/>
          <w:cs/>
        </w:rPr>
        <w:t xml:space="preserve"> </w:t>
      </w:r>
      <w:r w:rsidRPr="00787196">
        <w:rPr>
          <w:rFonts w:ascii="Latha" w:hAnsi="Latha" w:cs="Arial Unicode MS"/>
          <w:b/>
          <w:sz w:val="16"/>
          <w:szCs w:val="16"/>
          <w:cs/>
        </w:rPr>
        <w:t>உள்ள</w:t>
      </w:r>
      <w:r w:rsidRPr="00787196">
        <w:rPr>
          <w:rFonts w:cs="Arial"/>
          <w:b/>
          <w:sz w:val="16"/>
          <w:szCs w:val="16"/>
          <w:cs/>
        </w:rPr>
        <w:t xml:space="preserve"> </w:t>
      </w:r>
      <w:r w:rsidRPr="00787196">
        <w:rPr>
          <w:rFonts w:ascii="Latha" w:hAnsi="Latha" w:cs="Arial Unicode MS"/>
          <w:b/>
          <w:sz w:val="16"/>
          <w:szCs w:val="16"/>
          <w:cs/>
        </w:rPr>
        <w:t>அபிப்ராயங்கள்</w:t>
      </w:r>
      <w:r w:rsidRPr="00787196">
        <w:rPr>
          <w:rFonts w:cs="Arial"/>
          <w:b/>
          <w:sz w:val="16"/>
          <w:szCs w:val="16"/>
          <w:cs/>
        </w:rPr>
        <w:t xml:space="preserve"> </w:t>
      </w:r>
      <w:r w:rsidRPr="00787196">
        <w:rPr>
          <w:rFonts w:ascii="Latha" w:hAnsi="Latha" w:cs="Arial Unicode MS"/>
          <w:b/>
          <w:sz w:val="16"/>
          <w:szCs w:val="16"/>
          <w:cs/>
        </w:rPr>
        <w:t>உள்ளன</w:t>
      </w:r>
      <w:r w:rsidRPr="00787196">
        <w:rPr>
          <w:rFonts w:cs="Arial"/>
          <w:b/>
          <w:sz w:val="16"/>
          <w:szCs w:val="16"/>
          <w:cs/>
        </w:rPr>
        <w:t xml:space="preserve">. </w:t>
      </w:r>
      <w:r w:rsidRPr="00787196">
        <w:rPr>
          <w:rFonts w:ascii="Latha" w:hAnsi="Latha" w:cs="Arial Unicode MS"/>
          <w:b/>
          <w:sz w:val="16"/>
          <w:szCs w:val="16"/>
          <w:cs/>
        </w:rPr>
        <w:t>சிலர்</w:t>
      </w:r>
      <w:r w:rsidRPr="00787196">
        <w:rPr>
          <w:rFonts w:cs="Arial"/>
          <w:b/>
          <w:sz w:val="16"/>
          <w:szCs w:val="16"/>
          <w:cs/>
        </w:rPr>
        <w:t xml:space="preserve"> </w:t>
      </w:r>
      <w:r w:rsidRPr="00787196">
        <w:rPr>
          <w:rFonts w:ascii="Latha" w:hAnsi="Latha" w:cs="Arial Unicode MS"/>
          <w:b/>
          <w:sz w:val="16"/>
          <w:szCs w:val="16"/>
          <w:cs/>
        </w:rPr>
        <w:t>வாய்</w:t>
      </w:r>
      <w:r w:rsidRPr="00787196">
        <w:rPr>
          <w:rFonts w:cs="Arial"/>
          <w:b/>
          <w:sz w:val="16"/>
          <w:szCs w:val="16"/>
          <w:cs/>
        </w:rPr>
        <w:t xml:space="preserve"> </w:t>
      </w:r>
      <w:r w:rsidRPr="00787196">
        <w:rPr>
          <w:rFonts w:ascii="Latha" w:hAnsi="Latha" w:cs="Arial Unicode MS"/>
          <w:b/>
          <w:sz w:val="16"/>
          <w:szCs w:val="16"/>
          <w:cs/>
        </w:rPr>
        <w:t>மற்றும்</w:t>
      </w:r>
      <w:r w:rsidRPr="00787196">
        <w:rPr>
          <w:rFonts w:cs="Arial"/>
          <w:b/>
          <w:sz w:val="16"/>
          <w:szCs w:val="16"/>
          <w:cs/>
        </w:rPr>
        <w:t xml:space="preserve"> </w:t>
      </w:r>
      <w:r w:rsidRPr="00787196">
        <w:rPr>
          <w:rFonts w:ascii="Latha" w:hAnsi="Latha" w:cs="Arial Unicode MS"/>
          <w:b/>
          <w:sz w:val="16"/>
          <w:szCs w:val="16"/>
          <w:cs/>
        </w:rPr>
        <w:t>பற்கள்</w:t>
      </w:r>
      <w:r w:rsidRPr="00787196">
        <w:rPr>
          <w:rFonts w:cs="Arial"/>
          <w:b/>
          <w:sz w:val="16"/>
          <w:szCs w:val="16"/>
          <w:cs/>
        </w:rPr>
        <w:t xml:space="preserve"> </w:t>
      </w:r>
      <w:r w:rsidRPr="00787196">
        <w:rPr>
          <w:rFonts w:ascii="Latha" w:hAnsi="Latha" w:cs="Arial Unicode MS"/>
          <w:b/>
          <w:sz w:val="16"/>
          <w:szCs w:val="16"/>
          <w:cs/>
        </w:rPr>
        <w:t>மிகவும்</w:t>
      </w:r>
      <w:r w:rsidRPr="00787196">
        <w:rPr>
          <w:rFonts w:cs="Arial"/>
          <w:b/>
          <w:sz w:val="16"/>
          <w:szCs w:val="16"/>
          <w:cs/>
        </w:rPr>
        <w:t xml:space="preserve"> </w:t>
      </w:r>
      <w:r w:rsidRPr="00787196">
        <w:rPr>
          <w:rFonts w:ascii="Latha" w:hAnsi="Latha" w:cs="Arial Unicode MS"/>
          <w:b/>
          <w:sz w:val="16"/>
          <w:szCs w:val="16"/>
          <w:cs/>
        </w:rPr>
        <w:t>முக்கியமானதாகக்</w:t>
      </w:r>
      <w:r w:rsidRPr="00787196">
        <w:rPr>
          <w:rFonts w:cs="Arial"/>
          <w:b/>
          <w:sz w:val="16"/>
          <w:szCs w:val="16"/>
          <w:cs/>
        </w:rPr>
        <w:t xml:space="preserve"> </w:t>
      </w:r>
      <w:r w:rsidRPr="00787196">
        <w:rPr>
          <w:rFonts w:ascii="Latha" w:hAnsi="Latha" w:cs="Arial Unicode MS"/>
          <w:b/>
          <w:sz w:val="16"/>
          <w:szCs w:val="16"/>
          <w:cs/>
        </w:rPr>
        <w:t>கருதக்கூடும்</w:t>
      </w:r>
      <w:r w:rsidRPr="00787196">
        <w:rPr>
          <w:rFonts w:cs="Arial"/>
          <w:b/>
          <w:sz w:val="16"/>
          <w:szCs w:val="16"/>
          <w:cs/>
        </w:rPr>
        <w:t xml:space="preserve">, </w:t>
      </w:r>
      <w:r w:rsidRPr="00787196">
        <w:rPr>
          <w:rFonts w:ascii="Latha" w:hAnsi="Latha" w:cs="Arial Unicode MS"/>
          <w:b/>
          <w:sz w:val="16"/>
          <w:szCs w:val="16"/>
          <w:cs/>
        </w:rPr>
        <w:t>சிலர்</w:t>
      </w:r>
      <w:r w:rsidRPr="00787196">
        <w:rPr>
          <w:rFonts w:cs="Arial"/>
          <w:b/>
          <w:sz w:val="16"/>
          <w:szCs w:val="16"/>
          <w:cs/>
        </w:rPr>
        <w:t xml:space="preserve"> </w:t>
      </w:r>
      <w:r w:rsidRPr="00787196">
        <w:rPr>
          <w:rFonts w:ascii="Latha" w:hAnsi="Latha" w:cs="Arial Unicode MS"/>
          <w:b/>
          <w:sz w:val="16"/>
          <w:szCs w:val="16"/>
          <w:cs/>
        </w:rPr>
        <w:t>அவ்வாறு</w:t>
      </w:r>
      <w:r w:rsidRPr="00787196">
        <w:rPr>
          <w:rFonts w:cs="Arial"/>
          <w:b/>
          <w:sz w:val="16"/>
          <w:szCs w:val="16"/>
          <w:cs/>
        </w:rPr>
        <w:t xml:space="preserve"> </w:t>
      </w:r>
      <w:r w:rsidRPr="00787196">
        <w:rPr>
          <w:rFonts w:ascii="Latha" w:hAnsi="Latha" w:cs="Arial Unicode MS"/>
          <w:b/>
          <w:sz w:val="16"/>
          <w:szCs w:val="16"/>
          <w:cs/>
        </w:rPr>
        <w:t>கருதாமல்</w:t>
      </w:r>
      <w:r w:rsidRPr="00787196">
        <w:rPr>
          <w:rFonts w:cs="Arial"/>
          <w:b/>
          <w:sz w:val="16"/>
          <w:szCs w:val="16"/>
          <w:cs/>
        </w:rPr>
        <w:t xml:space="preserve"> </w:t>
      </w:r>
      <w:r w:rsidRPr="00787196">
        <w:rPr>
          <w:rFonts w:ascii="Latha" w:hAnsi="Latha" w:cs="Arial Unicode MS"/>
          <w:b/>
          <w:sz w:val="16"/>
          <w:szCs w:val="16"/>
          <w:cs/>
        </w:rPr>
        <w:t>இருக்கலாம்</w:t>
      </w:r>
      <w:r w:rsidRPr="00787196">
        <w:rPr>
          <w:rFonts w:cs="Arial"/>
          <w:b/>
          <w:sz w:val="16"/>
          <w:szCs w:val="16"/>
          <w:cs/>
        </w:rPr>
        <w:t xml:space="preserve">. </w:t>
      </w:r>
      <w:r w:rsidRPr="00787196">
        <w:rPr>
          <w:rFonts w:ascii="Latha" w:hAnsi="Latha" w:cs="Arial Unicode MS"/>
          <w:b/>
          <w:sz w:val="16"/>
          <w:szCs w:val="16"/>
          <w:cs/>
        </w:rPr>
        <w:t>எனவே</w:t>
      </w:r>
      <w:r w:rsidRPr="00787196">
        <w:rPr>
          <w:rFonts w:cs="Arial"/>
          <w:b/>
          <w:sz w:val="16"/>
          <w:szCs w:val="16"/>
          <w:cs/>
        </w:rPr>
        <w:t xml:space="preserve"> </w:t>
      </w:r>
      <w:r w:rsidRPr="00787196">
        <w:rPr>
          <w:rFonts w:ascii="Latha" w:hAnsi="Latha" w:cs="Arial Unicode MS"/>
          <w:b/>
          <w:sz w:val="16"/>
          <w:szCs w:val="16"/>
          <w:cs/>
        </w:rPr>
        <w:t>கீழுள்ள</w:t>
      </w:r>
      <w:r w:rsidRPr="00787196">
        <w:rPr>
          <w:rFonts w:cs="Arial"/>
          <w:b/>
          <w:sz w:val="16"/>
          <w:szCs w:val="16"/>
          <w:cs/>
        </w:rPr>
        <w:t xml:space="preserve"> </w:t>
      </w:r>
      <w:r w:rsidRPr="00787196">
        <w:rPr>
          <w:rFonts w:ascii="Latha" w:hAnsi="Latha" w:cs="Arial Unicode MS"/>
          <w:b/>
          <w:sz w:val="16"/>
          <w:szCs w:val="16"/>
          <w:cs/>
        </w:rPr>
        <w:t>பதில்களில்</w:t>
      </w:r>
      <w:r w:rsidRPr="00787196">
        <w:rPr>
          <w:rFonts w:cs="Arial"/>
          <w:b/>
          <w:sz w:val="16"/>
          <w:szCs w:val="16"/>
          <w:cs/>
        </w:rPr>
        <w:t xml:space="preserve"> </w:t>
      </w:r>
      <w:r w:rsidRPr="00787196">
        <w:rPr>
          <w:rFonts w:ascii="Latha" w:hAnsi="Latha" w:cs="Arial Unicode MS"/>
          <w:b/>
          <w:sz w:val="16"/>
          <w:szCs w:val="16"/>
          <w:cs/>
        </w:rPr>
        <w:t>தங்களுக்கு</w:t>
      </w:r>
      <w:r w:rsidRPr="00787196">
        <w:rPr>
          <w:rFonts w:cs="Arial"/>
          <w:b/>
          <w:sz w:val="16"/>
          <w:szCs w:val="16"/>
          <w:cs/>
        </w:rPr>
        <w:t xml:space="preserve"> </w:t>
      </w:r>
      <w:r w:rsidRPr="00787196">
        <w:rPr>
          <w:rFonts w:ascii="Latha" w:hAnsi="Latha" w:cs="Arial Unicode MS"/>
          <w:b/>
          <w:sz w:val="16"/>
          <w:szCs w:val="16"/>
          <w:cs/>
        </w:rPr>
        <w:t>உகந்தவற்றை</w:t>
      </w:r>
      <w:r w:rsidRPr="00787196">
        <w:rPr>
          <w:rFonts w:cs="Arial"/>
          <w:b/>
          <w:sz w:val="16"/>
          <w:szCs w:val="16"/>
          <w:cs/>
        </w:rPr>
        <w:t xml:space="preserve"> </w:t>
      </w:r>
      <w:r w:rsidRPr="00787196">
        <w:rPr>
          <w:rFonts w:ascii="Latha" w:hAnsi="Latha" w:cs="Arial Unicode MS"/>
          <w:b/>
          <w:sz w:val="16"/>
          <w:szCs w:val="16"/>
          <w:cs/>
        </w:rPr>
        <w:t>குறியிடுமாறு</w:t>
      </w:r>
      <w:r w:rsidRPr="00787196">
        <w:rPr>
          <w:rFonts w:cs="Arial"/>
          <w:b/>
          <w:sz w:val="16"/>
          <w:szCs w:val="16"/>
          <w:cs/>
        </w:rPr>
        <w:t xml:space="preserve"> </w:t>
      </w:r>
      <w:r w:rsidRPr="00787196">
        <w:rPr>
          <w:rFonts w:ascii="Latha" w:hAnsi="Latha" w:cs="Arial Unicode MS"/>
          <w:b/>
          <w:sz w:val="16"/>
          <w:szCs w:val="16"/>
          <w:cs/>
        </w:rPr>
        <w:t>கேட்டுக்கொள்கிறோம்</w:t>
      </w:r>
      <w:r w:rsidRPr="00787196">
        <w:rPr>
          <w:rFonts w:cs="Arial"/>
          <w:bCs/>
        </w:rPr>
        <w:t xml:space="preserve">.  </w:t>
      </w:r>
    </w:p>
    <w:tbl>
      <w:tblPr>
        <w:tblpPr w:leftFromText="180" w:rightFromText="180" w:vertAnchor="page" w:horzAnchor="margin" w:tblpY="4115"/>
        <w:tblW w:w="84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38"/>
        <w:gridCol w:w="1371"/>
        <w:gridCol w:w="997"/>
        <w:gridCol w:w="943"/>
        <w:gridCol w:w="1009"/>
        <w:gridCol w:w="1281"/>
      </w:tblGrid>
      <w:tr w:rsidR="006F0EC1" w:rsidRPr="00787196" w14:paraId="7106B5D3" w14:textId="77777777" w:rsidTr="00314F8C">
        <w:trPr>
          <w:trHeight w:val="607"/>
        </w:trPr>
        <w:tc>
          <w:tcPr>
            <w:tcW w:w="2838" w:type="dxa"/>
            <w:shd w:val="clear" w:color="auto" w:fill="auto"/>
            <w:vAlign w:val="center"/>
          </w:tcPr>
          <w:p w14:paraId="77EFC593" w14:textId="77777777" w:rsidR="006F0EC1" w:rsidRPr="00787196" w:rsidRDefault="006F0EC1" w:rsidP="005C2A75">
            <w:pPr>
              <w:spacing w:before="0" w:after="0" w:line="240" w:lineRule="auto"/>
              <w:rPr>
                <w:rFonts w:eastAsia="Calibri" w:cs="Arial"/>
                <w:sz w:val="14"/>
                <w:szCs w:val="14"/>
                <w:lang w:eastAsia="en-US" w:bidi="ar-SA"/>
              </w:rPr>
            </w:pPr>
          </w:p>
          <w:p w14:paraId="447BA20C" w14:textId="77777777" w:rsidR="006F0EC1" w:rsidRPr="00787196" w:rsidRDefault="006F0EC1" w:rsidP="005C2A75">
            <w:pPr>
              <w:spacing w:before="0" w:after="0" w:line="240" w:lineRule="auto"/>
              <w:rPr>
                <w:rFonts w:eastAsia="Calibri" w:cs="Arial"/>
                <w:sz w:val="14"/>
                <w:szCs w:val="14"/>
                <w:lang w:eastAsia="en-US" w:bidi="ar-SA"/>
              </w:rPr>
            </w:pPr>
          </w:p>
        </w:tc>
        <w:tc>
          <w:tcPr>
            <w:tcW w:w="1371" w:type="dxa"/>
            <w:shd w:val="clear" w:color="auto" w:fill="auto"/>
            <w:vAlign w:val="center"/>
          </w:tcPr>
          <w:p w14:paraId="560473C2"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பலமாக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உடன்படுகிறேன்</w:t>
            </w:r>
          </w:p>
        </w:tc>
        <w:tc>
          <w:tcPr>
            <w:tcW w:w="997" w:type="dxa"/>
            <w:shd w:val="clear" w:color="auto" w:fill="auto"/>
            <w:vAlign w:val="center"/>
          </w:tcPr>
          <w:p w14:paraId="03D9CBAC"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உடன்படுகிறேன்</w:t>
            </w:r>
          </w:p>
        </w:tc>
        <w:tc>
          <w:tcPr>
            <w:tcW w:w="943" w:type="dxa"/>
            <w:shd w:val="clear" w:color="auto" w:fill="auto"/>
            <w:vAlign w:val="center"/>
          </w:tcPr>
          <w:p w14:paraId="55673211"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இரண்டும்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இல்லை</w:t>
            </w:r>
          </w:p>
        </w:tc>
        <w:tc>
          <w:tcPr>
            <w:tcW w:w="1009" w:type="dxa"/>
            <w:shd w:val="clear" w:color="auto" w:fill="auto"/>
            <w:vAlign w:val="center"/>
          </w:tcPr>
          <w:p w14:paraId="72F892EF"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உடன்படவில்லை</w:t>
            </w:r>
          </w:p>
        </w:tc>
        <w:tc>
          <w:tcPr>
            <w:tcW w:w="1281" w:type="dxa"/>
            <w:shd w:val="clear" w:color="auto" w:fill="auto"/>
            <w:vAlign w:val="center"/>
          </w:tcPr>
          <w:p w14:paraId="4529D615"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பலமாக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உடன்படவில்லை</w:t>
            </w:r>
          </w:p>
        </w:tc>
      </w:tr>
      <w:tr w:rsidR="006F0EC1" w:rsidRPr="00787196" w14:paraId="3FB6DA18" w14:textId="77777777" w:rsidTr="00314F8C">
        <w:trPr>
          <w:trHeight w:val="859"/>
        </w:trPr>
        <w:tc>
          <w:tcPr>
            <w:tcW w:w="2838" w:type="dxa"/>
            <w:shd w:val="clear" w:color="auto" w:fill="auto"/>
            <w:vAlign w:val="center"/>
          </w:tcPr>
          <w:p w14:paraId="297A4375" w14:textId="77777777" w:rsidR="006F0EC1" w:rsidRPr="00787196" w:rsidRDefault="006F0EC1" w:rsidP="00314F8C">
            <w:pPr>
              <w:spacing w:before="0" w:after="0" w:line="240" w:lineRule="auto"/>
              <w:jc w:val="left"/>
              <w:rPr>
                <w:rFonts w:eastAsia="Calibri" w:cs="Arial"/>
                <w:bCs/>
                <w:sz w:val="20"/>
                <w:lang w:eastAsia="en-US" w:bidi="ar-SA"/>
              </w:rPr>
            </w:pPr>
            <w:r w:rsidRPr="00787196">
              <w:rPr>
                <w:rFonts w:eastAsia="Calibri" w:cs="Arial"/>
                <w:bCs/>
                <w:sz w:val="20"/>
                <w:lang w:eastAsia="en-US" w:bidi="ar-SA"/>
              </w:rPr>
              <w:t xml:space="preserve">9. </w:t>
            </w:r>
            <w:r w:rsidRPr="00787196">
              <w:rPr>
                <w:rFonts w:ascii="Latha" w:eastAsia="Calibri" w:hAnsi="Latha" w:cs="Arial Unicode MS"/>
                <w:b/>
                <w:sz w:val="16"/>
                <w:szCs w:val="16"/>
                <w:cs/>
                <w:lang w:eastAsia="en-US"/>
              </w:rPr>
              <w:t>எனது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பற்களால்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உண்பது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தடைபடும்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மட்டுமே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அவற்றை</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நான்</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முக்கியமானதாகக்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கருதுவேன்</w:t>
            </w:r>
            <w:r w:rsidRPr="00787196">
              <w:rPr>
                <w:rFonts w:eastAsia="Calibri" w:cs="Arial"/>
                <w:b/>
                <w:sz w:val="16"/>
                <w:szCs w:val="16"/>
                <w:rtl/>
                <w:cs/>
                <w:lang w:eastAsia="en-US" w:bidi="ar-SA"/>
              </w:rPr>
              <w:t>.</w:t>
            </w:r>
          </w:p>
        </w:tc>
        <w:tc>
          <w:tcPr>
            <w:tcW w:w="1371" w:type="dxa"/>
            <w:shd w:val="clear" w:color="auto" w:fill="auto"/>
            <w:vAlign w:val="center"/>
          </w:tcPr>
          <w:p w14:paraId="527AB73E" w14:textId="77777777" w:rsidR="006F0EC1" w:rsidRPr="00787196" w:rsidRDefault="007D6B7F" w:rsidP="00314F8C">
            <w:pPr>
              <w:spacing w:before="0" w:after="0" w:line="240" w:lineRule="auto"/>
              <w:jc w:val="center"/>
              <w:rPr>
                <w:rFonts w:eastAsia="Calibri" w:cs="Arial"/>
                <w:b/>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48D4BA43"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23FA7608"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5A8ED4A4"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34807936"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1B779B91" w14:textId="77777777" w:rsidTr="00314F8C">
        <w:trPr>
          <w:trHeight w:val="984"/>
        </w:trPr>
        <w:tc>
          <w:tcPr>
            <w:tcW w:w="2838" w:type="dxa"/>
            <w:shd w:val="clear" w:color="auto" w:fill="auto"/>
            <w:vAlign w:val="center"/>
          </w:tcPr>
          <w:p w14:paraId="64D99D83" w14:textId="77777777" w:rsidR="006F0EC1" w:rsidRPr="00787196" w:rsidRDefault="006F0EC1" w:rsidP="00314F8C">
            <w:pPr>
              <w:spacing w:before="0" w:after="0" w:line="240" w:lineRule="auto"/>
              <w:jc w:val="left"/>
              <w:rPr>
                <w:rFonts w:eastAsia="Calibri" w:cs="Arial"/>
                <w:b/>
                <w:sz w:val="16"/>
                <w:szCs w:val="16"/>
                <w:lang w:eastAsia="en-US" w:bidi="ar-SA"/>
              </w:rPr>
            </w:pPr>
            <w:r w:rsidRPr="00787196">
              <w:rPr>
                <w:rFonts w:eastAsia="Calibri" w:cs="Arial"/>
                <w:b/>
                <w:sz w:val="16"/>
                <w:szCs w:val="16"/>
                <w:lang w:eastAsia="en-US" w:bidi="ar-SA"/>
              </w:rPr>
              <w:t>10.</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எனது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வாய்</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மற்றும்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பற்களில்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தொந்தரவு</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இருப்பின்</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அதை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பற்றி</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கவலை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கொள்ள</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மாட்டேன்</w:t>
            </w:r>
            <w:r w:rsidRPr="00787196">
              <w:rPr>
                <w:rFonts w:eastAsia="Calibri" w:cs="Arial"/>
                <w:b/>
                <w:sz w:val="16"/>
                <w:szCs w:val="16"/>
                <w:rtl/>
                <w:cs/>
                <w:lang w:eastAsia="en-US" w:bidi="ar-SA"/>
              </w:rPr>
              <w:t>.</w:t>
            </w:r>
          </w:p>
        </w:tc>
        <w:tc>
          <w:tcPr>
            <w:tcW w:w="1371" w:type="dxa"/>
            <w:shd w:val="clear" w:color="auto" w:fill="auto"/>
            <w:vAlign w:val="center"/>
          </w:tcPr>
          <w:p w14:paraId="0B7C9FC8"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470A726E"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76D4B754"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598A1BC2"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2257C043"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43602906" w14:textId="77777777" w:rsidTr="00314F8C">
        <w:trPr>
          <w:trHeight w:val="1149"/>
        </w:trPr>
        <w:tc>
          <w:tcPr>
            <w:tcW w:w="2838" w:type="dxa"/>
            <w:shd w:val="clear" w:color="auto" w:fill="auto"/>
            <w:vAlign w:val="center"/>
          </w:tcPr>
          <w:p w14:paraId="5697B941" w14:textId="77777777" w:rsidR="006F0EC1" w:rsidRPr="00787196" w:rsidRDefault="006F0EC1" w:rsidP="00314F8C">
            <w:pPr>
              <w:spacing w:before="0" w:after="0" w:line="240" w:lineRule="auto"/>
              <w:jc w:val="left"/>
              <w:rPr>
                <w:rFonts w:eastAsia="Calibri" w:cs="Arial"/>
                <w:bCs/>
                <w:sz w:val="16"/>
                <w:szCs w:val="16"/>
                <w:lang w:eastAsia="en-US" w:bidi="ar-SA"/>
              </w:rPr>
            </w:pPr>
            <w:r w:rsidRPr="00787196">
              <w:rPr>
                <w:rFonts w:eastAsia="Calibri" w:cs="Arial"/>
                <w:bCs/>
                <w:sz w:val="16"/>
                <w:szCs w:val="16"/>
                <w:lang w:eastAsia="en-US" w:bidi="ar-SA"/>
              </w:rPr>
              <w:t xml:space="preserve">11. </w:t>
            </w:r>
            <w:r w:rsidRPr="00787196">
              <w:rPr>
                <w:rFonts w:ascii="Latha" w:eastAsia="Calibri" w:hAnsi="Latha" w:cs="Arial Unicode MS"/>
                <w:b/>
                <w:sz w:val="16"/>
                <w:szCs w:val="16"/>
                <w:cs/>
                <w:lang w:eastAsia="en-US"/>
              </w:rPr>
              <w:t>என்னுடைய</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வாய்</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மற்றும்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பற்களின்</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தோற்றத்தினால்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மற்றவர்கள்</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விலகி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ஒதுங்கினால்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எனக்குக்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கவலை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இல்லை</w:t>
            </w:r>
          </w:p>
        </w:tc>
        <w:tc>
          <w:tcPr>
            <w:tcW w:w="1371" w:type="dxa"/>
            <w:shd w:val="clear" w:color="auto" w:fill="auto"/>
            <w:vAlign w:val="center"/>
          </w:tcPr>
          <w:p w14:paraId="15AAD991"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5669592E"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228F1AD2"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6704AD59"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397B1EFA"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0EECEAB7" w14:textId="77777777" w:rsidTr="00314F8C">
        <w:trPr>
          <w:trHeight w:val="807"/>
        </w:trPr>
        <w:tc>
          <w:tcPr>
            <w:tcW w:w="2838" w:type="dxa"/>
            <w:shd w:val="clear" w:color="auto" w:fill="auto"/>
            <w:vAlign w:val="center"/>
          </w:tcPr>
          <w:p w14:paraId="5B129A9A" w14:textId="77777777" w:rsidR="006F0EC1" w:rsidRPr="00787196" w:rsidRDefault="006F0EC1" w:rsidP="00314F8C">
            <w:pPr>
              <w:spacing w:before="0" w:after="0" w:line="240" w:lineRule="auto"/>
              <w:jc w:val="left"/>
              <w:rPr>
                <w:rFonts w:eastAsia="Calibri" w:cs="Arial"/>
                <w:bCs/>
                <w:sz w:val="16"/>
                <w:szCs w:val="16"/>
                <w:lang w:eastAsia="en-US" w:bidi="ar-SA"/>
              </w:rPr>
            </w:pPr>
            <w:r w:rsidRPr="00787196">
              <w:rPr>
                <w:rFonts w:eastAsia="Calibri" w:cs="Arial"/>
                <w:bCs/>
                <w:sz w:val="16"/>
                <w:szCs w:val="16"/>
                <w:lang w:eastAsia="en-US" w:bidi="ar-SA"/>
              </w:rPr>
              <w:t xml:space="preserve">12. </w:t>
            </w:r>
            <w:r w:rsidRPr="00787196">
              <w:rPr>
                <w:rFonts w:ascii="Latha" w:eastAsia="Calibri" w:hAnsi="Latha" w:cs="Arial Unicode MS"/>
                <w:b/>
                <w:sz w:val="16"/>
                <w:szCs w:val="16"/>
                <w:cs/>
                <w:lang w:eastAsia="en-US"/>
              </w:rPr>
              <w:t>பற்கள்</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நன்றாக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இருந்தால்ஒருவர்</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அவரை</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பற்றி</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நல்ல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முறையில்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உணர்ந்துகொள்வர்</w:t>
            </w:r>
          </w:p>
        </w:tc>
        <w:tc>
          <w:tcPr>
            <w:tcW w:w="1371" w:type="dxa"/>
            <w:shd w:val="clear" w:color="auto" w:fill="auto"/>
            <w:vAlign w:val="center"/>
          </w:tcPr>
          <w:p w14:paraId="73C1F476"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72CC4FFF"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2325D0AA"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7CC2DA4D"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5A3DC64A"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01AC072C" w14:textId="77777777" w:rsidTr="00314F8C">
        <w:trPr>
          <w:trHeight w:val="879"/>
        </w:trPr>
        <w:tc>
          <w:tcPr>
            <w:tcW w:w="2838" w:type="dxa"/>
            <w:shd w:val="clear" w:color="auto" w:fill="auto"/>
            <w:vAlign w:val="center"/>
          </w:tcPr>
          <w:p w14:paraId="31F51C30" w14:textId="77777777" w:rsidR="006F0EC1" w:rsidRPr="00787196" w:rsidRDefault="006F0EC1" w:rsidP="00314F8C">
            <w:pPr>
              <w:spacing w:before="0" w:after="0" w:line="240" w:lineRule="auto"/>
              <w:jc w:val="left"/>
              <w:rPr>
                <w:rFonts w:eastAsia="Calibri" w:cs="Arial"/>
                <w:b/>
                <w:sz w:val="16"/>
                <w:szCs w:val="16"/>
                <w:lang w:eastAsia="en-US" w:bidi="ar-SA"/>
              </w:rPr>
            </w:pPr>
            <w:r w:rsidRPr="00787196">
              <w:rPr>
                <w:rFonts w:eastAsia="Calibri" w:cs="Arial"/>
                <w:b/>
                <w:sz w:val="16"/>
                <w:szCs w:val="16"/>
                <w:lang w:eastAsia="en-US" w:bidi="ar-SA"/>
              </w:rPr>
              <w:t xml:space="preserve">13. </w:t>
            </w:r>
            <w:r w:rsidRPr="00787196">
              <w:rPr>
                <w:rFonts w:ascii="Latha" w:eastAsia="Calibri" w:hAnsi="Latha" w:cs="Arial Unicode MS"/>
                <w:b/>
                <w:sz w:val="16"/>
                <w:szCs w:val="16"/>
                <w:cs/>
                <w:lang w:eastAsia="en-US"/>
              </w:rPr>
              <w:t>அழகிய</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புன்னகை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வாழ்கை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மேம்பட</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உதவுகிறது</w:t>
            </w:r>
          </w:p>
        </w:tc>
        <w:tc>
          <w:tcPr>
            <w:tcW w:w="1371" w:type="dxa"/>
            <w:shd w:val="clear" w:color="auto" w:fill="auto"/>
            <w:vAlign w:val="center"/>
          </w:tcPr>
          <w:p w14:paraId="23472FA3"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7CFB3DA7"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4D792DC6"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3CDDD361"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250310E6"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4E50F109" w14:textId="77777777" w:rsidTr="00314F8C">
        <w:trPr>
          <w:trHeight w:val="914"/>
        </w:trPr>
        <w:tc>
          <w:tcPr>
            <w:tcW w:w="2838" w:type="dxa"/>
            <w:shd w:val="clear" w:color="auto" w:fill="auto"/>
            <w:vAlign w:val="center"/>
          </w:tcPr>
          <w:p w14:paraId="3F9BDEA1" w14:textId="77777777" w:rsidR="006F0EC1" w:rsidRPr="00787196" w:rsidRDefault="006F0EC1" w:rsidP="00314F8C">
            <w:pPr>
              <w:spacing w:before="0" w:after="0" w:line="240" w:lineRule="auto"/>
              <w:jc w:val="left"/>
              <w:rPr>
                <w:rFonts w:eastAsia="Calibri" w:cs="Arial"/>
                <w:bCs/>
                <w:sz w:val="16"/>
                <w:szCs w:val="16"/>
                <w:lang w:eastAsia="en-US" w:bidi="ar-SA"/>
              </w:rPr>
            </w:pPr>
            <w:r w:rsidRPr="00787196">
              <w:rPr>
                <w:rFonts w:eastAsia="Calibri" w:cs="Arial"/>
                <w:bCs/>
                <w:sz w:val="16"/>
                <w:szCs w:val="16"/>
                <w:lang w:eastAsia="en-US" w:bidi="ar-SA"/>
              </w:rPr>
              <w:t xml:space="preserve">14.  </w:t>
            </w:r>
            <w:r w:rsidRPr="00787196">
              <w:rPr>
                <w:rFonts w:ascii="Latha" w:eastAsia="Calibri" w:hAnsi="Latha" w:cs="Arial Unicode MS"/>
                <w:b/>
                <w:sz w:val="16"/>
                <w:szCs w:val="16"/>
                <w:cs/>
                <w:lang w:eastAsia="en-US"/>
              </w:rPr>
              <w:t>எனது</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வாயும்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பற்களும்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எனக்கு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மிக</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மதிபிற்குரியவை</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முக்கியமானவை</w:t>
            </w:r>
          </w:p>
        </w:tc>
        <w:tc>
          <w:tcPr>
            <w:tcW w:w="1371" w:type="dxa"/>
            <w:shd w:val="clear" w:color="auto" w:fill="auto"/>
            <w:vAlign w:val="center"/>
          </w:tcPr>
          <w:p w14:paraId="59B89072"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97" w:type="dxa"/>
            <w:shd w:val="clear" w:color="auto" w:fill="auto"/>
            <w:vAlign w:val="center"/>
          </w:tcPr>
          <w:p w14:paraId="188A3A9C"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943" w:type="dxa"/>
            <w:shd w:val="clear" w:color="auto" w:fill="auto"/>
            <w:vAlign w:val="center"/>
          </w:tcPr>
          <w:p w14:paraId="09F73A4F"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009" w:type="dxa"/>
            <w:shd w:val="clear" w:color="auto" w:fill="auto"/>
            <w:vAlign w:val="center"/>
          </w:tcPr>
          <w:p w14:paraId="6C848EAF"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c>
          <w:tcPr>
            <w:tcW w:w="1281" w:type="dxa"/>
            <w:shd w:val="clear" w:color="auto" w:fill="auto"/>
            <w:vAlign w:val="center"/>
          </w:tcPr>
          <w:p w14:paraId="3462D34D" w14:textId="77777777" w:rsidR="006F0EC1" w:rsidRPr="00787196" w:rsidRDefault="007D6B7F" w:rsidP="00314F8C">
            <w:pPr>
              <w:spacing w:before="0" w:after="0" w:line="240" w:lineRule="auto"/>
              <w:jc w:val="center"/>
              <w:rPr>
                <w:rFonts w:eastAsia="Calibri" w:cs="Arial"/>
                <w:sz w:val="20"/>
                <w:lang w:eastAsia="en-US" w:bidi="ar-SA"/>
              </w:rPr>
            </w:pPr>
            <w:r w:rsidRPr="00787196">
              <w:rPr>
                <w:rFonts w:eastAsia="Calibri" w:cs="Arial"/>
                <w:b/>
                <w:sz w:val="20"/>
                <w:lang w:eastAsia="en-US" w:bidi="ar-SA"/>
              </w:rPr>
              <w:fldChar w:fldCharType="begin">
                <w:ffData>
                  <w:name w:val="Check8"/>
                  <w:enabled/>
                  <w:calcOnExit w:val="0"/>
                  <w:checkBox>
                    <w:sizeAuto/>
                    <w:default w:val="0"/>
                  </w:checkBox>
                </w:ffData>
              </w:fldChar>
            </w:r>
            <w:r w:rsidR="006F0EC1" w:rsidRPr="00787196">
              <w:rPr>
                <w:rFonts w:eastAsia="Calibri" w:cs="Arial"/>
                <w:b/>
                <w:sz w:val="20"/>
                <w:lang w:eastAsia="en-US" w:bidi="ar-SA"/>
              </w:rPr>
              <w:instrText xml:space="preserve"> FORMCHECKBOX </w:instrText>
            </w:r>
            <w:r w:rsidR="006E7D7A">
              <w:rPr>
                <w:rFonts w:eastAsia="Calibri" w:cs="Arial"/>
                <w:b/>
                <w:sz w:val="20"/>
                <w:lang w:eastAsia="en-US" w:bidi="ar-SA"/>
              </w:rPr>
            </w:r>
            <w:r w:rsidR="006E7D7A">
              <w:rPr>
                <w:rFonts w:eastAsia="Calibri" w:cs="Arial"/>
                <w:b/>
                <w:sz w:val="20"/>
                <w:lang w:eastAsia="en-US" w:bidi="ar-SA"/>
              </w:rPr>
              <w:fldChar w:fldCharType="separate"/>
            </w:r>
            <w:r w:rsidRPr="00787196">
              <w:rPr>
                <w:rFonts w:eastAsia="Calibri" w:cs="Arial"/>
                <w:b/>
                <w:sz w:val="20"/>
                <w:lang w:eastAsia="en-US" w:bidi="ar-SA"/>
              </w:rPr>
              <w:fldChar w:fldCharType="end"/>
            </w:r>
          </w:p>
        </w:tc>
      </w:tr>
      <w:tr w:rsidR="006F0EC1" w:rsidRPr="00787196" w14:paraId="23DBE2EC" w14:textId="77777777" w:rsidTr="00314F8C">
        <w:trPr>
          <w:trHeight w:val="780"/>
        </w:trPr>
        <w:tc>
          <w:tcPr>
            <w:tcW w:w="2838" w:type="dxa"/>
            <w:shd w:val="clear" w:color="auto" w:fill="auto"/>
            <w:vAlign w:val="center"/>
          </w:tcPr>
          <w:p w14:paraId="123BCBBA" w14:textId="77777777" w:rsidR="006F0EC1" w:rsidRPr="00787196" w:rsidRDefault="006F0EC1" w:rsidP="005C2A75">
            <w:pPr>
              <w:spacing w:before="0" w:after="0" w:line="240" w:lineRule="auto"/>
              <w:rPr>
                <w:rFonts w:eastAsia="Calibri" w:cs="Arial"/>
                <w:b/>
                <w:sz w:val="16"/>
                <w:szCs w:val="16"/>
                <w:lang w:eastAsia="en-US" w:bidi="ar-SA"/>
              </w:rPr>
            </w:pPr>
          </w:p>
        </w:tc>
        <w:tc>
          <w:tcPr>
            <w:tcW w:w="1371" w:type="dxa"/>
            <w:shd w:val="clear" w:color="auto" w:fill="auto"/>
            <w:vAlign w:val="center"/>
          </w:tcPr>
          <w:p w14:paraId="1B034FCD"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பலமாக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உடன்படுகிறேன்</w:t>
            </w:r>
          </w:p>
        </w:tc>
        <w:tc>
          <w:tcPr>
            <w:tcW w:w="997" w:type="dxa"/>
            <w:shd w:val="clear" w:color="auto" w:fill="auto"/>
            <w:vAlign w:val="center"/>
          </w:tcPr>
          <w:p w14:paraId="69192BE9"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உடன்படுகிறேன்</w:t>
            </w:r>
          </w:p>
        </w:tc>
        <w:tc>
          <w:tcPr>
            <w:tcW w:w="943" w:type="dxa"/>
            <w:shd w:val="clear" w:color="auto" w:fill="auto"/>
            <w:vAlign w:val="center"/>
          </w:tcPr>
          <w:p w14:paraId="05B66B94"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இரண்டும்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இல்லை</w:t>
            </w:r>
          </w:p>
        </w:tc>
        <w:tc>
          <w:tcPr>
            <w:tcW w:w="1009" w:type="dxa"/>
            <w:shd w:val="clear" w:color="auto" w:fill="auto"/>
            <w:vAlign w:val="center"/>
          </w:tcPr>
          <w:p w14:paraId="4249CFC0"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உடன்படவில்லை</w:t>
            </w:r>
          </w:p>
        </w:tc>
        <w:tc>
          <w:tcPr>
            <w:tcW w:w="1281" w:type="dxa"/>
            <w:shd w:val="clear" w:color="auto" w:fill="auto"/>
            <w:vAlign w:val="center"/>
          </w:tcPr>
          <w:p w14:paraId="24B3E16D" w14:textId="77777777" w:rsidR="006F0EC1" w:rsidRPr="00787196" w:rsidRDefault="006F0EC1" w:rsidP="00314F8C">
            <w:pPr>
              <w:spacing w:before="0" w:after="0" w:line="240" w:lineRule="auto"/>
              <w:jc w:val="left"/>
              <w:rPr>
                <w:rFonts w:eastAsia="Calibri" w:cs="Arial"/>
                <w:b/>
                <w:sz w:val="14"/>
                <w:szCs w:val="14"/>
                <w:lang w:eastAsia="en-US" w:bidi="ar-SA"/>
              </w:rPr>
            </w:pPr>
            <w:r w:rsidRPr="00787196">
              <w:rPr>
                <w:rFonts w:ascii="Latha" w:eastAsia="Calibri" w:hAnsi="Latha" w:cs="Arial Unicode MS"/>
                <w:b/>
                <w:sz w:val="14"/>
                <w:szCs w:val="14"/>
                <w:cs/>
                <w:lang w:eastAsia="en-US"/>
              </w:rPr>
              <w:t>பலமாக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உடன்படவில்லை</w:t>
            </w:r>
          </w:p>
        </w:tc>
      </w:tr>
    </w:tbl>
    <w:p w14:paraId="459D46C9" w14:textId="77777777" w:rsidR="006F0EC1" w:rsidRPr="00787196" w:rsidRDefault="006F0EC1" w:rsidP="00513F57">
      <w:pPr>
        <w:spacing w:before="0" w:after="0"/>
        <w:rPr>
          <w:rFonts w:cs="Arial"/>
          <w:bCs/>
        </w:rPr>
      </w:pPr>
      <w:r w:rsidRPr="00787196">
        <w:rPr>
          <w:rFonts w:cs="Arial"/>
          <w:bCs/>
        </w:rPr>
        <w:br w:type="page"/>
      </w:r>
    </w:p>
    <w:p w14:paraId="5114AA8B" w14:textId="77777777" w:rsidR="006F0EC1" w:rsidRPr="00787196" w:rsidRDefault="00513F57" w:rsidP="00513F57">
      <w:pPr>
        <w:spacing w:before="0" w:after="0"/>
        <w:rPr>
          <w:rFonts w:cs="Arial"/>
          <w:b/>
          <w:bCs/>
        </w:rPr>
      </w:pPr>
      <w:r w:rsidRPr="00787196">
        <w:rPr>
          <w:rFonts w:ascii="Latha" w:hAnsi="Latha" w:cs="Arial Unicode MS"/>
          <w:b/>
          <w:bCs/>
          <w:sz w:val="20"/>
          <w:szCs w:val="20"/>
          <w:cs/>
        </w:rPr>
        <w:lastRenderedPageBreak/>
        <w:t>முதுமை</w:t>
      </w:r>
      <w:r w:rsidR="002153D8" w:rsidRPr="00787196">
        <w:rPr>
          <w:rFonts w:ascii="Latha" w:hAnsi="Latha" w:cs="Arial Unicode MS"/>
          <w:b/>
          <w:bCs/>
          <w:sz w:val="20"/>
          <w:szCs w:val="20"/>
          <w:cs/>
        </w:rPr>
        <w:t xml:space="preserve"> அடைவது சார்ந்த </w:t>
      </w:r>
      <w:r w:rsidR="006F0EC1" w:rsidRPr="00787196">
        <w:rPr>
          <w:rFonts w:ascii="Latha" w:hAnsi="Latha" w:cs="Arial Unicode MS"/>
          <w:b/>
          <w:bCs/>
          <w:sz w:val="20"/>
          <w:szCs w:val="20"/>
          <w:cs/>
        </w:rPr>
        <w:t>எதிர்பார்ப்பு</w:t>
      </w:r>
      <w:r w:rsidR="002153D8" w:rsidRPr="00787196">
        <w:rPr>
          <w:rFonts w:ascii="Latha" w:hAnsi="Latha" w:cs="Arial Unicode MS"/>
          <w:b/>
          <w:bCs/>
          <w:sz w:val="20"/>
          <w:szCs w:val="20"/>
          <w:cs/>
        </w:rPr>
        <w:t>கள்</w:t>
      </w:r>
      <w:r w:rsidR="006F0EC1" w:rsidRPr="00787196">
        <w:rPr>
          <w:rFonts w:cs="Arial"/>
          <w:b/>
          <w:bCs/>
          <w:sz w:val="20"/>
          <w:szCs w:val="20"/>
          <w:cs/>
        </w:rPr>
        <w:t xml:space="preserve"> </w:t>
      </w:r>
      <w:r w:rsidR="006F0EC1" w:rsidRPr="00787196">
        <w:rPr>
          <w:rFonts w:cs="Arial"/>
          <w:b/>
          <w:bCs/>
        </w:rPr>
        <w:t xml:space="preserve"> (ERA - 12)</w:t>
      </w:r>
    </w:p>
    <w:tbl>
      <w:tblPr>
        <w:tblpPr w:leftFromText="180" w:rightFromText="180" w:vertAnchor="page" w:horzAnchor="margin" w:tblpY="2431"/>
        <w:tblW w:w="4592"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17"/>
        <w:gridCol w:w="1211"/>
        <w:gridCol w:w="1332"/>
        <w:gridCol w:w="1449"/>
        <w:gridCol w:w="1292"/>
      </w:tblGrid>
      <w:tr w:rsidR="00F36DFB" w:rsidRPr="00787196" w14:paraId="104516E6" w14:textId="77777777" w:rsidTr="00F36DFB">
        <w:trPr>
          <w:trHeight w:val="747"/>
        </w:trPr>
        <w:tc>
          <w:tcPr>
            <w:tcW w:w="1613" w:type="pct"/>
            <w:shd w:val="clear" w:color="auto" w:fill="auto"/>
          </w:tcPr>
          <w:p w14:paraId="5B49E504" w14:textId="77777777" w:rsidR="00F36DFB" w:rsidRPr="00787196" w:rsidRDefault="00F36DFB" w:rsidP="00F36DFB">
            <w:pPr>
              <w:spacing w:before="0" w:after="0"/>
              <w:rPr>
                <w:rFonts w:cs="Arial"/>
              </w:rPr>
            </w:pPr>
          </w:p>
        </w:tc>
        <w:tc>
          <w:tcPr>
            <w:tcW w:w="776" w:type="pct"/>
            <w:shd w:val="clear" w:color="auto" w:fill="auto"/>
            <w:vAlign w:val="center"/>
          </w:tcPr>
          <w:p w14:paraId="3CE3A411" w14:textId="77777777" w:rsidR="00F36DFB" w:rsidRPr="00787196" w:rsidRDefault="00F36DFB" w:rsidP="00F36DFB">
            <w:pPr>
              <w:spacing w:before="0" w:after="0" w:line="240" w:lineRule="auto"/>
              <w:jc w:val="center"/>
              <w:rPr>
                <w:rFonts w:cs="Arial"/>
                <w:b/>
                <w:sz w:val="20"/>
                <w:szCs w:val="20"/>
              </w:rPr>
            </w:pPr>
            <w:r w:rsidRPr="00787196">
              <w:rPr>
                <w:rFonts w:ascii="Latha" w:hAnsi="Latha" w:cs="Arial Unicode MS"/>
                <w:b/>
                <w:sz w:val="14"/>
                <w:szCs w:val="14"/>
                <w:cs/>
              </w:rPr>
              <w:t>நிதர்சனமான</w:t>
            </w:r>
            <w:r w:rsidRPr="00787196">
              <w:rPr>
                <w:rFonts w:cs="Arial"/>
                <w:b/>
                <w:sz w:val="14"/>
                <w:szCs w:val="14"/>
                <w:cs/>
              </w:rPr>
              <w:t xml:space="preserve">  </w:t>
            </w:r>
            <w:r w:rsidRPr="00787196">
              <w:rPr>
                <w:rFonts w:ascii="Latha" w:hAnsi="Latha" w:cs="Arial Unicode MS"/>
                <w:b/>
                <w:sz w:val="14"/>
                <w:szCs w:val="14"/>
                <w:cs/>
              </w:rPr>
              <w:t>உண்மை</w:t>
            </w:r>
          </w:p>
        </w:tc>
        <w:tc>
          <w:tcPr>
            <w:tcW w:w="854" w:type="pct"/>
            <w:shd w:val="clear" w:color="auto" w:fill="auto"/>
            <w:vAlign w:val="center"/>
          </w:tcPr>
          <w:p w14:paraId="041A034F"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ஓரளவு</w:t>
            </w:r>
            <w:r w:rsidRPr="00787196">
              <w:rPr>
                <w:rFonts w:cs="Arial"/>
                <w:b/>
                <w:sz w:val="14"/>
                <w:szCs w:val="14"/>
                <w:cs/>
              </w:rPr>
              <w:t xml:space="preserve"> </w:t>
            </w:r>
            <w:r w:rsidRPr="00787196">
              <w:rPr>
                <w:rFonts w:ascii="Latha" w:hAnsi="Latha" w:cs="Arial Unicode MS"/>
                <w:b/>
                <w:sz w:val="14"/>
                <w:szCs w:val="14"/>
                <w:cs/>
              </w:rPr>
              <w:t>உண்மை</w:t>
            </w:r>
          </w:p>
        </w:tc>
        <w:tc>
          <w:tcPr>
            <w:tcW w:w="929" w:type="pct"/>
            <w:shd w:val="clear" w:color="auto" w:fill="auto"/>
            <w:vAlign w:val="center"/>
          </w:tcPr>
          <w:p w14:paraId="74FDAD16"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ஓரளவு</w:t>
            </w:r>
            <w:r w:rsidRPr="00787196">
              <w:rPr>
                <w:rFonts w:cs="Arial"/>
                <w:b/>
                <w:sz w:val="14"/>
                <w:szCs w:val="14"/>
                <w:cs/>
              </w:rPr>
              <w:t xml:space="preserve"> </w:t>
            </w:r>
            <w:r w:rsidRPr="00787196">
              <w:rPr>
                <w:rFonts w:ascii="Latha" w:hAnsi="Latha" w:cs="Arial Unicode MS"/>
                <w:b/>
                <w:sz w:val="14"/>
                <w:szCs w:val="14"/>
                <w:cs/>
              </w:rPr>
              <w:t>தவறு</w:t>
            </w:r>
          </w:p>
        </w:tc>
        <w:tc>
          <w:tcPr>
            <w:tcW w:w="828" w:type="pct"/>
            <w:shd w:val="clear" w:color="auto" w:fill="auto"/>
            <w:vAlign w:val="center"/>
          </w:tcPr>
          <w:p w14:paraId="42E61875"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நிதர்சனமான</w:t>
            </w:r>
            <w:r w:rsidRPr="00787196">
              <w:rPr>
                <w:rFonts w:cs="Arial"/>
                <w:b/>
                <w:sz w:val="14"/>
                <w:szCs w:val="14"/>
                <w:cs/>
              </w:rPr>
              <w:t xml:space="preserve"> </w:t>
            </w:r>
            <w:r w:rsidRPr="00787196">
              <w:rPr>
                <w:rFonts w:ascii="Latha" w:hAnsi="Latha" w:cs="Arial Unicode MS"/>
                <w:b/>
                <w:sz w:val="14"/>
                <w:szCs w:val="14"/>
                <w:cs/>
              </w:rPr>
              <w:t>தவறு</w:t>
            </w:r>
          </w:p>
        </w:tc>
      </w:tr>
      <w:tr w:rsidR="00F36DFB" w:rsidRPr="00787196" w14:paraId="19F793BD" w14:textId="77777777" w:rsidTr="00F36DFB">
        <w:trPr>
          <w:cantSplit/>
          <w:trHeight w:val="992"/>
        </w:trPr>
        <w:tc>
          <w:tcPr>
            <w:tcW w:w="1613" w:type="pct"/>
            <w:shd w:val="clear" w:color="auto" w:fill="auto"/>
            <w:vAlign w:val="center"/>
          </w:tcPr>
          <w:p w14:paraId="458C3997"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15. </w:t>
            </w:r>
            <w:r w:rsidRPr="00787196">
              <w:rPr>
                <w:rFonts w:ascii="Latha" w:hAnsi="Latha" w:cs="Arial Unicode MS"/>
                <w:sz w:val="12"/>
                <w:szCs w:val="12"/>
                <w:cs/>
              </w:rPr>
              <w:t>நிறைய</w:t>
            </w:r>
            <w:r w:rsidRPr="00787196">
              <w:rPr>
                <w:rFonts w:cs="Arial"/>
                <w:sz w:val="12"/>
                <w:szCs w:val="12"/>
                <w:cs/>
              </w:rPr>
              <w:t xml:space="preserve"> </w:t>
            </w:r>
            <w:r w:rsidRPr="00787196">
              <w:rPr>
                <w:rFonts w:ascii="Latha" w:hAnsi="Latha" w:cs="Arial Unicode MS"/>
                <w:sz w:val="12"/>
                <w:szCs w:val="12"/>
                <w:cs/>
              </w:rPr>
              <w:t>வலிகள்</w:t>
            </w:r>
            <w:r w:rsidRPr="00787196">
              <w:rPr>
                <w:rFonts w:cs="Arial"/>
                <w:sz w:val="12"/>
                <w:szCs w:val="12"/>
                <w:cs/>
              </w:rPr>
              <w:t xml:space="preserve"> </w:t>
            </w:r>
            <w:r w:rsidRPr="00787196">
              <w:rPr>
                <w:rFonts w:ascii="Latha" w:hAnsi="Latha" w:cs="Arial Unicode MS"/>
                <w:sz w:val="12"/>
                <w:szCs w:val="12"/>
                <w:cs/>
              </w:rPr>
              <w:t>மற்றும்</w:t>
            </w:r>
            <w:r w:rsidRPr="00787196">
              <w:rPr>
                <w:rFonts w:cs="Arial"/>
                <w:sz w:val="12"/>
                <w:szCs w:val="12"/>
                <w:cs/>
              </w:rPr>
              <w:t xml:space="preserve"> </w:t>
            </w:r>
            <w:r w:rsidRPr="00787196">
              <w:rPr>
                <w:rFonts w:ascii="Latha" w:hAnsi="Latha" w:cs="Arial Unicode MS"/>
                <w:sz w:val="12"/>
                <w:szCs w:val="12"/>
                <w:cs/>
              </w:rPr>
              <w:t>நோவுதல்கள்</w:t>
            </w:r>
            <w:r w:rsidRPr="00787196">
              <w:rPr>
                <w:rFonts w:cs="Arial"/>
                <w:sz w:val="12"/>
                <w:szCs w:val="12"/>
                <w:cs/>
              </w:rPr>
              <w:t xml:space="preserve"> </w:t>
            </w:r>
            <w:r w:rsidRPr="00787196">
              <w:rPr>
                <w:rFonts w:ascii="Latha" w:hAnsi="Latha" w:cs="Arial Unicode MS"/>
                <w:sz w:val="12"/>
                <w:szCs w:val="12"/>
                <w:cs/>
              </w:rPr>
              <w:t>மூப்படைவதின்</w:t>
            </w:r>
            <w:r w:rsidRPr="00787196">
              <w:rPr>
                <w:rFonts w:cs="Arial"/>
                <w:sz w:val="12"/>
                <w:szCs w:val="12"/>
                <w:cs/>
              </w:rPr>
              <w:t xml:space="preserve"> </w:t>
            </w:r>
            <w:r w:rsidRPr="00787196">
              <w:rPr>
                <w:rFonts w:ascii="Latha" w:hAnsi="Latha" w:cs="Arial Unicode MS"/>
                <w:sz w:val="12"/>
                <w:szCs w:val="12"/>
                <w:cs/>
              </w:rPr>
              <w:t>ஒரு</w:t>
            </w:r>
            <w:r w:rsidRPr="00787196">
              <w:rPr>
                <w:rFonts w:cs="Arial"/>
                <w:sz w:val="12"/>
                <w:szCs w:val="12"/>
                <w:cs/>
              </w:rPr>
              <w:t xml:space="preserve"> </w:t>
            </w:r>
            <w:r w:rsidRPr="00787196">
              <w:rPr>
                <w:rFonts w:ascii="Latha" w:hAnsi="Latha" w:cs="Arial Unicode MS"/>
                <w:sz w:val="12"/>
                <w:szCs w:val="12"/>
                <w:cs/>
              </w:rPr>
              <w:t>ஏற்றுக்கொள்ளகூடிய</w:t>
            </w:r>
            <w:r w:rsidRPr="00787196">
              <w:rPr>
                <w:rFonts w:cs="Arial"/>
                <w:sz w:val="12"/>
                <w:szCs w:val="12"/>
                <w:cs/>
              </w:rPr>
              <w:t xml:space="preserve"> </w:t>
            </w:r>
            <w:r w:rsidRPr="00787196">
              <w:rPr>
                <w:rFonts w:ascii="Latha" w:hAnsi="Latha" w:cs="Arial Unicode MS"/>
                <w:sz w:val="12"/>
                <w:szCs w:val="12"/>
                <w:cs/>
              </w:rPr>
              <w:t>ஒரு</w:t>
            </w:r>
            <w:r w:rsidRPr="00787196">
              <w:rPr>
                <w:rFonts w:cs="Arial"/>
                <w:sz w:val="12"/>
                <w:szCs w:val="12"/>
                <w:cs/>
              </w:rPr>
              <w:t xml:space="preserve"> </w:t>
            </w:r>
            <w:r w:rsidRPr="00787196">
              <w:rPr>
                <w:rFonts w:ascii="Latha" w:hAnsi="Latha" w:cs="Arial Unicode MS"/>
                <w:sz w:val="12"/>
                <w:szCs w:val="12"/>
                <w:cs/>
              </w:rPr>
              <w:t>அங்கமாகும்</w:t>
            </w:r>
            <w:r w:rsidRPr="00787196">
              <w:rPr>
                <w:rFonts w:cs="Arial"/>
                <w:sz w:val="12"/>
                <w:szCs w:val="12"/>
                <w:cs/>
              </w:rPr>
              <w:t>.</w:t>
            </w:r>
          </w:p>
        </w:tc>
        <w:tc>
          <w:tcPr>
            <w:tcW w:w="776" w:type="pct"/>
            <w:shd w:val="clear" w:color="auto" w:fill="auto"/>
            <w:vAlign w:val="center"/>
          </w:tcPr>
          <w:p w14:paraId="2F8A2D00"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62ED15FD"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3C718591"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6A1DF2C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140E4CA0" w14:textId="77777777" w:rsidTr="00F36DFB">
        <w:trPr>
          <w:cantSplit/>
          <w:trHeight w:val="746"/>
        </w:trPr>
        <w:tc>
          <w:tcPr>
            <w:tcW w:w="1613" w:type="pct"/>
            <w:shd w:val="clear" w:color="auto" w:fill="auto"/>
            <w:vAlign w:val="center"/>
          </w:tcPr>
          <w:p w14:paraId="49EB6C29"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16. </w:t>
            </w:r>
            <w:r w:rsidRPr="00787196">
              <w:rPr>
                <w:rFonts w:ascii="Latha" w:hAnsi="Latha" w:cs="Arial Unicode MS"/>
                <w:sz w:val="12"/>
                <w:szCs w:val="12"/>
                <w:cs/>
              </w:rPr>
              <w:t>மனித</w:t>
            </w:r>
            <w:r w:rsidRPr="00787196">
              <w:rPr>
                <w:rFonts w:cs="Arial"/>
                <w:sz w:val="12"/>
                <w:szCs w:val="12"/>
                <w:cs/>
              </w:rPr>
              <w:t xml:space="preserve"> </w:t>
            </w:r>
            <w:r w:rsidRPr="00787196">
              <w:rPr>
                <w:rFonts w:ascii="Latha" w:hAnsi="Latha" w:cs="Arial Unicode MS"/>
                <w:sz w:val="12"/>
                <w:szCs w:val="12"/>
                <w:cs/>
              </w:rPr>
              <w:t>உடல்</w:t>
            </w:r>
            <w:r w:rsidRPr="00787196">
              <w:rPr>
                <w:rFonts w:cs="Arial"/>
                <w:sz w:val="12"/>
                <w:szCs w:val="12"/>
                <w:cs/>
              </w:rPr>
              <w:t xml:space="preserve"> </w:t>
            </w:r>
            <w:r w:rsidRPr="00787196">
              <w:rPr>
                <w:rFonts w:ascii="Latha" w:hAnsi="Latha" w:cs="Arial Unicode MS"/>
                <w:sz w:val="12"/>
                <w:szCs w:val="12"/>
                <w:cs/>
              </w:rPr>
              <w:t>ஓர்</w:t>
            </w:r>
            <w:r w:rsidRPr="00787196">
              <w:rPr>
                <w:rFonts w:cs="Arial"/>
                <w:sz w:val="12"/>
                <w:szCs w:val="12"/>
                <w:cs/>
              </w:rPr>
              <w:t xml:space="preserve"> </w:t>
            </w:r>
            <w:r w:rsidRPr="00787196">
              <w:rPr>
                <w:rFonts w:ascii="Latha" w:hAnsi="Latha" w:cs="Arial Unicode MS"/>
                <w:sz w:val="12"/>
                <w:szCs w:val="12"/>
                <w:cs/>
              </w:rPr>
              <w:t>சிற்றூர்தி</w:t>
            </w:r>
            <w:r w:rsidRPr="00787196">
              <w:rPr>
                <w:rFonts w:cs="Arial"/>
                <w:sz w:val="12"/>
                <w:szCs w:val="12"/>
                <w:cs/>
              </w:rPr>
              <w:t xml:space="preserve"> (</w:t>
            </w:r>
            <w:r w:rsidRPr="00787196">
              <w:rPr>
                <w:rFonts w:ascii="Latha" w:hAnsi="Latha" w:cs="Arial Unicode MS"/>
                <w:sz w:val="12"/>
                <w:szCs w:val="12"/>
                <w:cs/>
              </w:rPr>
              <w:t>கார்</w:t>
            </w:r>
            <w:r w:rsidRPr="00787196">
              <w:rPr>
                <w:rFonts w:cs="Arial"/>
                <w:sz w:val="12"/>
                <w:szCs w:val="12"/>
                <w:cs/>
              </w:rPr>
              <w:t xml:space="preserve">) </w:t>
            </w:r>
            <w:r w:rsidRPr="00787196">
              <w:rPr>
                <w:rFonts w:ascii="Latha" w:hAnsi="Latha" w:cs="Arial Unicode MS"/>
                <w:sz w:val="12"/>
                <w:szCs w:val="12"/>
                <w:cs/>
              </w:rPr>
              <w:t>போன்றது</w:t>
            </w:r>
            <w:r w:rsidRPr="00787196">
              <w:rPr>
                <w:rFonts w:cs="Arial"/>
                <w:sz w:val="12"/>
                <w:szCs w:val="12"/>
                <w:cs/>
              </w:rPr>
              <w:t xml:space="preserve">. </w:t>
            </w:r>
            <w:r w:rsidRPr="00787196">
              <w:rPr>
                <w:rFonts w:ascii="Latha" w:hAnsi="Latha" w:cs="Arial Unicode MS"/>
                <w:sz w:val="12"/>
                <w:szCs w:val="12"/>
                <w:cs/>
              </w:rPr>
              <w:t>வயதானால்</w:t>
            </w:r>
            <w:r w:rsidRPr="00787196">
              <w:rPr>
                <w:rFonts w:cs="Arial"/>
                <w:sz w:val="12"/>
                <w:szCs w:val="12"/>
                <w:cs/>
              </w:rPr>
              <w:t xml:space="preserve"> </w:t>
            </w:r>
            <w:r w:rsidRPr="00787196">
              <w:rPr>
                <w:rFonts w:ascii="Latha" w:hAnsi="Latha" w:cs="Arial Unicode MS"/>
                <w:sz w:val="12"/>
                <w:szCs w:val="12"/>
                <w:cs/>
              </w:rPr>
              <w:t>கந்தையாகி</w:t>
            </w:r>
            <w:r w:rsidRPr="00787196">
              <w:rPr>
                <w:rFonts w:cs="Arial"/>
                <w:sz w:val="12"/>
                <w:szCs w:val="12"/>
                <w:cs/>
              </w:rPr>
              <w:t xml:space="preserve"> </w:t>
            </w:r>
            <w:r w:rsidRPr="00787196">
              <w:rPr>
                <w:rFonts w:ascii="Latha" w:hAnsi="Latha" w:cs="Arial Unicode MS"/>
                <w:sz w:val="12"/>
                <w:szCs w:val="12"/>
                <w:cs/>
              </w:rPr>
              <w:t>விடும்</w:t>
            </w:r>
            <w:r w:rsidRPr="00787196">
              <w:rPr>
                <w:rFonts w:cs="Arial"/>
                <w:sz w:val="12"/>
                <w:szCs w:val="12"/>
                <w:cs/>
              </w:rPr>
              <w:t>.</w:t>
            </w:r>
            <w:r w:rsidRPr="00787196">
              <w:rPr>
                <w:rFonts w:cs="Arial"/>
                <w:sz w:val="12"/>
                <w:szCs w:val="12"/>
              </w:rPr>
              <w:t>.</w:t>
            </w:r>
          </w:p>
        </w:tc>
        <w:tc>
          <w:tcPr>
            <w:tcW w:w="776" w:type="pct"/>
            <w:shd w:val="clear" w:color="auto" w:fill="auto"/>
            <w:vAlign w:val="center"/>
          </w:tcPr>
          <w:p w14:paraId="67A14B11"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31C9B3C7"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2202A2A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5A268D79"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6A6B8091" w14:textId="77777777" w:rsidTr="00F36DFB">
        <w:trPr>
          <w:cantSplit/>
          <w:trHeight w:val="1133"/>
        </w:trPr>
        <w:tc>
          <w:tcPr>
            <w:tcW w:w="1613" w:type="pct"/>
            <w:shd w:val="clear" w:color="auto" w:fill="auto"/>
            <w:vAlign w:val="center"/>
          </w:tcPr>
          <w:p w14:paraId="039E5EA9"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17. </w:t>
            </w:r>
            <w:r w:rsidRPr="00787196">
              <w:rPr>
                <w:rFonts w:ascii="Latha" w:hAnsi="Latha" w:cs="Arial Unicode MS"/>
                <w:sz w:val="12"/>
                <w:szCs w:val="12"/>
                <w:cs/>
              </w:rPr>
              <w:t>ஒவ்வொரு</w:t>
            </w:r>
            <w:r w:rsidRPr="00787196">
              <w:rPr>
                <w:rFonts w:cs="Arial"/>
                <w:sz w:val="12"/>
                <w:szCs w:val="12"/>
                <w:cs/>
              </w:rPr>
              <w:t xml:space="preserve"> </w:t>
            </w:r>
            <w:r w:rsidRPr="00787196">
              <w:rPr>
                <w:rFonts w:ascii="Latha" w:hAnsi="Latha" w:cs="Arial Unicode MS"/>
                <w:sz w:val="12"/>
                <w:szCs w:val="12"/>
                <w:cs/>
              </w:rPr>
              <w:t>வருடமும்</w:t>
            </w:r>
            <w:r w:rsidRPr="00787196">
              <w:rPr>
                <w:rFonts w:cs="Arial"/>
                <w:sz w:val="12"/>
                <w:szCs w:val="12"/>
                <w:cs/>
              </w:rPr>
              <w:t xml:space="preserve"> </w:t>
            </w:r>
            <w:r w:rsidRPr="00787196">
              <w:rPr>
                <w:rFonts w:ascii="Latha" w:hAnsi="Latha" w:cs="Arial Unicode MS"/>
                <w:sz w:val="12"/>
                <w:szCs w:val="12"/>
                <w:cs/>
              </w:rPr>
              <w:t>மக்கள்</w:t>
            </w:r>
            <w:r w:rsidRPr="00787196">
              <w:rPr>
                <w:rFonts w:cs="Arial"/>
                <w:sz w:val="12"/>
                <w:szCs w:val="12"/>
                <w:cs/>
              </w:rPr>
              <w:t xml:space="preserve"> </w:t>
            </w:r>
            <w:r w:rsidRPr="00787196">
              <w:rPr>
                <w:rFonts w:ascii="Latha" w:hAnsi="Latha" w:cs="Arial Unicode MS"/>
                <w:sz w:val="12"/>
                <w:szCs w:val="12"/>
                <w:cs/>
              </w:rPr>
              <w:t>வயது</w:t>
            </w:r>
            <w:r w:rsidRPr="00787196">
              <w:rPr>
                <w:rFonts w:cs="Arial"/>
                <w:sz w:val="12"/>
                <w:szCs w:val="12"/>
                <w:cs/>
              </w:rPr>
              <w:t xml:space="preserve"> </w:t>
            </w:r>
            <w:r w:rsidRPr="00787196">
              <w:rPr>
                <w:rFonts w:ascii="Latha" w:hAnsi="Latha" w:cs="Arial Unicode MS"/>
                <w:sz w:val="12"/>
                <w:szCs w:val="12"/>
                <w:cs/>
              </w:rPr>
              <w:t>கூடும்</w:t>
            </w:r>
            <w:r w:rsidRPr="00787196">
              <w:rPr>
                <w:rFonts w:cs="Arial"/>
                <w:sz w:val="12"/>
                <w:szCs w:val="12"/>
                <w:cs/>
              </w:rPr>
              <w:t xml:space="preserve"> </w:t>
            </w:r>
            <w:r w:rsidRPr="00787196">
              <w:rPr>
                <w:rFonts w:ascii="Latha" w:hAnsi="Latha" w:cs="Arial Unicode MS"/>
                <w:sz w:val="12"/>
                <w:szCs w:val="12"/>
                <w:cs/>
              </w:rPr>
              <w:t>பொழுது</w:t>
            </w:r>
            <w:r w:rsidRPr="00787196">
              <w:rPr>
                <w:rFonts w:cs="Arial"/>
                <w:sz w:val="12"/>
                <w:szCs w:val="12"/>
                <w:cs/>
              </w:rPr>
              <w:t xml:space="preserve"> </w:t>
            </w:r>
            <w:r w:rsidRPr="00787196">
              <w:rPr>
                <w:rFonts w:ascii="Latha" w:hAnsi="Latha" w:cs="Arial Unicode MS"/>
                <w:sz w:val="12"/>
                <w:szCs w:val="12"/>
                <w:cs/>
              </w:rPr>
              <w:t>அவர்களுடைய</w:t>
            </w:r>
            <w:r w:rsidRPr="00787196">
              <w:rPr>
                <w:rFonts w:cs="Arial"/>
                <w:sz w:val="12"/>
                <w:szCs w:val="12"/>
                <w:cs/>
              </w:rPr>
              <w:t xml:space="preserve"> </w:t>
            </w:r>
            <w:r w:rsidRPr="00787196">
              <w:rPr>
                <w:rFonts w:ascii="Latha" w:hAnsi="Latha" w:cs="Arial Unicode MS"/>
                <w:sz w:val="12"/>
                <w:szCs w:val="12"/>
                <w:cs/>
              </w:rPr>
              <w:t>சக்தியின்</w:t>
            </w:r>
            <w:r w:rsidRPr="00787196">
              <w:rPr>
                <w:rFonts w:cs="Arial"/>
                <w:sz w:val="12"/>
                <w:szCs w:val="12"/>
                <w:cs/>
              </w:rPr>
              <w:t xml:space="preserve"> </w:t>
            </w:r>
            <w:r w:rsidRPr="00787196">
              <w:rPr>
                <w:rFonts w:ascii="Latha" w:hAnsi="Latha" w:cs="Arial Unicode MS"/>
                <w:sz w:val="12"/>
                <w:szCs w:val="12"/>
                <w:cs/>
              </w:rPr>
              <w:t>அளவு</w:t>
            </w:r>
            <w:r w:rsidRPr="00787196">
              <w:rPr>
                <w:rFonts w:cs="Arial"/>
                <w:sz w:val="12"/>
                <w:szCs w:val="12"/>
                <w:cs/>
              </w:rPr>
              <w:t xml:space="preserve"> </w:t>
            </w:r>
            <w:r w:rsidRPr="00787196">
              <w:rPr>
                <w:rFonts w:ascii="Latha" w:hAnsi="Latha" w:cs="Arial Unicode MS"/>
                <w:sz w:val="12"/>
                <w:szCs w:val="12"/>
                <w:cs/>
              </w:rPr>
              <w:t>சற்று</w:t>
            </w:r>
            <w:r w:rsidRPr="00787196">
              <w:rPr>
                <w:rFonts w:cs="Arial"/>
                <w:sz w:val="12"/>
                <w:szCs w:val="12"/>
                <w:cs/>
              </w:rPr>
              <w:t xml:space="preserve"> </w:t>
            </w:r>
            <w:r w:rsidRPr="00787196">
              <w:rPr>
                <w:rFonts w:ascii="Latha" w:hAnsi="Latha" w:cs="Arial Unicode MS"/>
                <w:sz w:val="12"/>
                <w:szCs w:val="12"/>
                <w:cs/>
              </w:rPr>
              <w:t>மேலும்</w:t>
            </w:r>
            <w:r w:rsidRPr="00787196">
              <w:rPr>
                <w:rFonts w:cs="Arial"/>
                <w:sz w:val="12"/>
                <w:szCs w:val="12"/>
                <w:cs/>
              </w:rPr>
              <w:t xml:space="preserve"> </w:t>
            </w:r>
            <w:r w:rsidRPr="00787196">
              <w:rPr>
                <w:rFonts w:ascii="Latha" w:hAnsi="Latha" w:cs="Arial Unicode MS"/>
                <w:sz w:val="12"/>
                <w:szCs w:val="12"/>
                <w:cs/>
              </w:rPr>
              <w:t>குறைந்து</w:t>
            </w:r>
            <w:r w:rsidRPr="00787196">
              <w:rPr>
                <w:rFonts w:cs="Arial"/>
                <w:sz w:val="12"/>
                <w:szCs w:val="12"/>
                <w:cs/>
              </w:rPr>
              <w:t xml:space="preserve"> </w:t>
            </w:r>
            <w:r w:rsidRPr="00787196">
              <w:rPr>
                <w:rFonts w:ascii="Latha" w:hAnsi="Latha" w:cs="Arial Unicode MS"/>
                <w:sz w:val="12"/>
                <w:szCs w:val="12"/>
                <w:cs/>
              </w:rPr>
              <w:t>விடுகிறது</w:t>
            </w:r>
            <w:r w:rsidRPr="00787196">
              <w:rPr>
                <w:rFonts w:cs="Arial"/>
                <w:sz w:val="12"/>
                <w:szCs w:val="12"/>
                <w:cs/>
              </w:rPr>
              <w:t xml:space="preserve"> </w:t>
            </w:r>
          </w:p>
        </w:tc>
        <w:tc>
          <w:tcPr>
            <w:tcW w:w="776" w:type="pct"/>
            <w:shd w:val="clear" w:color="auto" w:fill="auto"/>
            <w:vAlign w:val="center"/>
          </w:tcPr>
          <w:p w14:paraId="6DA2264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00A34412"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127704BD"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7AFD81DA"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42C52E6D" w14:textId="77777777" w:rsidTr="00F36DFB">
        <w:trPr>
          <w:cantSplit/>
          <w:trHeight w:val="1265"/>
        </w:trPr>
        <w:tc>
          <w:tcPr>
            <w:tcW w:w="1613" w:type="pct"/>
            <w:shd w:val="clear" w:color="auto" w:fill="auto"/>
            <w:vAlign w:val="center"/>
          </w:tcPr>
          <w:p w14:paraId="3930205B"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18. </w:t>
            </w:r>
            <w:r w:rsidRPr="00787196">
              <w:rPr>
                <w:rFonts w:ascii="Latha" w:hAnsi="Latha" w:cs="Arial Unicode MS"/>
                <w:sz w:val="12"/>
                <w:szCs w:val="12"/>
                <w:cs/>
              </w:rPr>
              <w:t>நான்</w:t>
            </w:r>
            <w:r w:rsidRPr="00787196">
              <w:rPr>
                <w:rFonts w:cs="Arial"/>
                <w:sz w:val="12"/>
                <w:szCs w:val="12"/>
                <w:cs/>
              </w:rPr>
              <w:t xml:space="preserve"> </w:t>
            </w:r>
            <w:r w:rsidRPr="00787196">
              <w:rPr>
                <w:rFonts w:ascii="Latha" w:hAnsi="Latha" w:cs="Arial Unicode MS"/>
                <w:sz w:val="12"/>
                <w:szCs w:val="12"/>
                <w:cs/>
              </w:rPr>
              <w:t>மூப்படையும்</w:t>
            </w:r>
            <w:r w:rsidRPr="00787196">
              <w:rPr>
                <w:rFonts w:cs="Arial"/>
                <w:sz w:val="12"/>
                <w:szCs w:val="12"/>
                <w:cs/>
              </w:rPr>
              <w:t xml:space="preserve"> </w:t>
            </w:r>
            <w:r w:rsidRPr="00787196">
              <w:rPr>
                <w:rFonts w:ascii="Latha" w:hAnsi="Latha" w:cs="Arial Unicode MS"/>
                <w:sz w:val="12"/>
                <w:szCs w:val="12"/>
                <w:cs/>
              </w:rPr>
              <w:t>போது</w:t>
            </w:r>
            <w:r w:rsidRPr="00787196">
              <w:rPr>
                <w:rFonts w:cs="Arial"/>
                <w:sz w:val="12"/>
                <w:szCs w:val="12"/>
                <w:cs/>
              </w:rPr>
              <w:t xml:space="preserve">, </w:t>
            </w:r>
            <w:r w:rsidRPr="00787196">
              <w:rPr>
                <w:rFonts w:ascii="Latha" w:hAnsi="Latha" w:cs="Arial Unicode MS"/>
                <w:sz w:val="12"/>
                <w:szCs w:val="12"/>
                <w:cs/>
              </w:rPr>
              <w:t>எனது</w:t>
            </w:r>
            <w:r w:rsidRPr="00787196">
              <w:rPr>
                <w:rFonts w:cs="Arial"/>
                <w:sz w:val="12"/>
                <w:szCs w:val="12"/>
                <w:cs/>
              </w:rPr>
              <w:t xml:space="preserve"> </w:t>
            </w:r>
            <w:r w:rsidRPr="00787196">
              <w:rPr>
                <w:rFonts w:ascii="Latha" w:hAnsi="Latha" w:cs="Arial Unicode MS"/>
                <w:sz w:val="12"/>
                <w:szCs w:val="12"/>
                <w:cs/>
              </w:rPr>
              <w:t>குடும்பம்</w:t>
            </w:r>
            <w:r w:rsidRPr="00787196">
              <w:rPr>
                <w:rFonts w:cs="Arial"/>
                <w:sz w:val="12"/>
                <w:szCs w:val="12"/>
                <w:cs/>
              </w:rPr>
              <w:t xml:space="preserve"> </w:t>
            </w:r>
            <w:r w:rsidRPr="00787196">
              <w:rPr>
                <w:rFonts w:ascii="Latha" w:hAnsi="Latha" w:cs="Arial Unicode MS"/>
                <w:sz w:val="12"/>
                <w:szCs w:val="12"/>
                <w:cs/>
              </w:rPr>
              <w:t>மற்றும்</w:t>
            </w:r>
            <w:r w:rsidRPr="00787196">
              <w:rPr>
                <w:rFonts w:cs="Arial"/>
                <w:sz w:val="12"/>
                <w:szCs w:val="12"/>
                <w:cs/>
              </w:rPr>
              <w:t xml:space="preserve"> </w:t>
            </w:r>
            <w:r w:rsidRPr="00787196">
              <w:rPr>
                <w:rFonts w:ascii="Latha" w:hAnsi="Latha" w:cs="Arial Unicode MS"/>
                <w:sz w:val="12"/>
                <w:szCs w:val="12"/>
                <w:cs/>
              </w:rPr>
              <w:t>நண்பர்களுடன்</w:t>
            </w:r>
            <w:r w:rsidRPr="00787196">
              <w:rPr>
                <w:rFonts w:cs="Arial"/>
                <w:sz w:val="12"/>
                <w:szCs w:val="12"/>
                <w:cs/>
              </w:rPr>
              <w:t xml:space="preserve"> </w:t>
            </w:r>
            <w:r w:rsidRPr="00787196">
              <w:rPr>
                <w:rFonts w:ascii="Latha" w:hAnsi="Latha" w:cs="Arial Unicode MS"/>
                <w:sz w:val="12"/>
                <w:szCs w:val="12"/>
                <w:cs/>
              </w:rPr>
              <w:t>குறைந்த</w:t>
            </w:r>
            <w:r w:rsidRPr="00787196">
              <w:rPr>
                <w:rFonts w:cs="Arial"/>
                <w:sz w:val="12"/>
                <w:szCs w:val="12"/>
                <w:cs/>
              </w:rPr>
              <w:t xml:space="preserve"> </w:t>
            </w:r>
            <w:r w:rsidRPr="00787196">
              <w:rPr>
                <w:rFonts w:ascii="Latha" w:hAnsi="Latha" w:cs="Arial Unicode MS"/>
                <w:sz w:val="12"/>
                <w:szCs w:val="12"/>
                <w:cs/>
              </w:rPr>
              <w:t>நேரமே</w:t>
            </w:r>
            <w:r w:rsidRPr="00787196">
              <w:rPr>
                <w:rFonts w:cs="Arial"/>
                <w:sz w:val="12"/>
                <w:szCs w:val="12"/>
                <w:cs/>
              </w:rPr>
              <w:t xml:space="preserve"> </w:t>
            </w:r>
            <w:r w:rsidRPr="00787196">
              <w:rPr>
                <w:rFonts w:ascii="Latha" w:hAnsi="Latha" w:cs="Arial Unicode MS"/>
                <w:sz w:val="12"/>
                <w:szCs w:val="12"/>
                <w:cs/>
              </w:rPr>
              <w:t>செலவிட</w:t>
            </w:r>
            <w:r w:rsidRPr="00787196">
              <w:rPr>
                <w:rFonts w:cs="Arial"/>
                <w:sz w:val="12"/>
                <w:szCs w:val="12"/>
                <w:cs/>
              </w:rPr>
              <w:t xml:space="preserve"> </w:t>
            </w:r>
            <w:r w:rsidRPr="00787196">
              <w:rPr>
                <w:rFonts w:ascii="Latha" w:hAnsi="Latha" w:cs="Arial Unicode MS"/>
                <w:sz w:val="12"/>
                <w:szCs w:val="12"/>
                <w:cs/>
              </w:rPr>
              <w:t>முடியும்</w:t>
            </w:r>
            <w:r w:rsidRPr="00787196">
              <w:rPr>
                <w:rFonts w:cs="Arial"/>
                <w:sz w:val="12"/>
                <w:szCs w:val="12"/>
                <w:cs/>
              </w:rPr>
              <w:t xml:space="preserve"> </w:t>
            </w:r>
            <w:r w:rsidRPr="00787196">
              <w:rPr>
                <w:rFonts w:ascii="Latha" w:hAnsi="Latha" w:cs="Arial Unicode MS"/>
                <w:sz w:val="12"/>
                <w:szCs w:val="12"/>
                <w:cs/>
              </w:rPr>
              <w:t>என</w:t>
            </w:r>
            <w:r w:rsidRPr="00787196">
              <w:rPr>
                <w:rFonts w:cs="Arial"/>
                <w:sz w:val="12"/>
                <w:szCs w:val="12"/>
                <w:cs/>
              </w:rPr>
              <w:t xml:space="preserve"> </w:t>
            </w:r>
            <w:r w:rsidRPr="00787196">
              <w:rPr>
                <w:rFonts w:ascii="Latha" w:hAnsi="Latha" w:cs="Arial Unicode MS"/>
                <w:sz w:val="12"/>
                <w:szCs w:val="12"/>
                <w:cs/>
              </w:rPr>
              <w:t>எதிர்பார்க்கின்றேன்</w:t>
            </w:r>
            <w:r w:rsidRPr="00787196">
              <w:rPr>
                <w:rFonts w:cs="Arial"/>
                <w:sz w:val="12"/>
                <w:szCs w:val="12"/>
                <w:cs/>
              </w:rPr>
              <w:t>.</w:t>
            </w:r>
          </w:p>
        </w:tc>
        <w:tc>
          <w:tcPr>
            <w:tcW w:w="776" w:type="pct"/>
            <w:shd w:val="clear" w:color="auto" w:fill="auto"/>
            <w:vAlign w:val="center"/>
          </w:tcPr>
          <w:p w14:paraId="06560932"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2DAB773E"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260A4238"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729B16C3"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003306A3" w14:textId="77777777" w:rsidTr="00F36DFB">
        <w:trPr>
          <w:cantSplit/>
          <w:trHeight w:val="929"/>
        </w:trPr>
        <w:tc>
          <w:tcPr>
            <w:tcW w:w="1613" w:type="pct"/>
            <w:shd w:val="clear" w:color="auto" w:fill="auto"/>
            <w:vAlign w:val="center"/>
          </w:tcPr>
          <w:p w14:paraId="2192E18B"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19. </w:t>
            </w:r>
            <w:r w:rsidRPr="00787196">
              <w:rPr>
                <w:rFonts w:ascii="Latha" w:hAnsi="Latha" w:cs="Arial Unicode MS"/>
                <w:sz w:val="12"/>
                <w:szCs w:val="12"/>
                <w:cs/>
              </w:rPr>
              <w:t>தனிமை</w:t>
            </w:r>
            <w:r w:rsidRPr="00787196">
              <w:rPr>
                <w:rFonts w:cs="Arial"/>
                <w:sz w:val="12"/>
                <w:szCs w:val="12"/>
                <w:cs/>
              </w:rPr>
              <w:t xml:space="preserve"> </w:t>
            </w:r>
            <w:r w:rsidRPr="00787196">
              <w:rPr>
                <w:rFonts w:ascii="Latha" w:hAnsi="Latha" w:cs="Arial Unicode MS"/>
                <w:sz w:val="12"/>
                <w:szCs w:val="12"/>
                <w:cs/>
              </w:rPr>
              <w:t>வாழ்க்கை</w:t>
            </w:r>
            <w:r w:rsidRPr="00787196">
              <w:rPr>
                <w:rFonts w:cs="Arial"/>
                <w:sz w:val="12"/>
                <w:szCs w:val="12"/>
                <w:cs/>
              </w:rPr>
              <w:t xml:space="preserve"> </w:t>
            </w:r>
            <w:r w:rsidRPr="00787196">
              <w:rPr>
                <w:rFonts w:ascii="Latha" w:hAnsi="Latha" w:cs="Arial Unicode MS"/>
                <w:sz w:val="12"/>
                <w:szCs w:val="12"/>
                <w:cs/>
              </w:rPr>
              <w:t>என்பது</w:t>
            </w:r>
            <w:r w:rsidRPr="00787196">
              <w:rPr>
                <w:rFonts w:cs="Arial"/>
                <w:sz w:val="12"/>
                <w:szCs w:val="12"/>
                <w:cs/>
              </w:rPr>
              <w:t xml:space="preserve"> </w:t>
            </w:r>
            <w:r w:rsidRPr="00787196">
              <w:rPr>
                <w:rFonts w:ascii="Latha" w:hAnsi="Latha" w:cs="Arial Unicode MS"/>
                <w:sz w:val="12"/>
                <w:szCs w:val="12"/>
                <w:cs/>
              </w:rPr>
              <w:t>முதுமை</w:t>
            </w:r>
            <w:r w:rsidRPr="00787196">
              <w:rPr>
                <w:rFonts w:cs="Arial"/>
                <w:sz w:val="12"/>
                <w:szCs w:val="12"/>
                <w:cs/>
              </w:rPr>
              <w:t xml:space="preserve"> </w:t>
            </w:r>
            <w:r w:rsidRPr="00787196">
              <w:rPr>
                <w:rFonts w:ascii="Latha" w:hAnsi="Latha" w:cs="Arial Unicode MS"/>
                <w:sz w:val="12"/>
                <w:szCs w:val="12"/>
                <w:cs/>
              </w:rPr>
              <w:t>அடையும்</w:t>
            </w:r>
            <w:r w:rsidRPr="00787196">
              <w:rPr>
                <w:rFonts w:cs="Arial"/>
                <w:sz w:val="12"/>
                <w:szCs w:val="12"/>
                <w:cs/>
              </w:rPr>
              <w:t xml:space="preserve"> </w:t>
            </w:r>
            <w:r w:rsidRPr="00787196">
              <w:rPr>
                <w:rFonts w:ascii="Latha" w:hAnsi="Latha" w:cs="Arial Unicode MS"/>
                <w:sz w:val="12"/>
                <w:szCs w:val="12"/>
                <w:cs/>
              </w:rPr>
              <w:t>போது</w:t>
            </w:r>
            <w:r w:rsidRPr="00787196">
              <w:rPr>
                <w:rFonts w:cs="Arial"/>
                <w:sz w:val="12"/>
                <w:szCs w:val="12"/>
                <w:cs/>
              </w:rPr>
              <w:t xml:space="preserve"> </w:t>
            </w:r>
            <w:r w:rsidRPr="00787196">
              <w:rPr>
                <w:rFonts w:ascii="Latha" w:hAnsi="Latha" w:cs="Arial Unicode MS"/>
                <w:sz w:val="12"/>
                <w:szCs w:val="12"/>
                <w:cs/>
              </w:rPr>
              <w:t>ஏற்படும்</w:t>
            </w:r>
            <w:r w:rsidRPr="00787196">
              <w:rPr>
                <w:rFonts w:cs="Arial"/>
                <w:sz w:val="12"/>
                <w:szCs w:val="12"/>
                <w:cs/>
              </w:rPr>
              <w:t xml:space="preserve"> </w:t>
            </w:r>
            <w:r w:rsidRPr="00787196">
              <w:rPr>
                <w:rFonts w:ascii="Latha" w:hAnsi="Latha" w:cs="Arial Unicode MS"/>
                <w:sz w:val="12"/>
                <w:szCs w:val="12"/>
                <w:cs/>
              </w:rPr>
              <w:t>ஒன்றாகும்</w:t>
            </w:r>
            <w:r w:rsidRPr="00787196">
              <w:rPr>
                <w:rFonts w:cs="Arial"/>
                <w:sz w:val="12"/>
                <w:szCs w:val="12"/>
              </w:rPr>
              <w:t>.</w:t>
            </w:r>
          </w:p>
        </w:tc>
        <w:tc>
          <w:tcPr>
            <w:tcW w:w="776" w:type="pct"/>
            <w:shd w:val="clear" w:color="auto" w:fill="auto"/>
            <w:vAlign w:val="center"/>
          </w:tcPr>
          <w:p w14:paraId="1AE3521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1DD0DF80"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711AEC3E"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30E5EFF3"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5195AF46" w14:textId="77777777" w:rsidTr="00F36DFB">
        <w:trPr>
          <w:cantSplit/>
          <w:trHeight w:val="695"/>
        </w:trPr>
        <w:tc>
          <w:tcPr>
            <w:tcW w:w="1613" w:type="pct"/>
            <w:shd w:val="clear" w:color="auto" w:fill="auto"/>
            <w:vAlign w:val="center"/>
          </w:tcPr>
          <w:p w14:paraId="40924806"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20. </w:t>
            </w:r>
            <w:r w:rsidRPr="00787196">
              <w:rPr>
                <w:rFonts w:ascii="Latha" w:hAnsi="Latha" w:cs="Arial Unicode MS"/>
                <w:sz w:val="12"/>
                <w:szCs w:val="12"/>
                <w:cs/>
              </w:rPr>
              <w:t>முதுமை</w:t>
            </w:r>
            <w:r w:rsidRPr="00787196">
              <w:rPr>
                <w:rFonts w:cs="Arial"/>
                <w:sz w:val="12"/>
                <w:szCs w:val="12"/>
                <w:cs/>
              </w:rPr>
              <w:t xml:space="preserve"> </w:t>
            </w:r>
            <w:r w:rsidRPr="00787196">
              <w:rPr>
                <w:rFonts w:ascii="Latha" w:hAnsi="Latha" w:cs="Arial Unicode MS"/>
                <w:sz w:val="12"/>
                <w:szCs w:val="12"/>
                <w:cs/>
              </w:rPr>
              <w:t>அடையும்</w:t>
            </w:r>
            <w:r w:rsidRPr="00787196">
              <w:rPr>
                <w:rFonts w:cs="Arial"/>
                <w:sz w:val="12"/>
                <w:szCs w:val="12"/>
                <w:cs/>
              </w:rPr>
              <w:t xml:space="preserve"> </w:t>
            </w:r>
            <w:r w:rsidRPr="00787196">
              <w:rPr>
                <w:rFonts w:ascii="Latha" w:hAnsi="Latha" w:cs="Arial Unicode MS"/>
                <w:sz w:val="12"/>
                <w:szCs w:val="12"/>
                <w:cs/>
              </w:rPr>
              <w:t>போது</w:t>
            </w:r>
            <w:r w:rsidRPr="00787196">
              <w:rPr>
                <w:rFonts w:cs="Arial"/>
                <w:sz w:val="12"/>
                <w:szCs w:val="12"/>
                <w:cs/>
              </w:rPr>
              <w:t xml:space="preserve"> </w:t>
            </w:r>
            <w:r w:rsidRPr="00787196">
              <w:rPr>
                <w:rFonts w:ascii="Latha" w:hAnsi="Latha" w:cs="Arial Unicode MS"/>
                <w:sz w:val="12"/>
                <w:szCs w:val="12"/>
                <w:cs/>
              </w:rPr>
              <w:t>மக்கள்</w:t>
            </w:r>
            <w:r w:rsidRPr="00787196">
              <w:rPr>
                <w:rFonts w:cs="Arial"/>
                <w:sz w:val="12"/>
                <w:szCs w:val="12"/>
                <w:cs/>
              </w:rPr>
              <w:t xml:space="preserve"> </w:t>
            </w:r>
            <w:r w:rsidRPr="00787196">
              <w:rPr>
                <w:rFonts w:ascii="Latha" w:hAnsi="Latha" w:cs="Arial Unicode MS"/>
                <w:sz w:val="12"/>
                <w:szCs w:val="12"/>
                <w:cs/>
              </w:rPr>
              <w:t>மிகவும்</w:t>
            </w:r>
            <w:r w:rsidRPr="00787196">
              <w:rPr>
                <w:rFonts w:cs="Arial"/>
                <w:sz w:val="12"/>
                <w:szCs w:val="12"/>
                <w:cs/>
              </w:rPr>
              <w:t xml:space="preserve"> </w:t>
            </w:r>
            <w:r w:rsidRPr="00787196">
              <w:rPr>
                <w:rFonts w:ascii="Latha" w:hAnsi="Latha" w:cs="Arial Unicode MS"/>
                <w:sz w:val="12"/>
                <w:szCs w:val="12"/>
                <w:cs/>
              </w:rPr>
              <w:t>கவலை</w:t>
            </w:r>
            <w:r w:rsidRPr="00787196">
              <w:rPr>
                <w:rFonts w:cs="Arial"/>
                <w:sz w:val="12"/>
                <w:szCs w:val="12"/>
                <w:cs/>
              </w:rPr>
              <w:t xml:space="preserve"> </w:t>
            </w:r>
            <w:r w:rsidRPr="00787196">
              <w:rPr>
                <w:rFonts w:ascii="Latha" w:hAnsi="Latha" w:cs="Arial Unicode MS"/>
                <w:sz w:val="12"/>
                <w:szCs w:val="12"/>
                <w:cs/>
              </w:rPr>
              <w:t>அடைகின்றனர்</w:t>
            </w:r>
          </w:p>
        </w:tc>
        <w:tc>
          <w:tcPr>
            <w:tcW w:w="776" w:type="pct"/>
            <w:shd w:val="clear" w:color="auto" w:fill="auto"/>
            <w:vAlign w:val="center"/>
          </w:tcPr>
          <w:p w14:paraId="46E1D97C"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616140F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6B06122E"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62F44F5E"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5DE5EC7C" w14:textId="77777777" w:rsidTr="00F36DFB">
        <w:trPr>
          <w:cantSplit/>
          <w:trHeight w:val="830"/>
        </w:trPr>
        <w:tc>
          <w:tcPr>
            <w:tcW w:w="1613" w:type="pct"/>
            <w:shd w:val="clear" w:color="auto" w:fill="auto"/>
            <w:vAlign w:val="center"/>
          </w:tcPr>
          <w:p w14:paraId="7672005F"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21. </w:t>
            </w:r>
            <w:r w:rsidRPr="00787196">
              <w:rPr>
                <w:rFonts w:ascii="Latha" w:hAnsi="Latha" w:cs="Arial Unicode MS"/>
                <w:sz w:val="12"/>
                <w:szCs w:val="12"/>
                <w:cs/>
              </w:rPr>
              <w:t>முதுமை</w:t>
            </w:r>
            <w:r w:rsidRPr="00787196">
              <w:rPr>
                <w:rFonts w:cs="Arial"/>
                <w:sz w:val="12"/>
                <w:szCs w:val="12"/>
                <w:cs/>
              </w:rPr>
              <w:t xml:space="preserve"> </w:t>
            </w:r>
            <w:r w:rsidRPr="00787196">
              <w:rPr>
                <w:rFonts w:ascii="Latha" w:hAnsi="Latha" w:cs="Arial Unicode MS"/>
                <w:sz w:val="12"/>
                <w:szCs w:val="12"/>
                <w:cs/>
              </w:rPr>
              <w:t>அடையும்</w:t>
            </w:r>
            <w:r w:rsidRPr="00787196">
              <w:rPr>
                <w:rFonts w:cs="Arial"/>
                <w:sz w:val="12"/>
                <w:szCs w:val="12"/>
                <w:cs/>
              </w:rPr>
              <w:t xml:space="preserve"> </w:t>
            </w:r>
            <w:r w:rsidRPr="00787196">
              <w:rPr>
                <w:rFonts w:ascii="Latha" w:hAnsi="Latha" w:cs="Arial Unicode MS"/>
                <w:sz w:val="12"/>
                <w:szCs w:val="12"/>
                <w:cs/>
              </w:rPr>
              <w:t>போது</w:t>
            </w:r>
            <w:r w:rsidRPr="00787196">
              <w:rPr>
                <w:rFonts w:cs="Arial"/>
                <w:sz w:val="12"/>
                <w:szCs w:val="12"/>
                <w:cs/>
              </w:rPr>
              <w:t xml:space="preserve"> </w:t>
            </w:r>
            <w:r w:rsidRPr="00787196">
              <w:rPr>
                <w:rFonts w:ascii="Latha" w:hAnsi="Latha" w:cs="Arial Unicode MS"/>
                <w:sz w:val="12"/>
                <w:szCs w:val="12"/>
                <w:cs/>
              </w:rPr>
              <w:t>மனச்சோர்வு</w:t>
            </w:r>
            <w:r w:rsidRPr="00787196">
              <w:rPr>
                <w:rFonts w:cs="Arial"/>
                <w:sz w:val="12"/>
                <w:szCs w:val="12"/>
                <w:cs/>
              </w:rPr>
              <w:t xml:space="preserve"> </w:t>
            </w:r>
            <w:r w:rsidRPr="00787196">
              <w:rPr>
                <w:rFonts w:ascii="Latha" w:hAnsi="Latha" w:cs="Arial Unicode MS"/>
                <w:sz w:val="12"/>
                <w:szCs w:val="12"/>
                <w:cs/>
              </w:rPr>
              <w:t>ஏற்படுவது</w:t>
            </w:r>
            <w:r w:rsidRPr="00787196">
              <w:rPr>
                <w:rFonts w:cs="Arial"/>
                <w:sz w:val="12"/>
                <w:szCs w:val="12"/>
                <w:cs/>
              </w:rPr>
              <w:t xml:space="preserve"> </w:t>
            </w:r>
            <w:r w:rsidRPr="00787196">
              <w:rPr>
                <w:rFonts w:ascii="Latha" w:hAnsi="Latha" w:cs="Arial Unicode MS"/>
                <w:sz w:val="12"/>
                <w:szCs w:val="12"/>
                <w:cs/>
              </w:rPr>
              <w:t>இயற்கையானது</w:t>
            </w:r>
          </w:p>
        </w:tc>
        <w:tc>
          <w:tcPr>
            <w:tcW w:w="776" w:type="pct"/>
            <w:shd w:val="clear" w:color="auto" w:fill="auto"/>
            <w:vAlign w:val="center"/>
          </w:tcPr>
          <w:p w14:paraId="0E852497"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24D973DF"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453F02A2"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1D54EBC7"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7CD8BF64" w14:textId="77777777" w:rsidTr="00F36DFB">
        <w:trPr>
          <w:cantSplit/>
          <w:trHeight w:val="781"/>
        </w:trPr>
        <w:tc>
          <w:tcPr>
            <w:tcW w:w="1613" w:type="pct"/>
            <w:shd w:val="clear" w:color="auto" w:fill="auto"/>
            <w:vAlign w:val="center"/>
          </w:tcPr>
          <w:p w14:paraId="58AE3DEB"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 xml:space="preserve">22. </w:t>
            </w:r>
            <w:r w:rsidRPr="00787196">
              <w:rPr>
                <w:rFonts w:ascii="Latha" w:hAnsi="Latha" w:cs="Arial Unicode MS"/>
                <w:sz w:val="12"/>
                <w:szCs w:val="12"/>
                <w:cs/>
              </w:rPr>
              <w:t>முதுமையடையும்</w:t>
            </w:r>
            <w:r w:rsidRPr="00787196">
              <w:rPr>
                <w:rFonts w:cs="Arial"/>
                <w:sz w:val="12"/>
                <w:szCs w:val="12"/>
                <w:cs/>
              </w:rPr>
              <w:t xml:space="preserve"> </w:t>
            </w:r>
            <w:r w:rsidRPr="00787196">
              <w:rPr>
                <w:rFonts w:ascii="Latha" w:hAnsi="Latha" w:cs="Arial Unicode MS"/>
                <w:sz w:val="12"/>
                <w:szCs w:val="12"/>
                <w:cs/>
              </w:rPr>
              <w:t>போது</w:t>
            </w:r>
            <w:r w:rsidRPr="00787196">
              <w:rPr>
                <w:rFonts w:cs="Arial"/>
                <w:sz w:val="12"/>
                <w:szCs w:val="12"/>
                <w:cs/>
              </w:rPr>
              <w:t xml:space="preserve"> </w:t>
            </w:r>
            <w:r w:rsidRPr="00787196">
              <w:rPr>
                <w:rFonts w:ascii="Latha" w:hAnsi="Latha" w:cs="Arial Unicode MS"/>
                <w:sz w:val="12"/>
                <w:szCs w:val="12"/>
                <w:cs/>
              </w:rPr>
              <w:t>நான்</w:t>
            </w:r>
            <w:r w:rsidRPr="00787196">
              <w:rPr>
                <w:rFonts w:cs="Arial"/>
                <w:sz w:val="12"/>
                <w:szCs w:val="12"/>
                <w:cs/>
              </w:rPr>
              <w:t xml:space="preserve"> </w:t>
            </w:r>
            <w:r w:rsidRPr="00787196">
              <w:rPr>
                <w:rFonts w:ascii="Latha" w:hAnsi="Latha" w:cs="Arial Unicode MS"/>
                <w:sz w:val="12"/>
                <w:szCs w:val="12"/>
                <w:cs/>
              </w:rPr>
              <w:t>மிகுந்த</w:t>
            </w:r>
            <w:r w:rsidRPr="00787196">
              <w:rPr>
                <w:rFonts w:cs="Arial"/>
                <w:sz w:val="12"/>
                <w:szCs w:val="12"/>
                <w:cs/>
              </w:rPr>
              <w:t xml:space="preserve"> </w:t>
            </w:r>
            <w:r w:rsidRPr="00787196">
              <w:rPr>
                <w:rFonts w:ascii="Latha" w:hAnsi="Latha" w:cs="Arial Unicode MS"/>
                <w:sz w:val="12"/>
                <w:szCs w:val="12"/>
                <w:cs/>
              </w:rPr>
              <w:t>மறதியுடைய</w:t>
            </w:r>
            <w:r w:rsidRPr="00787196">
              <w:rPr>
                <w:rFonts w:cs="Arial"/>
                <w:sz w:val="12"/>
                <w:szCs w:val="12"/>
                <w:cs/>
              </w:rPr>
              <w:t xml:space="preserve"> </w:t>
            </w:r>
            <w:r w:rsidRPr="00787196">
              <w:rPr>
                <w:rFonts w:ascii="Latha" w:hAnsi="Latha" w:cs="Arial Unicode MS"/>
                <w:sz w:val="12"/>
                <w:szCs w:val="12"/>
                <w:cs/>
              </w:rPr>
              <w:t>ஓர்</w:t>
            </w:r>
            <w:r w:rsidRPr="00787196">
              <w:rPr>
                <w:rFonts w:cs="Arial"/>
                <w:sz w:val="12"/>
                <w:szCs w:val="12"/>
                <w:cs/>
              </w:rPr>
              <w:t xml:space="preserve"> </w:t>
            </w:r>
            <w:r w:rsidRPr="00787196">
              <w:rPr>
                <w:rFonts w:ascii="Latha" w:hAnsi="Latha" w:cs="Arial Unicode MS"/>
                <w:sz w:val="12"/>
                <w:szCs w:val="12"/>
                <w:cs/>
              </w:rPr>
              <w:t>நபராக</w:t>
            </w:r>
            <w:r w:rsidRPr="00787196">
              <w:rPr>
                <w:rFonts w:cs="Arial"/>
                <w:sz w:val="12"/>
                <w:szCs w:val="12"/>
                <w:cs/>
              </w:rPr>
              <w:t xml:space="preserve"> </w:t>
            </w:r>
            <w:r w:rsidRPr="00787196">
              <w:rPr>
                <w:rFonts w:ascii="Latha" w:hAnsi="Latha" w:cs="Arial Unicode MS"/>
                <w:sz w:val="12"/>
                <w:szCs w:val="12"/>
                <w:cs/>
              </w:rPr>
              <w:t>ஆகிவிடுவேன்</w:t>
            </w:r>
          </w:p>
        </w:tc>
        <w:tc>
          <w:tcPr>
            <w:tcW w:w="776" w:type="pct"/>
            <w:shd w:val="clear" w:color="auto" w:fill="auto"/>
            <w:vAlign w:val="center"/>
          </w:tcPr>
          <w:p w14:paraId="2F8A374A"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6477E055"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65E5FD89"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433C56BF"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4974B51D" w14:textId="77777777" w:rsidTr="00F36DFB">
        <w:trPr>
          <w:cantSplit/>
          <w:trHeight w:val="791"/>
        </w:trPr>
        <w:tc>
          <w:tcPr>
            <w:tcW w:w="1613" w:type="pct"/>
            <w:shd w:val="clear" w:color="auto" w:fill="auto"/>
            <w:vAlign w:val="center"/>
          </w:tcPr>
          <w:p w14:paraId="22334FA6" w14:textId="77777777" w:rsidR="00F36DFB" w:rsidRPr="00787196" w:rsidRDefault="00F36DFB" w:rsidP="001A7B07">
            <w:pPr>
              <w:spacing w:before="0" w:after="0" w:line="276" w:lineRule="auto"/>
              <w:jc w:val="left"/>
              <w:rPr>
                <w:rFonts w:cs="Arial"/>
                <w:sz w:val="16"/>
                <w:szCs w:val="16"/>
              </w:rPr>
            </w:pPr>
            <w:r w:rsidRPr="00787196">
              <w:rPr>
                <w:rFonts w:cs="Arial"/>
                <w:sz w:val="12"/>
                <w:szCs w:val="12"/>
              </w:rPr>
              <w:t>23.</w:t>
            </w:r>
            <w:r w:rsidRPr="00787196">
              <w:rPr>
                <w:rFonts w:cs="Arial"/>
                <w:sz w:val="12"/>
                <w:szCs w:val="12"/>
                <w:cs/>
              </w:rPr>
              <w:t xml:space="preserve"> </w:t>
            </w:r>
            <w:r w:rsidRPr="00787196">
              <w:rPr>
                <w:rFonts w:ascii="Latha" w:hAnsi="Latha" w:cs="Arial Unicode MS"/>
                <w:sz w:val="12"/>
                <w:szCs w:val="12"/>
                <w:cs/>
              </w:rPr>
              <w:t>ஒருவருடைய</w:t>
            </w:r>
            <w:r w:rsidRPr="00787196">
              <w:rPr>
                <w:rFonts w:cs="Arial"/>
                <w:sz w:val="12"/>
                <w:szCs w:val="12"/>
                <w:cs/>
              </w:rPr>
              <w:t xml:space="preserve"> </w:t>
            </w:r>
            <w:r w:rsidRPr="00787196">
              <w:rPr>
                <w:rFonts w:ascii="Latha" w:hAnsi="Latha" w:cs="Arial Unicode MS"/>
                <w:sz w:val="12"/>
                <w:szCs w:val="12"/>
                <w:cs/>
              </w:rPr>
              <w:t>பெயரை</w:t>
            </w:r>
            <w:r w:rsidRPr="00787196">
              <w:rPr>
                <w:rFonts w:cs="Arial"/>
                <w:sz w:val="12"/>
                <w:szCs w:val="12"/>
                <w:cs/>
              </w:rPr>
              <w:t xml:space="preserve"> </w:t>
            </w:r>
            <w:r w:rsidRPr="00787196">
              <w:rPr>
                <w:rFonts w:ascii="Latha" w:hAnsi="Latha" w:cs="Arial Unicode MS"/>
                <w:sz w:val="12"/>
                <w:szCs w:val="12"/>
                <w:cs/>
              </w:rPr>
              <w:t>ஞாபகப்படுத்திக்கொள்ள</w:t>
            </w:r>
            <w:r w:rsidRPr="00787196">
              <w:rPr>
                <w:rFonts w:cs="Arial"/>
                <w:sz w:val="12"/>
                <w:szCs w:val="12"/>
                <w:cs/>
              </w:rPr>
              <w:t xml:space="preserve"> </w:t>
            </w:r>
            <w:r w:rsidRPr="00787196">
              <w:rPr>
                <w:rFonts w:ascii="Latha" w:hAnsi="Latha" w:cs="Arial Unicode MS"/>
                <w:sz w:val="12"/>
                <w:szCs w:val="12"/>
                <w:cs/>
              </w:rPr>
              <w:t>சிரமப்படுவது</w:t>
            </w:r>
            <w:r w:rsidRPr="00787196">
              <w:rPr>
                <w:rFonts w:cs="Arial"/>
                <w:sz w:val="12"/>
                <w:szCs w:val="12"/>
                <w:cs/>
              </w:rPr>
              <w:t xml:space="preserve"> </w:t>
            </w:r>
            <w:r w:rsidRPr="00787196">
              <w:rPr>
                <w:rFonts w:ascii="Latha" w:hAnsi="Latha" w:cs="Arial Unicode MS"/>
                <w:sz w:val="12"/>
                <w:szCs w:val="12"/>
                <w:cs/>
              </w:rPr>
              <w:t>முதுமையடைவதின்</w:t>
            </w:r>
            <w:r w:rsidRPr="00787196">
              <w:rPr>
                <w:rFonts w:cs="Arial"/>
                <w:sz w:val="12"/>
                <w:szCs w:val="12"/>
                <w:cs/>
              </w:rPr>
              <w:t xml:space="preserve"> </w:t>
            </w:r>
            <w:r w:rsidRPr="00787196">
              <w:rPr>
                <w:rFonts w:ascii="Latha" w:hAnsi="Latha" w:cs="Arial Unicode MS"/>
                <w:sz w:val="12"/>
                <w:szCs w:val="12"/>
                <w:cs/>
              </w:rPr>
              <w:t>ஏற்றுக்கொள்ளகூடிய</w:t>
            </w:r>
            <w:r w:rsidRPr="00787196">
              <w:rPr>
                <w:rFonts w:cs="Arial"/>
                <w:sz w:val="12"/>
                <w:szCs w:val="12"/>
                <w:cs/>
              </w:rPr>
              <w:t xml:space="preserve"> </w:t>
            </w:r>
            <w:r w:rsidRPr="00787196">
              <w:rPr>
                <w:rFonts w:ascii="Latha" w:hAnsi="Latha" w:cs="Arial Unicode MS"/>
                <w:sz w:val="12"/>
                <w:szCs w:val="12"/>
                <w:cs/>
              </w:rPr>
              <w:t>ஓர்</w:t>
            </w:r>
            <w:r w:rsidRPr="00787196">
              <w:rPr>
                <w:rFonts w:cs="Arial"/>
                <w:sz w:val="12"/>
                <w:szCs w:val="12"/>
                <w:cs/>
              </w:rPr>
              <w:t xml:space="preserve"> </w:t>
            </w:r>
            <w:r w:rsidRPr="00787196">
              <w:rPr>
                <w:rFonts w:ascii="Latha" w:hAnsi="Latha" w:cs="Arial Unicode MS"/>
                <w:sz w:val="12"/>
                <w:szCs w:val="12"/>
                <w:cs/>
              </w:rPr>
              <w:t>அங்கமாகும்</w:t>
            </w:r>
            <w:r w:rsidRPr="00787196">
              <w:rPr>
                <w:rFonts w:cs="Arial"/>
                <w:sz w:val="16"/>
                <w:szCs w:val="16"/>
              </w:rPr>
              <w:t>.</w:t>
            </w:r>
          </w:p>
        </w:tc>
        <w:tc>
          <w:tcPr>
            <w:tcW w:w="776" w:type="pct"/>
            <w:shd w:val="clear" w:color="auto" w:fill="auto"/>
            <w:vAlign w:val="center"/>
          </w:tcPr>
          <w:p w14:paraId="25835192"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39DD25B5"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73FC5828"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32CEFAB5"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674D3BC0" w14:textId="77777777" w:rsidTr="00F36DFB">
        <w:trPr>
          <w:cantSplit/>
          <w:trHeight w:val="910"/>
        </w:trPr>
        <w:tc>
          <w:tcPr>
            <w:tcW w:w="1613" w:type="pct"/>
            <w:shd w:val="clear" w:color="auto" w:fill="auto"/>
            <w:vAlign w:val="center"/>
          </w:tcPr>
          <w:p w14:paraId="1D54FEB1" w14:textId="77777777" w:rsidR="00F36DFB" w:rsidRPr="00787196" w:rsidRDefault="00F36DFB" w:rsidP="001A7B07">
            <w:pPr>
              <w:spacing w:before="0" w:after="0" w:line="276" w:lineRule="auto"/>
              <w:jc w:val="left"/>
              <w:rPr>
                <w:rFonts w:cs="Arial"/>
                <w:sz w:val="16"/>
                <w:szCs w:val="16"/>
              </w:rPr>
            </w:pPr>
            <w:r w:rsidRPr="00787196">
              <w:rPr>
                <w:rFonts w:cs="Arial"/>
                <w:sz w:val="12"/>
                <w:szCs w:val="12"/>
              </w:rPr>
              <w:t xml:space="preserve">24. </w:t>
            </w:r>
            <w:r w:rsidRPr="00787196">
              <w:rPr>
                <w:rFonts w:ascii="Latha" w:hAnsi="Latha" w:cs="Arial Unicode MS"/>
                <w:sz w:val="12"/>
                <w:szCs w:val="12"/>
                <w:cs/>
              </w:rPr>
              <w:t>மறதி</w:t>
            </w:r>
            <w:r w:rsidRPr="00787196">
              <w:rPr>
                <w:rFonts w:cs="Arial"/>
                <w:sz w:val="12"/>
                <w:szCs w:val="12"/>
                <w:cs/>
              </w:rPr>
              <w:t xml:space="preserve"> </w:t>
            </w:r>
            <w:r w:rsidRPr="00787196">
              <w:rPr>
                <w:rFonts w:ascii="Latha" w:hAnsi="Latha" w:cs="Arial Unicode MS"/>
                <w:sz w:val="12"/>
                <w:szCs w:val="12"/>
                <w:cs/>
              </w:rPr>
              <w:t>என்பது</w:t>
            </w:r>
            <w:r w:rsidRPr="00787196">
              <w:rPr>
                <w:rFonts w:cs="Arial"/>
                <w:sz w:val="12"/>
                <w:szCs w:val="12"/>
                <w:cs/>
              </w:rPr>
              <w:t xml:space="preserve"> </w:t>
            </w:r>
            <w:r w:rsidRPr="00787196">
              <w:rPr>
                <w:rFonts w:ascii="Latha" w:hAnsi="Latha" w:cs="Arial Unicode MS"/>
                <w:sz w:val="12"/>
                <w:szCs w:val="12"/>
                <w:cs/>
              </w:rPr>
              <w:t>முதுமை</w:t>
            </w:r>
            <w:r w:rsidRPr="00787196">
              <w:rPr>
                <w:rFonts w:cs="Arial"/>
                <w:sz w:val="12"/>
                <w:szCs w:val="12"/>
                <w:cs/>
              </w:rPr>
              <w:t xml:space="preserve"> </w:t>
            </w:r>
            <w:r w:rsidRPr="00787196">
              <w:rPr>
                <w:rFonts w:ascii="Latha" w:hAnsi="Latha" w:cs="Arial Unicode MS"/>
                <w:sz w:val="12"/>
                <w:szCs w:val="12"/>
                <w:cs/>
              </w:rPr>
              <w:t>அடைவதால்</w:t>
            </w:r>
            <w:r w:rsidRPr="00787196">
              <w:rPr>
                <w:rFonts w:cs="Arial"/>
                <w:sz w:val="12"/>
                <w:szCs w:val="12"/>
                <w:cs/>
              </w:rPr>
              <w:t xml:space="preserve"> </w:t>
            </w:r>
            <w:r w:rsidRPr="00787196">
              <w:rPr>
                <w:rFonts w:ascii="Latha" w:hAnsi="Latha" w:cs="Arial Unicode MS"/>
                <w:sz w:val="12"/>
                <w:szCs w:val="12"/>
                <w:cs/>
              </w:rPr>
              <w:t>ஏற்படும்</w:t>
            </w:r>
            <w:r w:rsidRPr="00787196">
              <w:rPr>
                <w:rFonts w:cs="Arial"/>
                <w:sz w:val="12"/>
                <w:szCs w:val="12"/>
                <w:cs/>
              </w:rPr>
              <w:t xml:space="preserve"> </w:t>
            </w:r>
            <w:r w:rsidRPr="00787196">
              <w:rPr>
                <w:rFonts w:ascii="Latha" w:hAnsi="Latha" w:cs="Arial Unicode MS"/>
                <w:sz w:val="12"/>
                <w:szCs w:val="12"/>
                <w:cs/>
              </w:rPr>
              <w:t>ஓர்</w:t>
            </w:r>
            <w:r w:rsidRPr="00787196">
              <w:rPr>
                <w:rFonts w:cs="Arial"/>
                <w:sz w:val="12"/>
                <w:szCs w:val="12"/>
                <w:cs/>
              </w:rPr>
              <w:t xml:space="preserve"> </w:t>
            </w:r>
            <w:r w:rsidRPr="00787196">
              <w:rPr>
                <w:rFonts w:ascii="Latha" w:hAnsi="Latha" w:cs="Arial Unicode MS"/>
                <w:sz w:val="12"/>
                <w:szCs w:val="12"/>
                <w:cs/>
              </w:rPr>
              <w:t>இயற்கையான</w:t>
            </w:r>
            <w:r w:rsidRPr="00787196">
              <w:rPr>
                <w:rFonts w:cs="Arial"/>
                <w:sz w:val="12"/>
                <w:szCs w:val="12"/>
                <w:cs/>
              </w:rPr>
              <w:t xml:space="preserve"> </w:t>
            </w:r>
            <w:r w:rsidRPr="00787196">
              <w:rPr>
                <w:rFonts w:ascii="Latha" w:hAnsi="Latha" w:cs="Arial Unicode MS"/>
                <w:sz w:val="12"/>
                <w:szCs w:val="12"/>
                <w:cs/>
              </w:rPr>
              <w:t>நிகழ்வு</w:t>
            </w:r>
          </w:p>
        </w:tc>
        <w:tc>
          <w:tcPr>
            <w:tcW w:w="776" w:type="pct"/>
            <w:shd w:val="clear" w:color="auto" w:fill="auto"/>
            <w:vAlign w:val="center"/>
          </w:tcPr>
          <w:p w14:paraId="60BB8804"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155DF8BE"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511C4B18"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4579A8CB"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7B0CD721" w14:textId="77777777" w:rsidTr="00F36DFB">
        <w:trPr>
          <w:cantSplit/>
          <w:trHeight w:val="695"/>
        </w:trPr>
        <w:tc>
          <w:tcPr>
            <w:tcW w:w="1613" w:type="pct"/>
            <w:shd w:val="clear" w:color="auto" w:fill="auto"/>
            <w:vAlign w:val="center"/>
          </w:tcPr>
          <w:p w14:paraId="18FA23F2" w14:textId="77777777" w:rsidR="00F36DFB" w:rsidRPr="00787196" w:rsidRDefault="00F36DFB" w:rsidP="001A7B07">
            <w:pPr>
              <w:spacing w:before="0" w:after="0" w:line="276" w:lineRule="auto"/>
              <w:jc w:val="left"/>
              <w:rPr>
                <w:rFonts w:cs="Arial"/>
                <w:sz w:val="12"/>
                <w:szCs w:val="12"/>
              </w:rPr>
            </w:pPr>
            <w:r w:rsidRPr="00787196">
              <w:rPr>
                <w:rFonts w:cs="Arial"/>
                <w:sz w:val="12"/>
                <w:szCs w:val="12"/>
              </w:rPr>
              <w:t>25.</w:t>
            </w:r>
            <w:r w:rsidRPr="00787196">
              <w:rPr>
                <w:rFonts w:cs="Arial"/>
                <w:sz w:val="12"/>
                <w:szCs w:val="12"/>
                <w:cs/>
              </w:rPr>
              <w:t xml:space="preserve"> </w:t>
            </w:r>
            <w:r w:rsidRPr="00787196">
              <w:rPr>
                <w:rFonts w:ascii="Latha" w:hAnsi="Latha" w:cs="Arial Unicode MS"/>
                <w:sz w:val="12"/>
                <w:szCs w:val="12"/>
                <w:cs/>
              </w:rPr>
              <w:t>முதுமையால்ஏற்படும்</w:t>
            </w:r>
            <w:r w:rsidRPr="00787196">
              <w:rPr>
                <w:rFonts w:cs="Arial"/>
                <w:sz w:val="12"/>
                <w:szCs w:val="12"/>
                <w:cs/>
              </w:rPr>
              <w:t xml:space="preserve"> </w:t>
            </w:r>
            <w:r w:rsidRPr="00787196">
              <w:rPr>
                <w:rFonts w:ascii="Latha" w:hAnsi="Latha" w:cs="Arial Unicode MS"/>
                <w:sz w:val="12"/>
                <w:szCs w:val="12"/>
                <w:cs/>
              </w:rPr>
              <w:t>மனம்</w:t>
            </w:r>
            <w:r w:rsidRPr="00787196">
              <w:rPr>
                <w:rFonts w:cs="Arial"/>
                <w:sz w:val="12"/>
                <w:szCs w:val="12"/>
                <w:cs/>
              </w:rPr>
              <w:t xml:space="preserve"> </w:t>
            </w:r>
            <w:r w:rsidRPr="00787196">
              <w:rPr>
                <w:rFonts w:ascii="Latha" w:hAnsi="Latha" w:cs="Arial Unicode MS"/>
                <w:sz w:val="12"/>
                <w:szCs w:val="12"/>
                <w:cs/>
              </w:rPr>
              <w:t>சார்ந்த</w:t>
            </w:r>
            <w:r w:rsidRPr="00787196">
              <w:rPr>
                <w:rFonts w:cs="Arial"/>
                <w:sz w:val="12"/>
                <w:szCs w:val="12"/>
                <w:cs/>
              </w:rPr>
              <w:t xml:space="preserve"> </w:t>
            </w:r>
            <w:r w:rsidRPr="00787196">
              <w:rPr>
                <w:rFonts w:ascii="Latha" w:hAnsi="Latha" w:cs="Arial Unicode MS"/>
                <w:sz w:val="12"/>
                <w:szCs w:val="12"/>
                <w:cs/>
              </w:rPr>
              <w:t>தொய்விலிருந்து</w:t>
            </w:r>
            <w:r w:rsidRPr="00787196">
              <w:rPr>
                <w:rFonts w:cs="Arial"/>
                <w:sz w:val="12"/>
                <w:szCs w:val="12"/>
                <w:cs/>
              </w:rPr>
              <w:t xml:space="preserve"> </w:t>
            </w:r>
            <w:r w:rsidRPr="00787196">
              <w:rPr>
                <w:rFonts w:ascii="Latha" w:hAnsi="Latha" w:cs="Arial Unicode MS"/>
                <w:sz w:val="12"/>
                <w:szCs w:val="12"/>
                <w:cs/>
              </w:rPr>
              <w:t>விடுபடுவது</w:t>
            </w:r>
            <w:r w:rsidRPr="00787196">
              <w:rPr>
                <w:rFonts w:cs="Arial"/>
                <w:sz w:val="12"/>
                <w:szCs w:val="12"/>
                <w:cs/>
              </w:rPr>
              <w:t xml:space="preserve"> </w:t>
            </w:r>
            <w:r w:rsidRPr="00787196">
              <w:rPr>
                <w:rFonts w:ascii="Latha" w:hAnsi="Latha" w:cs="Arial Unicode MS"/>
                <w:sz w:val="12"/>
                <w:szCs w:val="12"/>
                <w:cs/>
              </w:rPr>
              <w:t>முடியாத</w:t>
            </w:r>
            <w:r w:rsidRPr="00787196">
              <w:rPr>
                <w:rFonts w:cs="Arial"/>
                <w:sz w:val="12"/>
                <w:szCs w:val="12"/>
                <w:cs/>
              </w:rPr>
              <w:t xml:space="preserve"> </w:t>
            </w:r>
            <w:r w:rsidRPr="00787196">
              <w:rPr>
                <w:rFonts w:ascii="Latha" w:hAnsi="Latha" w:cs="Arial Unicode MS"/>
                <w:sz w:val="12"/>
                <w:szCs w:val="12"/>
                <w:cs/>
              </w:rPr>
              <w:t>ஒன்றாகும்</w:t>
            </w:r>
          </w:p>
        </w:tc>
        <w:tc>
          <w:tcPr>
            <w:tcW w:w="776" w:type="pct"/>
            <w:shd w:val="clear" w:color="auto" w:fill="auto"/>
            <w:vAlign w:val="center"/>
          </w:tcPr>
          <w:p w14:paraId="4F41C3AB"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54" w:type="pct"/>
            <w:shd w:val="clear" w:color="auto" w:fill="auto"/>
            <w:vAlign w:val="center"/>
          </w:tcPr>
          <w:p w14:paraId="28FC5F4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929" w:type="pct"/>
            <w:shd w:val="clear" w:color="auto" w:fill="auto"/>
            <w:vAlign w:val="center"/>
          </w:tcPr>
          <w:p w14:paraId="74DFC656"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c>
          <w:tcPr>
            <w:tcW w:w="828" w:type="pct"/>
            <w:shd w:val="clear" w:color="auto" w:fill="auto"/>
            <w:vAlign w:val="center"/>
          </w:tcPr>
          <w:p w14:paraId="47C8BD24" w14:textId="77777777" w:rsidR="00F36DFB" w:rsidRPr="00787196" w:rsidRDefault="00F36DFB" w:rsidP="00F36DFB">
            <w:pPr>
              <w:spacing w:before="0" w:after="0" w:line="240" w:lineRule="auto"/>
              <w:jc w:val="center"/>
              <w:rPr>
                <w:rFonts w:cs="Arial"/>
                <w:sz w:val="20"/>
                <w:szCs w:val="20"/>
              </w:rPr>
            </w:pPr>
            <w:r w:rsidRPr="00787196">
              <w:rPr>
                <w:rFonts w:cs="Arial"/>
                <w:sz w:val="20"/>
                <w:szCs w:val="20"/>
              </w:rPr>
              <w:fldChar w:fldCharType="begin">
                <w:ffData>
                  <w:name w:val="Check2"/>
                  <w:enabled/>
                  <w:calcOnExit w:val="0"/>
                  <w:checkBox>
                    <w:sizeAuto/>
                    <w:default w:val="0"/>
                  </w:checkBox>
                </w:ffData>
              </w:fldChar>
            </w:r>
            <w:r w:rsidRPr="00787196">
              <w:rPr>
                <w:rFonts w:cs="Arial"/>
                <w:sz w:val="20"/>
                <w:szCs w:val="20"/>
              </w:rPr>
              <w:instrText xml:space="preserve"> FORMCHECKBOX </w:instrText>
            </w:r>
            <w:r w:rsidR="006E7D7A">
              <w:rPr>
                <w:rFonts w:cs="Arial"/>
                <w:sz w:val="20"/>
                <w:szCs w:val="20"/>
              </w:rPr>
            </w:r>
            <w:r w:rsidR="006E7D7A">
              <w:rPr>
                <w:rFonts w:cs="Arial"/>
                <w:sz w:val="20"/>
                <w:szCs w:val="20"/>
              </w:rPr>
              <w:fldChar w:fldCharType="separate"/>
            </w:r>
            <w:r w:rsidRPr="00787196">
              <w:rPr>
                <w:rFonts w:cs="Arial"/>
                <w:sz w:val="20"/>
                <w:szCs w:val="20"/>
              </w:rPr>
              <w:fldChar w:fldCharType="end"/>
            </w:r>
          </w:p>
        </w:tc>
      </w:tr>
      <w:tr w:rsidR="00F36DFB" w:rsidRPr="00787196" w14:paraId="48B52A56" w14:textId="77777777" w:rsidTr="00F36DFB">
        <w:trPr>
          <w:cantSplit/>
          <w:trHeight w:val="670"/>
        </w:trPr>
        <w:tc>
          <w:tcPr>
            <w:tcW w:w="1613" w:type="pct"/>
            <w:shd w:val="clear" w:color="auto" w:fill="auto"/>
          </w:tcPr>
          <w:p w14:paraId="36A61103" w14:textId="77777777" w:rsidR="00F36DFB" w:rsidRPr="00787196" w:rsidRDefault="00F36DFB" w:rsidP="00F36DFB">
            <w:pPr>
              <w:spacing w:before="0" w:after="0"/>
              <w:rPr>
                <w:rFonts w:cs="Arial"/>
              </w:rPr>
            </w:pPr>
          </w:p>
        </w:tc>
        <w:tc>
          <w:tcPr>
            <w:tcW w:w="776" w:type="pct"/>
            <w:shd w:val="clear" w:color="auto" w:fill="auto"/>
            <w:vAlign w:val="center"/>
          </w:tcPr>
          <w:p w14:paraId="1BE77C08" w14:textId="77777777" w:rsidR="00F36DFB" w:rsidRPr="00787196" w:rsidRDefault="00F36DFB" w:rsidP="00F36DFB">
            <w:pPr>
              <w:spacing w:before="0" w:after="0" w:line="240" w:lineRule="auto"/>
              <w:jc w:val="center"/>
              <w:rPr>
                <w:rFonts w:cs="Arial"/>
                <w:b/>
                <w:sz w:val="20"/>
                <w:szCs w:val="20"/>
              </w:rPr>
            </w:pPr>
            <w:r w:rsidRPr="00787196">
              <w:rPr>
                <w:rFonts w:ascii="Latha" w:hAnsi="Latha" w:cs="Arial Unicode MS"/>
                <w:b/>
                <w:sz w:val="14"/>
                <w:szCs w:val="14"/>
                <w:cs/>
              </w:rPr>
              <w:t>நிதர்சனமான</w:t>
            </w:r>
            <w:r w:rsidRPr="00787196">
              <w:rPr>
                <w:rFonts w:cs="Arial"/>
                <w:b/>
                <w:sz w:val="14"/>
                <w:szCs w:val="14"/>
                <w:cs/>
              </w:rPr>
              <w:t xml:space="preserve">  </w:t>
            </w:r>
            <w:r w:rsidRPr="00787196">
              <w:rPr>
                <w:rFonts w:ascii="Latha" w:hAnsi="Latha" w:cs="Arial Unicode MS"/>
                <w:b/>
                <w:sz w:val="14"/>
                <w:szCs w:val="14"/>
                <w:cs/>
              </w:rPr>
              <w:t>உண்மை</w:t>
            </w:r>
          </w:p>
        </w:tc>
        <w:tc>
          <w:tcPr>
            <w:tcW w:w="854" w:type="pct"/>
            <w:shd w:val="clear" w:color="auto" w:fill="auto"/>
            <w:vAlign w:val="center"/>
          </w:tcPr>
          <w:p w14:paraId="1A8DED84"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ஓரளவு</w:t>
            </w:r>
            <w:r w:rsidRPr="00787196">
              <w:rPr>
                <w:rFonts w:cs="Arial"/>
                <w:b/>
                <w:sz w:val="14"/>
                <w:szCs w:val="14"/>
                <w:cs/>
              </w:rPr>
              <w:t xml:space="preserve"> </w:t>
            </w:r>
            <w:r w:rsidRPr="00787196">
              <w:rPr>
                <w:rFonts w:ascii="Latha" w:hAnsi="Latha" w:cs="Arial Unicode MS"/>
                <w:b/>
                <w:sz w:val="14"/>
                <w:szCs w:val="14"/>
                <w:cs/>
              </w:rPr>
              <w:t>உண்மை</w:t>
            </w:r>
          </w:p>
        </w:tc>
        <w:tc>
          <w:tcPr>
            <w:tcW w:w="929" w:type="pct"/>
            <w:shd w:val="clear" w:color="auto" w:fill="auto"/>
            <w:vAlign w:val="center"/>
          </w:tcPr>
          <w:p w14:paraId="51DD93AE"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ஓரளவு</w:t>
            </w:r>
            <w:r w:rsidRPr="00787196">
              <w:rPr>
                <w:rFonts w:cs="Arial"/>
                <w:b/>
                <w:sz w:val="14"/>
                <w:szCs w:val="14"/>
                <w:cs/>
              </w:rPr>
              <w:t xml:space="preserve"> </w:t>
            </w:r>
            <w:r w:rsidRPr="00787196">
              <w:rPr>
                <w:rFonts w:ascii="Latha" w:hAnsi="Latha" w:cs="Arial Unicode MS"/>
                <w:b/>
                <w:sz w:val="14"/>
                <w:szCs w:val="14"/>
                <w:cs/>
              </w:rPr>
              <w:t>தவறு</w:t>
            </w:r>
          </w:p>
        </w:tc>
        <w:tc>
          <w:tcPr>
            <w:tcW w:w="828" w:type="pct"/>
            <w:shd w:val="clear" w:color="auto" w:fill="auto"/>
            <w:vAlign w:val="center"/>
          </w:tcPr>
          <w:p w14:paraId="3C7752ED" w14:textId="77777777" w:rsidR="00F36DFB" w:rsidRPr="00787196" w:rsidRDefault="00F36DFB" w:rsidP="00F36DFB">
            <w:pPr>
              <w:spacing w:before="0" w:after="0" w:line="240" w:lineRule="auto"/>
              <w:jc w:val="center"/>
              <w:rPr>
                <w:rFonts w:cs="Arial"/>
                <w:bCs/>
                <w:sz w:val="20"/>
                <w:szCs w:val="20"/>
              </w:rPr>
            </w:pPr>
            <w:r w:rsidRPr="00787196">
              <w:rPr>
                <w:rFonts w:ascii="Latha" w:hAnsi="Latha" w:cs="Arial Unicode MS"/>
                <w:b/>
                <w:sz w:val="14"/>
                <w:szCs w:val="14"/>
                <w:cs/>
              </w:rPr>
              <w:t>நிதர்சனமான</w:t>
            </w:r>
            <w:r w:rsidRPr="00787196">
              <w:rPr>
                <w:rFonts w:cs="Arial"/>
                <w:b/>
                <w:sz w:val="14"/>
                <w:szCs w:val="14"/>
                <w:cs/>
              </w:rPr>
              <w:t xml:space="preserve"> </w:t>
            </w:r>
            <w:r w:rsidRPr="00787196">
              <w:rPr>
                <w:rFonts w:ascii="Latha" w:hAnsi="Latha" w:cs="Arial Unicode MS"/>
                <w:b/>
                <w:sz w:val="14"/>
                <w:szCs w:val="14"/>
                <w:cs/>
              </w:rPr>
              <w:t>தவறு</w:t>
            </w:r>
          </w:p>
        </w:tc>
      </w:tr>
    </w:tbl>
    <w:p w14:paraId="20DF8A56" w14:textId="77777777" w:rsidR="006F0EC1" w:rsidRPr="00787196" w:rsidRDefault="006F0EC1" w:rsidP="00513F57">
      <w:pPr>
        <w:spacing w:before="0" w:after="0" w:line="240" w:lineRule="auto"/>
        <w:rPr>
          <w:rFonts w:cs="Arial"/>
          <w:sz w:val="16"/>
          <w:szCs w:val="14"/>
        </w:rPr>
      </w:pPr>
      <w:r w:rsidRPr="00787196">
        <w:rPr>
          <w:rFonts w:ascii="Latha" w:hAnsi="Latha" w:cs="Arial Unicode MS"/>
          <w:sz w:val="12"/>
          <w:szCs w:val="12"/>
          <w:cs/>
        </w:rPr>
        <w:t>பின்வரும்</w:t>
      </w:r>
      <w:r w:rsidRPr="00787196">
        <w:rPr>
          <w:rFonts w:cs="Arial"/>
          <w:sz w:val="12"/>
          <w:szCs w:val="12"/>
          <w:cs/>
        </w:rPr>
        <w:t xml:space="preserve"> </w:t>
      </w:r>
      <w:r w:rsidRPr="00787196">
        <w:rPr>
          <w:rFonts w:ascii="Latha" w:hAnsi="Latha" w:cs="Arial Unicode MS"/>
          <w:sz w:val="12"/>
          <w:szCs w:val="12"/>
          <w:cs/>
        </w:rPr>
        <w:t>வினாக்கள்</w:t>
      </w:r>
      <w:r w:rsidRPr="00787196">
        <w:rPr>
          <w:rFonts w:cs="Arial"/>
          <w:sz w:val="12"/>
          <w:szCs w:val="12"/>
          <w:cs/>
        </w:rPr>
        <w:t xml:space="preserve">, </w:t>
      </w:r>
      <w:r w:rsidRPr="00787196">
        <w:rPr>
          <w:rFonts w:ascii="Latha" w:hAnsi="Latha" w:cs="Arial Unicode MS"/>
          <w:sz w:val="12"/>
          <w:szCs w:val="12"/>
          <w:cs/>
        </w:rPr>
        <w:t>முதுமை</w:t>
      </w:r>
      <w:r w:rsidRPr="00787196">
        <w:rPr>
          <w:rFonts w:cs="Arial"/>
          <w:sz w:val="12"/>
          <w:szCs w:val="12"/>
          <w:cs/>
        </w:rPr>
        <w:t xml:space="preserve"> </w:t>
      </w:r>
      <w:r w:rsidRPr="00787196">
        <w:rPr>
          <w:rFonts w:ascii="Latha" w:hAnsi="Latha" w:cs="Arial Unicode MS"/>
          <w:sz w:val="12"/>
          <w:szCs w:val="12"/>
          <w:cs/>
        </w:rPr>
        <w:t>அடைவதின்</w:t>
      </w:r>
      <w:r w:rsidRPr="00787196">
        <w:rPr>
          <w:rFonts w:cs="Arial"/>
          <w:sz w:val="12"/>
          <w:szCs w:val="12"/>
          <w:cs/>
        </w:rPr>
        <w:t xml:space="preserve"> </w:t>
      </w:r>
      <w:r w:rsidRPr="00787196">
        <w:rPr>
          <w:rFonts w:ascii="Latha" w:hAnsi="Latha" w:cs="Arial Unicode MS"/>
          <w:sz w:val="12"/>
          <w:szCs w:val="12"/>
          <w:cs/>
        </w:rPr>
        <w:t>செயல்முறை</w:t>
      </w:r>
      <w:r w:rsidRPr="00787196">
        <w:rPr>
          <w:rFonts w:cs="Arial"/>
          <w:sz w:val="12"/>
          <w:szCs w:val="12"/>
          <w:cs/>
        </w:rPr>
        <w:t xml:space="preserve"> </w:t>
      </w:r>
      <w:r w:rsidRPr="00787196">
        <w:rPr>
          <w:rFonts w:ascii="Latha" w:hAnsi="Latha" w:cs="Arial Unicode MS"/>
          <w:sz w:val="12"/>
          <w:szCs w:val="12"/>
          <w:cs/>
        </w:rPr>
        <w:t>மற்றும்</w:t>
      </w:r>
      <w:r w:rsidRPr="00787196">
        <w:rPr>
          <w:rFonts w:cs="Arial"/>
          <w:sz w:val="12"/>
          <w:szCs w:val="12"/>
          <w:cs/>
        </w:rPr>
        <w:t xml:space="preserve"> </w:t>
      </w:r>
      <w:r w:rsidRPr="00787196">
        <w:rPr>
          <w:rFonts w:ascii="Latha" w:hAnsi="Latha" w:cs="Arial Unicode MS"/>
          <w:sz w:val="12"/>
          <w:szCs w:val="12"/>
          <w:cs/>
        </w:rPr>
        <w:t>முதுமையடைவதின்</w:t>
      </w:r>
      <w:r w:rsidRPr="00787196">
        <w:rPr>
          <w:rFonts w:cs="Arial"/>
          <w:sz w:val="12"/>
          <w:szCs w:val="12"/>
          <w:cs/>
        </w:rPr>
        <w:t xml:space="preserve"> </w:t>
      </w:r>
      <w:r w:rsidRPr="00787196">
        <w:rPr>
          <w:rFonts w:ascii="Latha" w:hAnsi="Latha" w:cs="Arial Unicode MS"/>
          <w:sz w:val="12"/>
          <w:szCs w:val="12"/>
          <w:cs/>
        </w:rPr>
        <w:t>மீது</w:t>
      </w:r>
      <w:r w:rsidRPr="00787196">
        <w:rPr>
          <w:rFonts w:cs="Arial"/>
          <w:sz w:val="12"/>
          <w:szCs w:val="12"/>
          <w:cs/>
        </w:rPr>
        <w:t xml:space="preserve"> </w:t>
      </w:r>
      <w:r w:rsidRPr="00787196">
        <w:rPr>
          <w:rFonts w:ascii="Latha" w:hAnsi="Latha" w:cs="Arial Unicode MS"/>
          <w:sz w:val="12"/>
          <w:szCs w:val="12"/>
          <w:cs/>
        </w:rPr>
        <w:t>தங்களது</w:t>
      </w:r>
      <w:r w:rsidRPr="00787196">
        <w:rPr>
          <w:rFonts w:cs="Arial"/>
          <w:sz w:val="12"/>
          <w:szCs w:val="12"/>
          <w:cs/>
        </w:rPr>
        <w:t xml:space="preserve"> </w:t>
      </w:r>
      <w:r w:rsidRPr="00787196">
        <w:rPr>
          <w:rFonts w:ascii="Latha" w:hAnsi="Latha" w:cs="Arial Unicode MS"/>
          <w:sz w:val="12"/>
          <w:szCs w:val="12"/>
          <w:cs/>
        </w:rPr>
        <w:t>எதிர்பார்ப்பு</w:t>
      </w:r>
      <w:r w:rsidRPr="00787196">
        <w:rPr>
          <w:rFonts w:cs="Arial"/>
          <w:sz w:val="12"/>
          <w:szCs w:val="12"/>
          <w:cs/>
        </w:rPr>
        <w:t xml:space="preserve"> </w:t>
      </w:r>
      <w:r w:rsidR="002153D8" w:rsidRPr="00787196">
        <w:rPr>
          <w:rFonts w:ascii="Latha" w:hAnsi="Latha" w:cs="Arial Unicode MS"/>
          <w:sz w:val="12"/>
          <w:szCs w:val="12"/>
          <w:cs/>
        </w:rPr>
        <w:t>மற்றும்</w:t>
      </w:r>
      <w:r w:rsidRPr="00787196">
        <w:rPr>
          <w:rFonts w:cs="Arial"/>
          <w:sz w:val="12"/>
          <w:szCs w:val="12"/>
          <w:cs/>
        </w:rPr>
        <w:t xml:space="preserve"> </w:t>
      </w:r>
      <w:r w:rsidRPr="00787196">
        <w:rPr>
          <w:rFonts w:ascii="Latha" w:hAnsi="Latha" w:cs="Arial Unicode MS"/>
          <w:sz w:val="12"/>
          <w:szCs w:val="12"/>
          <w:cs/>
        </w:rPr>
        <w:t>அபிப்ராயத்தினைப்</w:t>
      </w:r>
      <w:r w:rsidRPr="00787196">
        <w:rPr>
          <w:rFonts w:cs="Arial"/>
          <w:sz w:val="12"/>
          <w:szCs w:val="12"/>
          <w:cs/>
        </w:rPr>
        <w:t xml:space="preserve"> </w:t>
      </w:r>
      <w:r w:rsidRPr="00787196">
        <w:rPr>
          <w:rFonts w:ascii="Latha" w:hAnsi="Latha" w:cs="Arial Unicode MS"/>
          <w:sz w:val="12"/>
          <w:szCs w:val="12"/>
          <w:cs/>
        </w:rPr>
        <w:t>பற்றியவை</w:t>
      </w:r>
      <w:r w:rsidRPr="00787196">
        <w:rPr>
          <w:rFonts w:cs="Arial"/>
          <w:sz w:val="12"/>
          <w:szCs w:val="12"/>
          <w:cs/>
        </w:rPr>
        <w:t xml:space="preserve"> </w:t>
      </w:r>
      <w:r w:rsidRPr="00787196">
        <w:rPr>
          <w:rFonts w:ascii="Latha" w:hAnsi="Latha" w:cs="Arial Unicode MS"/>
          <w:sz w:val="12"/>
          <w:szCs w:val="12"/>
          <w:cs/>
        </w:rPr>
        <w:t>ஆகும்</w:t>
      </w:r>
      <w:r w:rsidRPr="00787196">
        <w:rPr>
          <w:rFonts w:cs="Arial"/>
          <w:sz w:val="12"/>
          <w:szCs w:val="12"/>
          <w:cs/>
        </w:rPr>
        <w:t xml:space="preserve">. </w:t>
      </w:r>
      <w:r w:rsidRPr="00787196">
        <w:rPr>
          <w:rFonts w:ascii="Latha" w:hAnsi="Latha" w:cs="Arial Unicode MS"/>
          <w:b/>
          <w:sz w:val="12"/>
          <w:szCs w:val="12"/>
          <w:cs/>
        </w:rPr>
        <w:t>கீழுள்ள</w:t>
      </w:r>
      <w:r w:rsidRPr="00787196">
        <w:rPr>
          <w:rFonts w:cs="Arial"/>
          <w:b/>
          <w:sz w:val="12"/>
          <w:szCs w:val="12"/>
          <w:cs/>
        </w:rPr>
        <w:t xml:space="preserve"> </w:t>
      </w:r>
      <w:r w:rsidRPr="00787196">
        <w:rPr>
          <w:rFonts w:ascii="Latha" w:hAnsi="Latha" w:cs="Arial Unicode MS"/>
          <w:b/>
          <w:sz w:val="12"/>
          <w:szCs w:val="12"/>
          <w:cs/>
        </w:rPr>
        <w:t>அறிக்கைகளில்</w:t>
      </w:r>
      <w:r w:rsidRPr="00787196">
        <w:rPr>
          <w:rFonts w:cs="Arial"/>
          <w:b/>
          <w:sz w:val="12"/>
          <w:szCs w:val="12"/>
          <w:cs/>
        </w:rPr>
        <w:t xml:space="preserve"> </w:t>
      </w:r>
      <w:r w:rsidRPr="00787196">
        <w:rPr>
          <w:rFonts w:ascii="Latha" w:hAnsi="Latha" w:cs="Arial Unicode MS"/>
          <w:b/>
          <w:sz w:val="12"/>
          <w:szCs w:val="12"/>
          <w:cs/>
        </w:rPr>
        <w:t>தங்களுக்கு</w:t>
      </w:r>
      <w:r w:rsidRPr="00787196">
        <w:rPr>
          <w:rFonts w:cs="Arial"/>
          <w:b/>
          <w:sz w:val="12"/>
          <w:szCs w:val="12"/>
          <w:cs/>
        </w:rPr>
        <w:t xml:space="preserve"> </w:t>
      </w:r>
      <w:r w:rsidRPr="00787196">
        <w:rPr>
          <w:rFonts w:ascii="Latha" w:hAnsi="Latha" w:cs="Arial Unicode MS"/>
          <w:b/>
          <w:sz w:val="12"/>
          <w:szCs w:val="12"/>
          <w:cs/>
        </w:rPr>
        <w:t>உகந்த</w:t>
      </w:r>
      <w:r w:rsidRPr="00787196">
        <w:rPr>
          <w:rFonts w:cs="Arial"/>
          <w:b/>
          <w:sz w:val="12"/>
          <w:szCs w:val="12"/>
          <w:cs/>
        </w:rPr>
        <w:t xml:space="preserve"> </w:t>
      </w:r>
      <w:r w:rsidRPr="00787196">
        <w:rPr>
          <w:rFonts w:ascii="Latha" w:hAnsi="Latha" w:cs="Arial Unicode MS"/>
          <w:b/>
          <w:sz w:val="12"/>
          <w:szCs w:val="12"/>
          <w:cs/>
        </w:rPr>
        <w:t>அளவிற்கு</w:t>
      </w:r>
      <w:r w:rsidRPr="00787196">
        <w:rPr>
          <w:rFonts w:cs="Arial"/>
          <w:b/>
          <w:sz w:val="12"/>
          <w:szCs w:val="12"/>
          <w:cs/>
        </w:rPr>
        <w:t xml:space="preserve"> </w:t>
      </w:r>
      <w:r w:rsidRPr="00787196">
        <w:rPr>
          <w:rFonts w:ascii="Latha" w:hAnsi="Latha" w:cs="Arial Unicode MS"/>
          <w:b/>
          <w:sz w:val="12"/>
          <w:szCs w:val="12"/>
          <w:cs/>
        </w:rPr>
        <w:t>உள்ள</w:t>
      </w:r>
      <w:r w:rsidRPr="00787196">
        <w:rPr>
          <w:rFonts w:cs="Arial"/>
          <w:b/>
          <w:sz w:val="12"/>
          <w:szCs w:val="12"/>
          <w:cs/>
        </w:rPr>
        <w:t xml:space="preserve"> </w:t>
      </w:r>
      <w:r w:rsidRPr="00787196">
        <w:rPr>
          <w:rFonts w:ascii="Latha" w:hAnsi="Latha" w:cs="Arial Unicode MS"/>
          <w:b/>
          <w:sz w:val="12"/>
          <w:szCs w:val="12"/>
          <w:cs/>
        </w:rPr>
        <w:t>பதிலை</w:t>
      </w:r>
      <w:r w:rsidRPr="00787196">
        <w:rPr>
          <w:rFonts w:cs="Arial"/>
          <w:b/>
          <w:sz w:val="12"/>
          <w:szCs w:val="12"/>
          <w:cs/>
        </w:rPr>
        <w:t xml:space="preserve"> </w:t>
      </w:r>
      <w:r w:rsidRPr="00787196">
        <w:rPr>
          <w:rFonts w:ascii="Latha" w:hAnsi="Latha" w:cs="Arial Unicode MS"/>
          <w:b/>
          <w:sz w:val="12"/>
          <w:szCs w:val="12"/>
          <w:cs/>
        </w:rPr>
        <w:t>குறியிடுமாறு</w:t>
      </w:r>
      <w:r w:rsidRPr="00787196">
        <w:rPr>
          <w:rFonts w:cs="Arial"/>
          <w:b/>
          <w:sz w:val="12"/>
          <w:szCs w:val="12"/>
          <w:cs/>
        </w:rPr>
        <w:t xml:space="preserve"> </w:t>
      </w:r>
      <w:r w:rsidRPr="00787196">
        <w:rPr>
          <w:rFonts w:ascii="Latha" w:hAnsi="Latha" w:cs="Arial Unicode MS"/>
          <w:b/>
          <w:sz w:val="12"/>
          <w:szCs w:val="12"/>
          <w:cs/>
        </w:rPr>
        <w:t>கேட்டுக்கொள்கிறோம்</w:t>
      </w:r>
      <w:r w:rsidRPr="00787196">
        <w:rPr>
          <w:rFonts w:cs="Arial"/>
          <w:bCs/>
          <w:sz w:val="12"/>
          <w:szCs w:val="12"/>
        </w:rPr>
        <w:t>.</w:t>
      </w:r>
      <w:r w:rsidRPr="00787196">
        <w:rPr>
          <w:rFonts w:cs="Arial"/>
          <w:sz w:val="16"/>
          <w:szCs w:val="14"/>
        </w:rPr>
        <w:t>.</w:t>
      </w:r>
      <w:r w:rsidRPr="00787196">
        <w:rPr>
          <w:rFonts w:cs="Arial"/>
          <w:sz w:val="16"/>
          <w:szCs w:val="14"/>
        </w:rPr>
        <w:br w:type="page"/>
      </w:r>
    </w:p>
    <w:p w14:paraId="3ACAD80A" w14:textId="77777777" w:rsidR="006F0EC1" w:rsidRPr="00787196" w:rsidRDefault="006F0EC1" w:rsidP="00513F57">
      <w:pPr>
        <w:spacing w:before="0" w:after="0"/>
        <w:rPr>
          <w:rFonts w:cs="Arial"/>
          <w:sz w:val="18"/>
          <w:szCs w:val="16"/>
        </w:rPr>
      </w:pPr>
    </w:p>
    <w:tbl>
      <w:tblPr>
        <w:tblpPr w:leftFromText="180" w:rightFromText="180" w:vertAnchor="text" w:horzAnchor="margin" w:tblpY="297"/>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082"/>
        <w:gridCol w:w="1204"/>
        <w:gridCol w:w="1249"/>
        <w:gridCol w:w="1163"/>
        <w:gridCol w:w="1094"/>
        <w:gridCol w:w="1248"/>
      </w:tblGrid>
      <w:tr w:rsidR="006F0EC1" w:rsidRPr="00787196" w14:paraId="3F93A53E" w14:textId="77777777" w:rsidTr="00E54B23">
        <w:trPr>
          <w:trHeight w:val="2016"/>
        </w:trPr>
        <w:tc>
          <w:tcPr>
            <w:tcW w:w="404" w:type="dxa"/>
            <w:tcBorders>
              <w:bottom w:val="single" w:sz="4" w:space="0" w:color="000000"/>
              <w:right w:val="nil"/>
            </w:tcBorders>
            <w:shd w:val="clear" w:color="auto" w:fill="auto"/>
          </w:tcPr>
          <w:p w14:paraId="12CEC676" w14:textId="77777777" w:rsidR="006F0EC1" w:rsidRPr="00787196" w:rsidRDefault="006F0EC1" w:rsidP="00CC6EEE">
            <w:pPr>
              <w:autoSpaceDE w:val="0"/>
              <w:autoSpaceDN w:val="0"/>
              <w:adjustRightInd w:val="0"/>
              <w:spacing w:before="0" w:after="0"/>
              <w:contextualSpacing/>
              <w:rPr>
                <w:rFonts w:eastAsia="Calibri" w:cs="Arial"/>
                <w:szCs w:val="24"/>
                <w:lang w:eastAsia="en-US" w:bidi="ar-SA"/>
              </w:rPr>
            </w:pPr>
          </w:p>
          <w:p w14:paraId="21A053A4" w14:textId="77777777" w:rsidR="006F0EC1" w:rsidRPr="00787196" w:rsidRDefault="006F0EC1" w:rsidP="00CC6EEE">
            <w:pPr>
              <w:autoSpaceDE w:val="0"/>
              <w:autoSpaceDN w:val="0"/>
              <w:adjustRightInd w:val="0"/>
              <w:spacing w:before="0" w:after="0"/>
              <w:contextualSpacing/>
              <w:rPr>
                <w:rFonts w:eastAsia="Calibri" w:cs="Arial"/>
                <w:szCs w:val="24"/>
                <w:lang w:eastAsia="en-US" w:bidi="ar-SA"/>
              </w:rPr>
            </w:pPr>
          </w:p>
        </w:tc>
        <w:tc>
          <w:tcPr>
            <w:tcW w:w="8075" w:type="dxa"/>
            <w:gridSpan w:val="6"/>
            <w:tcBorders>
              <w:left w:val="nil"/>
              <w:bottom w:val="single" w:sz="4" w:space="0" w:color="000000"/>
            </w:tcBorders>
            <w:shd w:val="clear" w:color="auto" w:fill="auto"/>
          </w:tcPr>
          <w:p w14:paraId="1EB58BF4" w14:textId="77777777" w:rsidR="006F0EC1" w:rsidRPr="00787196" w:rsidRDefault="006F0EC1" w:rsidP="00CC6EEE">
            <w:pPr>
              <w:autoSpaceDE w:val="0"/>
              <w:autoSpaceDN w:val="0"/>
              <w:adjustRightInd w:val="0"/>
              <w:spacing w:before="0" w:after="0" w:line="240" w:lineRule="auto"/>
              <w:rPr>
                <w:rFonts w:eastAsia="Calibri" w:cs="Arial"/>
                <w:b/>
                <w:sz w:val="20"/>
                <w:szCs w:val="20"/>
                <w:lang w:eastAsia="en-US" w:bidi="ar-SA"/>
              </w:rPr>
            </w:pPr>
          </w:p>
          <w:p w14:paraId="35C6CD28" w14:textId="77777777" w:rsidR="006F0EC1" w:rsidRPr="00787196" w:rsidRDefault="006F0EC1" w:rsidP="00E54B23">
            <w:pPr>
              <w:autoSpaceDE w:val="0"/>
              <w:autoSpaceDN w:val="0"/>
              <w:adjustRightInd w:val="0"/>
              <w:spacing w:before="0" w:after="0" w:line="240" w:lineRule="auto"/>
              <w:rPr>
                <w:rFonts w:eastAsia="Calibri" w:cs="Arial"/>
                <w:bCs/>
                <w:sz w:val="20"/>
                <w:szCs w:val="20"/>
                <w:lang w:eastAsia="en-US" w:bidi="ar-SA"/>
              </w:rPr>
            </w:pPr>
            <w:r w:rsidRPr="00787196">
              <w:rPr>
                <w:rFonts w:ascii="Latha" w:eastAsia="Calibri" w:hAnsi="Latha" w:cs="Arial Unicode MS"/>
                <w:bCs/>
                <w:sz w:val="20"/>
                <w:szCs w:val="20"/>
                <w:cs/>
                <w:lang w:eastAsia="en-US"/>
              </w:rPr>
              <w:t>தங்களுடைய</w:t>
            </w:r>
            <w:r w:rsidRPr="00787196">
              <w:rPr>
                <w:rFonts w:eastAsia="Calibri" w:cs="Arial"/>
                <w:bCs/>
                <w:sz w:val="20"/>
                <w:szCs w:val="20"/>
                <w:rtl/>
                <w:cs/>
                <w:lang w:eastAsia="en-US" w:bidi="ar-SA"/>
              </w:rPr>
              <w:t xml:space="preserve"> </w:t>
            </w:r>
            <w:r w:rsidRPr="00787196">
              <w:rPr>
                <w:rFonts w:ascii="Latha" w:eastAsia="Calibri" w:hAnsi="Latha" w:cs="Arial Unicode MS"/>
                <w:bCs/>
                <w:sz w:val="20"/>
                <w:szCs w:val="20"/>
                <w:cs/>
                <w:lang w:eastAsia="en-US"/>
              </w:rPr>
              <w:t>உணர்வுகள்</w:t>
            </w:r>
            <w:r w:rsidRPr="00787196">
              <w:rPr>
                <w:rFonts w:eastAsia="Calibri" w:cs="Arial"/>
                <w:bCs/>
                <w:sz w:val="20"/>
                <w:szCs w:val="20"/>
                <w:rtl/>
                <w:cs/>
                <w:lang w:eastAsia="en-US" w:bidi="ar-SA"/>
              </w:rPr>
              <w:t xml:space="preserve"> </w:t>
            </w:r>
            <w:r w:rsidRPr="00787196">
              <w:rPr>
                <w:rFonts w:ascii="Latha" w:eastAsia="Calibri" w:hAnsi="Latha" w:cs="Arial Unicode MS"/>
                <w:bCs/>
                <w:sz w:val="20"/>
                <w:szCs w:val="20"/>
                <w:cs/>
                <w:lang w:eastAsia="en-US"/>
              </w:rPr>
              <w:t>மற்றும்</w:t>
            </w:r>
            <w:r w:rsidRPr="00787196">
              <w:rPr>
                <w:rFonts w:eastAsia="Calibri" w:cs="Arial"/>
                <w:bCs/>
                <w:sz w:val="20"/>
                <w:szCs w:val="20"/>
                <w:rtl/>
                <w:cs/>
                <w:lang w:eastAsia="en-US" w:bidi="ar-SA"/>
              </w:rPr>
              <w:t xml:space="preserve"> </w:t>
            </w:r>
            <w:r w:rsidRPr="00787196">
              <w:rPr>
                <w:rFonts w:ascii="Latha" w:eastAsia="Calibri" w:hAnsi="Latha" w:cs="Arial Unicode MS"/>
                <w:bCs/>
                <w:sz w:val="20"/>
                <w:szCs w:val="20"/>
                <w:cs/>
                <w:lang w:eastAsia="en-US"/>
              </w:rPr>
              <w:t>சிந்தனைகள்</w:t>
            </w:r>
            <w:r w:rsidRPr="00787196">
              <w:rPr>
                <w:rFonts w:eastAsia="Calibri" w:cs="Arial"/>
                <w:bCs/>
                <w:sz w:val="20"/>
                <w:szCs w:val="20"/>
                <w:rtl/>
                <w:cs/>
                <w:lang w:eastAsia="en-US" w:bidi="ar-SA"/>
              </w:rPr>
              <w:t xml:space="preserve"> </w:t>
            </w:r>
            <w:r w:rsidRPr="00787196">
              <w:rPr>
                <w:rFonts w:ascii="Latha" w:eastAsia="Calibri" w:hAnsi="Latha" w:cs="Arial Unicode MS"/>
                <w:bCs/>
                <w:sz w:val="20"/>
                <w:szCs w:val="20"/>
                <w:cs/>
                <w:lang w:eastAsia="en-US"/>
              </w:rPr>
              <w:t>பற்றிய</w:t>
            </w:r>
            <w:r w:rsidRPr="00787196">
              <w:rPr>
                <w:rFonts w:eastAsia="Calibri" w:cs="Arial"/>
                <w:bCs/>
                <w:sz w:val="20"/>
                <w:szCs w:val="20"/>
                <w:rtl/>
                <w:cs/>
                <w:lang w:eastAsia="en-US" w:bidi="ar-SA"/>
              </w:rPr>
              <w:t xml:space="preserve"> </w:t>
            </w:r>
            <w:r w:rsidRPr="00787196">
              <w:rPr>
                <w:rFonts w:ascii="Latha" w:eastAsia="Calibri" w:hAnsi="Latha" w:cs="Arial Unicode MS"/>
                <w:bCs/>
                <w:sz w:val="20"/>
                <w:szCs w:val="20"/>
                <w:cs/>
                <w:lang w:eastAsia="en-US"/>
              </w:rPr>
              <w:t>கேள்விகள்</w:t>
            </w:r>
          </w:p>
          <w:p w14:paraId="26B9563E" w14:textId="77777777" w:rsidR="006F0EC1" w:rsidRPr="00787196" w:rsidRDefault="006F0EC1" w:rsidP="00E54B23">
            <w:pPr>
              <w:autoSpaceDE w:val="0"/>
              <w:autoSpaceDN w:val="0"/>
              <w:adjustRightInd w:val="0"/>
              <w:spacing w:before="0" w:after="0" w:line="240" w:lineRule="auto"/>
              <w:rPr>
                <w:rFonts w:eastAsia="Calibri" w:cs="Arial"/>
                <w:bCs/>
                <w:sz w:val="20"/>
                <w:szCs w:val="20"/>
                <w:lang w:eastAsia="en-US" w:bidi="ar-SA"/>
              </w:rPr>
            </w:pPr>
          </w:p>
          <w:p w14:paraId="1F2A765C" w14:textId="03D7072B" w:rsidR="006F0EC1" w:rsidRPr="00787196" w:rsidRDefault="006F0EC1" w:rsidP="00E54B23">
            <w:pPr>
              <w:autoSpaceDE w:val="0"/>
              <w:autoSpaceDN w:val="0"/>
              <w:adjustRightInd w:val="0"/>
              <w:spacing w:before="0" w:after="0" w:line="240" w:lineRule="auto"/>
              <w:rPr>
                <w:rFonts w:eastAsia="Calibri" w:cs="Arial"/>
                <w:bCs/>
                <w:sz w:val="18"/>
                <w:szCs w:val="18"/>
                <w:lang w:eastAsia="en-US" w:bidi="ar-SA"/>
              </w:rPr>
            </w:pPr>
            <w:r w:rsidRPr="00787196">
              <w:rPr>
                <w:rFonts w:ascii="Latha" w:eastAsia="Calibri" w:hAnsi="Latha" w:cs="Arial Unicode MS"/>
                <w:sz w:val="14"/>
                <w:szCs w:val="14"/>
                <w:cs/>
                <w:lang w:eastAsia="en-US"/>
              </w:rPr>
              <w:t>பின்வரும்</w:t>
            </w:r>
            <w:r w:rsidRPr="00787196">
              <w:rPr>
                <w:rFonts w:eastAsia="Calibri" w:cs="Arial"/>
                <w:sz w:val="18"/>
                <w:szCs w:val="18"/>
                <w:rtl/>
                <w:cs/>
                <w:lang w:eastAsia="en-US" w:bidi="ar-SA"/>
              </w:rPr>
              <w:t xml:space="preserve"> </w:t>
            </w:r>
            <w:r w:rsidRPr="00787196">
              <w:rPr>
                <w:rFonts w:ascii="Latha" w:eastAsia="Calibri" w:hAnsi="Latha" w:cs="Arial Unicode MS"/>
                <w:sz w:val="14"/>
                <w:szCs w:val="14"/>
                <w:cs/>
                <w:lang w:eastAsia="en-US"/>
              </w:rPr>
              <w:t>அளவுகோளில்</w:t>
            </w:r>
            <w:r w:rsidRPr="00787196">
              <w:rPr>
                <w:rFonts w:eastAsia="Calibri" w:cs="Arial"/>
                <w:sz w:val="18"/>
                <w:szCs w:val="18"/>
                <w:rtl/>
                <w:cs/>
                <w:lang w:eastAsia="en-US" w:bidi="ar-SA"/>
              </w:rPr>
              <w:t xml:space="preserve"> </w:t>
            </w:r>
            <w:r w:rsidRPr="00787196">
              <w:rPr>
                <w:rFonts w:ascii="Latha" w:eastAsia="Calibri" w:hAnsi="Latha" w:cs="Arial Unicode MS"/>
                <w:sz w:val="14"/>
                <w:szCs w:val="14"/>
                <w:cs/>
                <w:lang w:eastAsia="en-US"/>
              </w:rPr>
              <w:t>உள்ள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வினாக்கள்</w:t>
            </w:r>
            <w:r w:rsidRPr="00787196">
              <w:rPr>
                <w:rFonts w:eastAsia="Calibri" w:cs="Arial"/>
                <w:sz w:val="14"/>
                <w:szCs w:val="14"/>
                <w:rtl/>
                <w:cs/>
                <w:lang w:eastAsia="en-US" w:bidi="ar-SA"/>
              </w:rPr>
              <w:t xml:space="preserve"> </w:t>
            </w:r>
            <w:r w:rsidRPr="00787196">
              <w:rPr>
                <w:rFonts w:ascii="Latha" w:eastAsia="Calibri" w:hAnsi="Latha" w:cs="Arial Unicode MS"/>
                <w:b/>
                <w:bCs/>
                <w:sz w:val="14"/>
                <w:szCs w:val="14"/>
                <w:u w:val="single"/>
                <w:cs/>
                <w:lang w:eastAsia="en-US"/>
              </w:rPr>
              <w:t>கடந்த</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ஒரு</w:t>
            </w:r>
            <w:r w:rsidRPr="00787196">
              <w:rPr>
                <w:rFonts w:eastAsia="Calibri" w:cs="Arial"/>
                <w:b/>
                <w:bCs/>
                <w:sz w:val="14"/>
                <w:szCs w:val="14"/>
                <w:u w:val="single"/>
                <w:rtl/>
                <w:cs/>
                <w:lang w:eastAsia="en-US" w:bidi="ar-SA"/>
              </w:rPr>
              <w:t xml:space="preserve"> </w:t>
            </w:r>
            <w:r w:rsidRPr="00787196">
              <w:rPr>
                <w:rFonts w:ascii="Latha" w:eastAsia="Calibri" w:hAnsi="Latha" w:cs="Arial Unicode MS"/>
                <w:b/>
                <w:bCs/>
                <w:sz w:val="14"/>
                <w:szCs w:val="14"/>
                <w:u w:val="single"/>
                <w:cs/>
                <w:lang w:eastAsia="en-US"/>
              </w:rPr>
              <w:t>மாதமாக</w:t>
            </w:r>
            <w:r w:rsidRPr="00787196">
              <w:rPr>
                <w:rFonts w:eastAsia="Calibri" w:cs="Arial"/>
                <w:sz w:val="18"/>
                <w:szCs w:val="18"/>
                <w:rtl/>
                <w:cs/>
                <w:lang w:eastAsia="en-US" w:bidi="ar-SA"/>
              </w:rPr>
              <w:t xml:space="preserve"> </w:t>
            </w:r>
            <w:r w:rsidRPr="00787196">
              <w:rPr>
                <w:rFonts w:ascii="Latha" w:eastAsia="Calibri" w:hAnsi="Latha" w:cs="Arial Unicode MS"/>
                <w:sz w:val="14"/>
                <w:szCs w:val="14"/>
                <w:cs/>
                <w:lang w:eastAsia="en-US"/>
              </w:rPr>
              <w:t>தங்களுக்கு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ஏற்பட்ட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உணர்வுகள்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மற்றும்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எண்ணங்கள்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பற்றிக்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கேட்பவை</w:t>
            </w:r>
            <w:r w:rsidRPr="00787196">
              <w:rPr>
                <w:rFonts w:eastAsia="Calibri" w:cs="Arial"/>
                <w:sz w:val="14"/>
                <w:szCs w:val="14"/>
                <w:lang w:eastAsia="en-US" w:bidi="ar-SA"/>
              </w:rPr>
              <w:t xml:space="preserve">. </w:t>
            </w:r>
            <w:r w:rsidRPr="00787196">
              <w:rPr>
                <w:rFonts w:ascii="Latha" w:eastAsia="Calibri" w:hAnsi="Latha" w:cs="Arial Unicode MS"/>
                <w:sz w:val="14"/>
                <w:szCs w:val="14"/>
                <w:cs/>
                <w:lang w:eastAsia="en-US"/>
              </w:rPr>
              <w:t>ஒவ்வொரு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கேள்வியிலும்</w:t>
            </w:r>
            <w:r w:rsidRPr="00787196">
              <w:rPr>
                <w:rFonts w:eastAsia="Calibri" w:cs="Arial"/>
                <w:sz w:val="14"/>
                <w:szCs w:val="14"/>
                <w:rtl/>
                <w:cs/>
                <w:lang w:eastAsia="en-US" w:bidi="ar-SA"/>
              </w:rPr>
              <w:t xml:space="preserve">, </w:t>
            </w:r>
            <w:r w:rsidRPr="00787196">
              <w:rPr>
                <w:rFonts w:ascii="Latha" w:eastAsia="Calibri" w:hAnsi="Latha" w:cs="Arial Unicode MS"/>
                <w:i/>
                <w:iCs/>
                <w:sz w:val="14"/>
                <w:szCs w:val="14"/>
                <w:cs/>
                <w:lang w:eastAsia="en-US"/>
              </w:rPr>
              <w:t>எவ்வளவு</w:t>
            </w:r>
            <w:r w:rsidRPr="00787196">
              <w:rPr>
                <w:rFonts w:eastAsia="Calibri" w:cs="Arial"/>
                <w:i/>
                <w:iCs/>
                <w:sz w:val="14"/>
                <w:szCs w:val="14"/>
                <w:rtl/>
                <w:cs/>
                <w:lang w:eastAsia="en-US" w:bidi="ar-SA"/>
              </w:rPr>
              <w:t xml:space="preserve"> </w:t>
            </w:r>
            <w:r w:rsidRPr="00787196">
              <w:rPr>
                <w:rFonts w:ascii="Latha" w:eastAsia="Calibri" w:hAnsi="Latha" w:cs="Arial Unicode MS"/>
                <w:i/>
                <w:iCs/>
                <w:sz w:val="14"/>
                <w:szCs w:val="14"/>
                <w:cs/>
                <w:lang w:eastAsia="en-US"/>
              </w:rPr>
              <w:t>முறை</w:t>
            </w:r>
            <w:r w:rsidRPr="00787196">
              <w:rPr>
                <w:rFonts w:eastAsia="Calibri" w:cs="Arial"/>
                <w:i/>
                <w:iCs/>
                <w:sz w:val="14"/>
                <w:szCs w:val="14"/>
                <w:rtl/>
                <w:cs/>
                <w:lang w:eastAsia="en-US" w:bidi="ar-SA"/>
              </w:rPr>
              <w:t xml:space="preserve"> </w:t>
            </w:r>
            <w:r w:rsidRPr="00787196">
              <w:rPr>
                <w:rFonts w:ascii="Latha" w:eastAsia="Calibri" w:hAnsi="Latha" w:cs="Arial Unicode MS"/>
                <w:sz w:val="14"/>
                <w:szCs w:val="14"/>
                <w:cs/>
                <w:lang w:eastAsia="en-US"/>
              </w:rPr>
              <w:t>குறிப்பிட்ட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வகையில்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தங்கள்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உணர்ச்சிகள்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மற்றும்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சிந்தனைகள்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இருந்தன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எனக்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குறிப்பிடும்படி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கேட்கப்படுவீர்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ஒரே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மாதிரி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இருப்பினும்</w:t>
            </w:r>
            <w:r w:rsidRPr="00787196">
              <w:rPr>
                <w:rFonts w:eastAsia="Calibri" w:cs="Arial"/>
                <w:sz w:val="14"/>
                <w:szCs w:val="14"/>
                <w:rtl/>
                <w:cs/>
                <w:lang w:eastAsia="en-US" w:bidi="ar-SA"/>
              </w:rPr>
              <w:t>,</w:t>
            </w:r>
            <w:r w:rsidRPr="00787196">
              <w:rPr>
                <w:rFonts w:eastAsia="Calibri" w:cs="Arial"/>
                <w:sz w:val="14"/>
                <w:szCs w:val="14"/>
                <w:lang w:eastAsia="en-US" w:bidi="ar-SA"/>
              </w:rPr>
              <w:t xml:space="preserve"> </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அவற்றுள்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வேறுபாடுகள்</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உள்ளன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எனவே</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ஒவ்வொரு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கேள்வியையும்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தனியே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பிரித்து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படித்துப்பார்க்கவும்</w:t>
            </w:r>
            <w:r w:rsidRPr="00787196">
              <w:rPr>
                <w:rFonts w:eastAsia="Calibri" w:cs="Arial"/>
                <w:sz w:val="14"/>
                <w:szCs w:val="14"/>
                <w:rtl/>
                <w:cs/>
                <w:lang w:eastAsia="en-US" w:bidi="ar-SA"/>
              </w:rPr>
              <w:t xml:space="preserve"> . </w:t>
            </w:r>
            <w:r w:rsidRPr="00787196">
              <w:rPr>
                <w:rFonts w:ascii="Latha" w:eastAsia="Calibri" w:hAnsi="Latha" w:cs="Arial Unicode MS"/>
                <w:sz w:val="14"/>
                <w:szCs w:val="14"/>
                <w:cs/>
                <w:lang w:eastAsia="en-US"/>
              </w:rPr>
              <w:t>ஒவ்வொரு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கேள்விக்கும்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சரியென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உணரும்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எண்ணுக்கு</w:t>
            </w:r>
            <w:r w:rsidRPr="00787196">
              <w:rPr>
                <w:rFonts w:eastAsia="Calibri" w:cs="Arial"/>
                <w:sz w:val="14"/>
                <w:szCs w:val="14"/>
                <w:rtl/>
                <w:cs/>
                <w:lang w:eastAsia="en-US" w:bidi="ar-SA"/>
              </w:rPr>
              <w:t xml:space="preserve"> </w:t>
            </w:r>
            <w:r w:rsidRPr="00787196">
              <w:rPr>
                <w:rFonts w:eastAsia="Calibri" w:cs="Arial"/>
                <w:sz w:val="14"/>
                <w:szCs w:val="14"/>
                <w:lang w:eastAsia="en-US" w:bidi="ar-SA"/>
              </w:rPr>
              <w:sym w:font="Wingdings" w:char="F0FE"/>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குறியிடவும்</w:t>
            </w:r>
            <w:r w:rsidRPr="00787196">
              <w:rPr>
                <w:rFonts w:eastAsia="Calibri" w:cs="Arial"/>
                <w:sz w:val="14"/>
                <w:szCs w:val="14"/>
                <w:rtl/>
                <w:cs/>
                <w:lang w:eastAsia="en-US" w:bidi="ar-SA"/>
              </w:rPr>
              <w:t>.</w:t>
            </w:r>
            <w:r w:rsidRPr="00787196">
              <w:rPr>
                <w:rFonts w:ascii="Latha" w:eastAsia="Calibri" w:hAnsi="Latha" w:cs="Arial Unicode MS"/>
                <w:bCs/>
                <w:sz w:val="18"/>
                <w:szCs w:val="18"/>
                <w:cs/>
                <w:lang w:eastAsia="en-US"/>
              </w:rPr>
              <w:t>ஒரே</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ஒரு</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பதிலை</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மட்டும்</w:t>
            </w:r>
            <w:r w:rsidRPr="00787196">
              <w:rPr>
                <w:rFonts w:eastAsia="Calibri" w:cs="Arial"/>
                <w:bCs/>
                <w:sz w:val="18"/>
                <w:szCs w:val="18"/>
                <w:rtl/>
                <w:cs/>
                <w:lang w:eastAsia="en-US" w:bidi="ar-SA"/>
              </w:rPr>
              <w:t xml:space="preserve"> </w:t>
            </w:r>
            <w:r w:rsidRPr="00787196">
              <w:rPr>
                <w:rFonts w:ascii="Latha" w:eastAsia="Calibri" w:hAnsi="Latha" w:cs="Arial Unicode MS"/>
                <w:bCs/>
                <w:sz w:val="18"/>
                <w:szCs w:val="18"/>
                <w:cs/>
                <w:lang w:eastAsia="en-US"/>
              </w:rPr>
              <w:t>குறியிடவும்</w:t>
            </w:r>
          </w:p>
          <w:p w14:paraId="3B0B67A3" w14:textId="77777777" w:rsidR="006F0EC1" w:rsidRPr="00787196" w:rsidRDefault="006F0EC1" w:rsidP="00CC6EEE">
            <w:pPr>
              <w:bidi/>
              <w:spacing w:before="0" w:after="0" w:line="240" w:lineRule="auto"/>
              <w:rPr>
                <w:rFonts w:eastAsia="Calibri" w:cs="Arial"/>
                <w:b/>
                <w:sz w:val="20"/>
                <w:szCs w:val="20"/>
                <w:lang w:eastAsia="en-US" w:bidi="ar-SA"/>
              </w:rPr>
            </w:pPr>
          </w:p>
        </w:tc>
      </w:tr>
      <w:tr w:rsidR="006F0EC1" w:rsidRPr="00787196" w14:paraId="5AFA0FCD" w14:textId="77777777" w:rsidTr="00E54B23">
        <w:trPr>
          <w:trHeight w:val="641"/>
        </w:trPr>
        <w:tc>
          <w:tcPr>
            <w:tcW w:w="404" w:type="dxa"/>
            <w:tcBorders>
              <w:bottom w:val="single" w:sz="4" w:space="0" w:color="auto"/>
              <w:right w:val="nil"/>
            </w:tcBorders>
            <w:shd w:val="clear" w:color="auto" w:fill="auto"/>
          </w:tcPr>
          <w:p w14:paraId="1E370AE0" w14:textId="77777777" w:rsidR="006F0EC1" w:rsidRPr="00787196" w:rsidRDefault="006F0EC1" w:rsidP="00E54B23">
            <w:pPr>
              <w:autoSpaceDE w:val="0"/>
              <w:autoSpaceDN w:val="0"/>
              <w:adjustRightInd w:val="0"/>
              <w:spacing w:beforeLines="200" w:before="480" w:after="0"/>
              <w:contextualSpacing/>
              <w:rPr>
                <w:rFonts w:eastAsia="Calibri" w:cs="Arial"/>
                <w:b/>
                <w:szCs w:val="24"/>
                <w:lang w:eastAsia="en-US" w:bidi="ar-SA"/>
              </w:rPr>
            </w:pPr>
          </w:p>
        </w:tc>
        <w:tc>
          <w:tcPr>
            <w:tcW w:w="2144" w:type="dxa"/>
            <w:tcBorders>
              <w:left w:val="nil"/>
              <w:bottom w:val="single" w:sz="4" w:space="0" w:color="auto"/>
              <w:right w:val="nil"/>
            </w:tcBorders>
            <w:shd w:val="clear" w:color="auto" w:fill="auto"/>
          </w:tcPr>
          <w:p w14:paraId="40A8F490" w14:textId="77777777" w:rsidR="006F0EC1" w:rsidRPr="00787196" w:rsidRDefault="006F0EC1" w:rsidP="00E54B23">
            <w:pPr>
              <w:autoSpaceDE w:val="0"/>
              <w:autoSpaceDN w:val="0"/>
              <w:adjustRightInd w:val="0"/>
              <w:spacing w:beforeLines="200" w:before="480" w:after="0" w:line="240" w:lineRule="auto"/>
              <w:contextualSpacing/>
              <w:rPr>
                <w:rFonts w:eastAsia="Calibri" w:cs="Arial"/>
                <w:bCs/>
                <w:sz w:val="12"/>
                <w:szCs w:val="12"/>
                <w:lang w:eastAsia="en-US" w:bidi="ar-SA"/>
              </w:rPr>
            </w:pPr>
          </w:p>
        </w:tc>
        <w:tc>
          <w:tcPr>
            <w:tcW w:w="1086" w:type="dxa"/>
            <w:tcBorders>
              <w:left w:val="nil"/>
              <w:bottom w:val="single" w:sz="4" w:space="0" w:color="auto"/>
              <w:right w:val="nil"/>
            </w:tcBorders>
            <w:shd w:val="clear" w:color="auto" w:fill="auto"/>
            <w:vAlign w:val="center"/>
          </w:tcPr>
          <w:p w14:paraId="2CBB1334"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0- </w:t>
            </w:r>
            <w:r w:rsidRPr="00787196">
              <w:rPr>
                <w:rFonts w:ascii="Latha" w:eastAsia="Calibri" w:hAnsi="Latha" w:cs="Arial Unicode MS"/>
                <w:b/>
                <w:sz w:val="16"/>
                <w:szCs w:val="16"/>
                <w:cs/>
                <w:lang w:eastAsia="en-US"/>
              </w:rPr>
              <w:t>எப்போழுதும்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இல்லை</w:t>
            </w:r>
          </w:p>
        </w:tc>
        <w:tc>
          <w:tcPr>
            <w:tcW w:w="1254" w:type="dxa"/>
            <w:tcBorders>
              <w:left w:val="nil"/>
              <w:bottom w:val="single" w:sz="4" w:space="0" w:color="auto"/>
              <w:right w:val="nil"/>
            </w:tcBorders>
            <w:shd w:val="clear" w:color="auto" w:fill="auto"/>
            <w:vAlign w:val="center"/>
          </w:tcPr>
          <w:p w14:paraId="1FDC7208"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1- </w:t>
            </w:r>
            <w:r w:rsidRPr="00787196">
              <w:rPr>
                <w:rFonts w:ascii="Latha" w:eastAsia="Calibri" w:hAnsi="Latha" w:cs="Arial Unicode MS"/>
                <w:b/>
                <w:sz w:val="16"/>
                <w:szCs w:val="16"/>
                <w:cs/>
                <w:lang w:eastAsia="en-US"/>
              </w:rPr>
              <w:t>கிட்டத்தட்ட</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எப்போழுதும்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இல்லை</w:t>
            </w:r>
          </w:p>
        </w:tc>
        <w:tc>
          <w:tcPr>
            <w:tcW w:w="1176" w:type="dxa"/>
            <w:tcBorders>
              <w:left w:val="nil"/>
              <w:bottom w:val="single" w:sz="4" w:space="0" w:color="auto"/>
              <w:right w:val="nil"/>
            </w:tcBorders>
            <w:shd w:val="clear" w:color="auto" w:fill="auto"/>
            <w:vAlign w:val="center"/>
          </w:tcPr>
          <w:p w14:paraId="670F62F6"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2-</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சில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நேரங்களில்</w:t>
            </w:r>
          </w:p>
        </w:tc>
        <w:tc>
          <w:tcPr>
            <w:tcW w:w="1122" w:type="dxa"/>
            <w:tcBorders>
              <w:left w:val="nil"/>
              <w:bottom w:val="single" w:sz="4" w:space="0" w:color="auto"/>
              <w:right w:val="nil"/>
            </w:tcBorders>
            <w:shd w:val="clear" w:color="auto" w:fill="auto"/>
            <w:vAlign w:val="center"/>
          </w:tcPr>
          <w:p w14:paraId="54547133"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3- </w:t>
            </w:r>
            <w:r w:rsidRPr="00787196">
              <w:rPr>
                <w:rFonts w:ascii="Latha" w:eastAsia="Calibri" w:hAnsi="Latha" w:cs="Arial Unicode MS"/>
                <w:b/>
                <w:sz w:val="16"/>
                <w:szCs w:val="16"/>
                <w:cs/>
                <w:lang w:eastAsia="en-US"/>
              </w:rPr>
              <w:t>சற்று</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அடிக்கடி</w:t>
            </w:r>
          </w:p>
        </w:tc>
        <w:tc>
          <w:tcPr>
            <w:tcW w:w="1290" w:type="dxa"/>
            <w:tcBorders>
              <w:left w:val="nil"/>
              <w:bottom w:val="single" w:sz="4" w:space="0" w:color="auto"/>
            </w:tcBorders>
            <w:shd w:val="clear" w:color="auto" w:fill="auto"/>
            <w:vAlign w:val="center"/>
          </w:tcPr>
          <w:p w14:paraId="468798B4"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4 –</w:t>
            </w:r>
            <w:r w:rsidRPr="00787196">
              <w:rPr>
                <w:rFonts w:ascii="Latha" w:eastAsia="Calibri" w:hAnsi="Latha" w:cs="Arial Unicode MS"/>
                <w:b/>
                <w:sz w:val="16"/>
                <w:szCs w:val="16"/>
                <w:cs/>
                <w:lang w:eastAsia="en-US"/>
              </w:rPr>
              <w:t>அடிக்கடி</w:t>
            </w:r>
          </w:p>
        </w:tc>
      </w:tr>
      <w:tr w:rsidR="006F0EC1" w:rsidRPr="00787196" w14:paraId="796B5E32" w14:textId="77777777" w:rsidTr="00E54B23">
        <w:trPr>
          <w:trHeight w:val="639"/>
        </w:trPr>
        <w:tc>
          <w:tcPr>
            <w:tcW w:w="404" w:type="dxa"/>
            <w:tcBorders>
              <w:top w:val="single" w:sz="4" w:space="0" w:color="auto"/>
              <w:bottom w:val="nil"/>
              <w:right w:val="single" w:sz="4" w:space="0" w:color="auto"/>
            </w:tcBorders>
            <w:shd w:val="clear" w:color="auto" w:fill="auto"/>
            <w:vAlign w:val="center"/>
          </w:tcPr>
          <w:p w14:paraId="463D0037" w14:textId="77777777" w:rsidR="006F0EC1" w:rsidRPr="00787196" w:rsidRDefault="006F0EC1" w:rsidP="00CC6EEE">
            <w:pPr>
              <w:spacing w:before="0" w:after="0" w:line="240" w:lineRule="auto"/>
              <w:rPr>
                <w:rFonts w:eastAsia="Calibri" w:cs="Arial"/>
                <w:sz w:val="20"/>
                <w:szCs w:val="20"/>
                <w:lang w:eastAsia="en-US" w:bidi="ar-SA"/>
              </w:rPr>
            </w:pPr>
            <w:r w:rsidRPr="00787196">
              <w:rPr>
                <w:rFonts w:eastAsia="Calibri" w:cs="Arial"/>
                <w:sz w:val="20"/>
                <w:szCs w:val="20"/>
                <w:lang w:eastAsia="en-US" w:bidi="ar-SA"/>
              </w:rPr>
              <w:t>2</w:t>
            </w:r>
            <w:r w:rsidR="008652A2" w:rsidRPr="00787196">
              <w:rPr>
                <w:rFonts w:eastAsia="Calibri" w:cs="Arial"/>
                <w:sz w:val="20"/>
                <w:szCs w:val="20"/>
                <w:lang w:eastAsia="en-US" w:bidi="ar-SA"/>
              </w:rPr>
              <w:t>6</w:t>
            </w:r>
          </w:p>
        </w:tc>
        <w:tc>
          <w:tcPr>
            <w:tcW w:w="2144" w:type="dxa"/>
            <w:tcBorders>
              <w:top w:val="single" w:sz="4" w:space="0" w:color="auto"/>
              <w:left w:val="single" w:sz="4" w:space="0" w:color="auto"/>
              <w:bottom w:val="nil"/>
              <w:right w:val="nil"/>
            </w:tcBorders>
            <w:shd w:val="clear" w:color="auto" w:fill="auto"/>
            <w:vAlign w:val="center"/>
          </w:tcPr>
          <w:p w14:paraId="2D3E2888" w14:textId="77777777" w:rsidR="006F0EC1" w:rsidRPr="00787196" w:rsidRDefault="006F0EC1" w:rsidP="00E54B23">
            <w:pPr>
              <w:autoSpaceDE w:val="0"/>
              <w:autoSpaceDN w:val="0"/>
              <w:adjustRightInd w:val="0"/>
              <w:spacing w:beforeLines="200" w:before="480" w:after="0" w:line="240" w:lineRule="auto"/>
              <w:contextualSpacing/>
              <w:jc w:val="left"/>
              <w:rPr>
                <w:rFonts w:eastAsia="Calibri" w:cs="Arial"/>
                <w:bCs/>
                <w:sz w:val="16"/>
                <w:szCs w:val="16"/>
                <w:lang w:eastAsia="en-US" w:bidi="ar-SA"/>
              </w:rPr>
            </w:pPr>
            <w:r w:rsidRPr="00787196">
              <w:rPr>
                <w:rFonts w:ascii="Latha" w:eastAsia="Calibri" w:hAnsi="Latha" w:cs="Arial Unicode MS"/>
                <w:b/>
                <w:sz w:val="14"/>
                <w:szCs w:val="14"/>
                <w:cs/>
                <w:lang w:eastAsia="en-US"/>
              </w:rPr>
              <w:t>கடந்த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ஒரு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எப்பொழுதெல்லாம்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வாழ்கையில்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முக்கியமானவற்றை</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கட்டுக்குள்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கொண்டுவர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இயலவில்லை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என</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உணர்ந்தீர்கள்</w:t>
            </w:r>
            <w:r w:rsidRPr="00787196">
              <w:rPr>
                <w:rFonts w:eastAsia="Calibri" w:cs="Arial"/>
                <w:b/>
                <w:sz w:val="14"/>
                <w:szCs w:val="14"/>
                <w:rtl/>
                <w:cs/>
                <w:lang w:eastAsia="en-US" w:bidi="ar-SA"/>
              </w:rPr>
              <w:t xml:space="preserve">? </w:t>
            </w:r>
          </w:p>
        </w:tc>
        <w:tc>
          <w:tcPr>
            <w:tcW w:w="1086" w:type="dxa"/>
            <w:tcBorders>
              <w:top w:val="single" w:sz="4" w:space="0" w:color="auto"/>
              <w:left w:val="nil"/>
              <w:bottom w:val="nil"/>
              <w:right w:val="nil"/>
            </w:tcBorders>
            <w:shd w:val="clear" w:color="auto" w:fill="auto"/>
            <w:vAlign w:val="center"/>
          </w:tcPr>
          <w:p w14:paraId="44A5A81F" w14:textId="77777777" w:rsidR="006F0EC1" w:rsidRPr="00787196" w:rsidRDefault="007D6B7F" w:rsidP="00E54B23">
            <w:pPr>
              <w:autoSpaceDE w:val="0"/>
              <w:autoSpaceDN w:val="0"/>
              <w:adjustRightInd w:val="0"/>
              <w:spacing w:beforeLines="200" w:before="480" w:line="240" w:lineRule="auto"/>
              <w:contextualSpacing/>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54" w:type="dxa"/>
            <w:tcBorders>
              <w:top w:val="single" w:sz="4" w:space="0" w:color="auto"/>
              <w:left w:val="nil"/>
              <w:bottom w:val="nil"/>
              <w:right w:val="nil"/>
            </w:tcBorders>
            <w:shd w:val="clear" w:color="auto" w:fill="auto"/>
            <w:vAlign w:val="center"/>
          </w:tcPr>
          <w:p w14:paraId="222F8860"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76" w:type="dxa"/>
            <w:tcBorders>
              <w:top w:val="single" w:sz="4" w:space="0" w:color="auto"/>
              <w:left w:val="nil"/>
              <w:bottom w:val="nil"/>
              <w:right w:val="nil"/>
            </w:tcBorders>
            <w:shd w:val="clear" w:color="auto" w:fill="auto"/>
            <w:vAlign w:val="center"/>
          </w:tcPr>
          <w:p w14:paraId="148F9FEC"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22" w:type="dxa"/>
            <w:tcBorders>
              <w:top w:val="single" w:sz="4" w:space="0" w:color="auto"/>
              <w:left w:val="nil"/>
              <w:bottom w:val="nil"/>
              <w:right w:val="nil"/>
            </w:tcBorders>
            <w:shd w:val="clear" w:color="auto" w:fill="auto"/>
            <w:vAlign w:val="center"/>
          </w:tcPr>
          <w:p w14:paraId="64F6DA6D"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90" w:type="dxa"/>
            <w:tcBorders>
              <w:top w:val="single" w:sz="4" w:space="0" w:color="auto"/>
              <w:left w:val="nil"/>
              <w:bottom w:val="nil"/>
            </w:tcBorders>
            <w:shd w:val="clear" w:color="auto" w:fill="auto"/>
            <w:vAlign w:val="center"/>
          </w:tcPr>
          <w:p w14:paraId="6D26828D"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r>
      <w:tr w:rsidR="006F0EC1" w:rsidRPr="00787196" w14:paraId="5C1A32CC" w14:textId="77777777" w:rsidTr="00E54B23">
        <w:trPr>
          <w:trHeight w:val="639"/>
        </w:trPr>
        <w:tc>
          <w:tcPr>
            <w:tcW w:w="404" w:type="dxa"/>
            <w:tcBorders>
              <w:top w:val="nil"/>
              <w:bottom w:val="nil"/>
              <w:right w:val="single" w:sz="4" w:space="0" w:color="auto"/>
            </w:tcBorders>
            <w:shd w:val="clear" w:color="auto" w:fill="auto"/>
            <w:vAlign w:val="center"/>
          </w:tcPr>
          <w:p w14:paraId="2709917C" w14:textId="77777777" w:rsidR="006F0EC1" w:rsidRPr="00787196" w:rsidRDefault="006F0EC1" w:rsidP="00CC6EEE">
            <w:pPr>
              <w:spacing w:before="0" w:after="0" w:line="240" w:lineRule="auto"/>
              <w:rPr>
                <w:rFonts w:eastAsia="Calibri" w:cs="Arial"/>
                <w:sz w:val="20"/>
                <w:szCs w:val="20"/>
                <w:lang w:eastAsia="en-US" w:bidi="ar-SA"/>
              </w:rPr>
            </w:pPr>
            <w:r w:rsidRPr="00787196">
              <w:rPr>
                <w:rFonts w:eastAsia="Calibri" w:cs="Arial"/>
                <w:sz w:val="20"/>
                <w:szCs w:val="20"/>
                <w:lang w:eastAsia="en-US" w:bidi="ar-SA"/>
              </w:rPr>
              <w:t>2</w:t>
            </w:r>
            <w:r w:rsidR="008652A2" w:rsidRPr="00787196">
              <w:rPr>
                <w:rFonts w:eastAsia="Calibri" w:cs="Arial"/>
                <w:sz w:val="20"/>
                <w:szCs w:val="20"/>
                <w:lang w:eastAsia="en-US" w:bidi="ar-SA"/>
              </w:rPr>
              <w:t>7</w:t>
            </w:r>
          </w:p>
        </w:tc>
        <w:tc>
          <w:tcPr>
            <w:tcW w:w="2144" w:type="dxa"/>
            <w:tcBorders>
              <w:top w:val="nil"/>
              <w:left w:val="single" w:sz="4" w:space="0" w:color="auto"/>
              <w:bottom w:val="nil"/>
              <w:right w:val="nil"/>
            </w:tcBorders>
            <w:shd w:val="clear" w:color="auto" w:fill="auto"/>
            <w:vAlign w:val="center"/>
          </w:tcPr>
          <w:p w14:paraId="351F1C7C" w14:textId="77777777" w:rsidR="006F0EC1" w:rsidRPr="00787196" w:rsidRDefault="006F0EC1" w:rsidP="00E54B23">
            <w:pPr>
              <w:autoSpaceDE w:val="0"/>
              <w:autoSpaceDN w:val="0"/>
              <w:adjustRightInd w:val="0"/>
              <w:spacing w:before="0" w:after="0" w:line="240" w:lineRule="auto"/>
              <w:jc w:val="left"/>
              <w:rPr>
                <w:rFonts w:eastAsia="Calibri" w:cs="Arial"/>
                <w:bCs/>
                <w:sz w:val="16"/>
                <w:szCs w:val="16"/>
                <w:lang w:eastAsia="en-US" w:bidi="ar-SA"/>
              </w:rPr>
            </w:pPr>
            <w:r w:rsidRPr="00787196">
              <w:rPr>
                <w:rFonts w:ascii="Latha" w:eastAsia="Calibri" w:hAnsi="Latha" w:cs="Arial Unicode MS"/>
                <w:b/>
                <w:sz w:val="14"/>
                <w:szCs w:val="14"/>
                <w:cs/>
                <w:lang w:eastAsia="en-US"/>
              </w:rPr>
              <w:t>கடந்த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ஒரு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எப்பொழுதெல்லாம்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உங்கள்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தனிப்பட்ட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பிரச்சனைகளை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தன்னம்பிக்கையுடன்</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கையாளும்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வல்லமை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உள்ளதாக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உணர்ந்தீர்கள்</w:t>
            </w:r>
            <w:r w:rsidRPr="00787196">
              <w:rPr>
                <w:rFonts w:eastAsia="Calibri" w:cs="Arial"/>
                <w:b/>
                <w:sz w:val="14"/>
                <w:szCs w:val="14"/>
                <w:rtl/>
                <w:cs/>
                <w:lang w:eastAsia="en-US" w:bidi="ar-SA"/>
              </w:rPr>
              <w:t>?</w:t>
            </w:r>
          </w:p>
        </w:tc>
        <w:tc>
          <w:tcPr>
            <w:tcW w:w="1086" w:type="dxa"/>
            <w:tcBorders>
              <w:top w:val="nil"/>
              <w:left w:val="nil"/>
              <w:bottom w:val="nil"/>
              <w:right w:val="nil"/>
            </w:tcBorders>
            <w:shd w:val="clear" w:color="auto" w:fill="auto"/>
            <w:vAlign w:val="center"/>
          </w:tcPr>
          <w:p w14:paraId="0594A41B"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54" w:type="dxa"/>
            <w:tcBorders>
              <w:top w:val="nil"/>
              <w:left w:val="nil"/>
              <w:bottom w:val="nil"/>
              <w:right w:val="nil"/>
            </w:tcBorders>
            <w:shd w:val="clear" w:color="auto" w:fill="auto"/>
            <w:vAlign w:val="center"/>
          </w:tcPr>
          <w:p w14:paraId="3268583B"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76" w:type="dxa"/>
            <w:tcBorders>
              <w:top w:val="nil"/>
              <w:left w:val="nil"/>
              <w:bottom w:val="nil"/>
              <w:right w:val="nil"/>
            </w:tcBorders>
            <w:shd w:val="clear" w:color="auto" w:fill="auto"/>
            <w:vAlign w:val="center"/>
          </w:tcPr>
          <w:p w14:paraId="680DA0A7"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22" w:type="dxa"/>
            <w:tcBorders>
              <w:top w:val="nil"/>
              <w:left w:val="nil"/>
              <w:bottom w:val="nil"/>
              <w:right w:val="nil"/>
            </w:tcBorders>
            <w:shd w:val="clear" w:color="auto" w:fill="auto"/>
            <w:vAlign w:val="center"/>
          </w:tcPr>
          <w:p w14:paraId="6DD922F9"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90" w:type="dxa"/>
            <w:tcBorders>
              <w:top w:val="nil"/>
              <w:left w:val="nil"/>
              <w:bottom w:val="nil"/>
            </w:tcBorders>
            <w:shd w:val="clear" w:color="auto" w:fill="auto"/>
            <w:vAlign w:val="center"/>
          </w:tcPr>
          <w:p w14:paraId="3E1F9169"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r>
      <w:tr w:rsidR="006F0EC1" w:rsidRPr="00787196" w14:paraId="322AE331" w14:textId="77777777" w:rsidTr="00E54B23">
        <w:trPr>
          <w:trHeight w:val="641"/>
        </w:trPr>
        <w:tc>
          <w:tcPr>
            <w:tcW w:w="404" w:type="dxa"/>
            <w:tcBorders>
              <w:top w:val="nil"/>
              <w:bottom w:val="nil"/>
              <w:right w:val="single" w:sz="4" w:space="0" w:color="auto"/>
            </w:tcBorders>
            <w:shd w:val="clear" w:color="auto" w:fill="auto"/>
            <w:vAlign w:val="center"/>
          </w:tcPr>
          <w:p w14:paraId="741BAB26" w14:textId="77777777" w:rsidR="006F0EC1" w:rsidRPr="00787196" w:rsidRDefault="006F0EC1" w:rsidP="00CC6EEE">
            <w:pPr>
              <w:spacing w:before="0" w:after="0" w:line="240" w:lineRule="auto"/>
              <w:rPr>
                <w:rFonts w:eastAsia="Calibri" w:cs="Arial"/>
                <w:sz w:val="20"/>
                <w:szCs w:val="20"/>
                <w:lang w:eastAsia="en-US" w:bidi="ar-SA"/>
              </w:rPr>
            </w:pPr>
            <w:r w:rsidRPr="00787196">
              <w:rPr>
                <w:rFonts w:eastAsia="Calibri" w:cs="Arial"/>
                <w:sz w:val="20"/>
                <w:szCs w:val="20"/>
                <w:lang w:eastAsia="en-US" w:bidi="ar-SA"/>
              </w:rPr>
              <w:t>2</w:t>
            </w:r>
            <w:r w:rsidR="008652A2" w:rsidRPr="00787196">
              <w:rPr>
                <w:rFonts w:eastAsia="Calibri" w:cs="Arial"/>
                <w:sz w:val="20"/>
                <w:szCs w:val="20"/>
                <w:lang w:eastAsia="en-US" w:bidi="ar-SA"/>
              </w:rPr>
              <w:t>8</w:t>
            </w:r>
          </w:p>
        </w:tc>
        <w:tc>
          <w:tcPr>
            <w:tcW w:w="2144" w:type="dxa"/>
            <w:tcBorders>
              <w:top w:val="nil"/>
              <w:left w:val="single" w:sz="4" w:space="0" w:color="auto"/>
              <w:bottom w:val="nil"/>
              <w:right w:val="nil"/>
            </w:tcBorders>
            <w:shd w:val="clear" w:color="auto" w:fill="auto"/>
            <w:vAlign w:val="center"/>
          </w:tcPr>
          <w:p w14:paraId="6481D859" w14:textId="77777777" w:rsidR="006F0EC1" w:rsidRPr="00787196" w:rsidRDefault="006F0EC1" w:rsidP="00E54B23">
            <w:pPr>
              <w:autoSpaceDE w:val="0"/>
              <w:autoSpaceDN w:val="0"/>
              <w:adjustRightInd w:val="0"/>
              <w:spacing w:before="0" w:after="0" w:line="240" w:lineRule="auto"/>
              <w:jc w:val="left"/>
              <w:rPr>
                <w:rFonts w:eastAsia="Calibri" w:cs="Arial"/>
                <w:bCs/>
                <w:sz w:val="16"/>
                <w:szCs w:val="16"/>
                <w:lang w:eastAsia="en-US" w:bidi="ar-SA"/>
              </w:rPr>
            </w:pPr>
          </w:p>
          <w:p w14:paraId="6455BECC" w14:textId="77777777" w:rsidR="006F0EC1" w:rsidRPr="00787196" w:rsidRDefault="006F0EC1" w:rsidP="00E54B23">
            <w:pPr>
              <w:autoSpaceDE w:val="0"/>
              <w:autoSpaceDN w:val="0"/>
              <w:adjustRightInd w:val="0"/>
              <w:spacing w:before="0" w:after="0" w:line="240" w:lineRule="auto"/>
              <w:jc w:val="left"/>
              <w:rPr>
                <w:rFonts w:eastAsia="Calibri" w:cs="Arial"/>
                <w:bCs/>
                <w:sz w:val="16"/>
                <w:szCs w:val="16"/>
                <w:lang w:eastAsia="en-US" w:bidi="ar-SA"/>
              </w:rPr>
            </w:pPr>
            <w:r w:rsidRPr="00787196">
              <w:rPr>
                <w:rFonts w:ascii="Latha" w:eastAsia="Calibri" w:hAnsi="Latha" w:cs="Arial Unicode MS"/>
                <w:b/>
                <w:sz w:val="14"/>
                <w:szCs w:val="14"/>
                <w:cs/>
                <w:lang w:eastAsia="en-US"/>
              </w:rPr>
              <w:t>கடந்த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ஒரு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எப்பொழுதெல்லாம்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வாழ்வில்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நடப்பவை</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தங்கள்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வழியில்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நடப்பதாக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உணர்ந்தீர்கள்</w:t>
            </w:r>
            <w:r w:rsidRPr="00787196">
              <w:rPr>
                <w:rFonts w:eastAsia="Calibri" w:cs="Arial"/>
                <w:bCs/>
                <w:sz w:val="16"/>
                <w:szCs w:val="16"/>
                <w:lang w:eastAsia="en-US" w:bidi="ar-SA"/>
              </w:rPr>
              <w:t>?</w:t>
            </w:r>
          </w:p>
        </w:tc>
        <w:tc>
          <w:tcPr>
            <w:tcW w:w="1086" w:type="dxa"/>
            <w:tcBorders>
              <w:top w:val="nil"/>
              <w:left w:val="nil"/>
              <w:bottom w:val="nil"/>
              <w:right w:val="nil"/>
            </w:tcBorders>
            <w:shd w:val="clear" w:color="auto" w:fill="auto"/>
            <w:vAlign w:val="center"/>
          </w:tcPr>
          <w:p w14:paraId="48858A99"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54" w:type="dxa"/>
            <w:tcBorders>
              <w:top w:val="nil"/>
              <w:left w:val="nil"/>
              <w:bottom w:val="nil"/>
              <w:right w:val="nil"/>
            </w:tcBorders>
            <w:shd w:val="clear" w:color="auto" w:fill="auto"/>
            <w:vAlign w:val="center"/>
          </w:tcPr>
          <w:p w14:paraId="4622FE67"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76" w:type="dxa"/>
            <w:tcBorders>
              <w:top w:val="nil"/>
              <w:left w:val="nil"/>
              <w:bottom w:val="nil"/>
              <w:right w:val="nil"/>
            </w:tcBorders>
            <w:shd w:val="clear" w:color="auto" w:fill="auto"/>
            <w:vAlign w:val="center"/>
          </w:tcPr>
          <w:p w14:paraId="478681B2"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22" w:type="dxa"/>
            <w:tcBorders>
              <w:top w:val="nil"/>
              <w:left w:val="nil"/>
              <w:bottom w:val="nil"/>
              <w:right w:val="nil"/>
            </w:tcBorders>
            <w:shd w:val="clear" w:color="auto" w:fill="auto"/>
            <w:vAlign w:val="center"/>
          </w:tcPr>
          <w:p w14:paraId="0E2A600F"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90" w:type="dxa"/>
            <w:tcBorders>
              <w:top w:val="nil"/>
              <w:left w:val="nil"/>
              <w:bottom w:val="nil"/>
            </w:tcBorders>
            <w:shd w:val="clear" w:color="auto" w:fill="auto"/>
            <w:vAlign w:val="center"/>
          </w:tcPr>
          <w:p w14:paraId="0AB3E37D"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r>
      <w:tr w:rsidR="006F0EC1" w:rsidRPr="00787196" w14:paraId="774B52A3" w14:textId="77777777" w:rsidTr="00E54B23">
        <w:trPr>
          <w:trHeight w:val="641"/>
        </w:trPr>
        <w:tc>
          <w:tcPr>
            <w:tcW w:w="404" w:type="dxa"/>
            <w:tcBorders>
              <w:top w:val="nil"/>
              <w:bottom w:val="single" w:sz="4" w:space="0" w:color="auto"/>
              <w:right w:val="single" w:sz="4" w:space="0" w:color="auto"/>
            </w:tcBorders>
            <w:shd w:val="clear" w:color="auto" w:fill="auto"/>
            <w:vAlign w:val="center"/>
          </w:tcPr>
          <w:p w14:paraId="325A8BCB" w14:textId="77777777" w:rsidR="006F0EC1" w:rsidRPr="00787196" w:rsidRDefault="008652A2" w:rsidP="00CC6EEE">
            <w:pPr>
              <w:spacing w:before="0" w:after="0" w:line="240" w:lineRule="auto"/>
              <w:rPr>
                <w:rFonts w:eastAsia="Calibri" w:cs="Arial"/>
                <w:sz w:val="20"/>
                <w:szCs w:val="20"/>
                <w:lang w:eastAsia="en-US" w:bidi="ar-SA"/>
              </w:rPr>
            </w:pPr>
            <w:r w:rsidRPr="00787196">
              <w:rPr>
                <w:rFonts w:eastAsia="Calibri" w:cs="Arial"/>
                <w:sz w:val="20"/>
                <w:szCs w:val="20"/>
                <w:lang w:eastAsia="en-US" w:bidi="ar-SA"/>
              </w:rPr>
              <w:t>29</w:t>
            </w:r>
          </w:p>
        </w:tc>
        <w:tc>
          <w:tcPr>
            <w:tcW w:w="2144" w:type="dxa"/>
            <w:tcBorders>
              <w:top w:val="nil"/>
              <w:left w:val="single" w:sz="4" w:space="0" w:color="auto"/>
              <w:bottom w:val="single" w:sz="4" w:space="0" w:color="auto"/>
              <w:right w:val="nil"/>
            </w:tcBorders>
            <w:shd w:val="clear" w:color="auto" w:fill="auto"/>
            <w:vAlign w:val="center"/>
          </w:tcPr>
          <w:p w14:paraId="56B1BF0A" w14:textId="77777777" w:rsidR="006F0EC1" w:rsidRPr="00787196" w:rsidRDefault="006F0EC1" w:rsidP="00E54B23">
            <w:pPr>
              <w:autoSpaceDE w:val="0"/>
              <w:autoSpaceDN w:val="0"/>
              <w:adjustRightInd w:val="0"/>
              <w:spacing w:before="0" w:after="0" w:line="240" w:lineRule="auto"/>
              <w:jc w:val="left"/>
              <w:rPr>
                <w:rFonts w:eastAsia="Calibri" w:cs="Arial"/>
                <w:bCs/>
                <w:sz w:val="16"/>
                <w:szCs w:val="16"/>
                <w:lang w:eastAsia="en-US" w:bidi="ar-SA"/>
              </w:rPr>
            </w:pPr>
          </w:p>
          <w:p w14:paraId="7BFAC9BB" w14:textId="77777777" w:rsidR="006F0EC1" w:rsidRPr="00787196" w:rsidRDefault="006F0EC1" w:rsidP="00E54B23">
            <w:pPr>
              <w:autoSpaceDE w:val="0"/>
              <w:autoSpaceDN w:val="0"/>
              <w:adjustRightInd w:val="0"/>
              <w:spacing w:before="0" w:after="0" w:line="240" w:lineRule="auto"/>
              <w:jc w:val="left"/>
              <w:rPr>
                <w:rFonts w:eastAsia="Calibri" w:cs="Arial"/>
                <w:bCs/>
                <w:sz w:val="16"/>
                <w:szCs w:val="16"/>
                <w:lang w:eastAsia="en-US" w:bidi="ar-SA"/>
              </w:rPr>
            </w:pPr>
            <w:r w:rsidRPr="00787196">
              <w:rPr>
                <w:rFonts w:ascii="Latha" w:eastAsia="Calibri" w:hAnsi="Latha" w:cs="Arial Unicode MS"/>
                <w:b/>
                <w:sz w:val="14"/>
                <w:szCs w:val="14"/>
                <w:cs/>
                <w:lang w:eastAsia="en-US"/>
              </w:rPr>
              <w:t>கடந்த</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ஒரு</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மாதமாக</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எப்பொழுதெல்லாம்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கஷ்டங்கள்</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ஒன்றன்</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மேல்</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ஒன்றாக</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அடுக்ககிக்</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கொண்டு</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சென்றதால்</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அதிலிருந்து</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மீடேற</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முடியாது</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என</w:t>
            </w:r>
            <w:r w:rsidRPr="00787196">
              <w:rPr>
                <w:rFonts w:eastAsia="Calibri" w:cs="Arial"/>
                <w:b/>
                <w:sz w:val="14"/>
                <w:szCs w:val="14"/>
                <w:cs/>
                <w:lang w:eastAsia="en-US"/>
              </w:rPr>
              <w:t xml:space="preserve"> </w:t>
            </w:r>
            <w:r w:rsidRPr="00787196">
              <w:rPr>
                <w:rFonts w:ascii="Latha" w:eastAsia="Calibri" w:hAnsi="Latha" w:cs="Arial Unicode MS"/>
                <w:b/>
                <w:sz w:val="14"/>
                <w:szCs w:val="14"/>
                <w:cs/>
                <w:lang w:eastAsia="en-US"/>
              </w:rPr>
              <w:t>உணர்ந்தீர்கள்</w:t>
            </w:r>
            <w:r w:rsidRPr="00787196">
              <w:rPr>
                <w:rFonts w:eastAsia="Calibri" w:cs="Arial"/>
                <w:b/>
                <w:sz w:val="14"/>
                <w:szCs w:val="14"/>
                <w:rtl/>
                <w:cs/>
                <w:lang w:eastAsia="en-US" w:bidi="ar-SA"/>
              </w:rPr>
              <w:t>?</w:t>
            </w:r>
          </w:p>
        </w:tc>
        <w:tc>
          <w:tcPr>
            <w:tcW w:w="1086" w:type="dxa"/>
            <w:tcBorders>
              <w:top w:val="nil"/>
              <w:left w:val="nil"/>
              <w:bottom w:val="single" w:sz="4" w:space="0" w:color="auto"/>
              <w:right w:val="nil"/>
            </w:tcBorders>
            <w:shd w:val="clear" w:color="auto" w:fill="auto"/>
            <w:vAlign w:val="center"/>
          </w:tcPr>
          <w:p w14:paraId="5F1A08BD"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54" w:type="dxa"/>
            <w:tcBorders>
              <w:top w:val="nil"/>
              <w:left w:val="nil"/>
              <w:bottom w:val="single" w:sz="4" w:space="0" w:color="auto"/>
              <w:right w:val="nil"/>
            </w:tcBorders>
            <w:shd w:val="clear" w:color="auto" w:fill="auto"/>
            <w:vAlign w:val="center"/>
          </w:tcPr>
          <w:p w14:paraId="04CE139B"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76" w:type="dxa"/>
            <w:tcBorders>
              <w:top w:val="nil"/>
              <w:left w:val="nil"/>
              <w:bottom w:val="single" w:sz="4" w:space="0" w:color="auto"/>
              <w:right w:val="nil"/>
            </w:tcBorders>
            <w:shd w:val="clear" w:color="auto" w:fill="auto"/>
            <w:vAlign w:val="center"/>
          </w:tcPr>
          <w:p w14:paraId="70D2C5B9"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122" w:type="dxa"/>
            <w:tcBorders>
              <w:top w:val="nil"/>
              <w:left w:val="nil"/>
              <w:bottom w:val="single" w:sz="4" w:space="0" w:color="auto"/>
              <w:right w:val="nil"/>
            </w:tcBorders>
            <w:shd w:val="clear" w:color="auto" w:fill="auto"/>
            <w:vAlign w:val="center"/>
          </w:tcPr>
          <w:p w14:paraId="60F82EAF"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c>
          <w:tcPr>
            <w:tcW w:w="1290" w:type="dxa"/>
            <w:tcBorders>
              <w:top w:val="nil"/>
              <w:left w:val="nil"/>
              <w:bottom w:val="single" w:sz="4" w:space="0" w:color="auto"/>
            </w:tcBorders>
            <w:shd w:val="clear" w:color="auto" w:fill="auto"/>
            <w:vAlign w:val="center"/>
          </w:tcPr>
          <w:p w14:paraId="2C23DFBE" w14:textId="77777777" w:rsidR="006F0EC1" w:rsidRPr="00787196" w:rsidRDefault="007D6B7F" w:rsidP="00E54B23">
            <w:pPr>
              <w:spacing w:before="0" w:after="0" w:line="240" w:lineRule="auto"/>
              <w:jc w:val="center"/>
              <w:rPr>
                <w:rFonts w:eastAsia="Calibri" w:cs="Arial"/>
                <w:bCs/>
                <w:sz w:val="16"/>
                <w:szCs w:val="16"/>
                <w:lang w:eastAsia="en-US" w:bidi="ar-SA"/>
              </w:rPr>
            </w:pPr>
            <w:r w:rsidRPr="00787196">
              <w:rPr>
                <w:rFonts w:eastAsia="Calibri" w:cs="Arial"/>
                <w:bCs/>
                <w:sz w:val="16"/>
                <w:szCs w:val="16"/>
                <w:lang w:eastAsia="en-US" w:bidi="ar-SA"/>
              </w:rPr>
              <w:fldChar w:fldCharType="begin">
                <w:ffData>
                  <w:name w:val="Check3"/>
                  <w:enabled/>
                  <w:calcOnExit w:val="0"/>
                  <w:checkBox>
                    <w:sizeAuto/>
                    <w:default w:val="0"/>
                  </w:checkBox>
                </w:ffData>
              </w:fldChar>
            </w:r>
            <w:r w:rsidR="006F0EC1" w:rsidRPr="00787196">
              <w:rPr>
                <w:rFonts w:eastAsia="Calibri" w:cs="Arial"/>
                <w:bCs/>
                <w:sz w:val="16"/>
                <w:szCs w:val="16"/>
                <w:lang w:eastAsia="en-US" w:bidi="ar-SA"/>
              </w:rPr>
              <w:instrText xml:space="preserve"> FORMCHECKBOX </w:instrText>
            </w:r>
            <w:r w:rsidR="006E7D7A">
              <w:rPr>
                <w:rFonts w:eastAsia="Calibri" w:cs="Arial"/>
                <w:bCs/>
                <w:sz w:val="16"/>
                <w:szCs w:val="16"/>
                <w:lang w:eastAsia="en-US" w:bidi="ar-SA"/>
              </w:rPr>
            </w:r>
            <w:r w:rsidR="006E7D7A">
              <w:rPr>
                <w:rFonts w:eastAsia="Calibri" w:cs="Arial"/>
                <w:bCs/>
                <w:sz w:val="16"/>
                <w:szCs w:val="16"/>
                <w:lang w:eastAsia="en-US" w:bidi="ar-SA"/>
              </w:rPr>
              <w:fldChar w:fldCharType="separate"/>
            </w:r>
            <w:r w:rsidRPr="00787196">
              <w:rPr>
                <w:rFonts w:eastAsia="Calibri" w:cs="Arial"/>
                <w:bCs/>
                <w:sz w:val="16"/>
                <w:szCs w:val="16"/>
                <w:lang w:eastAsia="en-US" w:bidi="ar-SA"/>
              </w:rPr>
              <w:fldChar w:fldCharType="end"/>
            </w:r>
          </w:p>
        </w:tc>
      </w:tr>
      <w:tr w:rsidR="006F0EC1" w:rsidRPr="00787196" w14:paraId="1271F1F2" w14:textId="77777777" w:rsidTr="00E54B23">
        <w:trPr>
          <w:trHeight w:val="483"/>
        </w:trPr>
        <w:tc>
          <w:tcPr>
            <w:tcW w:w="404" w:type="dxa"/>
            <w:tcBorders>
              <w:top w:val="single" w:sz="4" w:space="0" w:color="auto"/>
              <w:right w:val="nil"/>
            </w:tcBorders>
            <w:shd w:val="clear" w:color="auto" w:fill="auto"/>
          </w:tcPr>
          <w:p w14:paraId="1FAE3685" w14:textId="77777777" w:rsidR="006F0EC1" w:rsidRPr="00787196" w:rsidRDefault="006F0EC1" w:rsidP="00E54B23">
            <w:pPr>
              <w:autoSpaceDE w:val="0"/>
              <w:autoSpaceDN w:val="0"/>
              <w:adjustRightInd w:val="0"/>
              <w:spacing w:beforeLines="200" w:before="480"/>
              <w:contextualSpacing/>
              <w:rPr>
                <w:rFonts w:eastAsia="Calibri" w:cs="Arial"/>
                <w:b/>
                <w:szCs w:val="24"/>
                <w:lang w:eastAsia="en-US" w:bidi="ar-SA"/>
              </w:rPr>
            </w:pPr>
          </w:p>
        </w:tc>
        <w:tc>
          <w:tcPr>
            <w:tcW w:w="2144" w:type="dxa"/>
            <w:tcBorders>
              <w:top w:val="single" w:sz="4" w:space="0" w:color="auto"/>
              <w:left w:val="nil"/>
              <w:right w:val="nil"/>
            </w:tcBorders>
            <w:shd w:val="clear" w:color="auto" w:fill="auto"/>
          </w:tcPr>
          <w:p w14:paraId="796E572B" w14:textId="77777777" w:rsidR="006F0EC1" w:rsidRPr="00787196" w:rsidRDefault="006F0EC1" w:rsidP="00E54B23">
            <w:pPr>
              <w:autoSpaceDE w:val="0"/>
              <w:autoSpaceDN w:val="0"/>
              <w:adjustRightInd w:val="0"/>
              <w:spacing w:beforeLines="200" w:before="480" w:line="240" w:lineRule="auto"/>
              <w:contextualSpacing/>
              <w:rPr>
                <w:rFonts w:eastAsia="Calibri" w:cs="Arial"/>
                <w:bCs/>
                <w:sz w:val="16"/>
                <w:szCs w:val="16"/>
                <w:lang w:eastAsia="en-US" w:bidi="ar-SA"/>
              </w:rPr>
            </w:pPr>
          </w:p>
        </w:tc>
        <w:tc>
          <w:tcPr>
            <w:tcW w:w="1086" w:type="dxa"/>
            <w:tcBorders>
              <w:top w:val="single" w:sz="4" w:space="0" w:color="auto"/>
              <w:left w:val="nil"/>
              <w:right w:val="nil"/>
            </w:tcBorders>
            <w:shd w:val="clear" w:color="auto" w:fill="auto"/>
          </w:tcPr>
          <w:p w14:paraId="1912F812" w14:textId="77777777" w:rsidR="006F0EC1" w:rsidRPr="00787196" w:rsidRDefault="006F0EC1" w:rsidP="00E54B23">
            <w:pPr>
              <w:autoSpaceDE w:val="0"/>
              <w:autoSpaceDN w:val="0"/>
              <w:adjustRightInd w:val="0"/>
              <w:spacing w:beforeLines="200" w:before="48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0- </w:t>
            </w:r>
            <w:r w:rsidRPr="00787196">
              <w:rPr>
                <w:rFonts w:ascii="Latha" w:eastAsia="Calibri" w:hAnsi="Latha" w:cs="Arial Unicode MS"/>
                <w:b/>
                <w:sz w:val="16"/>
                <w:szCs w:val="16"/>
                <w:cs/>
                <w:lang w:eastAsia="en-US"/>
              </w:rPr>
              <w:t>எப்போழுதும்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இல்லை</w:t>
            </w:r>
          </w:p>
        </w:tc>
        <w:tc>
          <w:tcPr>
            <w:tcW w:w="1254" w:type="dxa"/>
            <w:tcBorders>
              <w:top w:val="single" w:sz="4" w:space="0" w:color="auto"/>
              <w:left w:val="nil"/>
              <w:right w:val="nil"/>
            </w:tcBorders>
            <w:shd w:val="clear" w:color="auto" w:fill="auto"/>
          </w:tcPr>
          <w:p w14:paraId="07C3904D" w14:textId="77777777" w:rsidR="006F0EC1" w:rsidRPr="00787196" w:rsidRDefault="006F0EC1" w:rsidP="00E54B23">
            <w:pPr>
              <w:autoSpaceDE w:val="0"/>
              <w:autoSpaceDN w:val="0"/>
              <w:adjustRightInd w:val="0"/>
              <w:spacing w:beforeLines="200" w:before="48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1- </w:t>
            </w:r>
            <w:r w:rsidRPr="00787196">
              <w:rPr>
                <w:rFonts w:ascii="Latha" w:eastAsia="Calibri" w:hAnsi="Latha" w:cs="Arial Unicode MS"/>
                <w:b/>
                <w:sz w:val="16"/>
                <w:szCs w:val="16"/>
                <w:cs/>
                <w:lang w:eastAsia="en-US"/>
              </w:rPr>
              <w:t>கிட்டத்தட்ட</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எப்போழுதும்</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இல்லை</w:t>
            </w:r>
          </w:p>
        </w:tc>
        <w:tc>
          <w:tcPr>
            <w:tcW w:w="1176" w:type="dxa"/>
            <w:tcBorders>
              <w:top w:val="single" w:sz="4" w:space="0" w:color="auto"/>
              <w:left w:val="nil"/>
              <w:right w:val="nil"/>
            </w:tcBorders>
            <w:shd w:val="clear" w:color="auto" w:fill="auto"/>
          </w:tcPr>
          <w:p w14:paraId="74839191" w14:textId="77777777" w:rsidR="006F0EC1" w:rsidRPr="00787196" w:rsidRDefault="006F0EC1" w:rsidP="00E54B23">
            <w:pPr>
              <w:autoSpaceDE w:val="0"/>
              <w:autoSpaceDN w:val="0"/>
              <w:adjustRightInd w:val="0"/>
              <w:spacing w:beforeLines="200" w:before="48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2-</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சில</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நேரங்களில்</w:t>
            </w:r>
          </w:p>
        </w:tc>
        <w:tc>
          <w:tcPr>
            <w:tcW w:w="1122" w:type="dxa"/>
            <w:tcBorders>
              <w:top w:val="single" w:sz="4" w:space="0" w:color="auto"/>
              <w:left w:val="nil"/>
              <w:right w:val="nil"/>
            </w:tcBorders>
            <w:shd w:val="clear" w:color="auto" w:fill="auto"/>
          </w:tcPr>
          <w:p w14:paraId="76745F55" w14:textId="77777777" w:rsidR="006F0EC1" w:rsidRPr="00787196" w:rsidRDefault="006F0EC1" w:rsidP="00E54B23">
            <w:pPr>
              <w:autoSpaceDE w:val="0"/>
              <w:autoSpaceDN w:val="0"/>
              <w:adjustRightInd w:val="0"/>
              <w:spacing w:beforeLines="200" w:before="48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 xml:space="preserve">3- </w:t>
            </w:r>
            <w:r w:rsidRPr="00787196">
              <w:rPr>
                <w:rFonts w:ascii="Latha" w:eastAsia="Calibri" w:hAnsi="Latha" w:cs="Arial Unicode MS"/>
                <w:b/>
                <w:sz w:val="16"/>
                <w:szCs w:val="16"/>
                <w:cs/>
                <w:lang w:eastAsia="en-US"/>
              </w:rPr>
              <w:t>சற்று</w:t>
            </w:r>
            <w:r w:rsidRPr="00787196">
              <w:rPr>
                <w:rFonts w:eastAsia="Calibri" w:cs="Arial"/>
                <w:b/>
                <w:sz w:val="16"/>
                <w:szCs w:val="16"/>
                <w:rtl/>
                <w:cs/>
                <w:lang w:eastAsia="en-US" w:bidi="ar-SA"/>
              </w:rPr>
              <w:t xml:space="preserve"> </w:t>
            </w:r>
            <w:r w:rsidRPr="00787196">
              <w:rPr>
                <w:rFonts w:ascii="Latha" w:eastAsia="Calibri" w:hAnsi="Latha" w:cs="Arial Unicode MS"/>
                <w:b/>
                <w:sz w:val="16"/>
                <w:szCs w:val="16"/>
                <w:cs/>
                <w:lang w:eastAsia="en-US"/>
              </w:rPr>
              <w:t>அடிக்கடி</w:t>
            </w:r>
          </w:p>
        </w:tc>
        <w:tc>
          <w:tcPr>
            <w:tcW w:w="1290" w:type="dxa"/>
            <w:tcBorders>
              <w:top w:val="single" w:sz="4" w:space="0" w:color="auto"/>
              <w:left w:val="nil"/>
            </w:tcBorders>
            <w:shd w:val="clear" w:color="auto" w:fill="auto"/>
          </w:tcPr>
          <w:p w14:paraId="697A433A" w14:textId="77777777" w:rsidR="006F0EC1" w:rsidRPr="00787196" w:rsidRDefault="006F0EC1" w:rsidP="00E54B23">
            <w:pPr>
              <w:autoSpaceDE w:val="0"/>
              <w:autoSpaceDN w:val="0"/>
              <w:adjustRightInd w:val="0"/>
              <w:spacing w:beforeLines="200" w:before="480" w:line="240" w:lineRule="auto"/>
              <w:contextualSpacing/>
              <w:jc w:val="center"/>
              <w:rPr>
                <w:rFonts w:eastAsia="Calibri" w:cs="Arial"/>
                <w:b/>
                <w:sz w:val="16"/>
                <w:szCs w:val="16"/>
                <w:lang w:eastAsia="en-US" w:bidi="ar-SA"/>
              </w:rPr>
            </w:pPr>
            <w:r w:rsidRPr="00787196">
              <w:rPr>
                <w:rFonts w:eastAsia="Calibri" w:cs="Arial"/>
                <w:b/>
                <w:sz w:val="16"/>
                <w:szCs w:val="16"/>
                <w:lang w:eastAsia="en-US" w:bidi="ar-SA"/>
              </w:rPr>
              <w:t>4 –</w:t>
            </w:r>
            <w:r w:rsidRPr="00787196">
              <w:rPr>
                <w:rFonts w:ascii="Latha" w:eastAsia="Calibri" w:hAnsi="Latha" w:cs="Arial Unicode MS"/>
                <w:b/>
                <w:sz w:val="16"/>
                <w:szCs w:val="16"/>
                <w:cs/>
                <w:lang w:eastAsia="en-US"/>
              </w:rPr>
              <w:t>அடிக்கடி</w:t>
            </w:r>
          </w:p>
        </w:tc>
      </w:tr>
    </w:tbl>
    <w:p w14:paraId="385B9DA4" w14:textId="77777777" w:rsidR="006F0EC1" w:rsidRPr="00787196" w:rsidRDefault="006F0EC1" w:rsidP="00513F57">
      <w:pPr>
        <w:spacing w:before="0" w:after="0"/>
        <w:rPr>
          <w:rFonts w:cs="Arial"/>
        </w:rPr>
      </w:pPr>
    </w:p>
    <w:p w14:paraId="2DBB766B" w14:textId="77777777" w:rsidR="006F0EC1" w:rsidRPr="00787196" w:rsidRDefault="006F0EC1" w:rsidP="008E116F">
      <w:pPr>
        <w:spacing w:before="0" w:after="0" w:line="240" w:lineRule="auto"/>
        <w:ind w:right="140"/>
        <w:rPr>
          <w:rFonts w:cs="Arial"/>
          <w:sz w:val="16"/>
          <w:szCs w:val="16"/>
        </w:rPr>
      </w:pPr>
      <w:r w:rsidRPr="00787196">
        <w:rPr>
          <w:rFonts w:cs="Arial"/>
          <w:sz w:val="20"/>
          <w:szCs w:val="16"/>
        </w:rPr>
        <w:br w:type="page"/>
      </w:r>
      <w:r w:rsidRPr="00787196">
        <w:rPr>
          <w:rFonts w:ascii="Latha" w:hAnsi="Latha" w:cs="Arial Unicode MS"/>
          <w:sz w:val="14"/>
          <w:szCs w:val="14"/>
          <w:cs/>
        </w:rPr>
        <w:lastRenderedPageBreak/>
        <w:t>தங்களது</w:t>
      </w:r>
      <w:r w:rsidRPr="00787196">
        <w:rPr>
          <w:rFonts w:cs="Arial"/>
          <w:sz w:val="14"/>
          <w:szCs w:val="14"/>
          <w:cs/>
        </w:rPr>
        <w:t xml:space="preserve"> </w:t>
      </w:r>
      <w:r w:rsidRPr="00787196">
        <w:rPr>
          <w:rFonts w:ascii="Latha" w:hAnsi="Latha" w:cs="Arial Unicode MS"/>
          <w:sz w:val="14"/>
          <w:szCs w:val="14"/>
          <w:cs/>
        </w:rPr>
        <w:t>தினசரி</w:t>
      </w:r>
      <w:r w:rsidRPr="00787196">
        <w:rPr>
          <w:rFonts w:cs="Arial"/>
          <w:sz w:val="14"/>
          <w:szCs w:val="14"/>
          <w:cs/>
        </w:rPr>
        <w:t xml:space="preserve"> </w:t>
      </w:r>
      <w:r w:rsidRPr="00787196">
        <w:rPr>
          <w:rFonts w:ascii="Latha" w:hAnsi="Latha" w:cs="Arial Unicode MS"/>
          <w:sz w:val="14"/>
          <w:szCs w:val="14"/>
          <w:cs/>
        </w:rPr>
        <w:t>வாழ்வில்</w:t>
      </w:r>
      <w:r w:rsidRPr="00787196">
        <w:rPr>
          <w:rFonts w:cs="Arial"/>
          <w:sz w:val="14"/>
          <w:szCs w:val="14"/>
          <w:cs/>
        </w:rPr>
        <w:t xml:space="preserve"> </w:t>
      </w:r>
      <w:r w:rsidRPr="00787196">
        <w:rPr>
          <w:rFonts w:ascii="Latha" w:hAnsi="Latha" w:cs="Arial Unicode MS"/>
          <w:sz w:val="14"/>
          <w:szCs w:val="14"/>
          <w:cs/>
        </w:rPr>
        <w:t>தவறிய</w:t>
      </w:r>
      <w:r w:rsidRPr="00787196">
        <w:rPr>
          <w:rFonts w:cs="Arial"/>
          <w:sz w:val="14"/>
          <w:szCs w:val="14"/>
          <w:cs/>
        </w:rPr>
        <w:t xml:space="preserve"> </w:t>
      </w:r>
      <w:r w:rsidRPr="00787196">
        <w:rPr>
          <w:rFonts w:ascii="Latha" w:hAnsi="Latha" w:cs="Arial Unicode MS"/>
          <w:sz w:val="14"/>
          <w:szCs w:val="14"/>
          <w:cs/>
        </w:rPr>
        <w:t>பற்கள்</w:t>
      </w:r>
      <w:r w:rsidRPr="00787196">
        <w:rPr>
          <w:rFonts w:cs="Arial"/>
          <w:sz w:val="14"/>
          <w:szCs w:val="14"/>
          <w:cs/>
        </w:rPr>
        <w:t xml:space="preserve"> / </w:t>
      </w:r>
      <w:r w:rsidRPr="00787196">
        <w:rPr>
          <w:rFonts w:ascii="Latha" w:hAnsi="Latha" w:cs="Arial Unicode MS"/>
          <w:sz w:val="14"/>
          <w:szCs w:val="14"/>
          <w:cs/>
        </w:rPr>
        <w:t>செயற்கை</w:t>
      </w:r>
      <w:r w:rsidRPr="00787196">
        <w:rPr>
          <w:rFonts w:cs="Arial"/>
          <w:sz w:val="14"/>
          <w:szCs w:val="14"/>
          <w:cs/>
        </w:rPr>
        <w:t xml:space="preserve"> </w:t>
      </w:r>
      <w:r w:rsidRPr="00787196">
        <w:rPr>
          <w:rFonts w:ascii="Latha" w:hAnsi="Latha" w:cs="Arial Unicode MS"/>
          <w:sz w:val="14"/>
          <w:szCs w:val="14"/>
          <w:cs/>
        </w:rPr>
        <w:t>பல்</w:t>
      </w:r>
      <w:r w:rsidRPr="00787196">
        <w:rPr>
          <w:rFonts w:cs="Arial"/>
          <w:sz w:val="14"/>
          <w:szCs w:val="14"/>
          <w:cs/>
        </w:rPr>
        <w:t xml:space="preserve"> </w:t>
      </w:r>
      <w:r w:rsidRPr="00787196">
        <w:rPr>
          <w:rFonts w:ascii="Latha" w:hAnsi="Latha" w:cs="Arial Unicode MS"/>
          <w:sz w:val="14"/>
          <w:szCs w:val="14"/>
          <w:cs/>
        </w:rPr>
        <w:t>கட்டமைப்பு</w:t>
      </w:r>
      <w:r w:rsidRPr="00787196">
        <w:rPr>
          <w:rFonts w:cs="Arial"/>
          <w:sz w:val="14"/>
          <w:szCs w:val="14"/>
          <w:cs/>
        </w:rPr>
        <w:t xml:space="preserve"> (</w:t>
      </w:r>
      <w:r w:rsidRPr="00787196">
        <w:rPr>
          <w:rFonts w:ascii="Latha" w:hAnsi="Latha" w:cs="Arial Unicode MS"/>
          <w:sz w:val="14"/>
          <w:szCs w:val="14"/>
          <w:cs/>
        </w:rPr>
        <w:t>பல்</w:t>
      </w:r>
      <w:r w:rsidRPr="00787196">
        <w:rPr>
          <w:rFonts w:cs="Arial"/>
          <w:sz w:val="14"/>
          <w:szCs w:val="14"/>
          <w:cs/>
        </w:rPr>
        <w:t xml:space="preserve">- </w:t>
      </w:r>
      <w:r w:rsidRPr="00787196">
        <w:rPr>
          <w:rFonts w:ascii="Latha" w:hAnsi="Latha" w:cs="Arial Unicode MS"/>
          <w:sz w:val="14"/>
          <w:szCs w:val="14"/>
          <w:cs/>
        </w:rPr>
        <w:t>செட்</w:t>
      </w:r>
      <w:r w:rsidRPr="00787196">
        <w:rPr>
          <w:rFonts w:cs="Arial"/>
          <w:sz w:val="14"/>
          <w:szCs w:val="14"/>
          <w:cs/>
        </w:rPr>
        <w:t xml:space="preserve">) </w:t>
      </w:r>
      <w:r w:rsidRPr="00787196">
        <w:rPr>
          <w:rFonts w:ascii="Latha" w:hAnsi="Latha" w:cs="Arial Unicode MS"/>
          <w:sz w:val="14"/>
          <w:szCs w:val="14"/>
          <w:cs/>
        </w:rPr>
        <w:t>இவற்றால்</w:t>
      </w:r>
      <w:r w:rsidRPr="00787196">
        <w:rPr>
          <w:rFonts w:cs="Arial"/>
          <w:sz w:val="14"/>
          <w:szCs w:val="14"/>
          <w:cs/>
        </w:rPr>
        <w:t xml:space="preserve"> </w:t>
      </w:r>
      <w:r w:rsidRPr="00787196">
        <w:rPr>
          <w:rFonts w:ascii="Latha" w:hAnsi="Latha" w:cs="Arial Unicode MS"/>
          <w:sz w:val="14"/>
          <w:szCs w:val="14"/>
          <w:cs/>
        </w:rPr>
        <w:t>ஏற்படும்</w:t>
      </w:r>
      <w:r w:rsidRPr="00787196">
        <w:rPr>
          <w:rFonts w:cs="Arial"/>
          <w:sz w:val="14"/>
          <w:szCs w:val="14"/>
          <w:cs/>
        </w:rPr>
        <w:t xml:space="preserve"> </w:t>
      </w:r>
      <w:r w:rsidRPr="00787196">
        <w:rPr>
          <w:rFonts w:ascii="Latha" w:hAnsi="Latha" w:cs="Arial Unicode MS"/>
          <w:sz w:val="14"/>
          <w:szCs w:val="14"/>
          <w:cs/>
        </w:rPr>
        <w:t>மனவுளைச்சலை</w:t>
      </w:r>
      <w:r w:rsidRPr="00787196">
        <w:rPr>
          <w:rFonts w:cs="Arial"/>
          <w:sz w:val="14"/>
          <w:szCs w:val="14"/>
          <w:cs/>
        </w:rPr>
        <w:t xml:space="preserve"> </w:t>
      </w:r>
      <w:r w:rsidRPr="00787196">
        <w:rPr>
          <w:rFonts w:ascii="Latha" w:hAnsi="Latha" w:cs="Arial Unicode MS"/>
          <w:sz w:val="14"/>
          <w:szCs w:val="14"/>
          <w:cs/>
        </w:rPr>
        <w:t>எவ்வாறு</w:t>
      </w:r>
      <w:r w:rsidRPr="00787196">
        <w:rPr>
          <w:rFonts w:cs="Arial"/>
          <w:sz w:val="14"/>
          <w:szCs w:val="14"/>
          <w:cs/>
        </w:rPr>
        <w:t xml:space="preserve"> </w:t>
      </w:r>
      <w:r w:rsidRPr="00787196">
        <w:rPr>
          <w:rFonts w:ascii="Latha" w:hAnsi="Latha" w:cs="Arial Unicode MS"/>
          <w:sz w:val="14"/>
          <w:szCs w:val="14"/>
          <w:cs/>
        </w:rPr>
        <w:t>சமாளிப்பீர்</w:t>
      </w:r>
      <w:r w:rsidRPr="00787196">
        <w:rPr>
          <w:rFonts w:cs="Arial"/>
          <w:sz w:val="14"/>
          <w:szCs w:val="14"/>
          <w:cs/>
        </w:rPr>
        <w:t xml:space="preserve">? </w:t>
      </w:r>
      <w:r w:rsidRPr="00787196">
        <w:rPr>
          <w:rFonts w:ascii="Latha" w:hAnsi="Latha" w:cs="Arial Unicode MS"/>
          <w:sz w:val="14"/>
          <w:szCs w:val="14"/>
          <w:cs/>
        </w:rPr>
        <w:t>பின்வரும்</w:t>
      </w:r>
      <w:r w:rsidRPr="00787196">
        <w:rPr>
          <w:rFonts w:cs="Arial"/>
          <w:sz w:val="14"/>
          <w:szCs w:val="14"/>
          <w:cs/>
        </w:rPr>
        <w:t xml:space="preserve"> </w:t>
      </w:r>
      <w:r w:rsidRPr="00787196">
        <w:rPr>
          <w:rFonts w:ascii="Latha" w:hAnsi="Latha" w:cs="Arial Unicode MS"/>
          <w:sz w:val="14"/>
          <w:szCs w:val="14"/>
          <w:cs/>
        </w:rPr>
        <w:t>கேள்விகளில்</w:t>
      </w:r>
      <w:r w:rsidRPr="00787196">
        <w:rPr>
          <w:rFonts w:cs="Arial"/>
          <w:sz w:val="14"/>
          <w:szCs w:val="14"/>
          <w:cs/>
        </w:rPr>
        <w:t xml:space="preserve"> </w:t>
      </w:r>
      <w:r w:rsidRPr="00787196">
        <w:rPr>
          <w:rFonts w:ascii="Latha" w:hAnsi="Latha" w:cs="Arial Unicode MS"/>
          <w:sz w:val="14"/>
          <w:szCs w:val="14"/>
          <w:cs/>
        </w:rPr>
        <w:t>தங்களின்</w:t>
      </w:r>
      <w:r w:rsidRPr="00787196">
        <w:rPr>
          <w:rFonts w:cs="Arial"/>
          <w:sz w:val="14"/>
          <w:szCs w:val="14"/>
          <w:cs/>
        </w:rPr>
        <w:t xml:space="preserve"> </w:t>
      </w:r>
      <w:r w:rsidRPr="00787196">
        <w:rPr>
          <w:rFonts w:ascii="Latha" w:hAnsi="Latha" w:cs="Arial Unicode MS"/>
          <w:sz w:val="14"/>
          <w:szCs w:val="14"/>
          <w:cs/>
        </w:rPr>
        <w:t>நிலைமைக்கு</w:t>
      </w:r>
      <w:r w:rsidRPr="00787196">
        <w:rPr>
          <w:rFonts w:cs="Arial"/>
          <w:sz w:val="14"/>
          <w:szCs w:val="14"/>
          <w:cs/>
        </w:rPr>
        <w:t xml:space="preserve"> </w:t>
      </w:r>
      <w:r w:rsidRPr="00787196">
        <w:rPr>
          <w:rFonts w:ascii="Latha" w:hAnsi="Latha" w:cs="Arial Unicode MS"/>
          <w:sz w:val="14"/>
          <w:szCs w:val="14"/>
          <w:cs/>
        </w:rPr>
        <w:t>உகந்த</w:t>
      </w:r>
      <w:r w:rsidRPr="00787196">
        <w:rPr>
          <w:rFonts w:cs="Arial"/>
          <w:sz w:val="14"/>
          <w:szCs w:val="14"/>
          <w:cs/>
        </w:rPr>
        <w:t xml:space="preserve"> </w:t>
      </w:r>
      <w:r w:rsidRPr="00787196">
        <w:rPr>
          <w:rFonts w:ascii="Latha" w:hAnsi="Latha" w:cs="Arial Unicode MS"/>
          <w:sz w:val="14"/>
          <w:szCs w:val="14"/>
          <w:cs/>
        </w:rPr>
        <w:t>பதிலுக்குரிய</w:t>
      </w:r>
      <w:r w:rsidRPr="00787196">
        <w:rPr>
          <w:rFonts w:cs="Arial"/>
          <w:sz w:val="14"/>
          <w:szCs w:val="14"/>
          <w:cs/>
        </w:rPr>
        <w:t xml:space="preserve"> </w:t>
      </w:r>
      <w:r w:rsidRPr="00787196">
        <w:rPr>
          <w:rFonts w:ascii="Latha" w:hAnsi="Latha" w:cs="Arial Unicode MS"/>
          <w:sz w:val="14"/>
          <w:szCs w:val="14"/>
          <w:cs/>
        </w:rPr>
        <w:t>கட்டத்தில்</w:t>
      </w:r>
      <w:r w:rsidRPr="00787196">
        <w:rPr>
          <w:rFonts w:cs="Arial"/>
          <w:sz w:val="16"/>
          <w:szCs w:val="16"/>
        </w:rPr>
        <w:t>‘X’</w:t>
      </w:r>
      <w:r w:rsidRPr="00787196">
        <w:rPr>
          <w:rFonts w:cs="Arial"/>
          <w:sz w:val="16"/>
          <w:szCs w:val="16"/>
          <w:cs/>
        </w:rPr>
        <w:t xml:space="preserve"> </w:t>
      </w:r>
      <w:r w:rsidRPr="00787196">
        <w:rPr>
          <w:rFonts w:ascii="Latha" w:hAnsi="Latha" w:cs="Arial Unicode MS"/>
          <w:sz w:val="14"/>
          <w:szCs w:val="14"/>
          <w:cs/>
        </w:rPr>
        <w:t>இடவும்</w:t>
      </w:r>
    </w:p>
    <w:tbl>
      <w:tblPr>
        <w:tblpPr w:leftFromText="180" w:rightFromText="180" w:vertAnchor="page" w:horzAnchor="margin" w:tblpY="2226"/>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4"/>
        <w:gridCol w:w="1299"/>
        <w:gridCol w:w="1654"/>
        <w:gridCol w:w="1299"/>
        <w:gridCol w:w="1182"/>
      </w:tblGrid>
      <w:tr w:rsidR="006F0EC1" w:rsidRPr="00787196" w14:paraId="3CEF88D8" w14:textId="77777777" w:rsidTr="00E54B23">
        <w:trPr>
          <w:trHeight w:val="528"/>
        </w:trPr>
        <w:tc>
          <w:tcPr>
            <w:tcW w:w="3044" w:type="dxa"/>
            <w:tcBorders>
              <w:bottom w:val="single" w:sz="4" w:space="0" w:color="000000"/>
              <w:right w:val="nil"/>
            </w:tcBorders>
            <w:shd w:val="clear" w:color="auto" w:fill="auto"/>
          </w:tcPr>
          <w:p w14:paraId="0BBAB88C" w14:textId="77777777" w:rsidR="006F0EC1" w:rsidRPr="00787196" w:rsidRDefault="006F0EC1" w:rsidP="005C2A75">
            <w:pPr>
              <w:spacing w:before="0" w:after="0" w:line="240" w:lineRule="auto"/>
              <w:rPr>
                <w:rFonts w:eastAsia="Calibri" w:cs="Arial"/>
                <w:sz w:val="20"/>
                <w:szCs w:val="20"/>
                <w:lang w:eastAsia="en-US" w:bidi="ar-SA"/>
              </w:rPr>
            </w:pPr>
          </w:p>
        </w:tc>
        <w:tc>
          <w:tcPr>
            <w:tcW w:w="1299" w:type="dxa"/>
            <w:tcBorders>
              <w:left w:val="nil"/>
              <w:bottom w:val="single" w:sz="4" w:space="0" w:color="000000"/>
              <w:right w:val="nil"/>
            </w:tcBorders>
            <w:shd w:val="clear" w:color="auto" w:fill="auto"/>
            <w:vAlign w:val="center"/>
          </w:tcPr>
          <w:p w14:paraId="154685E3" w14:textId="77777777" w:rsidR="006F0EC1" w:rsidRPr="00787196" w:rsidRDefault="006F0EC1" w:rsidP="005C2A75">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இல்லவே</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w:t>
            </w:r>
          </w:p>
        </w:tc>
        <w:tc>
          <w:tcPr>
            <w:tcW w:w="1654" w:type="dxa"/>
            <w:tcBorders>
              <w:left w:val="nil"/>
              <w:bottom w:val="single" w:sz="4" w:space="0" w:color="000000"/>
              <w:right w:val="nil"/>
            </w:tcBorders>
            <w:shd w:val="clear" w:color="auto" w:fill="auto"/>
            <w:vAlign w:val="center"/>
          </w:tcPr>
          <w:p w14:paraId="4D8B23B1" w14:textId="77777777" w:rsidR="006F0EC1" w:rsidRPr="00787196" w:rsidRDefault="006F0EC1" w:rsidP="005C2A75">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சிறிதளவு</w:t>
            </w:r>
          </w:p>
        </w:tc>
        <w:tc>
          <w:tcPr>
            <w:tcW w:w="1299" w:type="dxa"/>
            <w:tcBorders>
              <w:left w:val="nil"/>
              <w:bottom w:val="single" w:sz="4" w:space="0" w:color="000000"/>
              <w:right w:val="nil"/>
            </w:tcBorders>
            <w:shd w:val="clear" w:color="auto" w:fill="auto"/>
            <w:vAlign w:val="center"/>
          </w:tcPr>
          <w:p w14:paraId="6DE5090D" w14:textId="77777777" w:rsidR="006F0EC1" w:rsidRPr="00787196" w:rsidRDefault="006F0EC1" w:rsidP="005C2A75">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நடுத்தர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அளவு</w:t>
            </w:r>
          </w:p>
        </w:tc>
        <w:tc>
          <w:tcPr>
            <w:tcW w:w="1182" w:type="dxa"/>
            <w:tcBorders>
              <w:left w:val="nil"/>
              <w:bottom w:val="single" w:sz="4" w:space="0" w:color="000000"/>
            </w:tcBorders>
            <w:shd w:val="clear" w:color="auto" w:fill="auto"/>
            <w:vAlign w:val="center"/>
          </w:tcPr>
          <w:p w14:paraId="06992A11" w14:textId="77777777" w:rsidR="006F0EC1" w:rsidRPr="00787196" w:rsidRDefault="006F0EC1" w:rsidP="005C2A75">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அதிக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அளவு</w:t>
            </w:r>
          </w:p>
        </w:tc>
      </w:tr>
      <w:tr w:rsidR="006F0EC1" w:rsidRPr="00787196" w14:paraId="50197062" w14:textId="77777777" w:rsidTr="00E54B23">
        <w:trPr>
          <w:trHeight w:val="1116"/>
        </w:trPr>
        <w:tc>
          <w:tcPr>
            <w:tcW w:w="3044" w:type="dxa"/>
            <w:tcBorders>
              <w:bottom w:val="nil"/>
              <w:right w:val="nil"/>
            </w:tcBorders>
            <w:shd w:val="clear" w:color="auto" w:fill="auto"/>
            <w:vAlign w:val="center"/>
          </w:tcPr>
          <w:p w14:paraId="4C61A8ED"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 xml:space="preserve">0.    </w:t>
            </w:r>
            <w:r w:rsidR="006F0EC1" w:rsidRPr="00787196">
              <w:rPr>
                <w:rFonts w:ascii="Latha" w:eastAsia="Calibri" w:hAnsi="Latha" w:cs="Arial Unicode MS"/>
                <w:sz w:val="14"/>
                <w:szCs w:val="14"/>
                <w:cs/>
                <w:lang w:eastAsia="en-US"/>
              </w:rPr>
              <w:t>என்னுடைய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தற்போதைய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நிலையைப்</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எதாவது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ஒரு</w:t>
            </w:r>
            <w:r w:rsidR="006F0EC1" w:rsidRPr="00787196">
              <w:rPr>
                <w:rFonts w:eastAsia="Calibri" w:cs="Arial"/>
                <w:sz w:val="14"/>
                <w:szCs w:val="14"/>
                <w:cs/>
                <w:lang w:eastAsia="en-US"/>
              </w:rPr>
              <w:t xml:space="preserve"> </w:t>
            </w:r>
            <w:r w:rsidR="006F0EC1" w:rsidRPr="00787196">
              <w:rPr>
                <w:rFonts w:ascii="Latha" w:eastAsia="Calibri" w:hAnsi="Latha" w:cs="Arial Unicode MS"/>
                <w:sz w:val="14"/>
                <w:szCs w:val="14"/>
                <w:cs/>
                <w:lang w:eastAsia="en-US"/>
              </w:rPr>
              <w:t>நிலைப்படுத்தி</w:t>
            </w:r>
            <w:r w:rsidR="006F0EC1" w:rsidRPr="00787196">
              <w:rPr>
                <w:rFonts w:eastAsia="Calibri" w:cs="Arial"/>
                <w:sz w:val="14"/>
                <w:szCs w:val="14"/>
                <w:cs/>
                <w:lang w:eastAsia="en-US"/>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left w:val="nil"/>
              <w:bottom w:val="nil"/>
              <w:right w:val="nil"/>
            </w:tcBorders>
            <w:shd w:val="clear" w:color="auto" w:fill="auto"/>
            <w:vAlign w:val="center"/>
          </w:tcPr>
          <w:p w14:paraId="599A597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left w:val="nil"/>
              <w:bottom w:val="nil"/>
              <w:right w:val="nil"/>
            </w:tcBorders>
            <w:shd w:val="clear" w:color="auto" w:fill="auto"/>
            <w:vAlign w:val="center"/>
          </w:tcPr>
          <w:p w14:paraId="11684F5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left w:val="nil"/>
              <w:bottom w:val="nil"/>
              <w:right w:val="nil"/>
            </w:tcBorders>
            <w:shd w:val="clear" w:color="auto" w:fill="auto"/>
            <w:vAlign w:val="center"/>
          </w:tcPr>
          <w:p w14:paraId="69B81C7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left w:val="nil"/>
              <w:bottom w:val="nil"/>
            </w:tcBorders>
            <w:shd w:val="clear" w:color="auto" w:fill="auto"/>
            <w:vAlign w:val="center"/>
          </w:tcPr>
          <w:p w14:paraId="5728B7A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A3A8375" w14:textId="77777777" w:rsidTr="00E54B23">
        <w:trPr>
          <w:trHeight w:val="824"/>
        </w:trPr>
        <w:tc>
          <w:tcPr>
            <w:tcW w:w="3044" w:type="dxa"/>
            <w:tcBorders>
              <w:top w:val="nil"/>
              <w:bottom w:val="nil"/>
              <w:right w:val="nil"/>
            </w:tcBorders>
            <w:shd w:val="clear" w:color="auto" w:fill="auto"/>
            <w:vAlign w:val="center"/>
          </w:tcPr>
          <w:p w14:paraId="7AF931B8"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 xml:space="preserve">1.   </w:t>
            </w:r>
            <w:r w:rsidR="006F0EC1" w:rsidRPr="00787196">
              <w:rPr>
                <w:rFonts w:ascii="Latha" w:eastAsia="Calibri" w:hAnsi="Latha" w:cs="Arial Unicode MS"/>
                <w:sz w:val="14"/>
                <w:szCs w:val="14"/>
                <w:cs/>
                <w:lang w:eastAsia="en-US"/>
              </w:rPr>
              <w:t>தற்போதைய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நிலையை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முன்னேற்ற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நடவடிக்கை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எடுத்து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44F5630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14E578F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425D3DC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0E186DD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6E74C87A" w14:textId="77777777" w:rsidTr="00E54B23">
        <w:trPr>
          <w:trHeight w:val="834"/>
        </w:trPr>
        <w:tc>
          <w:tcPr>
            <w:tcW w:w="3044" w:type="dxa"/>
            <w:tcBorders>
              <w:top w:val="nil"/>
              <w:bottom w:val="nil"/>
              <w:right w:val="nil"/>
            </w:tcBorders>
            <w:shd w:val="clear" w:color="auto" w:fill="auto"/>
            <w:vAlign w:val="center"/>
          </w:tcPr>
          <w:p w14:paraId="11D1FBBE"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6"/>
                <w:szCs w:val="16"/>
                <w:lang w:eastAsia="en-US" w:bidi="ar-SA"/>
              </w:rPr>
              <w:t>3</w:t>
            </w:r>
            <w:r w:rsidR="006F0EC1" w:rsidRPr="00787196">
              <w:rPr>
                <w:rFonts w:eastAsia="Calibri" w:cs="Arial"/>
                <w:sz w:val="16"/>
                <w:szCs w:val="16"/>
                <w:lang w:eastAsia="en-US" w:bidi="ar-SA"/>
              </w:rPr>
              <w:t xml:space="preserve">2.  </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செய்யலாம்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வியுகங்கள்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வகுக்க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எடுத்து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 xml:space="preserve">.  </w:t>
            </w:r>
            <w:r w:rsidR="006F0EC1" w:rsidRPr="00787196">
              <w:rPr>
                <w:rFonts w:eastAsia="Calibri" w:cs="Arial"/>
                <w:sz w:val="16"/>
                <w:szCs w:val="16"/>
                <w:lang w:eastAsia="en-US" w:bidi="ar-SA"/>
              </w:rPr>
              <w:t xml:space="preserve"> </w:t>
            </w:r>
          </w:p>
        </w:tc>
        <w:tc>
          <w:tcPr>
            <w:tcW w:w="1299" w:type="dxa"/>
            <w:tcBorders>
              <w:top w:val="nil"/>
              <w:left w:val="nil"/>
              <w:bottom w:val="nil"/>
              <w:right w:val="nil"/>
            </w:tcBorders>
            <w:shd w:val="clear" w:color="auto" w:fill="auto"/>
            <w:vAlign w:val="center"/>
          </w:tcPr>
          <w:p w14:paraId="3FB3728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623C877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4725E0C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132E335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1A42E698" w14:textId="77777777" w:rsidTr="00E54B23">
        <w:trPr>
          <w:trHeight w:val="948"/>
        </w:trPr>
        <w:tc>
          <w:tcPr>
            <w:tcW w:w="3044" w:type="dxa"/>
            <w:tcBorders>
              <w:top w:val="nil"/>
              <w:bottom w:val="nil"/>
              <w:right w:val="nil"/>
            </w:tcBorders>
            <w:shd w:val="clear" w:color="auto" w:fill="auto"/>
            <w:vAlign w:val="center"/>
          </w:tcPr>
          <w:p w14:paraId="113BE6C9"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 xml:space="preserve">3.  </w:t>
            </w:r>
            <w:r w:rsidR="006F0EC1" w:rsidRPr="00787196">
              <w:rPr>
                <w:rFonts w:ascii="Latha" w:eastAsia="Calibri" w:hAnsi="Latha" w:cs="Arial Unicode MS"/>
                <w:sz w:val="14"/>
                <w:szCs w:val="14"/>
                <w:cs/>
                <w:lang w:eastAsia="en-US"/>
              </w:rPr>
              <w:t>என்னவாறு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அடியெடுத்து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வைக்கலாம்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மிகக்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கடுமையாக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யோசித்து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 xml:space="preserve">. </w:t>
            </w:r>
          </w:p>
        </w:tc>
        <w:tc>
          <w:tcPr>
            <w:tcW w:w="1299" w:type="dxa"/>
            <w:tcBorders>
              <w:top w:val="nil"/>
              <w:left w:val="nil"/>
              <w:bottom w:val="nil"/>
              <w:right w:val="nil"/>
            </w:tcBorders>
            <w:shd w:val="clear" w:color="auto" w:fill="auto"/>
            <w:vAlign w:val="center"/>
          </w:tcPr>
          <w:p w14:paraId="4211673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30B26E2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48394DC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5968885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0D1B67A" w14:textId="77777777" w:rsidTr="00E54B23">
        <w:trPr>
          <w:trHeight w:val="1082"/>
        </w:trPr>
        <w:tc>
          <w:tcPr>
            <w:tcW w:w="3044" w:type="dxa"/>
            <w:tcBorders>
              <w:top w:val="nil"/>
              <w:bottom w:val="nil"/>
              <w:right w:val="nil"/>
            </w:tcBorders>
            <w:shd w:val="clear" w:color="auto" w:fill="auto"/>
            <w:vAlign w:val="center"/>
          </w:tcPr>
          <w:p w14:paraId="13951429" w14:textId="77777777" w:rsidR="006F0EC1" w:rsidRPr="00787196" w:rsidRDefault="006F0EC1" w:rsidP="008E116F">
            <w:pPr>
              <w:spacing w:before="0" w:after="0" w:line="240" w:lineRule="auto"/>
              <w:jc w:val="left"/>
              <w:rPr>
                <w:rFonts w:eastAsia="Calibri" w:cs="Arial"/>
                <w:sz w:val="16"/>
                <w:szCs w:val="16"/>
                <w:lang w:eastAsia="en-US" w:bidi="ar-SA"/>
              </w:rPr>
            </w:pPr>
            <w:r w:rsidRPr="00787196">
              <w:rPr>
                <w:rFonts w:eastAsia="Calibri" w:cs="Arial"/>
                <w:sz w:val="16"/>
                <w:szCs w:val="16"/>
                <w:lang w:eastAsia="en-US" w:bidi="ar-SA"/>
              </w:rPr>
              <w:t xml:space="preserve"> </w:t>
            </w:r>
            <w:r w:rsidR="008652A2" w:rsidRPr="00787196">
              <w:rPr>
                <w:rFonts w:eastAsia="Calibri" w:cs="Arial"/>
                <w:sz w:val="16"/>
                <w:szCs w:val="16"/>
                <w:lang w:eastAsia="en-US" w:bidi="ar-SA"/>
              </w:rPr>
              <w:t>3</w:t>
            </w:r>
            <w:r w:rsidRPr="00787196">
              <w:rPr>
                <w:rFonts w:eastAsia="Calibri" w:cs="Arial"/>
                <w:sz w:val="16"/>
                <w:szCs w:val="16"/>
                <w:lang w:eastAsia="en-US" w:bidi="ar-SA"/>
              </w:rPr>
              <w:t xml:space="preserve">4. </w:t>
            </w:r>
            <w:r w:rsidRPr="00787196">
              <w:rPr>
                <w:rFonts w:eastAsia="Calibri" w:cs="Arial"/>
                <w:sz w:val="16"/>
                <w:szCs w:val="16"/>
                <w:rtl/>
                <w:cs/>
                <w:lang w:eastAsia="en-US" w:bidi="ar-SA"/>
              </w:rPr>
              <w:t xml:space="preserve"> </w:t>
            </w:r>
            <w:r w:rsidRPr="00787196">
              <w:rPr>
                <w:rFonts w:ascii="Latha" w:eastAsia="Calibri" w:hAnsi="Latha" w:cs="Arial Unicode MS"/>
                <w:sz w:val="14"/>
                <w:szCs w:val="14"/>
                <w:cs/>
                <w:lang w:eastAsia="en-US"/>
              </w:rPr>
              <w:t>இப்பிரச்சனயை</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வேறொரு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விதமான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பார்வையில்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பார்த்து</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அதன்</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மூலம்</w:t>
            </w:r>
            <w:r w:rsidRPr="00787196">
              <w:rPr>
                <w:rFonts w:eastAsia="Calibri" w:cs="Arial"/>
                <w:sz w:val="20"/>
                <w:szCs w:val="20"/>
                <w:rtl/>
                <w:cs/>
                <w:lang w:eastAsia="en-US" w:bidi="ar-SA"/>
              </w:rPr>
              <w:t xml:space="preserve"> </w:t>
            </w:r>
            <w:r w:rsidRPr="00787196">
              <w:rPr>
                <w:rFonts w:ascii="Latha" w:eastAsia="Calibri" w:hAnsi="Latha" w:cs="Arial Unicode MS"/>
                <w:sz w:val="14"/>
                <w:szCs w:val="14"/>
                <w:cs/>
                <w:lang w:eastAsia="en-US"/>
              </w:rPr>
              <w:t>நேர்மறையாகத்</w:t>
            </w:r>
            <w:r w:rsidRPr="00787196">
              <w:rPr>
                <w:rFonts w:eastAsia="Calibri" w:cs="Arial"/>
                <w:sz w:val="14"/>
                <w:szCs w:val="14"/>
                <w:cs/>
                <w:lang w:eastAsia="en-US"/>
              </w:rPr>
              <w:t xml:space="preserve"> </w:t>
            </w:r>
            <w:r w:rsidRPr="00787196">
              <w:rPr>
                <w:rFonts w:ascii="Latha" w:eastAsia="Calibri" w:hAnsi="Latha" w:cs="Arial Unicode MS"/>
                <w:sz w:val="14"/>
                <w:szCs w:val="14"/>
                <w:cs/>
                <w:lang w:eastAsia="en-US"/>
              </w:rPr>
              <w:t>தென்படவைக்க</w:t>
            </w:r>
            <w:r w:rsidRPr="00787196">
              <w:rPr>
                <w:rFonts w:eastAsia="Calibri" w:cs="Arial"/>
                <w:sz w:val="14"/>
                <w:szCs w:val="14"/>
                <w:cs/>
                <w:lang w:eastAsia="en-US"/>
              </w:rPr>
              <w:t xml:space="preserve"> </w:t>
            </w:r>
            <w:r w:rsidRPr="00787196">
              <w:rPr>
                <w:rFonts w:ascii="Latha" w:eastAsia="Calibri" w:hAnsi="Latha" w:cs="Arial Unicode MS"/>
                <w:sz w:val="14"/>
                <w:szCs w:val="14"/>
                <w:cs/>
                <w:lang w:eastAsia="en-US"/>
              </w:rPr>
              <w:t>முயற்சித்து</w:t>
            </w:r>
            <w:r w:rsidRPr="00787196">
              <w:rPr>
                <w:rFonts w:eastAsia="Calibri" w:cs="Arial"/>
                <w:sz w:val="14"/>
                <w:szCs w:val="14"/>
                <w:cs/>
                <w:lang w:eastAsia="en-US"/>
              </w:rPr>
              <w:t xml:space="preserve"> </w:t>
            </w:r>
            <w:r w:rsidRPr="00787196">
              <w:rPr>
                <w:rFonts w:ascii="Latha" w:eastAsia="Calibri" w:hAnsi="Latha" w:cs="Arial Unicode MS"/>
                <w:sz w:val="14"/>
                <w:szCs w:val="14"/>
                <w:cs/>
                <w:lang w:eastAsia="en-US"/>
              </w:rPr>
              <w:t>வருகிறேன்</w:t>
            </w:r>
            <w:r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5933328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1C2713E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2233661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28E0BD7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0B4F049F" w14:textId="77777777" w:rsidTr="00E54B23">
        <w:trPr>
          <w:trHeight w:val="802"/>
        </w:trPr>
        <w:tc>
          <w:tcPr>
            <w:tcW w:w="3044" w:type="dxa"/>
            <w:tcBorders>
              <w:top w:val="nil"/>
              <w:bottom w:val="nil"/>
              <w:right w:val="nil"/>
            </w:tcBorders>
            <w:shd w:val="clear" w:color="auto" w:fill="auto"/>
            <w:vAlign w:val="center"/>
          </w:tcPr>
          <w:p w14:paraId="18525943"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 xml:space="preserve">5.  </w:t>
            </w:r>
            <w:r w:rsidR="006F0EC1" w:rsidRPr="00787196">
              <w:rPr>
                <w:rFonts w:ascii="Latha" w:eastAsia="Calibri" w:hAnsi="Latha" w:cs="Arial Unicode MS"/>
                <w:sz w:val="14"/>
                <w:szCs w:val="14"/>
                <w:cs/>
                <w:lang w:eastAsia="en-US"/>
              </w:rPr>
              <w:t>நடந்தவற்றில்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உள்ள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நன்மைகளைத்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2A372B3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182C37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090785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16503C9"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75DE0DC3" w14:textId="77777777" w:rsidTr="00E54B23">
        <w:trPr>
          <w:trHeight w:val="805"/>
        </w:trPr>
        <w:tc>
          <w:tcPr>
            <w:tcW w:w="3044" w:type="dxa"/>
            <w:tcBorders>
              <w:top w:val="nil"/>
              <w:bottom w:val="nil"/>
              <w:right w:val="nil"/>
            </w:tcBorders>
            <w:shd w:val="clear" w:color="auto" w:fill="auto"/>
            <w:vAlign w:val="center"/>
          </w:tcPr>
          <w:p w14:paraId="71710FFD"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6.</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நடந்த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விடயத்தின்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யதார்த்தத்தில்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உள்ள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உண்மையை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ஏற்றுக்கொண்டுள்ளேன்</w:t>
            </w:r>
            <w:r w:rsidR="006F0EC1" w:rsidRPr="00787196">
              <w:rPr>
                <w:rFonts w:eastAsia="Calibri" w:cs="Arial"/>
                <w:sz w:val="14"/>
                <w:szCs w:val="14"/>
                <w:lang w:eastAsia="en-US" w:bidi="ar-SA"/>
              </w:rPr>
              <w:t xml:space="preserve">  </w:t>
            </w:r>
          </w:p>
        </w:tc>
        <w:tc>
          <w:tcPr>
            <w:tcW w:w="1299" w:type="dxa"/>
            <w:tcBorders>
              <w:top w:val="nil"/>
              <w:left w:val="nil"/>
              <w:bottom w:val="nil"/>
              <w:right w:val="nil"/>
            </w:tcBorders>
            <w:shd w:val="clear" w:color="auto" w:fill="auto"/>
            <w:vAlign w:val="center"/>
          </w:tcPr>
          <w:p w14:paraId="197F6103"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46B96C8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28673D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0B16699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C65BAE5" w14:textId="77777777" w:rsidTr="00E54B23">
        <w:trPr>
          <w:trHeight w:val="805"/>
        </w:trPr>
        <w:tc>
          <w:tcPr>
            <w:tcW w:w="3044" w:type="dxa"/>
            <w:tcBorders>
              <w:top w:val="nil"/>
              <w:bottom w:val="nil"/>
              <w:right w:val="nil"/>
            </w:tcBorders>
            <w:shd w:val="clear" w:color="auto" w:fill="auto"/>
            <w:vAlign w:val="center"/>
          </w:tcPr>
          <w:p w14:paraId="62C2E35B"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3</w:t>
            </w:r>
            <w:r w:rsidR="006F0EC1" w:rsidRPr="00787196">
              <w:rPr>
                <w:rFonts w:eastAsia="Calibri" w:cs="Arial"/>
                <w:sz w:val="14"/>
                <w:szCs w:val="14"/>
                <w:lang w:eastAsia="en-US" w:bidi="ar-SA"/>
              </w:rPr>
              <w:t xml:space="preserve">7. </w:t>
            </w:r>
            <w:r w:rsidR="006F0EC1" w:rsidRPr="00787196">
              <w:rPr>
                <w:rFonts w:ascii="Latha" w:eastAsia="Calibri" w:hAnsi="Latha" w:cs="Arial Unicode MS"/>
                <w:sz w:val="14"/>
                <w:szCs w:val="14"/>
                <w:cs/>
                <w:lang w:eastAsia="en-US"/>
              </w:rPr>
              <w:t>இந்நிலைமையுடன்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வாழக்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கற்றுக்கொண்டுள்ளேன்</w:t>
            </w:r>
            <w:r w:rsidR="006F0EC1" w:rsidRPr="00787196">
              <w:rPr>
                <w:rFonts w:eastAsia="Calibri" w:cs="Arial"/>
                <w:sz w:val="14"/>
                <w:szCs w:val="14"/>
                <w:lang w:eastAsia="en-US" w:bidi="ar-SA"/>
              </w:rPr>
              <w:t>.</w:t>
            </w:r>
          </w:p>
        </w:tc>
        <w:tc>
          <w:tcPr>
            <w:tcW w:w="1299" w:type="dxa"/>
            <w:tcBorders>
              <w:top w:val="nil"/>
              <w:left w:val="nil"/>
              <w:bottom w:val="nil"/>
              <w:right w:val="nil"/>
            </w:tcBorders>
            <w:shd w:val="clear" w:color="auto" w:fill="auto"/>
            <w:vAlign w:val="center"/>
          </w:tcPr>
          <w:p w14:paraId="6998FB1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CE583D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7BFE8FF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6FE5C28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121A49AC" w14:textId="77777777" w:rsidTr="00E54B23">
        <w:trPr>
          <w:trHeight w:val="805"/>
        </w:trPr>
        <w:tc>
          <w:tcPr>
            <w:tcW w:w="3044" w:type="dxa"/>
            <w:tcBorders>
              <w:top w:val="nil"/>
              <w:bottom w:val="nil"/>
              <w:right w:val="nil"/>
            </w:tcBorders>
            <w:shd w:val="clear" w:color="auto" w:fill="auto"/>
            <w:vAlign w:val="center"/>
          </w:tcPr>
          <w:p w14:paraId="45BFC007"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6"/>
                <w:szCs w:val="16"/>
                <w:lang w:eastAsia="en-US" w:bidi="ar-SA"/>
              </w:rPr>
              <w:t>3</w:t>
            </w:r>
            <w:r w:rsidR="006F0EC1" w:rsidRPr="00787196">
              <w:rPr>
                <w:rFonts w:eastAsia="Calibri" w:cs="Arial"/>
                <w:sz w:val="16"/>
                <w:szCs w:val="16"/>
                <w:lang w:eastAsia="en-US" w:bidi="ar-SA"/>
              </w:rPr>
              <w:t xml:space="preserve">8.  </w:t>
            </w:r>
            <w:r w:rsidR="006F0EC1" w:rsidRPr="00787196">
              <w:rPr>
                <w:rFonts w:ascii="Latha" w:eastAsia="Calibri" w:hAnsi="Latha" w:cs="Arial Unicode MS"/>
                <w:sz w:val="14"/>
                <w:szCs w:val="14"/>
                <w:cs/>
                <w:lang w:eastAsia="en-US"/>
              </w:rPr>
              <w:t>இந்நிலைமையைப்பற்றி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ஜோக்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பரிகாசம்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p>
        </w:tc>
        <w:tc>
          <w:tcPr>
            <w:tcW w:w="1299" w:type="dxa"/>
            <w:tcBorders>
              <w:top w:val="nil"/>
              <w:left w:val="nil"/>
              <w:bottom w:val="nil"/>
              <w:right w:val="nil"/>
            </w:tcBorders>
            <w:shd w:val="clear" w:color="auto" w:fill="auto"/>
            <w:vAlign w:val="center"/>
          </w:tcPr>
          <w:p w14:paraId="6836A86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13E76BC9"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01EB4D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250D80F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7596F232" w14:textId="77777777" w:rsidTr="00E54B23">
        <w:trPr>
          <w:trHeight w:val="805"/>
        </w:trPr>
        <w:tc>
          <w:tcPr>
            <w:tcW w:w="3044" w:type="dxa"/>
            <w:tcBorders>
              <w:top w:val="nil"/>
              <w:bottom w:val="nil"/>
              <w:right w:val="nil"/>
            </w:tcBorders>
            <w:shd w:val="clear" w:color="auto" w:fill="auto"/>
            <w:vAlign w:val="center"/>
          </w:tcPr>
          <w:p w14:paraId="15890435"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6"/>
                <w:szCs w:val="16"/>
                <w:lang w:eastAsia="en-US" w:bidi="ar-SA"/>
              </w:rPr>
              <w:t>3</w:t>
            </w:r>
            <w:r w:rsidR="006F0EC1" w:rsidRPr="00787196">
              <w:rPr>
                <w:rFonts w:eastAsia="Calibri" w:cs="Arial"/>
                <w:sz w:val="16"/>
                <w:szCs w:val="16"/>
                <w:lang w:eastAsia="en-US" w:bidi="ar-SA"/>
              </w:rPr>
              <w:t xml:space="preserve">9.  </w:t>
            </w:r>
            <w:r w:rsidR="006F0EC1" w:rsidRPr="00787196">
              <w:rPr>
                <w:rFonts w:ascii="Latha" w:eastAsia="Calibri" w:hAnsi="Latha" w:cs="Arial Unicode MS"/>
                <w:sz w:val="14"/>
                <w:szCs w:val="14"/>
                <w:cs/>
                <w:lang w:eastAsia="en-US"/>
              </w:rPr>
              <w:t>இந்நிலைமையைப்பற்றி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6"/>
                <w:szCs w:val="16"/>
                <w:lang w:eastAsia="en-US" w:bidi="ar-SA"/>
              </w:rPr>
              <w:t>.</w:t>
            </w:r>
          </w:p>
        </w:tc>
        <w:tc>
          <w:tcPr>
            <w:tcW w:w="1299" w:type="dxa"/>
            <w:tcBorders>
              <w:top w:val="nil"/>
              <w:left w:val="nil"/>
              <w:bottom w:val="nil"/>
              <w:right w:val="nil"/>
            </w:tcBorders>
            <w:shd w:val="clear" w:color="auto" w:fill="auto"/>
            <w:vAlign w:val="center"/>
          </w:tcPr>
          <w:p w14:paraId="44732BF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116B4E5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CAA5499"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0D7C535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6D87227B" w14:textId="77777777" w:rsidTr="00E54B23">
        <w:trPr>
          <w:trHeight w:val="805"/>
        </w:trPr>
        <w:tc>
          <w:tcPr>
            <w:tcW w:w="3044" w:type="dxa"/>
            <w:tcBorders>
              <w:top w:val="nil"/>
              <w:bottom w:val="nil"/>
              <w:right w:val="nil"/>
            </w:tcBorders>
            <w:shd w:val="clear" w:color="auto" w:fill="auto"/>
            <w:vAlign w:val="center"/>
          </w:tcPr>
          <w:p w14:paraId="3AD65915"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0. </w:t>
            </w:r>
            <w:r w:rsidR="006F0EC1" w:rsidRPr="00787196">
              <w:rPr>
                <w:rFonts w:ascii="Latha" w:eastAsia="Calibri" w:hAnsi="Latha" w:cs="Arial Unicode MS"/>
                <w:sz w:val="14"/>
                <w:szCs w:val="14"/>
                <w:cs/>
                <w:lang w:eastAsia="en-US"/>
              </w:rPr>
              <w:t>மத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மற்றும்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ஆன்மிக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நம்பிக்கைகள்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ஆறுதல்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r w:rsidR="006F0EC1" w:rsidRPr="00787196">
              <w:rPr>
                <w:rFonts w:eastAsia="Calibri" w:cs="Arial"/>
                <w:sz w:val="14"/>
                <w:szCs w:val="14"/>
                <w:lang w:eastAsia="en-US" w:bidi="ar-SA"/>
              </w:rPr>
              <w:t xml:space="preserve"> </w:t>
            </w:r>
          </w:p>
        </w:tc>
        <w:tc>
          <w:tcPr>
            <w:tcW w:w="1299" w:type="dxa"/>
            <w:tcBorders>
              <w:top w:val="nil"/>
              <w:left w:val="nil"/>
              <w:bottom w:val="nil"/>
              <w:right w:val="nil"/>
            </w:tcBorders>
            <w:shd w:val="clear" w:color="auto" w:fill="auto"/>
            <w:vAlign w:val="center"/>
          </w:tcPr>
          <w:p w14:paraId="4C244A4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74262D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8D735F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33E065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03E8E29" w14:textId="77777777" w:rsidTr="00E54B23">
        <w:trPr>
          <w:trHeight w:val="805"/>
        </w:trPr>
        <w:tc>
          <w:tcPr>
            <w:tcW w:w="3044" w:type="dxa"/>
            <w:tcBorders>
              <w:top w:val="nil"/>
              <w:bottom w:val="nil"/>
              <w:right w:val="nil"/>
            </w:tcBorders>
            <w:shd w:val="clear" w:color="auto" w:fill="auto"/>
            <w:vAlign w:val="center"/>
          </w:tcPr>
          <w:p w14:paraId="7442BCD2"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1</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பிரார்த்தித்து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அல்லது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தியானித்து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p>
        </w:tc>
        <w:tc>
          <w:tcPr>
            <w:tcW w:w="1299" w:type="dxa"/>
            <w:tcBorders>
              <w:top w:val="nil"/>
              <w:left w:val="nil"/>
              <w:bottom w:val="nil"/>
              <w:right w:val="nil"/>
            </w:tcBorders>
            <w:shd w:val="clear" w:color="auto" w:fill="auto"/>
            <w:vAlign w:val="center"/>
          </w:tcPr>
          <w:p w14:paraId="3F52B31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62AE058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4916C30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09453CE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03C9F91" w14:textId="77777777" w:rsidTr="00E54B23">
        <w:trPr>
          <w:trHeight w:val="805"/>
        </w:trPr>
        <w:tc>
          <w:tcPr>
            <w:tcW w:w="3044" w:type="dxa"/>
            <w:tcBorders>
              <w:top w:val="nil"/>
              <w:bottom w:val="nil"/>
              <w:right w:val="nil"/>
            </w:tcBorders>
            <w:shd w:val="clear" w:color="auto" w:fill="auto"/>
            <w:vAlign w:val="center"/>
          </w:tcPr>
          <w:p w14:paraId="3AE09ABA"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2. </w:t>
            </w:r>
            <w:r w:rsidR="006F0EC1" w:rsidRPr="00787196">
              <w:rPr>
                <w:rFonts w:ascii="Latha" w:eastAsia="Calibri" w:hAnsi="Latha" w:cs="Arial Unicode MS"/>
                <w:sz w:val="14"/>
                <w:szCs w:val="14"/>
                <w:cs/>
                <w:lang w:eastAsia="en-US"/>
              </w:rPr>
              <w:t>மற்றவர்களிடம்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உணர்ச்சிவச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ஆறுதல்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559CB79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783D37B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F90137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548ADB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69EA59CB" w14:textId="77777777" w:rsidTr="00E54B23">
        <w:trPr>
          <w:trHeight w:val="805"/>
        </w:trPr>
        <w:tc>
          <w:tcPr>
            <w:tcW w:w="3044" w:type="dxa"/>
            <w:tcBorders>
              <w:top w:val="nil"/>
              <w:bottom w:val="nil"/>
              <w:right w:val="nil"/>
            </w:tcBorders>
            <w:shd w:val="clear" w:color="auto" w:fill="auto"/>
            <w:vAlign w:val="center"/>
          </w:tcPr>
          <w:p w14:paraId="70C25AF5"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3.  </w:t>
            </w:r>
            <w:r w:rsidR="006F0EC1" w:rsidRPr="00787196">
              <w:rPr>
                <w:rFonts w:ascii="Latha" w:eastAsia="Calibri" w:hAnsi="Latha" w:cs="Arial Unicode MS"/>
                <w:sz w:val="14"/>
                <w:szCs w:val="14"/>
                <w:cs/>
                <w:lang w:eastAsia="en-US"/>
              </w:rPr>
              <w:t>யாரோ</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ஒருவரிடம்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ஆறுதலும்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புரிதலும்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p>
        </w:tc>
        <w:tc>
          <w:tcPr>
            <w:tcW w:w="1299" w:type="dxa"/>
            <w:tcBorders>
              <w:top w:val="nil"/>
              <w:left w:val="nil"/>
              <w:bottom w:val="nil"/>
              <w:right w:val="nil"/>
            </w:tcBorders>
            <w:shd w:val="clear" w:color="auto" w:fill="auto"/>
            <w:vAlign w:val="center"/>
          </w:tcPr>
          <w:p w14:paraId="6B286EA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092ABE7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47DA7A9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239D704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2919DB9B" w14:textId="77777777" w:rsidTr="00E54B23">
        <w:trPr>
          <w:trHeight w:val="805"/>
        </w:trPr>
        <w:tc>
          <w:tcPr>
            <w:tcW w:w="3044" w:type="dxa"/>
            <w:tcBorders>
              <w:top w:val="nil"/>
              <w:bottom w:val="nil"/>
              <w:right w:val="nil"/>
            </w:tcBorders>
            <w:shd w:val="clear" w:color="auto" w:fill="auto"/>
            <w:vAlign w:val="center"/>
          </w:tcPr>
          <w:p w14:paraId="5E83AB71"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lastRenderedPageBreak/>
              <w:t>4</w:t>
            </w:r>
            <w:r w:rsidR="006F0EC1" w:rsidRPr="00787196">
              <w:rPr>
                <w:rFonts w:eastAsia="Calibri" w:cs="Arial"/>
                <w:sz w:val="14"/>
                <w:szCs w:val="14"/>
                <w:lang w:eastAsia="en-US" w:bidi="ar-SA"/>
              </w:rPr>
              <w:t xml:space="preserve">4. </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மற்றவர்களிடம்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செய்யலாம்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ஆலோசனை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அல்லது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உதவி</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lang w:eastAsia="en-US" w:bidi="ar-SA"/>
              </w:rPr>
              <w:t>.</w:t>
            </w:r>
          </w:p>
        </w:tc>
        <w:tc>
          <w:tcPr>
            <w:tcW w:w="1299" w:type="dxa"/>
            <w:tcBorders>
              <w:top w:val="nil"/>
              <w:left w:val="nil"/>
              <w:bottom w:val="nil"/>
              <w:right w:val="nil"/>
            </w:tcBorders>
            <w:shd w:val="clear" w:color="auto" w:fill="auto"/>
            <w:vAlign w:val="center"/>
          </w:tcPr>
          <w:p w14:paraId="7C55011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6416BC0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738EE4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E1AE6E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3127103" w14:textId="77777777" w:rsidTr="00E54B23">
        <w:trPr>
          <w:trHeight w:val="805"/>
        </w:trPr>
        <w:tc>
          <w:tcPr>
            <w:tcW w:w="3044" w:type="dxa"/>
            <w:tcBorders>
              <w:top w:val="nil"/>
              <w:bottom w:val="nil"/>
              <w:right w:val="nil"/>
            </w:tcBorders>
            <w:shd w:val="clear" w:color="auto" w:fill="auto"/>
            <w:vAlign w:val="center"/>
          </w:tcPr>
          <w:p w14:paraId="600A840D"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6"/>
                <w:szCs w:val="16"/>
                <w:lang w:eastAsia="en-US" w:bidi="ar-SA"/>
              </w:rPr>
              <w:t>4</w:t>
            </w:r>
            <w:r w:rsidR="006F0EC1" w:rsidRPr="00787196">
              <w:rPr>
                <w:rFonts w:eastAsia="Calibri" w:cs="Arial"/>
                <w:sz w:val="16"/>
                <w:szCs w:val="16"/>
                <w:lang w:eastAsia="en-US" w:bidi="ar-SA"/>
              </w:rPr>
              <w:t xml:space="preserve">5.  </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மற்றவர்களிடம்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ஆலோசனை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மற்றும்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உதவி</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0E78D02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4BD60B1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6D74173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19AAA89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0A2B472E" w14:textId="77777777" w:rsidTr="001A7B07">
        <w:trPr>
          <w:trHeight w:val="1094"/>
        </w:trPr>
        <w:tc>
          <w:tcPr>
            <w:tcW w:w="3044" w:type="dxa"/>
            <w:tcBorders>
              <w:top w:val="nil"/>
              <w:bottom w:val="nil"/>
              <w:right w:val="nil"/>
            </w:tcBorders>
            <w:shd w:val="clear" w:color="auto" w:fill="auto"/>
            <w:vAlign w:val="center"/>
          </w:tcPr>
          <w:p w14:paraId="358656DC"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6.  </w:t>
            </w:r>
            <w:r w:rsidR="006F0EC1" w:rsidRPr="00787196">
              <w:rPr>
                <w:rFonts w:ascii="Latha" w:eastAsia="Calibri" w:hAnsi="Latha" w:cs="Arial Unicode MS"/>
                <w:sz w:val="14"/>
                <w:szCs w:val="14"/>
                <w:cs/>
                <w:lang w:eastAsia="en-US"/>
              </w:rPr>
              <w:t>வேலை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மற்றும்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செயல்பாடுகளில்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ஈடுபட்டு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எண்ணத்தை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இவற்றில்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திருப்பி</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7DBEF66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200E93A"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180014F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562FFDD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AF356BE" w14:textId="77777777" w:rsidTr="00E54B23">
        <w:trPr>
          <w:trHeight w:val="1636"/>
        </w:trPr>
        <w:tc>
          <w:tcPr>
            <w:tcW w:w="3044" w:type="dxa"/>
            <w:tcBorders>
              <w:top w:val="nil"/>
              <w:bottom w:val="nil"/>
              <w:right w:val="nil"/>
            </w:tcBorders>
            <w:shd w:val="clear" w:color="auto" w:fill="auto"/>
            <w:vAlign w:val="center"/>
          </w:tcPr>
          <w:p w14:paraId="39566A28"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7.  </w:t>
            </w:r>
            <w:r w:rsidR="006F0EC1" w:rsidRPr="00787196">
              <w:rPr>
                <w:rFonts w:ascii="Latha" w:eastAsia="Calibri" w:hAnsi="Latha" w:cs="Arial Unicode MS"/>
                <w:sz w:val="14"/>
                <w:szCs w:val="14"/>
                <w:cs/>
                <w:lang w:eastAsia="en-US"/>
              </w:rPr>
              <w:t>இதைப்பற்றிக்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குறைவாகச்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சிந்திக்க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திரைப்படம்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காணச்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செல்வது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தொலைகாட்சி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பார்ப்பது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படிப்பது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பகற்கனவு</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காண்பது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தூங்குவது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அல்லது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பொருட்கள்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வாங்குவது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போன்று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ஏதாவது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 xml:space="preserve">. </w:t>
            </w:r>
          </w:p>
        </w:tc>
        <w:tc>
          <w:tcPr>
            <w:tcW w:w="1299" w:type="dxa"/>
            <w:tcBorders>
              <w:top w:val="nil"/>
              <w:left w:val="nil"/>
              <w:bottom w:val="nil"/>
              <w:right w:val="nil"/>
            </w:tcBorders>
            <w:shd w:val="clear" w:color="auto" w:fill="auto"/>
            <w:vAlign w:val="center"/>
          </w:tcPr>
          <w:p w14:paraId="43334E1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247556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25A3CE6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1831D63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234AD400" w14:textId="77777777" w:rsidTr="00E54B23">
        <w:trPr>
          <w:trHeight w:val="805"/>
        </w:trPr>
        <w:tc>
          <w:tcPr>
            <w:tcW w:w="3044" w:type="dxa"/>
            <w:tcBorders>
              <w:top w:val="nil"/>
              <w:bottom w:val="nil"/>
              <w:right w:val="nil"/>
            </w:tcBorders>
            <w:shd w:val="clear" w:color="auto" w:fill="auto"/>
            <w:vAlign w:val="center"/>
          </w:tcPr>
          <w:p w14:paraId="7453864B"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 xml:space="preserve">8. </w:t>
            </w:r>
            <w:r w:rsidR="006F0EC1" w:rsidRPr="00787196">
              <w:rPr>
                <w:rFonts w:eastAsia="Calibri" w:cs="Arial"/>
                <w:sz w:val="14"/>
                <w:szCs w:val="14"/>
                <w:rtl/>
                <w:cs/>
                <w:lang w:eastAsia="en-US" w:bidi="ar-SA"/>
              </w:rPr>
              <w:t>‘</w:t>
            </w:r>
            <w:r w:rsidR="006F0EC1" w:rsidRPr="00787196">
              <w:rPr>
                <w:rFonts w:ascii="Latha" w:eastAsia="Calibri" w:hAnsi="Latha" w:cs="Arial Unicode MS"/>
                <w:sz w:val="14"/>
                <w:szCs w:val="14"/>
                <w:cs/>
                <w:lang w:eastAsia="en-US"/>
              </w:rPr>
              <w:t>இது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உண்மையல்ல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எனக்கே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சொல்லிக்கொள்கிறேன்</w:t>
            </w:r>
            <w:r w:rsidR="006F0EC1" w:rsidRPr="00787196">
              <w:rPr>
                <w:rFonts w:eastAsia="Calibri" w:cs="Arial"/>
                <w:sz w:val="14"/>
                <w:szCs w:val="14"/>
                <w:rtl/>
                <w:cs/>
                <w:lang w:eastAsia="en-US" w:bidi="ar-SA"/>
              </w:rPr>
              <w:t xml:space="preserve">. </w:t>
            </w:r>
          </w:p>
        </w:tc>
        <w:tc>
          <w:tcPr>
            <w:tcW w:w="1299" w:type="dxa"/>
            <w:tcBorders>
              <w:top w:val="nil"/>
              <w:left w:val="nil"/>
              <w:bottom w:val="nil"/>
              <w:right w:val="nil"/>
            </w:tcBorders>
            <w:shd w:val="clear" w:color="auto" w:fill="auto"/>
            <w:vAlign w:val="center"/>
          </w:tcPr>
          <w:p w14:paraId="4353F23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067F20E3"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61D6B3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41A648F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7E0486EB" w14:textId="77777777" w:rsidTr="00E54B23">
        <w:trPr>
          <w:trHeight w:val="805"/>
        </w:trPr>
        <w:tc>
          <w:tcPr>
            <w:tcW w:w="3044" w:type="dxa"/>
            <w:tcBorders>
              <w:top w:val="nil"/>
              <w:bottom w:val="nil"/>
              <w:right w:val="nil"/>
            </w:tcBorders>
            <w:shd w:val="clear" w:color="auto" w:fill="auto"/>
            <w:vAlign w:val="center"/>
          </w:tcPr>
          <w:p w14:paraId="08B3BF6C"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4</w:t>
            </w:r>
            <w:r w:rsidR="006F0EC1" w:rsidRPr="00787196">
              <w:rPr>
                <w:rFonts w:eastAsia="Calibri" w:cs="Arial"/>
                <w:sz w:val="14"/>
                <w:szCs w:val="14"/>
                <w:lang w:eastAsia="en-US" w:bidi="ar-SA"/>
              </w:rPr>
              <w:t>9.</w:t>
            </w:r>
            <w:r w:rsidR="006F0EC1" w:rsidRPr="00787196">
              <w:rPr>
                <w:rFonts w:ascii="Latha" w:eastAsia="Calibri" w:hAnsi="Latha" w:cs="Arial Unicode MS"/>
                <w:sz w:val="14"/>
                <w:szCs w:val="14"/>
                <w:cs/>
                <w:lang w:eastAsia="en-US"/>
              </w:rPr>
              <w:t>இவ்வாறு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நடந்துவிட்டதாக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நம்ப</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72C3474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48928613"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82E568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64BB3C4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178CB749" w14:textId="77777777" w:rsidTr="00E54B23">
        <w:trPr>
          <w:trHeight w:val="805"/>
        </w:trPr>
        <w:tc>
          <w:tcPr>
            <w:tcW w:w="3044" w:type="dxa"/>
            <w:tcBorders>
              <w:top w:val="nil"/>
              <w:bottom w:val="nil"/>
              <w:right w:val="nil"/>
            </w:tcBorders>
            <w:shd w:val="clear" w:color="auto" w:fill="auto"/>
            <w:vAlign w:val="center"/>
          </w:tcPr>
          <w:p w14:paraId="0EB8F3BD"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0.  </w:t>
            </w:r>
            <w:r w:rsidR="006F0EC1" w:rsidRPr="00787196">
              <w:rPr>
                <w:rFonts w:ascii="Latha" w:eastAsia="Calibri" w:hAnsi="Latha" w:cs="Arial Unicode MS"/>
                <w:sz w:val="14"/>
                <w:szCs w:val="14"/>
                <w:cs/>
                <w:lang w:eastAsia="en-US"/>
              </w:rPr>
              <w:t>மனக்கசப்பான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எண்ணங்கள்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விலக</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எதாவது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சொல்லி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686B51A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782781A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1EA4C5CC"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244E18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7BEB07C" w14:textId="77777777" w:rsidTr="00E54B23">
        <w:trPr>
          <w:trHeight w:val="805"/>
        </w:trPr>
        <w:tc>
          <w:tcPr>
            <w:tcW w:w="3044" w:type="dxa"/>
            <w:tcBorders>
              <w:top w:val="nil"/>
              <w:bottom w:val="nil"/>
              <w:right w:val="nil"/>
            </w:tcBorders>
            <w:shd w:val="clear" w:color="auto" w:fill="auto"/>
            <w:vAlign w:val="center"/>
          </w:tcPr>
          <w:p w14:paraId="0C602AB0"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1.  </w:t>
            </w:r>
            <w:r w:rsidR="006F0EC1" w:rsidRPr="00787196">
              <w:rPr>
                <w:rFonts w:ascii="Latha" w:eastAsia="Calibri" w:hAnsi="Latha" w:cs="Arial Unicode MS"/>
                <w:sz w:val="14"/>
                <w:szCs w:val="14"/>
                <w:cs/>
                <w:lang w:eastAsia="en-US"/>
              </w:rPr>
              <w:t>எனது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எதிர்மறை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உணர்ச்சிகளை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வெளிப்படுத்தி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60525A2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5258AD0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2EF2EE37"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38A9737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280ED8B4" w14:textId="77777777" w:rsidTr="00E54B23">
        <w:trPr>
          <w:trHeight w:val="805"/>
        </w:trPr>
        <w:tc>
          <w:tcPr>
            <w:tcW w:w="3044" w:type="dxa"/>
            <w:tcBorders>
              <w:top w:val="nil"/>
              <w:bottom w:val="nil"/>
              <w:right w:val="nil"/>
            </w:tcBorders>
            <w:shd w:val="clear" w:color="auto" w:fill="auto"/>
            <w:vAlign w:val="center"/>
          </w:tcPr>
          <w:p w14:paraId="4985573E"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2.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பற்றி</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நன்முறையில்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எண்ணிக்கொள்ள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அல்லது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மருந்து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பயன்படுத்தி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lang w:eastAsia="en-US" w:bidi="ar-SA"/>
              </w:rPr>
              <w:t>.</w:t>
            </w:r>
          </w:p>
        </w:tc>
        <w:tc>
          <w:tcPr>
            <w:tcW w:w="1299" w:type="dxa"/>
            <w:tcBorders>
              <w:top w:val="nil"/>
              <w:left w:val="nil"/>
              <w:bottom w:val="nil"/>
              <w:right w:val="nil"/>
            </w:tcBorders>
            <w:shd w:val="clear" w:color="auto" w:fill="auto"/>
            <w:vAlign w:val="center"/>
          </w:tcPr>
          <w:p w14:paraId="1B70C95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50E8734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009A795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412E4B6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3D171D44" w14:textId="77777777" w:rsidTr="00E54B23">
        <w:trPr>
          <w:trHeight w:val="805"/>
        </w:trPr>
        <w:tc>
          <w:tcPr>
            <w:tcW w:w="3044" w:type="dxa"/>
            <w:tcBorders>
              <w:top w:val="nil"/>
              <w:bottom w:val="nil"/>
              <w:right w:val="nil"/>
            </w:tcBorders>
            <w:shd w:val="clear" w:color="auto" w:fill="auto"/>
            <w:vAlign w:val="center"/>
          </w:tcPr>
          <w:p w14:paraId="5C9C381F"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3. </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அல்லது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மருந்து</w:t>
            </w:r>
            <w:r w:rsidR="006F0EC1" w:rsidRPr="00787196">
              <w:rPr>
                <w:rFonts w:eastAsia="Calibri" w:cs="Arial"/>
                <w:sz w:val="14"/>
                <w:szCs w:val="14"/>
                <w:lang w:eastAsia="en-US" w:bidi="ar-SA"/>
              </w:rPr>
              <w:t xml:space="preserve"> </w:t>
            </w:r>
            <w:r w:rsidR="006F0EC1" w:rsidRPr="00787196">
              <w:rPr>
                <w:rFonts w:ascii="Latha" w:eastAsia="Calibri" w:hAnsi="Latha" w:cs="Arial Unicode MS"/>
                <w:sz w:val="14"/>
                <w:szCs w:val="14"/>
                <w:cs/>
                <w:lang w:eastAsia="en-US"/>
              </w:rPr>
              <w:t>உதவி</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கொண்டு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இந்நிலைமையை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தாண்டிச்செல்ல</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முற்படுகிறேன்</w:t>
            </w:r>
            <w:r w:rsidR="006F0EC1" w:rsidRPr="00787196">
              <w:rPr>
                <w:rFonts w:eastAsia="Calibri" w:cs="Arial"/>
                <w:sz w:val="14"/>
                <w:szCs w:val="14"/>
                <w:rtl/>
                <w:cs/>
                <w:lang w:eastAsia="en-US" w:bidi="ar-SA"/>
              </w:rPr>
              <w:t xml:space="preserve">. </w:t>
            </w:r>
          </w:p>
        </w:tc>
        <w:tc>
          <w:tcPr>
            <w:tcW w:w="1299" w:type="dxa"/>
            <w:tcBorders>
              <w:top w:val="nil"/>
              <w:left w:val="nil"/>
              <w:bottom w:val="nil"/>
              <w:right w:val="nil"/>
            </w:tcBorders>
            <w:shd w:val="clear" w:color="auto" w:fill="auto"/>
            <w:vAlign w:val="center"/>
          </w:tcPr>
          <w:p w14:paraId="7021E915"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5FF7B31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C9DE833"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10E1AF8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37FF6F92" w14:textId="77777777" w:rsidTr="00E54B23">
        <w:trPr>
          <w:trHeight w:val="805"/>
        </w:trPr>
        <w:tc>
          <w:tcPr>
            <w:tcW w:w="3044" w:type="dxa"/>
            <w:tcBorders>
              <w:top w:val="nil"/>
              <w:bottom w:val="nil"/>
              <w:right w:val="nil"/>
            </w:tcBorders>
            <w:shd w:val="clear" w:color="auto" w:fill="auto"/>
            <w:vAlign w:val="center"/>
          </w:tcPr>
          <w:p w14:paraId="3ACA8A07"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4.  </w:t>
            </w:r>
            <w:r w:rsidR="006F0EC1" w:rsidRPr="00787196">
              <w:rPr>
                <w:rFonts w:ascii="Latha" w:eastAsia="Calibri" w:hAnsi="Latha" w:cs="Arial Unicode MS"/>
                <w:sz w:val="14"/>
                <w:szCs w:val="14"/>
                <w:cs/>
                <w:lang w:eastAsia="en-US"/>
              </w:rPr>
              <w:t>இந்நிலைமையை</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எதிர்கொள்ள</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முடியாமல்கைவிட்டு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 xml:space="preserve">. </w:t>
            </w:r>
          </w:p>
        </w:tc>
        <w:tc>
          <w:tcPr>
            <w:tcW w:w="1299" w:type="dxa"/>
            <w:tcBorders>
              <w:top w:val="nil"/>
              <w:left w:val="nil"/>
              <w:bottom w:val="nil"/>
              <w:right w:val="nil"/>
            </w:tcBorders>
            <w:shd w:val="clear" w:color="auto" w:fill="auto"/>
            <w:vAlign w:val="center"/>
          </w:tcPr>
          <w:p w14:paraId="071DFD99"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4967BE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3C1BEB9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1628D85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537B026" w14:textId="77777777" w:rsidTr="00E54B23">
        <w:trPr>
          <w:trHeight w:val="805"/>
        </w:trPr>
        <w:tc>
          <w:tcPr>
            <w:tcW w:w="3044" w:type="dxa"/>
            <w:tcBorders>
              <w:top w:val="nil"/>
              <w:bottom w:val="nil"/>
              <w:right w:val="nil"/>
            </w:tcBorders>
            <w:shd w:val="clear" w:color="auto" w:fill="auto"/>
            <w:vAlign w:val="center"/>
          </w:tcPr>
          <w:p w14:paraId="5D680D34"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5. </w:t>
            </w:r>
            <w:r w:rsidR="006F0EC1" w:rsidRPr="00787196">
              <w:rPr>
                <w:rFonts w:ascii="Latha" w:eastAsia="Calibri" w:hAnsi="Latha" w:cs="Arial Unicode MS"/>
                <w:sz w:val="14"/>
                <w:szCs w:val="14"/>
                <w:cs/>
                <w:lang w:eastAsia="en-US"/>
              </w:rPr>
              <w:t>சமாளிப்பு</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முயற்சி</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செய்வதை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கைவிட்டு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7BCF6392"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5E2BD684"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52D1772B"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48D59811"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1CE32FCC" w14:textId="77777777" w:rsidTr="00E54B23">
        <w:trPr>
          <w:trHeight w:val="805"/>
        </w:trPr>
        <w:tc>
          <w:tcPr>
            <w:tcW w:w="3044" w:type="dxa"/>
            <w:tcBorders>
              <w:top w:val="nil"/>
              <w:bottom w:val="nil"/>
              <w:right w:val="nil"/>
            </w:tcBorders>
            <w:shd w:val="clear" w:color="auto" w:fill="auto"/>
            <w:vAlign w:val="center"/>
          </w:tcPr>
          <w:p w14:paraId="046D71D5" w14:textId="77777777" w:rsidR="006F0EC1" w:rsidRPr="00787196" w:rsidRDefault="008652A2" w:rsidP="008E116F">
            <w:pPr>
              <w:spacing w:before="0" w:after="0" w:line="240" w:lineRule="auto"/>
              <w:jc w:val="left"/>
              <w:rPr>
                <w:rFonts w:eastAsia="Calibri" w:cs="Arial"/>
                <w:sz w:val="14"/>
                <w:szCs w:val="14"/>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6.  </w:t>
            </w:r>
            <w:r w:rsidR="006F0EC1" w:rsidRPr="00787196">
              <w:rPr>
                <w:rFonts w:ascii="Latha" w:eastAsia="Calibri" w:hAnsi="Latha" w:cs="Arial Unicode MS"/>
                <w:sz w:val="14"/>
                <w:szCs w:val="14"/>
                <w:cs/>
                <w:lang w:eastAsia="en-US"/>
              </w:rPr>
              <w:t>என்னை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கடிந்து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கொண்டு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nil"/>
              <w:right w:val="nil"/>
            </w:tcBorders>
            <w:shd w:val="clear" w:color="auto" w:fill="auto"/>
            <w:vAlign w:val="center"/>
          </w:tcPr>
          <w:p w14:paraId="75B4AB8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nil"/>
              <w:right w:val="nil"/>
            </w:tcBorders>
            <w:shd w:val="clear" w:color="auto" w:fill="auto"/>
            <w:vAlign w:val="center"/>
          </w:tcPr>
          <w:p w14:paraId="2F2642C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nil"/>
              <w:right w:val="nil"/>
            </w:tcBorders>
            <w:shd w:val="clear" w:color="auto" w:fill="auto"/>
            <w:vAlign w:val="center"/>
          </w:tcPr>
          <w:p w14:paraId="69DB8368"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nil"/>
            </w:tcBorders>
            <w:shd w:val="clear" w:color="auto" w:fill="auto"/>
            <w:vAlign w:val="center"/>
          </w:tcPr>
          <w:p w14:paraId="254D2DCF"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DD3103B" w14:textId="77777777" w:rsidTr="00E54B23">
        <w:trPr>
          <w:trHeight w:val="805"/>
        </w:trPr>
        <w:tc>
          <w:tcPr>
            <w:tcW w:w="3044" w:type="dxa"/>
            <w:tcBorders>
              <w:top w:val="nil"/>
              <w:bottom w:val="single" w:sz="4" w:space="0" w:color="000000"/>
              <w:right w:val="nil"/>
            </w:tcBorders>
            <w:shd w:val="clear" w:color="auto" w:fill="auto"/>
            <w:vAlign w:val="center"/>
          </w:tcPr>
          <w:p w14:paraId="52AD7788" w14:textId="77777777" w:rsidR="006F0EC1" w:rsidRPr="00787196" w:rsidRDefault="008652A2" w:rsidP="008E116F">
            <w:pPr>
              <w:spacing w:before="0" w:after="0" w:line="240" w:lineRule="auto"/>
              <w:jc w:val="left"/>
              <w:rPr>
                <w:rFonts w:eastAsia="Calibri" w:cs="Arial"/>
                <w:sz w:val="16"/>
                <w:szCs w:val="16"/>
                <w:lang w:eastAsia="en-US" w:bidi="ar-SA"/>
              </w:rPr>
            </w:pPr>
            <w:r w:rsidRPr="00787196">
              <w:rPr>
                <w:rFonts w:eastAsia="Calibri" w:cs="Arial"/>
                <w:sz w:val="14"/>
                <w:szCs w:val="14"/>
                <w:lang w:eastAsia="en-US" w:bidi="ar-SA"/>
              </w:rPr>
              <w:t>5</w:t>
            </w:r>
            <w:r w:rsidR="006F0EC1" w:rsidRPr="00787196">
              <w:rPr>
                <w:rFonts w:eastAsia="Calibri" w:cs="Arial"/>
                <w:sz w:val="14"/>
                <w:szCs w:val="14"/>
                <w:lang w:eastAsia="en-US" w:bidi="ar-SA"/>
              </w:rPr>
              <w:t xml:space="preserve">7.  </w:t>
            </w:r>
            <w:r w:rsidR="006F0EC1" w:rsidRPr="00787196">
              <w:rPr>
                <w:rFonts w:ascii="Latha" w:eastAsia="Calibri" w:hAnsi="Latha" w:cs="Arial Unicode MS"/>
                <w:sz w:val="14"/>
                <w:szCs w:val="14"/>
                <w:cs/>
                <w:lang w:eastAsia="en-US"/>
              </w:rPr>
              <w:t>நடந்தவற்றிற்கெல்லாம்</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என்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மீது</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நானே</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பழி</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போட்டு</w:t>
            </w:r>
            <w:r w:rsidR="006F0EC1" w:rsidRPr="00787196">
              <w:rPr>
                <w:rFonts w:eastAsia="Calibri" w:cs="Arial"/>
                <w:sz w:val="14"/>
                <w:szCs w:val="14"/>
                <w:rtl/>
                <w:cs/>
                <w:lang w:eastAsia="en-US" w:bidi="ar-SA"/>
              </w:rPr>
              <w:t xml:space="preserve"> </w:t>
            </w:r>
            <w:r w:rsidR="006F0EC1" w:rsidRPr="00787196">
              <w:rPr>
                <w:rFonts w:ascii="Latha" w:eastAsia="Calibri" w:hAnsi="Latha" w:cs="Arial Unicode MS"/>
                <w:sz w:val="14"/>
                <w:szCs w:val="14"/>
                <w:cs/>
                <w:lang w:eastAsia="en-US"/>
              </w:rPr>
              <w:t>வருகிறேன்</w:t>
            </w:r>
            <w:r w:rsidR="006F0EC1" w:rsidRPr="00787196">
              <w:rPr>
                <w:rFonts w:eastAsia="Calibri" w:cs="Arial"/>
                <w:sz w:val="14"/>
                <w:szCs w:val="14"/>
                <w:rtl/>
                <w:cs/>
                <w:lang w:eastAsia="en-US" w:bidi="ar-SA"/>
              </w:rPr>
              <w:t>.</w:t>
            </w:r>
          </w:p>
        </w:tc>
        <w:tc>
          <w:tcPr>
            <w:tcW w:w="1299" w:type="dxa"/>
            <w:tcBorders>
              <w:top w:val="nil"/>
              <w:left w:val="nil"/>
              <w:bottom w:val="single" w:sz="4" w:space="0" w:color="000000"/>
              <w:right w:val="nil"/>
            </w:tcBorders>
            <w:shd w:val="clear" w:color="auto" w:fill="auto"/>
            <w:vAlign w:val="center"/>
          </w:tcPr>
          <w:p w14:paraId="63CF6EC0"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654" w:type="dxa"/>
            <w:tcBorders>
              <w:top w:val="nil"/>
              <w:left w:val="nil"/>
              <w:bottom w:val="single" w:sz="4" w:space="0" w:color="000000"/>
              <w:right w:val="nil"/>
            </w:tcBorders>
            <w:shd w:val="clear" w:color="auto" w:fill="auto"/>
            <w:vAlign w:val="center"/>
          </w:tcPr>
          <w:p w14:paraId="27D8AD7E"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99" w:type="dxa"/>
            <w:tcBorders>
              <w:top w:val="nil"/>
              <w:left w:val="nil"/>
              <w:bottom w:val="single" w:sz="4" w:space="0" w:color="000000"/>
              <w:right w:val="nil"/>
            </w:tcBorders>
            <w:shd w:val="clear" w:color="auto" w:fill="auto"/>
            <w:vAlign w:val="center"/>
          </w:tcPr>
          <w:p w14:paraId="3E848A46"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82" w:type="dxa"/>
            <w:tcBorders>
              <w:top w:val="nil"/>
              <w:left w:val="nil"/>
              <w:bottom w:val="single" w:sz="4" w:space="0" w:color="000000"/>
            </w:tcBorders>
            <w:shd w:val="clear" w:color="auto" w:fill="auto"/>
            <w:vAlign w:val="center"/>
          </w:tcPr>
          <w:p w14:paraId="7DB96E8D" w14:textId="77777777" w:rsidR="006F0EC1" w:rsidRPr="00787196" w:rsidRDefault="007D6B7F" w:rsidP="008E116F">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4"/>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70B8160A" w14:textId="77777777" w:rsidTr="00E54B23">
        <w:trPr>
          <w:trHeight w:val="805"/>
        </w:trPr>
        <w:tc>
          <w:tcPr>
            <w:tcW w:w="3044" w:type="dxa"/>
            <w:tcBorders>
              <w:right w:val="nil"/>
            </w:tcBorders>
            <w:shd w:val="clear" w:color="auto" w:fill="auto"/>
          </w:tcPr>
          <w:p w14:paraId="35228EC3" w14:textId="77777777" w:rsidR="006F0EC1" w:rsidRPr="00787196" w:rsidRDefault="006F0EC1" w:rsidP="008E116F">
            <w:pPr>
              <w:spacing w:before="0" w:after="0" w:line="240" w:lineRule="auto"/>
              <w:rPr>
                <w:rFonts w:eastAsia="Calibri" w:cs="Arial"/>
                <w:sz w:val="20"/>
                <w:szCs w:val="20"/>
                <w:lang w:eastAsia="en-US" w:bidi="ar-SA"/>
              </w:rPr>
            </w:pPr>
          </w:p>
        </w:tc>
        <w:tc>
          <w:tcPr>
            <w:tcW w:w="1299" w:type="dxa"/>
            <w:tcBorders>
              <w:left w:val="nil"/>
              <w:right w:val="nil"/>
            </w:tcBorders>
            <w:shd w:val="clear" w:color="auto" w:fill="auto"/>
            <w:vAlign w:val="center"/>
          </w:tcPr>
          <w:p w14:paraId="09CB94D4" w14:textId="77777777" w:rsidR="006F0EC1" w:rsidRPr="00787196" w:rsidRDefault="006F0EC1" w:rsidP="008E116F">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இல்லவே</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w:t>
            </w:r>
          </w:p>
        </w:tc>
        <w:tc>
          <w:tcPr>
            <w:tcW w:w="1654" w:type="dxa"/>
            <w:tcBorders>
              <w:left w:val="nil"/>
              <w:right w:val="nil"/>
            </w:tcBorders>
            <w:shd w:val="clear" w:color="auto" w:fill="auto"/>
            <w:vAlign w:val="center"/>
          </w:tcPr>
          <w:p w14:paraId="62192F27" w14:textId="77777777" w:rsidR="006F0EC1" w:rsidRPr="00787196" w:rsidRDefault="006F0EC1" w:rsidP="008E116F">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சிறிதளவு</w:t>
            </w:r>
          </w:p>
        </w:tc>
        <w:tc>
          <w:tcPr>
            <w:tcW w:w="1299" w:type="dxa"/>
            <w:tcBorders>
              <w:left w:val="nil"/>
              <w:right w:val="nil"/>
            </w:tcBorders>
            <w:shd w:val="clear" w:color="auto" w:fill="auto"/>
            <w:vAlign w:val="center"/>
          </w:tcPr>
          <w:p w14:paraId="7B32D676" w14:textId="77777777" w:rsidR="006F0EC1" w:rsidRPr="00787196" w:rsidRDefault="006F0EC1" w:rsidP="008E116F">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நடுத்தர</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அளவு</w:t>
            </w:r>
          </w:p>
        </w:tc>
        <w:tc>
          <w:tcPr>
            <w:tcW w:w="1182" w:type="dxa"/>
            <w:tcBorders>
              <w:left w:val="nil"/>
            </w:tcBorders>
            <w:shd w:val="clear" w:color="auto" w:fill="auto"/>
            <w:vAlign w:val="center"/>
          </w:tcPr>
          <w:p w14:paraId="685A7143" w14:textId="77777777" w:rsidR="006F0EC1" w:rsidRPr="00787196" w:rsidRDefault="006F0EC1" w:rsidP="008E116F">
            <w:pPr>
              <w:spacing w:before="0" w:after="0" w:line="240" w:lineRule="auto"/>
              <w:jc w:val="center"/>
              <w:rPr>
                <w:rFonts w:eastAsia="Calibri" w:cs="Arial"/>
                <w:sz w:val="14"/>
                <w:szCs w:val="14"/>
                <w:lang w:eastAsia="en-US" w:bidi="ar-SA"/>
              </w:rPr>
            </w:pPr>
            <w:r w:rsidRPr="00787196">
              <w:rPr>
                <w:rFonts w:ascii="Latha" w:eastAsia="Calibri" w:hAnsi="Latha" w:cs="Arial Unicode MS"/>
                <w:sz w:val="14"/>
                <w:szCs w:val="14"/>
                <w:cs/>
                <w:lang w:eastAsia="en-US"/>
              </w:rPr>
              <w:t>அதிக</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அளவு</w:t>
            </w:r>
          </w:p>
        </w:tc>
      </w:tr>
    </w:tbl>
    <w:p w14:paraId="613283C1" w14:textId="77777777" w:rsidR="006F0EC1" w:rsidRPr="00787196" w:rsidRDefault="006F0EC1" w:rsidP="006315BA">
      <w:pPr>
        <w:spacing w:before="0" w:after="0"/>
        <w:ind w:right="140"/>
        <w:rPr>
          <w:rFonts w:cs="Arial"/>
          <w:b/>
          <w:bCs/>
          <w:sz w:val="20"/>
          <w:szCs w:val="16"/>
        </w:rPr>
      </w:pPr>
      <w:r w:rsidRPr="00787196">
        <w:rPr>
          <w:rFonts w:cs="Arial"/>
        </w:rPr>
        <w:br w:type="page"/>
      </w:r>
      <w:r w:rsidRPr="00787196">
        <w:rPr>
          <w:rFonts w:ascii="Latha" w:hAnsi="Latha" w:cs="Arial Unicode MS"/>
          <w:b/>
          <w:bCs/>
          <w:sz w:val="20"/>
          <w:szCs w:val="16"/>
          <w:cs/>
        </w:rPr>
        <w:lastRenderedPageBreak/>
        <w:t>வாய்</w:t>
      </w:r>
      <w:r w:rsidRPr="00787196">
        <w:rPr>
          <w:rFonts w:cs="Arial"/>
          <w:b/>
          <w:bCs/>
          <w:sz w:val="20"/>
          <w:szCs w:val="16"/>
          <w:cs/>
        </w:rPr>
        <w:t xml:space="preserve"> </w:t>
      </w:r>
      <w:r w:rsidRPr="00787196">
        <w:rPr>
          <w:rFonts w:ascii="Latha" w:hAnsi="Latha" w:cs="Arial Unicode MS"/>
          <w:b/>
          <w:bCs/>
          <w:sz w:val="20"/>
          <w:szCs w:val="16"/>
          <w:cs/>
        </w:rPr>
        <w:t>நலம்</w:t>
      </w:r>
      <w:r w:rsidRPr="00787196">
        <w:rPr>
          <w:rFonts w:cs="Arial"/>
          <w:b/>
          <w:bCs/>
          <w:sz w:val="20"/>
          <w:szCs w:val="16"/>
          <w:cs/>
        </w:rPr>
        <w:t xml:space="preserve"> </w:t>
      </w:r>
      <w:r w:rsidRPr="00787196">
        <w:rPr>
          <w:rFonts w:ascii="Latha" w:hAnsi="Latha" w:cs="Arial Unicode MS"/>
          <w:b/>
          <w:bCs/>
          <w:sz w:val="20"/>
          <w:szCs w:val="16"/>
          <w:cs/>
        </w:rPr>
        <w:t>சார்ந்த</w:t>
      </w:r>
      <w:r w:rsidRPr="00787196">
        <w:rPr>
          <w:rFonts w:cs="Arial"/>
          <w:b/>
          <w:bCs/>
          <w:sz w:val="20"/>
          <w:szCs w:val="16"/>
          <w:cs/>
        </w:rPr>
        <w:t xml:space="preserve"> </w:t>
      </w:r>
      <w:r w:rsidRPr="00787196">
        <w:rPr>
          <w:rFonts w:ascii="Latha" w:hAnsi="Latha" w:cs="Arial Unicode MS"/>
          <w:b/>
          <w:bCs/>
          <w:sz w:val="20"/>
          <w:szCs w:val="16"/>
          <w:cs/>
        </w:rPr>
        <w:t>வாழ்க்கைத்</w:t>
      </w:r>
      <w:r w:rsidRPr="00787196">
        <w:rPr>
          <w:rFonts w:cs="Arial"/>
          <w:b/>
          <w:bCs/>
          <w:sz w:val="20"/>
          <w:szCs w:val="16"/>
          <w:cs/>
        </w:rPr>
        <w:t xml:space="preserve"> </w:t>
      </w:r>
      <w:r w:rsidRPr="00787196">
        <w:rPr>
          <w:rFonts w:ascii="Latha" w:hAnsi="Latha" w:cs="Arial Unicode MS"/>
          <w:b/>
          <w:bCs/>
          <w:sz w:val="20"/>
          <w:szCs w:val="16"/>
          <w:cs/>
        </w:rPr>
        <w:t>தரம்</w:t>
      </w:r>
      <w:r w:rsidRPr="00787196">
        <w:rPr>
          <w:rFonts w:cs="Arial"/>
          <w:b/>
          <w:bCs/>
          <w:sz w:val="20"/>
          <w:szCs w:val="16"/>
          <w:cs/>
        </w:rPr>
        <w:t xml:space="preserve"> – </w:t>
      </w:r>
    </w:p>
    <w:p w14:paraId="69F56258" w14:textId="77777777" w:rsidR="006F0EC1" w:rsidRPr="00787196" w:rsidRDefault="006F0EC1" w:rsidP="006315BA">
      <w:pPr>
        <w:spacing w:before="0" w:after="0" w:line="240" w:lineRule="auto"/>
        <w:ind w:right="140"/>
        <w:rPr>
          <w:rFonts w:cs="Arial"/>
          <w:sz w:val="16"/>
          <w:szCs w:val="16"/>
        </w:rPr>
      </w:pPr>
      <w:r w:rsidRPr="00787196">
        <w:rPr>
          <w:rFonts w:ascii="Latha" w:hAnsi="Latha" w:cs="Arial Unicode MS"/>
          <w:sz w:val="16"/>
          <w:szCs w:val="12"/>
          <w:cs/>
        </w:rPr>
        <w:t>தங்களது</w:t>
      </w:r>
      <w:r w:rsidRPr="00787196">
        <w:rPr>
          <w:rFonts w:cs="Arial"/>
          <w:sz w:val="16"/>
          <w:szCs w:val="12"/>
          <w:cs/>
        </w:rPr>
        <w:t xml:space="preserve"> </w:t>
      </w:r>
      <w:r w:rsidRPr="00787196">
        <w:rPr>
          <w:rFonts w:ascii="Latha" w:hAnsi="Latha" w:cs="Arial Unicode MS"/>
          <w:sz w:val="16"/>
          <w:szCs w:val="12"/>
          <w:cs/>
        </w:rPr>
        <w:t>தற்போதைய</w:t>
      </w:r>
      <w:r w:rsidRPr="00787196">
        <w:rPr>
          <w:rFonts w:cs="Arial"/>
          <w:sz w:val="16"/>
          <w:szCs w:val="12"/>
          <w:cs/>
        </w:rPr>
        <w:t xml:space="preserve"> </w:t>
      </w:r>
      <w:r w:rsidRPr="00787196">
        <w:rPr>
          <w:rFonts w:ascii="Latha" w:hAnsi="Latha" w:cs="Arial Unicode MS"/>
          <w:sz w:val="16"/>
          <w:szCs w:val="12"/>
          <w:cs/>
        </w:rPr>
        <w:t>வாய்நல</w:t>
      </w:r>
      <w:r w:rsidRPr="00787196">
        <w:rPr>
          <w:rFonts w:cs="Arial"/>
          <w:sz w:val="16"/>
          <w:szCs w:val="12"/>
          <w:cs/>
        </w:rPr>
        <w:t xml:space="preserve"> </w:t>
      </w:r>
      <w:r w:rsidRPr="00787196">
        <w:rPr>
          <w:rFonts w:ascii="Latha" w:hAnsi="Latha" w:cs="Arial Unicode MS"/>
          <w:sz w:val="16"/>
          <w:szCs w:val="12"/>
          <w:cs/>
        </w:rPr>
        <w:t>நிலைமை</w:t>
      </w:r>
      <w:r w:rsidRPr="00787196">
        <w:rPr>
          <w:rFonts w:cs="Arial"/>
          <w:sz w:val="16"/>
          <w:szCs w:val="12"/>
          <w:cs/>
        </w:rPr>
        <w:t xml:space="preserve"> </w:t>
      </w:r>
      <w:r w:rsidRPr="00787196">
        <w:rPr>
          <w:rFonts w:ascii="Latha" w:hAnsi="Latha" w:cs="Arial Unicode MS"/>
          <w:sz w:val="16"/>
          <w:szCs w:val="12"/>
          <w:cs/>
        </w:rPr>
        <w:t>தங்களுடைய</w:t>
      </w:r>
      <w:r w:rsidRPr="00787196">
        <w:rPr>
          <w:rFonts w:cs="Arial"/>
          <w:sz w:val="16"/>
          <w:szCs w:val="12"/>
          <w:cs/>
        </w:rPr>
        <w:t xml:space="preserve"> </w:t>
      </w:r>
      <w:r w:rsidRPr="00787196">
        <w:rPr>
          <w:rFonts w:ascii="Latha" w:hAnsi="Latha" w:cs="Arial Unicode MS"/>
          <w:sz w:val="16"/>
          <w:szCs w:val="12"/>
          <w:cs/>
        </w:rPr>
        <w:t>வாழ்க்கைத்</w:t>
      </w:r>
      <w:r w:rsidRPr="00787196">
        <w:rPr>
          <w:rFonts w:cs="Arial"/>
          <w:sz w:val="16"/>
          <w:szCs w:val="12"/>
          <w:cs/>
        </w:rPr>
        <w:t xml:space="preserve"> </w:t>
      </w:r>
      <w:r w:rsidRPr="00787196">
        <w:rPr>
          <w:rFonts w:ascii="Latha" w:hAnsi="Latha" w:cs="Arial Unicode MS"/>
          <w:sz w:val="16"/>
          <w:szCs w:val="12"/>
          <w:cs/>
        </w:rPr>
        <w:t>தரத்தின்</w:t>
      </w:r>
      <w:r w:rsidRPr="00787196">
        <w:rPr>
          <w:rFonts w:cs="Arial"/>
          <w:sz w:val="16"/>
          <w:szCs w:val="12"/>
          <w:cs/>
        </w:rPr>
        <w:t xml:space="preserve"> </w:t>
      </w:r>
      <w:r w:rsidRPr="00787196">
        <w:rPr>
          <w:rFonts w:ascii="Latha" w:hAnsi="Latha" w:cs="Arial Unicode MS"/>
          <w:sz w:val="16"/>
          <w:szCs w:val="12"/>
          <w:cs/>
        </w:rPr>
        <w:t>மீது</w:t>
      </w:r>
      <w:r w:rsidRPr="00787196">
        <w:rPr>
          <w:rFonts w:cs="Arial"/>
          <w:sz w:val="16"/>
          <w:szCs w:val="12"/>
          <w:cs/>
        </w:rPr>
        <w:t xml:space="preserve"> </w:t>
      </w:r>
      <w:r w:rsidRPr="00787196">
        <w:rPr>
          <w:rFonts w:ascii="Latha" w:hAnsi="Latha" w:cs="Arial Unicode MS"/>
          <w:sz w:val="16"/>
          <w:szCs w:val="12"/>
          <w:cs/>
        </w:rPr>
        <w:t>எவ்வளவு</w:t>
      </w:r>
      <w:r w:rsidRPr="00787196">
        <w:rPr>
          <w:rFonts w:cs="Arial"/>
          <w:sz w:val="16"/>
          <w:szCs w:val="12"/>
          <w:cs/>
        </w:rPr>
        <w:t xml:space="preserve"> </w:t>
      </w:r>
      <w:r w:rsidRPr="00787196">
        <w:rPr>
          <w:rFonts w:ascii="Latha" w:hAnsi="Latha" w:cs="Arial Unicode MS"/>
          <w:sz w:val="16"/>
          <w:szCs w:val="12"/>
          <w:cs/>
        </w:rPr>
        <w:t>தாக்கம்</w:t>
      </w:r>
      <w:r w:rsidRPr="00787196">
        <w:rPr>
          <w:rFonts w:cs="Arial"/>
          <w:sz w:val="16"/>
          <w:szCs w:val="12"/>
          <w:cs/>
        </w:rPr>
        <w:t xml:space="preserve"> </w:t>
      </w:r>
      <w:r w:rsidRPr="00787196">
        <w:rPr>
          <w:rFonts w:ascii="Latha" w:hAnsi="Latha" w:cs="Arial Unicode MS"/>
          <w:sz w:val="16"/>
          <w:szCs w:val="12"/>
          <w:cs/>
        </w:rPr>
        <w:t>ஏற்படுத்தியுள்ளது</w:t>
      </w:r>
      <w:r w:rsidRPr="00787196">
        <w:rPr>
          <w:rFonts w:cs="Arial"/>
          <w:sz w:val="16"/>
          <w:szCs w:val="12"/>
          <w:cs/>
        </w:rPr>
        <w:t xml:space="preserve"> </w:t>
      </w:r>
      <w:r w:rsidRPr="00787196">
        <w:rPr>
          <w:rFonts w:ascii="Latha" w:hAnsi="Latha" w:cs="Arial Unicode MS"/>
          <w:sz w:val="16"/>
          <w:szCs w:val="12"/>
          <w:cs/>
        </w:rPr>
        <w:t>என்பதை</w:t>
      </w:r>
      <w:r w:rsidRPr="00787196">
        <w:rPr>
          <w:rFonts w:cs="Arial"/>
          <w:sz w:val="16"/>
          <w:szCs w:val="12"/>
          <w:cs/>
        </w:rPr>
        <w:t xml:space="preserve"> </w:t>
      </w:r>
      <w:r w:rsidRPr="00787196">
        <w:rPr>
          <w:rFonts w:ascii="Latha" w:hAnsi="Latha" w:cs="Arial Unicode MS"/>
          <w:sz w:val="16"/>
          <w:szCs w:val="12"/>
          <w:cs/>
        </w:rPr>
        <w:t>அறிய</w:t>
      </w:r>
      <w:r w:rsidRPr="00787196">
        <w:rPr>
          <w:rFonts w:cs="Arial"/>
          <w:sz w:val="16"/>
          <w:szCs w:val="12"/>
          <w:cs/>
        </w:rPr>
        <w:t xml:space="preserve"> </w:t>
      </w:r>
      <w:r w:rsidRPr="00787196">
        <w:rPr>
          <w:rFonts w:ascii="Latha" w:hAnsi="Latha" w:cs="Arial Unicode MS"/>
          <w:sz w:val="16"/>
          <w:szCs w:val="12"/>
          <w:cs/>
        </w:rPr>
        <w:t>விரும்புகிறோம்</w:t>
      </w:r>
      <w:r w:rsidRPr="00787196">
        <w:rPr>
          <w:rFonts w:cs="Arial"/>
          <w:sz w:val="16"/>
          <w:szCs w:val="12"/>
          <w:cs/>
        </w:rPr>
        <w:t xml:space="preserve">. </w:t>
      </w:r>
      <w:r w:rsidRPr="00787196">
        <w:rPr>
          <w:rFonts w:ascii="Latha" w:hAnsi="Latha" w:cs="Arial Unicode MS"/>
          <w:sz w:val="16"/>
          <w:szCs w:val="12"/>
          <w:cs/>
        </w:rPr>
        <w:t>பின்வரும்</w:t>
      </w:r>
      <w:r w:rsidRPr="00787196">
        <w:rPr>
          <w:rFonts w:cs="Arial"/>
          <w:sz w:val="16"/>
          <w:szCs w:val="12"/>
          <w:cs/>
        </w:rPr>
        <w:t xml:space="preserve"> </w:t>
      </w:r>
      <w:r w:rsidRPr="00787196">
        <w:rPr>
          <w:rFonts w:ascii="Latha" w:hAnsi="Latha" w:cs="Arial Unicode MS"/>
          <w:sz w:val="16"/>
          <w:szCs w:val="12"/>
          <w:cs/>
        </w:rPr>
        <w:t>கேள்விகளை</w:t>
      </w:r>
      <w:r w:rsidRPr="00787196">
        <w:rPr>
          <w:rFonts w:cs="Arial"/>
          <w:sz w:val="16"/>
          <w:szCs w:val="12"/>
          <w:cs/>
        </w:rPr>
        <w:t xml:space="preserve"> </w:t>
      </w:r>
      <w:r w:rsidRPr="00787196">
        <w:rPr>
          <w:rFonts w:ascii="Latha" w:hAnsi="Latha" w:cs="Arial Unicode MS"/>
          <w:sz w:val="16"/>
          <w:szCs w:val="12"/>
          <w:cs/>
        </w:rPr>
        <w:t>கவனமாகப்</w:t>
      </w:r>
      <w:r w:rsidRPr="00787196">
        <w:rPr>
          <w:rFonts w:cs="Arial"/>
          <w:sz w:val="16"/>
          <w:szCs w:val="12"/>
          <w:cs/>
        </w:rPr>
        <w:t xml:space="preserve"> </w:t>
      </w:r>
      <w:r w:rsidRPr="00787196">
        <w:rPr>
          <w:rFonts w:ascii="Latha" w:hAnsi="Latha" w:cs="Arial Unicode MS"/>
          <w:sz w:val="16"/>
          <w:szCs w:val="12"/>
          <w:cs/>
        </w:rPr>
        <w:t>படித்து</w:t>
      </w:r>
      <w:r w:rsidRPr="00787196">
        <w:rPr>
          <w:rFonts w:cs="Arial"/>
          <w:sz w:val="16"/>
          <w:szCs w:val="12"/>
          <w:cs/>
        </w:rPr>
        <w:t xml:space="preserve"> </w:t>
      </w:r>
      <w:r w:rsidRPr="00787196">
        <w:rPr>
          <w:rFonts w:ascii="Latha" w:hAnsi="Latha" w:cs="Arial Unicode MS"/>
          <w:sz w:val="16"/>
          <w:szCs w:val="12"/>
          <w:cs/>
        </w:rPr>
        <w:t>தங்களுடைய</w:t>
      </w:r>
      <w:r w:rsidRPr="00787196">
        <w:rPr>
          <w:rFonts w:cs="Arial"/>
          <w:sz w:val="16"/>
          <w:szCs w:val="12"/>
          <w:cs/>
        </w:rPr>
        <w:t xml:space="preserve"> </w:t>
      </w:r>
      <w:r w:rsidRPr="00787196">
        <w:rPr>
          <w:rFonts w:ascii="Latha" w:hAnsi="Latha" w:cs="Arial Unicode MS"/>
          <w:sz w:val="16"/>
          <w:szCs w:val="12"/>
          <w:u w:val="single"/>
          <w:cs/>
        </w:rPr>
        <w:t>தற்போதைய</w:t>
      </w:r>
      <w:r w:rsidRPr="00787196">
        <w:rPr>
          <w:rFonts w:cs="Arial"/>
          <w:sz w:val="16"/>
          <w:szCs w:val="12"/>
          <w:cs/>
        </w:rPr>
        <w:t xml:space="preserve"> </w:t>
      </w:r>
      <w:r w:rsidRPr="00787196">
        <w:rPr>
          <w:rFonts w:ascii="Latha" w:hAnsi="Latha" w:cs="Arial Unicode MS"/>
          <w:sz w:val="16"/>
          <w:szCs w:val="12"/>
          <w:cs/>
        </w:rPr>
        <w:t>நிலைமைக்கு</w:t>
      </w:r>
      <w:r w:rsidRPr="00787196">
        <w:rPr>
          <w:rFonts w:cs="Arial"/>
          <w:sz w:val="16"/>
          <w:szCs w:val="12"/>
          <w:cs/>
        </w:rPr>
        <w:t xml:space="preserve"> </w:t>
      </w:r>
      <w:r w:rsidRPr="00787196">
        <w:rPr>
          <w:rFonts w:ascii="Latha" w:hAnsi="Latha" w:cs="Arial Unicode MS"/>
          <w:sz w:val="16"/>
          <w:szCs w:val="12"/>
          <w:cs/>
        </w:rPr>
        <w:t>உகந்த</w:t>
      </w:r>
      <w:r w:rsidRPr="00787196">
        <w:rPr>
          <w:rFonts w:cs="Arial"/>
          <w:sz w:val="16"/>
          <w:szCs w:val="12"/>
          <w:cs/>
        </w:rPr>
        <w:t xml:space="preserve"> </w:t>
      </w:r>
      <w:r w:rsidRPr="00787196">
        <w:rPr>
          <w:rFonts w:ascii="Latha" w:hAnsi="Latha" w:cs="Arial Unicode MS"/>
          <w:sz w:val="16"/>
          <w:szCs w:val="12"/>
          <w:cs/>
        </w:rPr>
        <w:t>பதிலை</w:t>
      </w:r>
      <w:r w:rsidRPr="00787196">
        <w:rPr>
          <w:rFonts w:cs="Arial"/>
          <w:sz w:val="16"/>
          <w:szCs w:val="16"/>
        </w:rPr>
        <w:t xml:space="preserve"> </w:t>
      </w:r>
      <w:r w:rsidRPr="00787196">
        <w:rPr>
          <w:rFonts w:cs="Arial"/>
          <w:sz w:val="16"/>
          <w:szCs w:val="16"/>
        </w:rPr>
        <w:sym w:font="Wingdings" w:char="F0FE"/>
      </w:r>
      <w:r w:rsidRPr="00787196">
        <w:rPr>
          <w:rFonts w:cs="Arial"/>
          <w:sz w:val="16"/>
          <w:szCs w:val="16"/>
        </w:rPr>
        <w:t xml:space="preserve"> </w:t>
      </w:r>
      <w:r w:rsidRPr="00787196">
        <w:rPr>
          <w:rFonts w:ascii="Latha" w:hAnsi="Latha" w:cs="Arial Unicode MS"/>
          <w:sz w:val="12"/>
          <w:szCs w:val="12"/>
          <w:cs/>
        </w:rPr>
        <w:t>செய்யவும்</w:t>
      </w:r>
    </w:p>
    <w:tbl>
      <w:tblPr>
        <w:tblpPr w:leftFromText="180" w:rightFromText="180" w:vertAnchor="page" w:horzAnchor="margin" w:tblpY="2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1081"/>
        <w:gridCol w:w="1081"/>
        <w:gridCol w:w="1241"/>
        <w:gridCol w:w="979"/>
        <w:gridCol w:w="1054"/>
      </w:tblGrid>
      <w:tr w:rsidR="006F0EC1" w:rsidRPr="00787196" w14:paraId="6D28BBE2" w14:textId="77777777" w:rsidTr="00E54B23">
        <w:trPr>
          <w:trHeight w:val="697"/>
        </w:trPr>
        <w:tc>
          <w:tcPr>
            <w:tcW w:w="2932" w:type="dxa"/>
            <w:tcBorders>
              <w:bottom w:val="nil"/>
              <w:right w:val="nil"/>
            </w:tcBorders>
            <w:shd w:val="clear" w:color="auto" w:fill="auto"/>
            <w:vAlign w:val="center"/>
          </w:tcPr>
          <w:p w14:paraId="05CAC501" w14:textId="77777777" w:rsidR="006F0EC1" w:rsidRPr="00787196" w:rsidRDefault="006F0EC1" w:rsidP="00E54B23">
            <w:pPr>
              <w:spacing w:before="0" w:after="0" w:line="240" w:lineRule="auto"/>
              <w:jc w:val="center"/>
              <w:rPr>
                <w:rFonts w:eastAsia="Calibri" w:cs="Arial"/>
                <w:sz w:val="20"/>
                <w:szCs w:val="20"/>
                <w:lang w:eastAsia="en-US" w:bidi="ar-SA"/>
              </w:rPr>
            </w:pPr>
          </w:p>
        </w:tc>
        <w:tc>
          <w:tcPr>
            <w:tcW w:w="1060" w:type="dxa"/>
            <w:tcBorders>
              <w:left w:val="nil"/>
              <w:bottom w:val="nil"/>
              <w:right w:val="nil"/>
            </w:tcBorders>
            <w:shd w:val="clear" w:color="auto" w:fill="auto"/>
            <w:vAlign w:val="center"/>
          </w:tcPr>
          <w:p w14:paraId="4EF47494"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sz w:val="14"/>
                <w:szCs w:val="14"/>
                <w:lang w:eastAsia="en-US" w:bidi="ar-SA"/>
              </w:rPr>
            </w:pPr>
            <w:r w:rsidRPr="00787196">
              <w:rPr>
                <w:rFonts w:ascii="Latha" w:eastAsia="Calibri" w:hAnsi="Latha" w:cs="Arial Unicode MS"/>
                <w:sz w:val="14"/>
                <w:szCs w:val="14"/>
                <w:cs/>
                <w:lang w:eastAsia="en-US"/>
              </w:rPr>
              <w:t>எப்போழுதும்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w:t>
            </w:r>
          </w:p>
        </w:tc>
        <w:tc>
          <w:tcPr>
            <w:tcW w:w="1061" w:type="dxa"/>
            <w:tcBorders>
              <w:left w:val="nil"/>
              <w:bottom w:val="nil"/>
              <w:right w:val="nil"/>
            </w:tcBorders>
            <w:shd w:val="clear" w:color="auto" w:fill="auto"/>
            <w:vAlign w:val="center"/>
          </w:tcPr>
          <w:p w14:paraId="13293AF8"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sz w:val="14"/>
                <w:szCs w:val="14"/>
                <w:lang w:eastAsia="en-US" w:bidi="ar-SA"/>
              </w:rPr>
            </w:pPr>
            <w:r w:rsidRPr="00787196">
              <w:rPr>
                <w:rFonts w:ascii="Latha" w:eastAsia="Calibri" w:hAnsi="Latha" w:cs="Arial Unicode MS"/>
                <w:sz w:val="14"/>
                <w:szCs w:val="14"/>
                <w:cs/>
                <w:lang w:eastAsia="en-US"/>
              </w:rPr>
              <w:t>கிட்டத்தட்ட</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எப்போழுதும்</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இல்லை</w:t>
            </w:r>
          </w:p>
        </w:tc>
        <w:tc>
          <w:tcPr>
            <w:tcW w:w="1241" w:type="dxa"/>
            <w:tcBorders>
              <w:left w:val="nil"/>
              <w:bottom w:val="nil"/>
              <w:right w:val="nil"/>
            </w:tcBorders>
            <w:shd w:val="clear" w:color="auto" w:fill="auto"/>
            <w:vAlign w:val="center"/>
          </w:tcPr>
          <w:p w14:paraId="2FC7F078"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sz w:val="14"/>
                <w:szCs w:val="14"/>
                <w:lang w:eastAsia="en-US" w:bidi="ar-SA"/>
              </w:rPr>
            </w:pPr>
            <w:r w:rsidRPr="00787196">
              <w:rPr>
                <w:rFonts w:ascii="Latha" w:eastAsia="Calibri" w:hAnsi="Latha" w:cs="Arial Unicode MS"/>
                <w:sz w:val="14"/>
                <w:szCs w:val="14"/>
                <w:cs/>
                <w:lang w:eastAsia="en-US"/>
              </w:rPr>
              <w:t>சில</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நேரங்களில்</w:t>
            </w:r>
          </w:p>
        </w:tc>
        <w:tc>
          <w:tcPr>
            <w:tcW w:w="979" w:type="dxa"/>
            <w:tcBorders>
              <w:left w:val="nil"/>
              <w:bottom w:val="nil"/>
              <w:right w:val="nil"/>
            </w:tcBorders>
            <w:shd w:val="clear" w:color="auto" w:fill="auto"/>
            <w:vAlign w:val="center"/>
          </w:tcPr>
          <w:p w14:paraId="24610429"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sz w:val="14"/>
                <w:szCs w:val="14"/>
                <w:lang w:eastAsia="en-US" w:bidi="ar-SA"/>
              </w:rPr>
            </w:pPr>
            <w:r w:rsidRPr="00787196">
              <w:rPr>
                <w:rFonts w:ascii="Latha" w:eastAsia="Calibri" w:hAnsi="Latha" w:cs="Arial Unicode MS"/>
                <w:sz w:val="14"/>
                <w:szCs w:val="14"/>
                <w:cs/>
                <w:lang w:eastAsia="en-US"/>
              </w:rPr>
              <w:t>சற்று</w:t>
            </w:r>
            <w:r w:rsidRPr="00787196">
              <w:rPr>
                <w:rFonts w:eastAsia="Calibri" w:cs="Arial"/>
                <w:sz w:val="14"/>
                <w:szCs w:val="14"/>
                <w:rtl/>
                <w:cs/>
                <w:lang w:eastAsia="en-US" w:bidi="ar-SA"/>
              </w:rPr>
              <w:t xml:space="preserve"> </w:t>
            </w:r>
            <w:r w:rsidRPr="00787196">
              <w:rPr>
                <w:rFonts w:ascii="Latha" w:eastAsia="Calibri" w:hAnsi="Latha" w:cs="Arial Unicode MS"/>
                <w:sz w:val="14"/>
                <w:szCs w:val="14"/>
                <w:cs/>
                <w:lang w:eastAsia="en-US"/>
              </w:rPr>
              <w:t>அடிக்கடி</w:t>
            </w:r>
          </w:p>
        </w:tc>
        <w:tc>
          <w:tcPr>
            <w:tcW w:w="1054" w:type="dxa"/>
            <w:tcBorders>
              <w:left w:val="nil"/>
              <w:bottom w:val="nil"/>
            </w:tcBorders>
            <w:shd w:val="clear" w:color="auto" w:fill="auto"/>
            <w:vAlign w:val="center"/>
          </w:tcPr>
          <w:p w14:paraId="38E96732" w14:textId="77777777" w:rsidR="006F0EC1" w:rsidRPr="00787196" w:rsidRDefault="006F0EC1" w:rsidP="00E54B23">
            <w:pPr>
              <w:autoSpaceDE w:val="0"/>
              <w:autoSpaceDN w:val="0"/>
              <w:adjustRightInd w:val="0"/>
              <w:spacing w:beforeLines="200" w:before="480" w:after="0" w:line="240" w:lineRule="auto"/>
              <w:contextualSpacing/>
              <w:jc w:val="center"/>
              <w:rPr>
                <w:rFonts w:eastAsia="Calibri" w:cs="Arial"/>
                <w:sz w:val="14"/>
                <w:szCs w:val="14"/>
                <w:lang w:eastAsia="en-US" w:bidi="ar-SA"/>
              </w:rPr>
            </w:pPr>
            <w:r w:rsidRPr="00787196">
              <w:rPr>
                <w:rFonts w:ascii="Latha" w:eastAsia="Calibri" w:hAnsi="Latha" w:cs="Arial Unicode MS"/>
                <w:sz w:val="14"/>
                <w:szCs w:val="14"/>
                <w:cs/>
                <w:lang w:eastAsia="en-US"/>
              </w:rPr>
              <w:t>அடிக்கடி</w:t>
            </w:r>
          </w:p>
        </w:tc>
      </w:tr>
      <w:tr w:rsidR="006F0EC1" w:rsidRPr="00787196" w14:paraId="798A92B2" w14:textId="77777777" w:rsidTr="00E54B23">
        <w:trPr>
          <w:trHeight w:val="1127"/>
        </w:trPr>
        <w:tc>
          <w:tcPr>
            <w:tcW w:w="2932" w:type="dxa"/>
            <w:tcBorders>
              <w:top w:val="nil"/>
              <w:bottom w:val="nil"/>
              <w:right w:val="nil"/>
            </w:tcBorders>
            <w:shd w:val="clear" w:color="auto" w:fill="auto"/>
            <w:vAlign w:val="center"/>
          </w:tcPr>
          <w:p w14:paraId="4EBCBB52"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58</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பிரச்சனைகளால்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மெல்லுவதில்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சிரமங்கள்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உள்ளனவா</w:t>
            </w:r>
            <w:r w:rsidR="006F0EC1" w:rsidRPr="00787196">
              <w:rPr>
                <w:rFonts w:eastAsia="Calibri" w:cs="Arial"/>
                <w:sz w:val="12"/>
                <w:szCs w:val="12"/>
                <w:rtl/>
                <w:cs/>
                <w:lang w:eastAsia="en-US" w:bidi="ar-SA"/>
              </w:rPr>
              <w:t xml:space="preserve">? </w:t>
            </w:r>
            <w:r w:rsidR="006F0EC1" w:rsidRPr="00787196">
              <w:rPr>
                <w:rFonts w:eastAsia="Calibri" w:cs="Arial"/>
                <w:sz w:val="12"/>
                <w:szCs w:val="12"/>
                <w:lang w:eastAsia="en-US" w:bidi="ar-SA"/>
              </w:rPr>
              <w:t xml:space="preserve"> </w:t>
            </w:r>
          </w:p>
        </w:tc>
        <w:tc>
          <w:tcPr>
            <w:tcW w:w="1060" w:type="dxa"/>
            <w:tcBorders>
              <w:top w:val="nil"/>
              <w:left w:val="nil"/>
              <w:bottom w:val="nil"/>
              <w:right w:val="nil"/>
            </w:tcBorders>
            <w:shd w:val="clear" w:color="auto" w:fill="auto"/>
            <w:vAlign w:val="center"/>
          </w:tcPr>
          <w:p w14:paraId="396B1A1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5CD5EF3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1647675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4C54B50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68B16C09"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23110C16" w14:textId="77777777" w:rsidTr="00E54B23">
        <w:trPr>
          <w:trHeight w:val="922"/>
        </w:trPr>
        <w:tc>
          <w:tcPr>
            <w:tcW w:w="2932" w:type="dxa"/>
            <w:tcBorders>
              <w:top w:val="nil"/>
              <w:bottom w:val="nil"/>
              <w:right w:val="nil"/>
            </w:tcBorders>
            <w:shd w:val="clear" w:color="auto" w:fill="auto"/>
            <w:vAlign w:val="center"/>
          </w:tcPr>
          <w:p w14:paraId="542AB96A"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59</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உணவுப்பொருள்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சிக்குகின்றனவா</w:t>
            </w:r>
            <w:r w:rsidR="006F0EC1" w:rsidRPr="00787196">
              <w:rPr>
                <w:rFonts w:eastAsia="Calibri" w:cs="Arial"/>
                <w:sz w:val="12"/>
                <w:szCs w:val="12"/>
                <w:rtl/>
                <w:cs/>
                <w:lang w:eastAsia="en-US" w:bidi="ar-SA"/>
              </w:rPr>
              <w:t xml:space="preserve">?  </w:t>
            </w:r>
          </w:p>
        </w:tc>
        <w:tc>
          <w:tcPr>
            <w:tcW w:w="1060" w:type="dxa"/>
            <w:tcBorders>
              <w:top w:val="nil"/>
              <w:left w:val="nil"/>
              <w:bottom w:val="nil"/>
              <w:right w:val="nil"/>
            </w:tcBorders>
            <w:shd w:val="clear" w:color="auto" w:fill="auto"/>
            <w:vAlign w:val="center"/>
          </w:tcPr>
          <w:p w14:paraId="0617F001"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5F5EF75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59434EB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062FD6B1"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744C02B7"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4D0B8F0F" w14:textId="77777777" w:rsidTr="00E54B23">
        <w:trPr>
          <w:trHeight w:val="1067"/>
        </w:trPr>
        <w:tc>
          <w:tcPr>
            <w:tcW w:w="2932" w:type="dxa"/>
            <w:tcBorders>
              <w:top w:val="nil"/>
              <w:bottom w:val="nil"/>
              <w:right w:val="nil"/>
            </w:tcBorders>
            <w:shd w:val="clear" w:color="auto" w:fill="auto"/>
            <w:vAlign w:val="center"/>
          </w:tcPr>
          <w:p w14:paraId="60096728"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60</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ஒழுங்காக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பொருந்தாது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இருப்பதாக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உணர்ந்தீர்களா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63C74817"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6F257D0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0C3AA494"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40C8813B"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67128880"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05263018" w14:textId="77777777" w:rsidTr="00E54B23">
        <w:trPr>
          <w:trHeight w:val="793"/>
        </w:trPr>
        <w:tc>
          <w:tcPr>
            <w:tcW w:w="2932" w:type="dxa"/>
            <w:tcBorders>
              <w:top w:val="nil"/>
              <w:bottom w:val="nil"/>
              <w:right w:val="nil"/>
            </w:tcBorders>
            <w:shd w:val="clear" w:color="auto" w:fill="auto"/>
            <w:vAlign w:val="center"/>
          </w:tcPr>
          <w:p w14:paraId="4F7C1641"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61</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ஏதேனும்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உள்ளதாக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உணர்ந்தீர்களா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666E935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3B17D86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1CD6F404"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7D5C012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4DA67012"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399CC146" w14:textId="77777777" w:rsidTr="00E54B23">
        <w:trPr>
          <w:trHeight w:val="1164"/>
        </w:trPr>
        <w:tc>
          <w:tcPr>
            <w:tcW w:w="2932" w:type="dxa"/>
            <w:tcBorders>
              <w:top w:val="nil"/>
              <w:bottom w:val="nil"/>
              <w:right w:val="nil"/>
            </w:tcBorders>
            <w:shd w:val="clear" w:color="auto" w:fill="auto"/>
            <w:vAlign w:val="center"/>
          </w:tcPr>
          <w:p w14:paraId="250FBC1F"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62</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தொந்தரவுகளால்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உட்கொள்ள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சிரமப்பட்டுள்ளீர்களா</w:t>
            </w:r>
            <w:r w:rsidR="006F0EC1" w:rsidRPr="00787196">
              <w:rPr>
                <w:rFonts w:eastAsia="Calibri" w:cs="Arial"/>
                <w:sz w:val="12"/>
                <w:szCs w:val="12"/>
                <w:rtl/>
                <w:cs/>
                <w:lang w:eastAsia="en-US" w:bidi="ar-SA"/>
              </w:rPr>
              <w:t xml:space="preserve">? </w:t>
            </w:r>
            <w:r w:rsidR="006F0EC1" w:rsidRPr="00787196">
              <w:rPr>
                <w:rFonts w:eastAsia="Calibri" w:cs="Arial"/>
                <w:sz w:val="12"/>
                <w:szCs w:val="12"/>
                <w:lang w:eastAsia="en-US" w:bidi="ar-SA"/>
              </w:rPr>
              <w:t xml:space="preserve">  </w:t>
            </w:r>
          </w:p>
        </w:tc>
        <w:tc>
          <w:tcPr>
            <w:tcW w:w="1060" w:type="dxa"/>
            <w:tcBorders>
              <w:top w:val="nil"/>
              <w:left w:val="nil"/>
              <w:bottom w:val="nil"/>
              <w:right w:val="nil"/>
            </w:tcBorders>
            <w:shd w:val="clear" w:color="auto" w:fill="auto"/>
            <w:vAlign w:val="center"/>
          </w:tcPr>
          <w:p w14:paraId="67B0BBF7"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0227D03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4C6CA860"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7F843A26"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0EB7BB65"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2DF57EEF" w14:textId="77777777" w:rsidTr="00E54B23">
        <w:trPr>
          <w:trHeight w:val="780"/>
        </w:trPr>
        <w:tc>
          <w:tcPr>
            <w:tcW w:w="2932" w:type="dxa"/>
            <w:tcBorders>
              <w:top w:val="nil"/>
              <w:bottom w:val="nil"/>
              <w:right w:val="nil"/>
            </w:tcBorders>
            <w:shd w:val="clear" w:color="auto" w:fill="auto"/>
            <w:vAlign w:val="center"/>
          </w:tcPr>
          <w:p w14:paraId="4DAF5B04"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63</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எரிச்சல்ப்புண்</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ஏற்பட்டுள்ளதா</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5B439852"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4B3762E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26D9D49E"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0DBE7AA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5F753169"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10740466" w14:textId="77777777" w:rsidTr="00E54B23">
        <w:trPr>
          <w:trHeight w:val="792"/>
        </w:trPr>
        <w:tc>
          <w:tcPr>
            <w:tcW w:w="2932" w:type="dxa"/>
            <w:tcBorders>
              <w:top w:val="nil"/>
              <w:bottom w:val="nil"/>
              <w:right w:val="nil"/>
            </w:tcBorders>
            <w:shd w:val="clear" w:color="auto" w:fill="auto"/>
            <w:vAlign w:val="center"/>
          </w:tcPr>
          <w:p w14:paraId="3E135EFB"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64</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அசௌகரியமான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அணிந்துள்ளீர்களா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082F99F4"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2531E62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06574F12"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5E812467"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1B5E6C78"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7EAF53E3" w14:textId="77777777" w:rsidTr="00E54B23">
        <w:trPr>
          <w:trHeight w:val="965"/>
        </w:trPr>
        <w:tc>
          <w:tcPr>
            <w:tcW w:w="2932" w:type="dxa"/>
            <w:tcBorders>
              <w:top w:val="nil"/>
              <w:bottom w:val="nil"/>
              <w:right w:val="nil"/>
            </w:tcBorders>
            <w:shd w:val="clear" w:color="auto" w:fill="auto"/>
            <w:vAlign w:val="center"/>
          </w:tcPr>
          <w:p w14:paraId="4DD97780"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65</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சார்ந்த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தொந்தரவுகளால்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கவலைப்பட்டுளீர்களா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2ACA370D"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2AAEC77D"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0E27D11E"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288E230C"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6FE35135"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3AE68D10" w14:textId="77777777" w:rsidTr="00E54B23">
        <w:trPr>
          <w:trHeight w:val="985"/>
        </w:trPr>
        <w:tc>
          <w:tcPr>
            <w:tcW w:w="2932" w:type="dxa"/>
            <w:tcBorders>
              <w:top w:val="nil"/>
              <w:bottom w:val="nil"/>
              <w:right w:val="nil"/>
            </w:tcBorders>
            <w:shd w:val="clear" w:color="auto" w:fill="auto"/>
            <w:vAlign w:val="center"/>
          </w:tcPr>
          <w:p w14:paraId="27323290"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66</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அதீத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தன்னுணர்வுடன்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இருந்துள்ளீர்களா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4BCA84F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335C02F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6BE9EA7C"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07D5787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237AD914"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7118C766" w14:textId="77777777" w:rsidTr="00E54B23">
        <w:trPr>
          <w:trHeight w:val="1405"/>
        </w:trPr>
        <w:tc>
          <w:tcPr>
            <w:tcW w:w="2932" w:type="dxa"/>
            <w:tcBorders>
              <w:top w:val="nil"/>
              <w:bottom w:val="nil"/>
              <w:right w:val="nil"/>
            </w:tcBorders>
            <w:shd w:val="clear" w:color="auto" w:fill="auto"/>
            <w:vAlign w:val="center"/>
          </w:tcPr>
          <w:p w14:paraId="39BE6C84"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67</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வகைகளை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தவிர்க்க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வேண்டிய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நிர்பந்தம்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ஏற்பட்டுள்ளதா</w:t>
            </w:r>
            <w:r w:rsidR="006F0EC1" w:rsidRPr="00787196">
              <w:rPr>
                <w:rFonts w:eastAsia="Calibri" w:cs="Arial"/>
                <w:sz w:val="12"/>
                <w:szCs w:val="12"/>
                <w:rtl/>
                <w:cs/>
                <w:lang w:eastAsia="en-US" w:bidi="ar-SA"/>
              </w:rPr>
              <w:t>?</w:t>
            </w:r>
            <w:r w:rsidR="006F0EC1" w:rsidRPr="00787196">
              <w:rPr>
                <w:rFonts w:eastAsia="Calibri" w:cs="Arial"/>
                <w:sz w:val="12"/>
                <w:szCs w:val="12"/>
                <w:lang w:eastAsia="en-US" w:bidi="ar-SA"/>
              </w:rPr>
              <w:t xml:space="preserve"> </w:t>
            </w:r>
          </w:p>
        </w:tc>
        <w:tc>
          <w:tcPr>
            <w:tcW w:w="1060" w:type="dxa"/>
            <w:tcBorders>
              <w:top w:val="nil"/>
              <w:left w:val="nil"/>
              <w:bottom w:val="nil"/>
              <w:right w:val="nil"/>
            </w:tcBorders>
            <w:shd w:val="clear" w:color="auto" w:fill="auto"/>
            <w:vAlign w:val="center"/>
          </w:tcPr>
          <w:p w14:paraId="5955C54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4A7E90B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74824E0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45F7B64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4B17F4D7"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15C76E40" w14:textId="77777777" w:rsidTr="00E54B23">
        <w:trPr>
          <w:trHeight w:val="73"/>
        </w:trPr>
        <w:tc>
          <w:tcPr>
            <w:tcW w:w="2932" w:type="dxa"/>
            <w:tcBorders>
              <w:top w:val="nil"/>
              <w:bottom w:val="nil"/>
              <w:right w:val="nil"/>
            </w:tcBorders>
            <w:shd w:val="clear" w:color="auto" w:fill="auto"/>
            <w:vAlign w:val="center"/>
          </w:tcPr>
          <w:p w14:paraId="5EA69874"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68</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உட்கொள்ள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முடியாமல்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போனதுண்டா</w:t>
            </w:r>
            <w:r w:rsidR="006F0EC1" w:rsidRPr="00787196">
              <w:rPr>
                <w:rFonts w:eastAsia="Calibri" w:cs="Arial"/>
                <w:sz w:val="12"/>
                <w:szCs w:val="12"/>
                <w:rtl/>
                <w:cs/>
                <w:lang w:eastAsia="en-US" w:bidi="ar-SA"/>
              </w:rPr>
              <w:t>?</w:t>
            </w:r>
            <w:r w:rsidR="006F0EC1" w:rsidRPr="00787196">
              <w:rPr>
                <w:rFonts w:eastAsia="Calibri" w:cs="Arial"/>
                <w:sz w:val="12"/>
                <w:szCs w:val="12"/>
                <w:lang w:eastAsia="en-US" w:bidi="ar-SA"/>
              </w:rPr>
              <w:t xml:space="preserve"> </w:t>
            </w:r>
          </w:p>
        </w:tc>
        <w:tc>
          <w:tcPr>
            <w:tcW w:w="1060" w:type="dxa"/>
            <w:tcBorders>
              <w:top w:val="nil"/>
              <w:left w:val="nil"/>
              <w:bottom w:val="nil"/>
              <w:right w:val="nil"/>
            </w:tcBorders>
            <w:shd w:val="clear" w:color="auto" w:fill="auto"/>
            <w:vAlign w:val="center"/>
          </w:tcPr>
          <w:p w14:paraId="3833727B"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28BBB872"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449FA62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3BB5537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364F283D"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4566F1F4" w14:textId="77777777" w:rsidTr="00E54B23">
        <w:trPr>
          <w:trHeight w:val="1429"/>
        </w:trPr>
        <w:tc>
          <w:tcPr>
            <w:tcW w:w="2932" w:type="dxa"/>
            <w:tcBorders>
              <w:top w:val="nil"/>
              <w:bottom w:val="single" w:sz="4" w:space="0" w:color="000000"/>
              <w:right w:val="nil"/>
            </w:tcBorders>
            <w:shd w:val="clear" w:color="auto" w:fill="auto"/>
            <w:vAlign w:val="center"/>
          </w:tcPr>
          <w:p w14:paraId="1EDD48AC"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69</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உட்கொள்ளும்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தடங்கல்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ஏற்பட்டுள்ளதா</w:t>
            </w:r>
            <w:r w:rsidR="006F0EC1" w:rsidRPr="00787196">
              <w:rPr>
                <w:rFonts w:eastAsia="Calibri" w:cs="Arial"/>
                <w:sz w:val="12"/>
                <w:szCs w:val="12"/>
                <w:rtl/>
                <w:cs/>
                <w:lang w:eastAsia="en-US" w:bidi="ar-SA"/>
              </w:rPr>
              <w:t xml:space="preserve">? </w:t>
            </w:r>
          </w:p>
        </w:tc>
        <w:tc>
          <w:tcPr>
            <w:tcW w:w="1060" w:type="dxa"/>
            <w:tcBorders>
              <w:top w:val="nil"/>
              <w:left w:val="nil"/>
              <w:bottom w:val="single" w:sz="4" w:space="0" w:color="000000"/>
              <w:right w:val="nil"/>
            </w:tcBorders>
            <w:shd w:val="clear" w:color="auto" w:fill="auto"/>
            <w:vAlign w:val="center"/>
          </w:tcPr>
          <w:p w14:paraId="2A39A38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single" w:sz="4" w:space="0" w:color="000000"/>
              <w:right w:val="nil"/>
            </w:tcBorders>
            <w:shd w:val="clear" w:color="auto" w:fill="auto"/>
            <w:vAlign w:val="center"/>
          </w:tcPr>
          <w:p w14:paraId="00438954"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single" w:sz="4" w:space="0" w:color="000000"/>
              <w:right w:val="nil"/>
            </w:tcBorders>
            <w:shd w:val="clear" w:color="auto" w:fill="auto"/>
            <w:vAlign w:val="center"/>
          </w:tcPr>
          <w:p w14:paraId="39F804B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single" w:sz="4" w:space="0" w:color="000000"/>
              <w:right w:val="nil"/>
            </w:tcBorders>
            <w:shd w:val="clear" w:color="auto" w:fill="auto"/>
            <w:vAlign w:val="center"/>
          </w:tcPr>
          <w:p w14:paraId="7ADA29A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single" w:sz="4" w:space="0" w:color="000000"/>
            </w:tcBorders>
            <w:shd w:val="clear" w:color="auto" w:fill="auto"/>
            <w:vAlign w:val="center"/>
          </w:tcPr>
          <w:p w14:paraId="1E7D3BAC" w14:textId="77777777" w:rsidR="006F0EC1" w:rsidRPr="00787196" w:rsidRDefault="007D6B7F" w:rsidP="006315BA">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5DA4022C" w14:textId="77777777" w:rsidTr="00E54B23">
        <w:trPr>
          <w:trHeight w:val="977"/>
        </w:trPr>
        <w:tc>
          <w:tcPr>
            <w:tcW w:w="2932" w:type="dxa"/>
            <w:tcBorders>
              <w:top w:val="single" w:sz="4" w:space="0" w:color="000000"/>
              <w:bottom w:val="nil"/>
              <w:right w:val="nil"/>
            </w:tcBorders>
            <w:shd w:val="clear" w:color="auto" w:fill="auto"/>
            <w:vAlign w:val="center"/>
          </w:tcPr>
          <w:p w14:paraId="195CE786"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lastRenderedPageBreak/>
              <w:t>70</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சலனம்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60" w:type="dxa"/>
            <w:tcBorders>
              <w:top w:val="single" w:sz="4" w:space="0" w:color="000000"/>
              <w:left w:val="nil"/>
              <w:bottom w:val="nil"/>
              <w:right w:val="nil"/>
            </w:tcBorders>
            <w:shd w:val="clear" w:color="auto" w:fill="auto"/>
            <w:vAlign w:val="center"/>
          </w:tcPr>
          <w:p w14:paraId="1C2AB6E8"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single" w:sz="4" w:space="0" w:color="000000"/>
              <w:left w:val="nil"/>
              <w:bottom w:val="nil"/>
              <w:right w:val="nil"/>
            </w:tcBorders>
            <w:shd w:val="clear" w:color="auto" w:fill="auto"/>
            <w:vAlign w:val="center"/>
          </w:tcPr>
          <w:p w14:paraId="2DB790BD"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single" w:sz="4" w:space="0" w:color="000000"/>
              <w:left w:val="nil"/>
              <w:bottom w:val="nil"/>
              <w:right w:val="nil"/>
            </w:tcBorders>
            <w:shd w:val="clear" w:color="auto" w:fill="auto"/>
            <w:vAlign w:val="center"/>
          </w:tcPr>
          <w:p w14:paraId="76386DCF"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single" w:sz="4" w:space="0" w:color="000000"/>
              <w:left w:val="nil"/>
              <w:bottom w:val="nil"/>
              <w:right w:val="nil"/>
            </w:tcBorders>
            <w:shd w:val="clear" w:color="auto" w:fill="auto"/>
            <w:vAlign w:val="center"/>
          </w:tcPr>
          <w:p w14:paraId="6DD9A584"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single" w:sz="4" w:space="0" w:color="000000"/>
              <w:left w:val="nil"/>
              <w:bottom w:val="nil"/>
            </w:tcBorders>
            <w:shd w:val="clear" w:color="auto" w:fill="auto"/>
            <w:vAlign w:val="center"/>
          </w:tcPr>
          <w:p w14:paraId="51AFBAF4"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66625639" w14:textId="77777777" w:rsidTr="00E54B23">
        <w:trPr>
          <w:trHeight w:val="1410"/>
        </w:trPr>
        <w:tc>
          <w:tcPr>
            <w:tcW w:w="2932" w:type="dxa"/>
            <w:tcBorders>
              <w:top w:val="nil"/>
              <w:bottom w:val="nil"/>
              <w:right w:val="nil"/>
            </w:tcBorders>
            <w:shd w:val="clear" w:color="auto" w:fill="auto"/>
            <w:vAlign w:val="center"/>
          </w:tcPr>
          <w:p w14:paraId="77F44286"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71</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சங்கடம்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 xml:space="preserve">? </w:t>
            </w:r>
          </w:p>
        </w:tc>
        <w:tc>
          <w:tcPr>
            <w:tcW w:w="1060" w:type="dxa"/>
            <w:tcBorders>
              <w:top w:val="nil"/>
              <w:left w:val="nil"/>
              <w:bottom w:val="nil"/>
              <w:right w:val="nil"/>
            </w:tcBorders>
            <w:shd w:val="clear" w:color="auto" w:fill="auto"/>
            <w:vAlign w:val="center"/>
          </w:tcPr>
          <w:p w14:paraId="70A90823"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1FAA117D"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5A6DBC1B"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3ED62D87"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399D6617"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2A9B1475" w14:textId="77777777" w:rsidTr="00E54B23">
        <w:trPr>
          <w:trHeight w:val="1119"/>
        </w:trPr>
        <w:tc>
          <w:tcPr>
            <w:tcW w:w="2932" w:type="dxa"/>
            <w:tcBorders>
              <w:top w:val="nil"/>
              <w:bottom w:val="nil"/>
              <w:right w:val="nil"/>
            </w:tcBorders>
            <w:shd w:val="clear" w:color="auto" w:fill="auto"/>
            <w:vAlign w:val="center"/>
          </w:tcPr>
          <w:p w14:paraId="6592A8B0"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72</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வெளியில்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செல்வதை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தவிர்த்துள்ளீர்களா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465E5BED"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2CF973D5"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78DD78F5"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63765340"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4D64AF04"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42AB812D" w14:textId="77777777" w:rsidTr="00E54B23">
        <w:trPr>
          <w:trHeight w:val="1418"/>
        </w:trPr>
        <w:tc>
          <w:tcPr>
            <w:tcW w:w="2932" w:type="dxa"/>
            <w:tcBorders>
              <w:top w:val="nil"/>
              <w:bottom w:val="nil"/>
              <w:right w:val="nil"/>
            </w:tcBorders>
            <w:shd w:val="clear" w:color="auto" w:fill="auto"/>
            <w:vAlign w:val="center"/>
          </w:tcPr>
          <w:p w14:paraId="1A6C847A"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73</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தொந்தரவுகளால்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வாழ்க்கைத்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துணையுடன்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குடும்பத்தாருடன்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குறைவான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சகிப்புதன்மையுடன்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நடந்துள்ளீர்களா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50230A18"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6B472963"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240B9FAC"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6CF941C1"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315C72C3"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0A27A112" w14:textId="77777777" w:rsidTr="00E54B23">
        <w:trPr>
          <w:trHeight w:val="1409"/>
        </w:trPr>
        <w:tc>
          <w:tcPr>
            <w:tcW w:w="2932" w:type="dxa"/>
            <w:tcBorders>
              <w:top w:val="nil"/>
              <w:bottom w:val="nil"/>
              <w:right w:val="nil"/>
            </w:tcBorders>
            <w:shd w:val="clear" w:color="auto" w:fill="auto"/>
            <w:vAlign w:val="center"/>
          </w:tcPr>
          <w:p w14:paraId="4887691F"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74</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மற்றவர்ககளுக்கு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ஓர்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உறுத்தலாக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இருந்துள்ளீர்களா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0DD8B8EF"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4E3B672A"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57F194E4"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69E9D87A"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4B229E81"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7530405A" w14:textId="77777777" w:rsidTr="00E54B23">
        <w:trPr>
          <w:trHeight w:val="1416"/>
        </w:trPr>
        <w:tc>
          <w:tcPr>
            <w:tcW w:w="2932" w:type="dxa"/>
            <w:tcBorders>
              <w:top w:val="nil"/>
              <w:bottom w:val="nil"/>
              <w:right w:val="nil"/>
            </w:tcBorders>
            <w:shd w:val="clear" w:color="auto" w:fill="auto"/>
            <w:vAlign w:val="center"/>
          </w:tcPr>
          <w:p w14:paraId="2D5AD9BA"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75</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மற்றவர்களின்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சகவாசத்தை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அவ்வளவாக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அனுபவிக்க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முடியாமல்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போனதுண்டா</w:t>
            </w:r>
            <w:r w:rsidR="006F0EC1" w:rsidRPr="00787196">
              <w:rPr>
                <w:rFonts w:eastAsia="Calibri" w:cs="Arial"/>
                <w:sz w:val="12"/>
                <w:szCs w:val="12"/>
                <w:rtl/>
                <w:cs/>
                <w:lang w:eastAsia="en-US" w:bidi="ar-SA"/>
              </w:rPr>
              <w:t xml:space="preserve">? </w:t>
            </w:r>
          </w:p>
        </w:tc>
        <w:tc>
          <w:tcPr>
            <w:tcW w:w="1060" w:type="dxa"/>
            <w:tcBorders>
              <w:top w:val="nil"/>
              <w:left w:val="nil"/>
              <w:bottom w:val="nil"/>
              <w:right w:val="nil"/>
            </w:tcBorders>
            <w:shd w:val="clear" w:color="auto" w:fill="auto"/>
            <w:vAlign w:val="center"/>
          </w:tcPr>
          <w:p w14:paraId="115F722A"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15AB7493"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6DA3F188"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4575EF35"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5866A762"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0FB6035C" w14:textId="77777777" w:rsidTr="00E54B23">
        <w:trPr>
          <w:trHeight w:val="1265"/>
        </w:trPr>
        <w:tc>
          <w:tcPr>
            <w:tcW w:w="2932" w:type="dxa"/>
            <w:tcBorders>
              <w:top w:val="nil"/>
              <w:bottom w:val="nil"/>
              <w:right w:val="nil"/>
            </w:tcBorders>
            <w:shd w:val="clear" w:color="auto" w:fill="auto"/>
            <w:vAlign w:val="center"/>
          </w:tcPr>
          <w:p w14:paraId="5721B029" w14:textId="77777777" w:rsidR="006F0EC1" w:rsidRPr="00787196" w:rsidRDefault="00C7607B" w:rsidP="00E54B23">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76</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அல்லது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செட்</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இவற்றில்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தொந்தரவுகளால்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வாழ்க்கை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பொதுவாகவே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சற்று</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குறைந்து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திருப்தியளிப்பதாக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எப்பொழுதாவது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உணர்ந்துள்ளீர்களா</w:t>
            </w:r>
            <w:r w:rsidR="006F0EC1" w:rsidRPr="00787196">
              <w:rPr>
                <w:rFonts w:eastAsia="Calibri" w:cs="Arial"/>
                <w:sz w:val="12"/>
                <w:szCs w:val="12"/>
                <w:rtl/>
                <w:cs/>
                <w:lang w:eastAsia="en-US" w:bidi="ar-SA"/>
              </w:rPr>
              <w:t>?</w:t>
            </w:r>
          </w:p>
        </w:tc>
        <w:tc>
          <w:tcPr>
            <w:tcW w:w="1060" w:type="dxa"/>
            <w:tcBorders>
              <w:top w:val="nil"/>
              <w:left w:val="nil"/>
              <w:bottom w:val="nil"/>
              <w:right w:val="nil"/>
            </w:tcBorders>
            <w:shd w:val="clear" w:color="auto" w:fill="auto"/>
            <w:vAlign w:val="center"/>
          </w:tcPr>
          <w:p w14:paraId="426FEB49"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1" w:type="dxa"/>
            <w:tcBorders>
              <w:top w:val="nil"/>
              <w:left w:val="nil"/>
              <w:bottom w:val="nil"/>
              <w:right w:val="nil"/>
            </w:tcBorders>
            <w:shd w:val="clear" w:color="auto" w:fill="auto"/>
            <w:vAlign w:val="center"/>
          </w:tcPr>
          <w:p w14:paraId="5AA239EB"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241" w:type="dxa"/>
            <w:tcBorders>
              <w:top w:val="nil"/>
              <w:left w:val="nil"/>
              <w:bottom w:val="nil"/>
              <w:right w:val="nil"/>
            </w:tcBorders>
            <w:shd w:val="clear" w:color="auto" w:fill="auto"/>
            <w:vAlign w:val="center"/>
          </w:tcPr>
          <w:p w14:paraId="1C94C384"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979" w:type="dxa"/>
            <w:tcBorders>
              <w:top w:val="nil"/>
              <w:left w:val="nil"/>
              <w:bottom w:val="nil"/>
              <w:right w:val="nil"/>
            </w:tcBorders>
            <w:shd w:val="clear" w:color="auto" w:fill="auto"/>
            <w:vAlign w:val="center"/>
          </w:tcPr>
          <w:p w14:paraId="121D5BF3" w14:textId="77777777" w:rsidR="006F0EC1" w:rsidRPr="00787196" w:rsidRDefault="007D6B7F" w:rsidP="00E54B23">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6"/>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4" w:type="dxa"/>
            <w:tcBorders>
              <w:top w:val="nil"/>
              <w:left w:val="nil"/>
              <w:bottom w:val="nil"/>
            </w:tcBorders>
            <w:shd w:val="clear" w:color="auto" w:fill="auto"/>
            <w:vAlign w:val="center"/>
          </w:tcPr>
          <w:p w14:paraId="0B5D2736" w14:textId="77777777" w:rsidR="006F0EC1" w:rsidRPr="00787196" w:rsidRDefault="007D6B7F" w:rsidP="00E54B23">
            <w:pPr>
              <w:spacing w:before="0" w:after="0" w:line="240" w:lineRule="auto"/>
              <w:jc w:val="center"/>
              <w:rPr>
                <w:rFonts w:eastAsia="Calibri" w:cs="Arial"/>
                <w:sz w:val="20"/>
                <w:lang w:eastAsia="en-US" w:bidi="ar-SA"/>
              </w:rPr>
            </w:pPr>
            <w:r w:rsidRPr="00787196">
              <w:rPr>
                <w:rFonts w:eastAsia="Calibri" w:cs="Arial"/>
                <w:sz w:val="20"/>
                <w:lang w:eastAsia="en-US" w:bidi="ar-SA"/>
              </w:rPr>
              <w:fldChar w:fldCharType="begin">
                <w:ffData>
                  <w:name w:val="Check6"/>
                  <w:enabled/>
                  <w:calcOnExit w:val="0"/>
                  <w:checkBox>
                    <w:sizeAuto/>
                    <w:default w:val="0"/>
                  </w:checkBox>
                </w:ffData>
              </w:fldChar>
            </w:r>
            <w:r w:rsidR="006F0EC1" w:rsidRPr="00787196">
              <w:rPr>
                <w:rFonts w:eastAsia="Calibri" w:cs="Arial"/>
                <w:sz w:val="20"/>
                <w:lang w:eastAsia="en-US" w:bidi="ar-SA"/>
              </w:rPr>
              <w:instrText xml:space="preserve"> FORMCHECKBOX </w:instrText>
            </w:r>
            <w:r w:rsidR="006E7D7A">
              <w:rPr>
                <w:rFonts w:eastAsia="Calibri" w:cs="Arial"/>
                <w:sz w:val="20"/>
                <w:lang w:eastAsia="en-US" w:bidi="ar-SA"/>
              </w:rPr>
            </w:r>
            <w:r w:rsidR="006E7D7A">
              <w:rPr>
                <w:rFonts w:eastAsia="Calibri" w:cs="Arial"/>
                <w:sz w:val="20"/>
                <w:lang w:eastAsia="en-US" w:bidi="ar-SA"/>
              </w:rPr>
              <w:fldChar w:fldCharType="separate"/>
            </w:r>
            <w:r w:rsidRPr="00787196">
              <w:rPr>
                <w:rFonts w:eastAsia="Calibri" w:cs="Arial"/>
                <w:sz w:val="20"/>
                <w:lang w:eastAsia="en-US" w:bidi="ar-SA"/>
              </w:rPr>
              <w:fldChar w:fldCharType="end"/>
            </w:r>
          </w:p>
        </w:tc>
      </w:tr>
      <w:tr w:rsidR="006F0EC1" w:rsidRPr="00787196" w14:paraId="14A554EB" w14:textId="77777777" w:rsidTr="00E54B23">
        <w:trPr>
          <w:trHeight w:val="404"/>
        </w:trPr>
        <w:tc>
          <w:tcPr>
            <w:tcW w:w="2932" w:type="dxa"/>
            <w:tcBorders>
              <w:top w:val="nil"/>
              <w:right w:val="nil"/>
            </w:tcBorders>
            <w:shd w:val="clear" w:color="auto" w:fill="auto"/>
          </w:tcPr>
          <w:p w14:paraId="54AB9180" w14:textId="77777777" w:rsidR="006F0EC1" w:rsidRPr="00787196" w:rsidRDefault="006F0EC1" w:rsidP="005C2A75">
            <w:pPr>
              <w:spacing w:before="0" w:after="0"/>
              <w:rPr>
                <w:rFonts w:eastAsia="Calibri" w:cs="Arial"/>
                <w:sz w:val="20"/>
                <w:lang w:eastAsia="en-US" w:bidi="ar-SA"/>
              </w:rPr>
            </w:pPr>
          </w:p>
        </w:tc>
        <w:tc>
          <w:tcPr>
            <w:tcW w:w="1060" w:type="dxa"/>
            <w:tcBorders>
              <w:top w:val="nil"/>
              <w:left w:val="nil"/>
              <w:right w:val="nil"/>
            </w:tcBorders>
            <w:shd w:val="clear" w:color="auto" w:fill="auto"/>
            <w:vAlign w:val="center"/>
          </w:tcPr>
          <w:p w14:paraId="54F9B45D" w14:textId="77777777" w:rsidR="006F0EC1" w:rsidRPr="00787196" w:rsidRDefault="006F0EC1" w:rsidP="005C2A75">
            <w:pPr>
              <w:autoSpaceDE w:val="0"/>
              <w:autoSpaceDN w:val="0"/>
              <w:adjustRightInd w:val="0"/>
              <w:spacing w:beforeLines="200" w:before="480" w:after="0" w:line="240" w:lineRule="auto"/>
              <w:contextualSpacing/>
              <w:jc w:val="center"/>
              <w:rPr>
                <w:rFonts w:eastAsia="Calibri" w:cs="Arial"/>
                <w:b/>
                <w:sz w:val="14"/>
                <w:szCs w:val="14"/>
                <w:lang w:eastAsia="en-US" w:bidi="ar-SA"/>
              </w:rPr>
            </w:pPr>
            <w:r w:rsidRPr="00787196">
              <w:rPr>
                <w:rFonts w:ascii="Latha" w:eastAsia="Calibri" w:hAnsi="Latha" w:cs="Arial Unicode MS"/>
                <w:b/>
                <w:sz w:val="14"/>
                <w:szCs w:val="14"/>
                <w:cs/>
                <w:lang w:eastAsia="en-US"/>
              </w:rPr>
              <w:t>எப்போழுதும்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இல்லை</w:t>
            </w:r>
          </w:p>
        </w:tc>
        <w:tc>
          <w:tcPr>
            <w:tcW w:w="1061" w:type="dxa"/>
            <w:tcBorders>
              <w:top w:val="nil"/>
              <w:left w:val="nil"/>
              <w:right w:val="nil"/>
            </w:tcBorders>
            <w:shd w:val="clear" w:color="auto" w:fill="auto"/>
            <w:vAlign w:val="center"/>
          </w:tcPr>
          <w:p w14:paraId="0A893DF6" w14:textId="77777777" w:rsidR="006F0EC1" w:rsidRPr="00787196" w:rsidRDefault="006F0EC1" w:rsidP="005C2A75">
            <w:pPr>
              <w:autoSpaceDE w:val="0"/>
              <w:autoSpaceDN w:val="0"/>
              <w:adjustRightInd w:val="0"/>
              <w:spacing w:beforeLines="200" w:before="480" w:after="0" w:line="240" w:lineRule="auto"/>
              <w:contextualSpacing/>
              <w:jc w:val="center"/>
              <w:rPr>
                <w:rFonts w:eastAsia="Calibri" w:cs="Arial"/>
                <w:b/>
                <w:sz w:val="14"/>
                <w:szCs w:val="14"/>
                <w:lang w:eastAsia="en-US" w:bidi="ar-SA"/>
              </w:rPr>
            </w:pPr>
            <w:r w:rsidRPr="00787196">
              <w:rPr>
                <w:rFonts w:ascii="Latha" w:eastAsia="Calibri" w:hAnsi="Latha" w:cs="Arial Unicode MS"/>
                <w:b/>
                <w:sz w:val="14"/>
                <w:szCs w:val="14"/>
                <w:cs/>
                <w:lang w:eastAsia="en-US"/>
              </w:rPr>
              <w:t>கிட்டத்தட்ட</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எப்போழுதும்</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இல்லை</w:t>
            </w:r>
          </w:p>
        </w:tc>
        <w:tc>
          <w:tcPr>
            <w:tcW w:w="1241" w:type="dxa"/>
            <w:tcBorders>
              <w:top w:val="nil"/>
              <w:left w:val="nil"/>
              <w:right w:val="nil"/>
            </w:tcBorders>
            <w:shd w:val="clear" w:color="auto" w:fill="auto"/>
            <w:vAlign w:val="center"/>
          </w:tcPr>
          <w:p w14:paraId="4E1AC89A" w14:textId="77777777" w:rsidR="006F0EC1" w:rsidRPr="00787196" w:rsidRDefault="006F0EC1" w:rsidP="005C2A75">
            <w:pPr>
              <w:autoSpaceDE w:val="0"/>
              <w:autoSpaceDN w:val="0"/>
              <w:adjustRightInd w:val="0"/>
              <w:spacing w:beforeLines="200" w:before="480" w:after="0" w:line="240" w:lineRule="auto"/>
              <w:contextualSpacing/>
              <w:jc w:val="center"/>
              <w:rPr>
                <w:rFonts w:eastAsia="Calibri" w:cs="Arial"/>
                <w:b/>
                <w:sz w:val="14"/>
                <w:szCs w:val="14"/>
                <w:lang w:eastAsia="en-US" w:bidi="ar-SA"/>
              </w:rPr>
            </w:pPr>
            <w:r w:rsidRPr="00787196">
              <w:rPr>
                <w:rFonts w:ascii="Latha" w:eastAsia="Calibri" w:hAnsi="Latha" w:cs="Arial Unicode MS"/>
                <w:b/>
                <w:sz w:val="14"/>
                <w:szCs w:val="14"/>
                <w:cs/>
                <w:lang w:eastAsia="en-US"/>
              </w:rPr>
              <w:t>சில</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நேரங்களில்</w:t>
            </w:r>
          </w:p>
        </w:tc>
        <w:tc>
          <w:tcPr>
            <w:tcW w:w="979" w:type="dxa"/>
            <w:tcBorders>
              <w:top w:val="nil"/>
              <w:left w:val="nil"/>
              <w:right w:val="nil"/>
            </w:tcBorders>
            <w:shd w:val="clear" w:color="auto" w:fill="auto"/>
            <w:vAlign w:val="center"/>
          </w:tcPr>
          <w:p w14:paraId="748EABA9" w14:textId="77777777" w:rsidR="006F0EC1" w:rsidRPr="00787196" w:rsidRDefault="006F0EC1" w:rsidP="005C2A75">
            <w:pPr>
              <w:autoSpaceDE w:val="0"/>
              <w:autoSpaceDN w:val="0"/>
              <w:adjustRightInd w:val="0"/>
              <w:spacing w:beforeLines="200" w:before="480" w:after="0" w:line="240" w:lineRule="auto"/>
              <w:contextualSpacing/>
              <w:jc w:val="center"/>
              <w:rPr>
                <w:rFonts w:eastAsia="Calibri" w:cs="Arial"/>
                <w:b/>
                <w:sz w:val="14"/>
                <w:szCs w:val="14"/>
                <w:lang w:eastAsia="en-US" w:bidi="ar-SA"/>
              </w:rPr>
            </w:pPr>
            <w:r w:rsidRPr="00787196">
              <w:rPr>
                <w:rFonts w:ascii="Latha" w:eastAsia="Calibri" w:hAnsi="Latha" w:cs="Arial Unicode MS"/>
                <w:b/>
                <w:sz w:val="14"/>
                <w:szCs w:val="14"/>
                <w:cs/>
                <w:lang w:eastAsia="en-US"/>
              </w:rPr>
              <w:t>சற்று</w:t>
            </w:r>
            <w:r w:rsidRPr="00787196">
              <w:rPr>
                <w:rFonts w:eastAsia="Calibri" w:cs="Arial"/>
                <w:b/>
                <w:sz w:val="14"/>
                <w:szCs w:val="14"/>
                <w:rtl/>
                <w:cs/>
                <w:lang w:eastAsia="en-US" w:bidi="ar-SA"/>
              </w:rPr>
              <w:t xml:space="preserve"> </w:t>
            </w:r>
            <w:r w:rsidRPr="00787196">
              <w:rPr>
                <w:rFonts w:ascii="Latha" w:eastAsia="Calibri" w:hAnsi="Latha" w:cs="Arial Unicode MS"/>
                <w:b/>
                <w:sz w:val="14"/>
                <w:szCs w:val="14"/>
                <w:cs/>
                <w:lang w:eastAsia="en-US"/>
              </w:rPr>
              <w:t>அடிக்கடி</w:t>
            </w:r>
          </w:p>
        </w:tc>
        <w:tc>
          <w:tcPr>
            <w:tcW w:w="1054" w:type="dxa"/>
            <w:tcBorders>
              <w:top w:val="nil"/>
              <w:left w:val="nil"/>
            </w:tcBorders>
            <w:shd w:val="clear" w:color="auto" w:fill="auto"/>
            <w:vAlign w:val="center"/>
          </w:tcPr>
          <w:p w14:paraId="205C6BEE" w14:textId="77777777" w:rsidR="006F0EC1" w:rsidRPr="00787196" w:rsidRDefault="006F0EC1" w:rsidP="005C2A75">
            <w:pPr>
              <w:autoSpaceDE w:val="0"/>
              <w:autoSpaceDN w:val="0"/>
              <w:adjustRightInd w:val="0"/>
              <w:spacing w:beforeLines="200" w:before="480" w:after="0" w:line="240" w:lineRule="auto"/>
              <w:contextualSpacing/>
              <w:jc w:val="center"/>
              <w:rPr>
                <w:rFonts w:eastAsia="Calibri" w:cs="Arial"/>
                <w:b/>
                <w:sz w:val="14"/>
                <w:szCs w:val="14"/>
                <w:lang w:eastAsia="en-US" w:bidi="ar-SA"/>
              </w:rPr>
            </w:pPr>
            <w:r w:rsidRPr="00787196">
              <w:rPr>
                <w:rFonts w:ascii="Latha" w:eastAsia="Calibri" w:hAnsi="Latha" w:cs="Arial Unicode MS"/>
                <w:b/>
                <w:sz w:val="14"/>
                <w:szCs w:val="14"/>
                <w:cs/>
                <w:lang w:eastAsia="en-US"/>
              </w:rPr>
              <w:t>அடிக்கடி</w:t>
            </w:r>
          </w:p>
        </w:tc>
      </w:tr>
    </w:tbl>
    <w:p w14:paraId="25B76B7A" w14:textId="77777777" w:rsidR="006F0EC1" w:rsidRPr="00787196" w:rsidRDefault="006F0EC1" w:rsidP="00513F57">
      <w:pPr>
        <w:spacing w:before="0" w:after="0"/>
        <w:rPr>
          <w:rFonts w:cs="Arial"/>
        </w:rPr>
      </w:pPr>
    </w:p>
    <w:p w14:paraId="08A2F254" w14:textId="77777777" w:rsidR="006F0EC1" w:rsidRPr="00787196" w:rsidRDefault="006F0EC1" w:rsidP="00513F57">
      <w:pPr>
        <w:spacing w:before="0" w:after="0"/>
        <w:rPr>
          <w:rFonts w:cs="Arial"/>
          <w:b/>
          <w:bCs/>
          <w:sz w:val="28"/>
          <w:szCs w:val="24"/>
        </w:rPr>
      </w:pPr>
      <w:r w:rsidRPr="00787196">
        <w:rPr>
          <w:rFonts w:cs="Arial"/>
        </w:rPr>
        <w:br w:type="page"/>
      </w:r>
    </w:p>
    <w:p w14:paraId="6E372D2C" w14:textId="77777777" w:rsidR="006F0EC1" w:rsidRPr="00787196" w:rsidRDefault="006F0EC1" w:rsidP="00513F57">
      <w:pPr>
        <w:spacing w:before="0" w:after="0"/>
        <w:rPr>
          <w:rFonts w:cs="Arial"/>
          <w:b/>
          <w:bCs/>
          <w:sz w:val="21"/>
          <w:szCs w:val="18"/>
        </w:rPr>
      </w:pPr>
      <w:r w:rsidRPr="00787196">
        <w:rPr>
          <w:rFonts w:ascii="Latha" w:hAnsi="Latha" w:cs="Arial Unicode MS"/>
          <w:b/>
          <w:bCs/>
          <w:sz w:val="21"/>
          <w:szCs w:val="18"/>
          <w:cs/>
        </w:rPr>
        <w:lastRenderedPageBreak/>
        <w:t>செயற்கைப்</w:t>
      </w:r>
      <w:r w:rsidRPr="00787196">
        <w:rPr>
          <w:rFonts w:cs="Arial"/>
          <w:b/>
          <w:bCs/>
          <w:sz w:val="21"/>
          <w:szCs w:val="18"/>
          <w:cs/>
        </w:rPr>
        <w:t xml:space="preserve"> </w:t>
      </w:r>
      <w:r w:rsidRPr="00787196">
        <w:rPr>
          <w:rFonts w:ascii="Latha" w:hAnsi="Latha" w:cs="Arial Unicode MS"/>
          <w:b/>
          <w:bCs/>
          <w:sz w:val="21"/>
          <w:szCs w:val="18"/>
          <w:cs/>
        </w:rPr>
        <w:t>பற்கட்டமைப்பின்</w:t>
      </w:r>
      <w:r w:rsidRPr="00787196">
        <w:rPr>
          <w:rFonts w:cs="Arial"/>
          <w:b/>
          <w:bCs/>
          <w:sz w:val="21"/>
          <w:szCs w:val="18"/>
          <w:cs/>
        </w:rPr>
        <w:t xml:space="preserve"> </w:t>
      </w:r>
      <w:r w:rsidRPr="00787196">
        <w:rPr>
          <w:rFonts w:ascii="Latha" w:hAnsi="Latha" w:cs="Arial Unicode MS"/>
          <w:b/>
          <w:bCs/>
          <w:sz w:val="21"/>
          <w:szCs w:val="18"/>
          <w:cs/>
        </w:rPr>
        <w:t>முலம்</w:t>
      </w:r>
      <w:r w:rsidRPr="00787196">
        <w:rPr>
          <w:rFonts w:cs="Arial"/>
          <w:b/>
          <w:bCs/>
          <w:sz w:val="21"/>
          <w:szCs w:val="18"/>
          <w:cs/>
        </w:rPr>
        <w:t xml:space="preserve"> </w:t>
      </w:r>
      <w:r w:rsidRPr="00787196">
        <w:rPr>
          <w:rFonts w:ascii="Latha" w:hAnsi="Latha" w:cs="Arial Unicode MS"/>
          <w:b/>
          <w:bCs/>
          <w:sz w:val="21"/>
          <w:szCs w:val="18"/>
          <w:cs/>
        </w:rPr>
        <w:t>ஏற்படும்</w:t>
      </w:r>
      <w:r w:rsidRPr="00787196">
        <w:rPr>
          <w:rFonts w:cs="Arial"/>
          <w:b/>
          <w:bCs/>
          <w:sz w:val="21"/>
          <w:szCs w:val="18"/>
          <w:cs/>
        </w:rPr>
        <w:t xml:space="preserve"> </w:t>
      </w:r>
      <w:r w:rsidRPr="00787196">
        <w:rPr>
          <w:rFonts w:ascii="Latha" w:hAnsi="Latha" w:cs="Arial Unicode MS"/>
          <w:b/>
          <w:bCs/>
          <w:sz w:val="21"/>
          <w:szCs w:val="18"/>
          <w:cs/>
        </w:rPr>
        <w:t>மனநிறைவு</w:t>
      </w:r>
      <w:r w:rsidRPr="00787196">
        <w:rPr>
          <w:rFonts w:cs="Arial"/>
          <w:b/>
          <w:bCs/>
          <w:sz w:val="21"/>
          <w:szCs w:val="18"/>
        </w:rPr>
        <w:t xml:space="preserve"> </w:t>
      </w:r>
    </w:p>
    <w:tbl>
      <w:tblPr>
        <w:tblpPr w:leftFromText="180" w:rightFromText="180" w:vertAnchor="page" w:horzAnchor="margin" w:tblpY="2964"/>
        <w:tblW w:w="8497"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803"/>
        <w:gridCol w:w="1087"/>
        <w:gridCol w:w="1060"/>
        <w:gridCol w:w="1178"/>
        <w:gridCol w:w="1059"/>
        <w:gridCol w:w="1310"/>
      </w:tblGrid>
      <w:tr w:rsidR="006F0EC1" w:rsidRPr="00787196" w14:paraId="34569E26" w14:textId="77777777" w:rsidTr="006315BA">
        <w:trPr>
          <w:trHeight w:val="554"/>
        </w:trPr>
        <w:tc>
          <w:tcPr>
            <w:tcW w:w="2803" w:type="dxa"/>
            <w:shd w:val="clear" w:color="auto" w:fill="auto"/>
          </w:tcPr>
          <w:p w14:paraId="55CCD4B7" w14:textId="77777777" w:rsidR="006F0EC1" w:rsidRPr="00787196" w:rsidRDefault="006F0EC1" w:rsidP="005C2A75">
            <w:pPr>
              <w:spacing w:before="0" w:after="0" w:line="240" w:lineRule="auto"/>
              <w:rPr>
                <w:rFonts w:eastAsia="Calibri" w:cs="Arial"/>
                <w:sz w:val="20"/>
                <w:szCs w:val="20"/>
                <w:lang w:eastAsia="en-US" w:bidi="ar-SA"/>
              </w:rPr>
            </w:pPr>
          </w:p>
        </w:tc>
        <w:tc>
          <w:tcPr>
            <w:tcW w:w="1087" w:type="dxa"/>
            <w:shd w:val="clear" w:color="auto" w:fill="auto"/>
            <w:vAlign w:val="center"/>
          </w:tcPr>
          <w:p w14:paraId="2E094154" w14:textId="77777777" w:rsidR="006F0EC1" w:rsidRPr="00787196" w:rsidRDefault="006F0EC1"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0</w:t>
            </w:r>
          </w:p>
        </w:tc>
        <w:tc>
          <w:tcPr>
            <w:tcW w:w="1060" w:type="dxa"/>
            <w:shd w:val="clear" w:color="auto" w:fill="auto"/>
            <w:vAlign w:val="center"/>
          </w:tcPr>
          <w:p w14:paraId="341C0CFB" w14:textId="77777777" w:rsidR="006F0EC1" w:rsidRPr="00787196" w:rsidRDefault="006F0EC1"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1</w:t>
            </w:r>
          </w:p>
        </w:tc>
        <w:tc>
          <w:tcPr>
            <w:tcW w:w="1178" w:type="dxa"/>
            <w:shd w:val="clear" w:color="auto" w:fill="auto"/>
            <w:vAlign w:val="center"/>
          </w:tcPr>
          <w:p w14:paraId="332ACE61" w14:textId="77777777" w:rsidR="006F0EC1" w:rsidRPr="00787196" w:rsidRDefault="006F0EC1"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2</w:t>
            </w:r>
          </w:p>
        </w:tc>
        <w:tc>
          <w:tcPr>
            <w:tcW w:w="1059" w:type="dxa"/>
            <w:shd w:val="clear" w:color="auto" w:fill="auto"/>
            <w:vAlign w:val="center"/>
          </w:tcPr>
          <w:p w14:paraId="0C3C26E0" w14:textId="77777777" w:rsidR="006F0EC1" w:rsidRPr="00787196" w:rsidRDefault="006F0EC1"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3</w:t>
            </w:r>
          </w:p>
        </w:tc>
        <w:tc>
          <w:tcPr>
            <w:tcW w:w="1310" w:type="dxa"/>
            <w:shd w:val="clear" w:color="auto" w:fill="auto"/>
            <w:vAlign w:val="center"/>
          </w:tcPr>
          <w:p w14:paraId="7AAC055C" w14:textId="77777777" w:rsidR="006F0EC1" w:rsidRPr="00787196" w:rsidRDefault="006F0EC1" w:rsidP="005C2A75">
            <w:pPr>
              <w:spacing w:before="0" w:after="0" w:line="240" w:lineRule="auto"/>
              <w:jc w:val="center"/>
              <w:rPr>
                <w:rFonts w:eastAsia="Calibri" w:cs="Arial"/>
                <w:sz w:val="18"/>
                <w:szCs w:val="18"/>
                <w:lang w:eastAsia="en-US" w:bidi="ar-SA"/>
              </w:rPr>
            </w:pPr>
            <w:r w:rsidRPr="00787196">
              <w:rPr>
                <w:rFonts w:eastAsia="Calibri" w:cs="Arial"/>
                <w:sz w:val="18"/>
                <w:szCs w:val="18"/>
                <w:lang w:eastAsia="en-US" w:bidi="ar-SA"/>
              </w:rPr>
              <w:t>4</w:t>
            </w:r>
          </w:p>
        </w:tc>
      </w:tr>
      <w:tr w:rsidR="006F0EC1" w:rsidRPr="00787196" w14:paraId="769AFEBE" w14:textId="77777777" w:rsidTr="006315BA">
        <w:trPr>
          <w:trHeight w:val="138"/>
        </w:trPr>
        <w:tc>
          <w:tcPr>
            <w:tcW w:w="2803" w:type="dxa"/>
            <w:shd w:val="clear" w:color="auto" w:fill="auto"/>
          </w:tcPr>
          <w:p w14:paraId="79FDD7DD" w14:textId="77777777" w:rsidR="006F0EC1" w:rsidRPr="00787196" w:rsidRDefault="006F0EC1" w:rsidP="005C2A75">
            <w:pPr>
              <w:spacing w:before="0" w:after="0" w:line="240" w:lineRule="auto"/>
              <w:rPr>
                <w:rFonts w:eastAsia="Calibri" w:cs="Arial"/>
                <w:sz w:val="20"/>
                <w:szCs w:val="20"/>
                <w:lang w:eastAsia="en-US" w:bidi="ar-SA"/>
              </w:rPr>
            </w:pPr>
          </w:p>
        </w:tc>
        <w:tc>
          <w:tcPr>
            <w:tcW w:w="1087" w:type="dxa"/>
            <w:shd w:val="clear" w:color="auto" w:fill="auto"/>
            <w:vAlign w:val="center"/>
          </w:tcPr>
          <w:p w14:paraId="1A4F451B" w14:textId="77777777" w:rsidR="006F0EC1" w:rsidRPr="00787196" w:rsidRDefault="006F0EC1" w:rsidP="005C2A75">
            <w:pPr>
              <w:spacing w:before="0" w:after="0" w:line="240" w:lineRule="auto"/>
              <w:jc w:val="center"/>
              <w:rPr>
                <w:rFonts w:eastAsia="Calibri" w:cs="Arial"/>
                <w:sz w:val="16"/>
                <w:szCs w:val="16"/>
                <w:lang w:eastAsia="en-US" w:bidi="ar-SA"/>
              </w:rPr>
            </w:pPr>
            <w:r w:rsidRPr="00787196">
              <w:rPr>
                <w:rFonts w:ascii="Latha" w:eastAsia="Calibri" w:hAnsi="Latha" w:cs="Arial Unicode MS"/>
                <w:sz w:val="16"/>
                <w:szCs w:val="16"/>
                <w:cs/>
                <w:lang w:eastAsia="en-US"/>
              </w:rPr>
              <w:t>முழு</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மனநிறைவு</w:t>
            </w:r>
          </w:p>
        </w:tc>
        <w:tc>
          <w:tcPr>
            <w:tcW w:w="1060" w:type="dxa"/>
            <w:shd w:val="clear" w:color="auto" w:fill="auto"/>
            <w:vAlign w:val="center"/>
          </w:tcPr>
          <w:p w14:paraId="6E1ACE2F" w14:textId="77777777" w:rsidR="006F0EC1" w:rsidRPr="00787196" w:rsidRDefault="006F0EC1" w:rsidP="005C2A75">
            <w:pPr>
              <w:spacing w:before="0" w:after="0" w:line="240" w:lineRule="auto"/>
              <w:jc w:val="center"/>
              <w:rPr>
                <w:rFonts w:eastAsia="Calibri" w:cs="Arial"/>
                <w:sz w:val="16"/>
                <w:szCs w:val="16"/>
                <w:lang w:eastAsia="en-US" w:bidi="ar-SA"/>
              </w:rPr>
            </w:pPr>
          </w:p>
        </w:tc>
        <w:tc>
          <w:tcPr>
            <w:tcW w:w="1178" w:type="dxa"/>
            <w:shd w:val="clear" w:color="auto" w:fill="auto"/>
            <w:vAlign w:val="center"/>
          </w:tcPr>
          <w:p w14:paraId="1564D5D1" w14:textId="77777777" w:rsidR="006F0EC1" w:rsidRPr="00787196" w:rsidRDefault="006F0EC1" w:rsidP="005C2A75">
            <w:pPr>
              <w:spacing w:before="0" w:after="0" w:line="240" w:lineRule="auto"/>
              <w:jc w:val="center"/>
              <w:rPr>
                <w:rFonts w:eastAsia="Calibri" w:cs="Arial"/>
                <w:sz w:val="16"/>
                <w:szCs w:val="16"/>
                <w:lang w:eastAsia="en-US" w:bidi="ar-SA"/>
              </w:rPr>
            </w:pPr>
          </w:p>
        </w:tc>
        <w:tc>
          <w:tcPr>
            <w:tcW w:w="1059" w:type="dxa"/>
            <w:shd w:val="clear" w:color="auto" w:fill="auto"/>
            <w:vAlign w:val="center"/>
          </w:tcPr>
          <w:p w14:paraId="586B6666" w14:textId="77777777" w:rsidR="006F0EC1" w:rsidRPr="00787196" w:rsidRDefault="006F0EC1" w:rsidP="005C2A75">
            <w:pPr>
              <w:spacing w:before="0" w:after="0" w:line="240" w:lineRule="auto"/>
              <w:jc w:val="center"/>
              <w:rPr>
                <w:rFonts w:eastAsia="Calibri" w:cs="Arial"/>
                <w:sz w:val="16"/>
                <w:szCs w:val="16"/>
                <w:lang w:eastAsia="en-US" w:bidi="ar-SA"/>
              </w:rPr>
            </w:pPr>
          </w:p>
        </w:tc>
        <w:tc>
          <w:tcPr>
            <w:tcW w:w="1310" w:type="dxa"/>
            <w:shd w:val="clear" w:color="auto" w:fill="auto"/>
            <w:vAlign w:val="center"/>
          </w:tcPr>
          <w:p w14:paraId="2B444F17" w14:textId="77777777" w:rsidR="006F0EC1" w:rsidRPr="00787196" w:rsidRDefault="006F0EC1" w:rsidP="005C2A75">
            <w:pPr>
              <w:spacing w:before="0" w:after="0" w:line="240" w:lineRule="auto"/>
              <w:jc w:val="center"/>
              <w:rPr>
                <w:rFonts w:eastAsia="Calibri" w:cs="Arial"/>
                <w:sz w:val="16"/>
                <w:szCs w:val="16"/>
                <w:lang w:eastAsia="en-US" w:bidi="ar-SA"/>
              </w:rPr>
            </w:pPr>
            <w:r w:rsidRPr="00787196">
              <w:rPr>
                <w:rFonts w:ascii="Latha" w:eastAsia="Calibri" w:hAnsi="Latha" w:cs="Arial Unicode MS"/>
                <w:sz w:val="16"/>
                <w:szCs w:val="16"/>
                <w:cs/>
                <w:lang w:eastAsia="en-US"/>
              </w:rPr>
              <w:t>முழு</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அதிருப்தி</w:t>
            </w:r>
          </w:p>
        </w:tc>
      </w:tr>
      <w:tr w:rsidR="006F0EC1" w:rsidRPr="00787196" w14:paraId="42097D0B" w14:textId="77777777" w:rsidTr="006315BA">
        <w:trPr>
          <w:trHeight w:val="1575"/>
        </w:trPr>
        <w:tc>
          <w:tcPr>
            <w:tcW w:w="2803" w:type="dxa"/>
            <w:shd w:val="clear" w:color="auto" w:fill="auto"/>
            <w:vAlign w:val="center"/>
          </w:tcPr>
          <w:p w14:paraId="332BB39D"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77</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உண்பதன்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மூலம்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கிடைக்கும்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மனமகிழ்ச்சி</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தற்பொழுதைய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நிலைக்கும்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இயற்கைப்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இருந்தபோது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உள்ள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நிலையையும்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ஒப்பிட்டுப்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பார்க்கையில்எவ்வாறு</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உணருகிறீர்கள்</w:t>
            </w:r>
            <w:r w:rsidR="006F0EC1" w:rsidRPr="00787196">
              <w:rPr>
                <w:rFonts w:eastAsia="Calibri" w:cs="Arial"/>
                <w:sz w:val="12"/>
                <w:szCs w:val="12"/>
                <w:rtl/>
                <w:cs/>
                <w:lang w:eastAsia="en-US" w:bidi="ar-SA"/>
              </w:rPr>
              <w:t>?</w:t>
            </w:r>
          </w:p>
        </w:tc>
        <w:tc>
          <w:tcPr>
            <w:tcW w:w="1087" w:type="dxa"/>
            <w:shd w:val="clear" w:color="auto" w:fill="auto"/>
            <w:vAlign w:val="center"/>
          </w:tcPr>
          <w:p w14:paraId="2E9659C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58FF665C"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5906B84E"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71D95CD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3ACC1334"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6F02A9C7" w14:textId="77777777" w:rsidTr="006315BA">
        <w:trPr>
          <w:trHeight w:val="977"/>
        </w:trPr>
        <w:tc>
          <w:tcPr>
            <w:tcW w:w="2803" w:type="dxa"/>
            <w:shd w:val="clear" w:color="auto" w:fill="auto"/>
            <w:vAlign w:val="center"/>
          </w:tcPr>
          <w:p w14:paraId="010EEFF5"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78</w:t>
            </w:r>
            <w:r w:rsidR="006F0EC1" w:rsidRPr="00787196">
              <w:rPr>
                <w:rFonts w:eastAsia="Calibri" w:cs="Arial"/>
                <w:sz w:val="12"/>
                <w:szCs w:val="12"/>
                <w:rtl/>
                <w:cs/>
                <w:lang w:eastAsia="en-US" w:bidi="ar-SA"/>
              </w:rPr>
              <w:t xml:space="preserve"> </w:t>
            </w:r>
            <w:r w:rsidR="006F0EC1" w:rsidRPr="00787196">
              <w:rPr>
                <w:rFonts w:eastAsia="Calibri" w:cs="Arial"/>
                <w:sz w:val="12"/>
                <w:szCs w:val="12"/>
                <w:lang w:eastAsia="en-US" w:bidi="ar-SA"/>
              </w:rPr>
              <w:t>.</w:t>
            </w:r>
            <w:r w:rsidR="006F0EC1" w:rsidRPr="00787196">
              <w:rPr>
                <w:rFonts w:ascii="Latha" w:eastAsia="Calibri" w:hAnsi="Latha" w:cs="Arial Unicode MS"/>
                <w:sz w:val="12"/>
                <w:szCs w:val="12"/>
                <w:cs/>
                <w:lang w:eastAsia="en-US"/>
              </w:rPr>
              <w:t>மெல்லும்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திறனைப்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35183F21"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7E3AA682"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2B12C68C"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0A57A7B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5FCA4D41"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286C22EF" w14:textId="77777777" w:rsidTr="006315BA">
        <w:trPr>
          <w:trHeight w:val="865"/>
        </w:trPr>
        <w:tc>
          <w:tcPr>
            <w:tcW w:w="2803" w:type="dxa"/>
            <w:shd w:val="clear" w:color="auto" w:fill="auto"/>
            <w:vAlign w:val="center"/>
          </w:tcPr>
          <w:p w14:paraId="54381819"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79</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தோற்றத்தினைப்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07016B00"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5C729266"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3267441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3EAD36C6"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161B17C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4BB7DBAA" w14:textId="77777777" w:rsidTr="006315BA">
        <w:trPr>
          <w:trHeight w:val="962"/>
        </w:trPr>
        <w:tc>
          <w:tcPr>
            <w:tcW w:w="2803" w:type="dxa"/>
            <w:shd w:val="clear" w:color="auto" w:fill="auto"/>
            <w:vAlign w:val="center"/>
          </w:tcPr>
          <w:p w14:paraId="5784E50B"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80</w:t>
            </w:r>
            <w:r w:rsidR="006F0EC1" w:rsidRPr="00787196">
              <w:rPr>
                <w:rFonts w:eastAsia="Calibri" w:cs="Arial"/>
                <w:sz w:val="12"/>
                <w:szCs w:val="12"/>
                <w:lang w:eastAsia="en-US" w:bidi="ar-SA"/>
              </w:rPr>
              <w:t>.</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செளகரியத்தைப்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2053B602"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467A2A7E"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57BCED5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05EA7DC6"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0FE7D3D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394E4E6" w14:textId="77777777" w:rsidTr="006315BA">
        <w:trPr>
          <w:trHeight w:val="1273"/>
        </w:trPr>
        <w:tc>
          <w:tcPr>
            <w:tcW w:w="2803" w:type="dxa"/>
            <w:shd w:val="clear" w:color="auto" w:fill="auto"/>
            <w:vAlign w:val="center"/>
          </w:tcPr>
          <w:p w14:paraId="6772F7CD"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81</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சுய</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rtl/>
                <w:cs/>
                <w:lang w:eastAsia="en-US"/>
              </w:rPr>
              <w:t>உறுதி</w:t>
            </w:r>
            <w:r w:rsidR="006F0EC1" w:rsidRPr="00787196">
              <w:rPr>
                <w:rFonts w:eastAsia="Calibri" w:cs="Arial"/>
                <w:sz w:val="12"/>
                <w:szCs w:val="12"/>
                <w:rtl/>
                <w:cs/>
                <w:lang w:eastAsia="en-US"/>
              </w:rPr>
              <w:t xml:space="preserve"> </w:t>
            </w:r>
            <w:r w:rsidR="006F0EC1" w:rsidRPr="00787196">
              <w:rPr>
                <w:rFonts w:ascii="Latha" w:eastAsia="Calibri" w:hAnsi="Latha" w:cs="Arial Unicode MS"/>
                <w:sz w:val="12"/>
                <w:szCs w:val="12"/>
                <w:rtl/>
                <w:cs/>
                <w:lang w:eastAsia="en-US"/>
              </w:rPr>
              <w:t>மற்றும்</w:t>
            </w:r>
            <w:r w:rsidR="006F0EC1" w:rsidRPr="00787196">
              <w:rPr>
                <w:rFonts w:eastAsia="Calibri" w:cs="Arial"/>
                <w:sz w:val="12"/>
                <w:szCs w:val="12"/>
                <w:rtl/>
                <w:cs/>
                <w:lang w:eastAsia="en-US"/>
              </w:rPr>
              <w:t xml:space="preserve"> </w:t>
            </w:r>
            <w:r w:rsidR="006F0EC1" w:rsidRPr="00787196">
              <w:rPr>
                <w:rFonts w:ascii="Latha" w:eastAsia="Calibri" w:hAnsi="Latha" w:cs="Arial Unicode MS"/>
                <w:sz w:val="12"/>
                <w:szCs w:val="12"/>
                <w:rtl/>
                <w:cs/>
                <w:lang w:eastAsia="en-US"/>
              </w:rPr>
              <w:t>ச</w:t>
            </w:r>
            <w:r w:rsidR="006F0EC1" w:rsidRPr="00787196">
              <w:rPr>
                <w:rFonts w:ascii="Latha" w:eastAsia="Calibri" w:hAnsi="Latha" w:cs="Arial Unicode MS"/>
                <w:sz w:val="12"/>
                <w:szCs w:val="12"/>
                <w:cs/>
                <w:lang w:eastAsia="en-US"/>
              </w:rPr>
              <w:t>ுய</w:t>
            </w:r>
            <w:r w:rsidR="006F0EC1" w:rsidRPr="00787196">
              <w:rPr>
                <w:rFonts w:eastAsia="Calibri" w:cs="Arial"/>
                <w:sz w:val="12"/>
                <w:szCs w:val="12"/>
                <w:rtl/>
                <w:cs/>
                <w:lang w:eastAsia="en-US" w:bidi="ar-SA"/>
              </w:rPr>
              <w:t>-</w:t>
            </w:r>
            <w:r w:rsidR="006F0EC1" w:rsidRPr="00787196">
              <w:rPr>
                <w:rFonts w:ascii="Latha" w:eastAsia="Calibri" w:hAnsi="Latha" w:cs="Arial Unicode MS"/>
                <w:sz w:val="12"/>
                <w:szCs w:val="12"/>
                <w:cs/>
                <w:lang w:eastAsia="en-US"/>
              </w:rPr>
              <w:t>உணர்வுடன்</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இருப்பதைப்</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409954A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55517B0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31EAD9F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19B8F20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672A0F2B"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2753BCCA" w14:textId="77777777" w:rsidTr="006315BA">
        <w:trPr>
          <w:trHeight w:val="1262"/>
        </w:trPr>
        <w:tc>
          <w:tcPr>
            <w:tcW w:w="2803" w:type="dxa"/>
            <w:shd w:val="clear" w:color="auto" w:fill="auto"/>
            <w:vAlign w:val="center"/>
          </w:tcPr>
          <w:p w14:paraId="121E2433"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82</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சமூக</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மற்றும்</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பாச</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உறவுகளைப்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வாய்நல</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நிலைமையால்</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295F676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4C0FDBEC"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1774DB5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790F033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4FFC9101"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0FCEEC0" w14:textId="77777777" w:rsidTr="006315BA">
        <w:trPr>
          <w:trHeight w:val="1267"/>
        </w:trPr>
        <w:tc>
          <w:tcPr>
            <w:tcW w:w="2803" w:type="dxa"/>
            <w:shd w:val="clear" w:color="auto" w:fill="auto"/>
            <w:vAlign w:val="center"/>
          </w:tcPr>
          <w:p w14:paraId="527E5AA9"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83</w:t>
            </w:r>
            <w:r w:rsidR="006F0EC1" w:rsidRPr="00787196">
              <w:rPr>
                <w:rFonts w:eastAsia="Calibri" w:cs="Arial"/>
                <w:sz w:val="12"/>
                <w:szCs w:val="12"/>
                <w:lang w:eastAsia="en-US" w:bidi="ar-SA"/>
              </w:rPr>
              <w:t xml:space="preserve">. </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தொழில்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செயல்திறனைப்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வாய்நல</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நிலைமையால்</w:t>
            </w:r>
            <w:r w:rsidR="006F0EC1" w:rsidRPr="00787196">
              <w:rPr>
                <w:rFonts w:eastAsia="Calibri" w:cs="Arial"/>
                <w:sz w:val="12"/>
                <w:szCs w:val="12"/>
                <w:cs/>
                <w:lang w:eastAsia="en-US"/>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5468F7F5"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59FD67CA"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69839EE6"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7973DAA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6C995273"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5A2379FD" w14:textId="77777777" w:rsidTr="006315BA">
        <w:trPr>
          <w:trHeight w:val="1113"/>
        </w:trPr>
        <w:tc>
          <w:tcPr>
            <w:tcW w:w="2803" w:type="dxa"/>
            <w:shd w:val="clear" w:color="auto" w:fill="auto"/>
            <w:vAlign w:val="center"/>
          </w:tcPr>
          <w:p w14:paraId="12602806"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84</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உணவு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உண்பதைப்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பல்</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கட்டமைப்பின்</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மீது</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எவ்வளவு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w:t>
            </w:r>
            <w:r w:rsidR="006F0EC1" w:rsidRPr="00787196">
              <w:rPr>
                <w:rFonts w:eastAsia="Calibri" w:cs="Arial"/>
                <w:sz w:val="12"/>
                <w:szCs w:val="12"/>
                <w:rtl/>
                <w:cs/>
                <w:lang w:eastAsia="en-US" w:bidi="ar-SA"/>
              </w:rPr>
              <w:t>?</w:t>
            </w:r>
          </w:p>
        </w:tc>
        <w:tc>
          <w:tcPr>
            <w:tcW w:w="1087" w:type="dxa"/>
            <w:shd w:val="clear" w:color="auto" w:fill="auto"/>
            <w:vAlign w:val="center"/>
          </w:tcPr>
          <w:p w14:paraId="0DEC33B7"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3988BC8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4DB5B16E"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4E64A4BF"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061120C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r w:rsidR="006F0EC1" w:rsidRPr="00787196" w14:paraId="17CD4F23" w14:textId="77777777" w:rsidTr="006315BA">
        <w:trPr>
          <w:trHeight w:val="829"/>
        </w:trPr>
        <w:tc>
          <w:tcPr>
            <w:tcW w:w="2803" w:type="dxa"/>
            <w:shd w:val="clear" w:color="auto" w:fill="auto"/>
            <w:vAlign w:val="center"/>
          </w:tcPr>
          <w:p w14:paraId="1E0BB6E1" w14:textId="77777777" w:rsidR="006F0EC1" w:rsidRPr="00787196" w:rsidRDefault="00C7607B" w:rsidP="006315BA">
            <w:pPr>
              <w:spacing w:before="0" w:after="0" w:line="240" w:lineRule="auto"/>
              <w:jc w:val="left"/>
              <w:rPr>
                <w:rFonts w:eastAsia="Calibri" w:cs="Arial"/>
                <w:sz w:val="12"/>
                <w:szCs w:val="12"/>
                <w:lang w:eastAsia="en-US" w:bidi="ar-SA"/>
              </w:rPr>
            </w:pPr>
            <w:r w:rsidRPr="00787196">
              <w:rPr>
                <w:rFonts w:eastAsia="Calibri" w:cs="Arial"/>
                <w:sz w:val="12"/>
                <w:szCs w:val="12"/>
                <w:lang w:eastAsia="en-US" w:bidi="ar-SA"/>
              </w:rPr>
              <w:t>85</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தங்களுடைய</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புன்னகையைப்</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பொறுத்தவரை</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மனநிறைவு</w:t>
            </w:r>
            <w:r w:rsidR="006F0EC1" w:rsidRPr="00787196">
              <w:rPr>
                <w:rFonts w:eastAsia="Calibri" w:cs="Arial"/>
                <w:sz w:val="12"/>
                <w:szCs w:val="12"/>
                <w:rtl/>
                <w:cs/>
                <w:lang w:eastAsia="en-US" w:bidi="ar-SA"/>
              </w:rPr>
              <w:t xml:space="preserve"> </w:t>
            </w:r>
            <w:r w:rsidR="006F0EC1" w:rsidRPr="00787196">
              <w:rPr>
                <w:rFonts w:ascii="Latha" w:eastAsia="Calibri" w:hAnsi="Latha" w:cs="Arial Unicode MS"/>
                <w:sz w:val="12"/>
                <w:szCs w:val="12"/>
                <w:cs/>
                <w:lang w:eastAsia="en-US"/>
              </w:rPr>
              <w:t>அடைந்துள்ளீர்களளா</w:t>
            </w:r>
            <w:r w:rsidR="006F0EC1" w:rsidRPr="00787196">
              <w:rPr>
                <w:rFonts w:eastAsia="Calibri" w:cs="Arial"/>
                <w:sz w:val="12"/>
                <w:szCs w:val="12"/>
                <w:lang w:eastAsia="en-US" w:bidi="ar-SA"/>
              </w:rPr>
              <w:t xml:space="preserve"> (</w:t>
            </w:r>
            <w:r w:rsidR="006F0EC1" w:rsidRPr="00787196">
              <w:rPr>
                <w:rFonts w:ascii="Latha" w:eastAsia="Calibri" w:hAnsi="Latha" w:cs="Arial Unicode MS"/>
                <w:sz w:val="12"/>
                <w:szCs w:val="12"/>
                <w:cs/>
                <w:lang w:eastAsia="en-US"/>
              </w:rPr>
              <w:t>அழகு</w:t>
            </w:r>
            <w:r w:rsidR="006F0EC1" w:rsidRPr="00787196">
              <w:rPr>
                <w:rFonts w:eastAsia="Calibri" w:cs="Arial"/>
                <w:sz w:val="12"/>
                <w:szCs w:val="12"/>
                <w:lang w:eastAsia="en-US" w:bidi="ar-SA"/>
              </w:rPr>
              <w:t>)?</w:t>
            </w:r>
          </w:p>
        </w:tc>
        <w:tc>
          <w:tcPr>
            <w:tcW w:w="1087" w:type="dxa"/>
            <w:shd w:val="clear" w:color="auto" w:fill="auto"/>
            <w:vAlign w:val="center"/>
          </w:tcPr>
          <w:p w14:paraId="427392A8"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60" w:type="dxa"/>
            <w:shd w:val="clear" w:color="auto" w:fill="auto"/>
            <w:vAlign w:val="center"/>
          </w:tcPr>
          <w:p w14:paraId="66CE045B"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178" w:type="dxa"/>
            <w:shd w:val="clear" w:color="auto" w:fill="auto"/>
            <w:vAlign w:val="center"/>
          </w:tcPr>
          <w:p w14:paraId="088A024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059" w:type="dxa"/>
            <w:shd w:val="clear" w:color="auto" w:fill="auto"/>
            <w:vAlign w:val="center"/>
          </w:tcPr>
          <w:p w14:paraId="31865B3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c>
          <w:tcPr>
            <w:tcW w:w="1310" w:type="dxa"/>
            <w:shd w:val="clear" w:color="auto" w:fill="auto"/>
            <w:vAlign w:val="center"/>
          </w:tcPr>
          <w:p w14:paraId="0A667619" w14:textId="77777777" w:rsidR="006F0EC1" w:rsidRPr="00787196" w:rsidRDefault="007D6B7F" w:rsidP="006315BA">
            <w:pPr>
              <w:spacing w:before="0" w:after="0" w:line="240" w:lineRule="auto"/>
              <w:jc w:val="center"/>
              <w:rPr>
                <w:rFonts w:eastAsia="Calibri" w:cs="Arial"/>
                <w:sz w:val="20"/>
                <w:szCs w:val="20"/>
                <w:lang w:eastAsia="en-US" w:bidi="ar-SA"/>
              </w:rPr>
            </w:pPr>
            <w:r w:rsidRPr="00787196">
              <w:rPr>
                <w:rFonts w:eastAsia="Calibri" w:cs="Arial"/>
                <w:sz w:val="20"/>
                <w:szCs w:val="20"/>
                <w:lang w:eastAsia="en-US" w:bidi="ar-SA"/>
              </w:rPr>
              <w:fldChar w:fldCharType="begin">
                <w:ffData>
                  <w:name w:val="Check7"/>
                  <w:enabled/>
                  <w:calcOnExit w:val="0"/>
                  <w:checkBox>
                    <w:sizeAuto/>
                    <w:default w:val="0"/>
                  </w:checkBox>
                </w:ffData>
              </w:fldChar>
            </w:r>
            <w:r w:rsidR="006F0EC1" w:rsidRPr="00787196">
              <w:rPr>
                <w:rFonts w:eastAsia="Calibri" w:cs="Arial"/>
                <w:sz w:val="20"/>
                <w:szCs w:val="20"/>
                <w:lang w:eastAsia="en-US" w:bidi="ar-SA"/>
              </w:rPr>
              <w:instrText xml:space="preserve"> FORMCHECKBOX </w:instrText>
            </w:r>
            <w:r w:rsidR="006E7D7A">
              <w:rPr>
                <w:rFonts w:eastAsia="Calibri" w:cs="Arial"/>
                <w:sz w:val="20"/>
                <w:szCs w:val="20"/>
                <w:lang w:eastAsia="en-US" w:bidi="ar-SA"/>
              </w:rPr>
            </w:r>
            <w:r w:rsidR="006E7D7A">
              <w:rPr>
                <w:rFonts w:eastAsia="Calibri" w:cs="Arial"/>
                <w:sz w:val="20"/>
                <w:szCs w:val="20"/>
                <w:lang w:eastAsia="en-US" w:bidi="ar-SA"/>
              </w:rPr>
              <w:fldChar w:fldCharType="separate"/>
            </w:r>
            <w:r w:rsidRPr="00787196">
              <w:rPr>
                <w:rFonts w:eastAsia="Calibri" w:cs="Arial"/>
                <w:sz w:val="20"/>
                <w:szCs w:val="20"/>
                <w:lang w:eastAsia="en-US" w:bidi="ar-SA"/>
              </w:rPr>
              <w:fldChar w:fldCharType="end"/>
            </w:r>
          </w:p>
        </w:tc>
      </w:tr>
    </w:tbl>
    <w:p w14:paraId="3A61B214" w14:textId="77777777" w:rsidR="006F0EC1" w:rsidRPr="00787196" w:rsidRDefault="006F0EC1" w:rsidP="00513F57">
      <w:pPr>
        <w:spacing w:before="0" w:after="0" w:line="240" w:lineRule="auto"/>
        <w:rPr>
          <w:rFonts w:cs="Arial"/>
          <w:sz w:val="16"/>
          <w:szCs w:val="16"/>
        </w:rPr>
      </w:pPr>
      <w:r w:rsidRPr="00787196">
        <w:rPr>
          <w:rFonts w:ascii="Latha" w:hAnsi="Latha" w:cs="Arial Unicode MS"/>
          <w:sz w:val="16"/>
          <w:szCs w:val="16"/>
          <w:cs/>
        </w:rPr>
        <w:t>தங்களுடைய</w:t>
      </w:r>
      <w:r w:rsidRPr="00787196">
        <w:rPr>
          <w:rFonts w:cs="Arial"/>
          <w:sz w:val="16"/>
          <w:szCs w:val="16"/>
          <w:cs/>
        </w:rPr>
        <w:t xml:space="preserve"> </w:t>
      </w:r>
      <w:r w:rsidRPr="00787196">
        <w:rPr>
          <w:rFonts w:ascii="Latha" w:hAnsi="Latha" w:cs="Arial Unicode MS"/>
          <w:sz w:val="16"/>
          <w:szCs w:val="16"/>
          <w:cs/>
        </w:rPr>
        <w:t>செயற்கைப்</w:t>
      </w:r>
      <w:r w:rsidRPr="00787196">
        <w:rPr>
          <w:rFonts w:cs="Arial"/>
          <w:sz w:val="16"/>
          <w:szCs w:val="16"/>
          <w:cs/>
        </w:rPr>
        <w:t xml:space="preserve"> </w:t>
      </w:r>
      <w:r w:rsidRPr="00787196">
        <w:rPr>
          <w:rFonts w:ascii="Latha" w:hAnsi="Latha" w:cs="Arial Unicode MS"/>
          <w:sz w:val="16"/>
          <w:szCs w:val="16"/>
          <w:cs/>
        </w:rPr>
        <w:t>பல்</w:t>
      </w:r>
      <w:r w:rsidRPr="00787196">
        <w:rPr>
          <w:rFonts w:cs="Arial"/>
          <w:sz w:val="16"/>
          <w:szCs w:val="16"/>
          <w:cs/>
        </w:rPr>
        <w:t xml:space="preserve"> </w:t>
      </w:r>
      <w:r w:rsidRPr="00787196">
        <w:rPr>
          <w:rFonts w:ascii="Latha" w:hAnsi="Latha" w:cs="Arial Unicode MS"/>
          <w:sz w:val="16"/>
          <w:szCs w:val="16"/>
          <w:cs/>
        </w:rPr>
        <w:t>கட்டமைப்பால்</w:t>
      </w:r>
      <w:r w:rsidRPr="00787196">
        <w:rPr>
          <w:rFonts w:cs="Arial"/>
          <w:sz w:val="16"/>
          <w:szCs w:val="16"/>
          <w:cs/>
        </w:rPr>
        <w:t xml:space="preserve"> (</w:t>
      </w:r>
      <w:r w:rsidRPr="00787196">
        <w:rPr>
          <w:rFonts w:ascii="Latha" w:hAnsi="Latha" w:cs="Arial Unicode MS"/>
          <w:sz w:val="16"/>
          <w:szCs w:val="16"/>
          <w:cs/>
        </w:rPr>
        <w:t>பல்</w:t>
      </w:r>
      <w:r w:rsidRPr="00787196">
        <w:rPr>
          <w:rFonts w:cs="Arial"/>
          <w:sz w:val="16"/>
          <w:szCs w:val="16"/>
          <w:cs/>
        </w:rPr>
        <w:t>-</w:t>
      </w:r>
      <w:r w:rsidRPr="00787196">
        <w:rPr>
          <w:rFonts w:ascii="Latha" w:hAnsi="Latha" w:cs="Arial Unicode MS"/>
          <w:sz w:val="16"/>
          <w:szCs w:val="16"/>
          <w:cs/>
        </w:rPr>
        <w:t>செட்</w:t>
      </w:r>
      <w:r w:rsidRPr="00787196">
        <w:rPr>
          <w:rFonts w:cs="Arial"/>
          <w:sz w:val="16"/>
          <w:szCs w:val="16"/>
          <w:cs/>
        </w:rPr>
        <w:t xml:space="preserve">) </w:t>
      </w:r>
      <w:r w:rsidRPr="00787196">
        <w:rPr>
          <w:rFonts w:ascii="Latha" w:hAnsi="Latha" w:cs="Arial Unicode MS"/>
          <w:sz w:val="16"/>
          <w:szCs w:val="16"/>
          <w:cs/>
        </w:rPr>
        <w:t>எவ்வளவு</w:t>
      </w:r>
      <w:r w:rsidRPr="00787196">
        <w:rPr>
          <w:rFonts w:cs="Arial"/>
          <w:sz w:val="16"/>
          <w:szCs w:val="16"/>
          <w:cs/>
        </w:rPr>
        <w:t xml:space="preserve"> </w:t>
      </w:r>
      <w:r w:rsidRPr="00787196">
        <w:rPr>
          <w:rFonts w:ascii="Latha" w:hAnsi="Latha" w:cs="Arial Unicode MS"/>
          <w:sz w:val="16"/>
          <w:szCs w:val="16"/>
          <w:cs/>
        </w:rPr>
        <w:t>மனநிறைவு</w:t>
      </w:r>
      <w:r w:rsidRPr="00787196">
        <w:rPr>
          <w:rFonts w:cs="Arial"/>
          <w:sz w:val="16"/>
          <w:szCs w:val="16"/>
          <w:cs/>
        </w:rPr>
        <w:t xml:space="preserve"> </w:t>
      </w:r>
      <w:r w:rsidRPr="00787196">
        <w:rPr>
          <w:rFonts w:ascii="Latha" w:hAnsi="Latha" w:cs="Arial Unicode MS"/>
          <w:sz w:val="16"/>
          <w:szCs w:val="16"/>
          <w:cs/>
        </w:rPr>
        <w:t>அடைந்துள்ளீர்கள்</w:t>
      </w:r>
      <w:r w:rsidRPr="00787196">
        <w:rPr>
          <w:rFonts w:cs="Arial"/>
          <w:sz w:val="16"/>
          <w:szCs w:val="16"/>
          <w:cs/>
        </w:rPr>
        <w:t xml:space="preserve"> </w:t>
      </w:r>
      <w:r w:rsidRPr="00787196">
        <w:rPr>
          <w:rFonts w:ascii="Latha" w:hAnsi="Latha" w:cs="Arial Unicode MS"/>
          <w:sz w:val="16"/>
          <w:szCs w:val="16"/>
          <w:cs/>
        </w:rPr>
        <w:t>என</w:t>
      </w:r>
      <w:r w:rsidRPr="00787196">
        <w:rPr>
          <w:rFonts w:cs="Arial"/>
          <w:sz w:val="16"/>
          <w:szCs w:val="16"/>
          <w:cs/>
        </w:rPr>
        <w:t xml:space="preserve"> </w:t>
      </w:r>
      <w:r w:rsidRPr="00787196">
        <w:rPr>
          <w:rFonts w:ascii="Latha" w:hAnsi="Latha" w:cs="Arial Unicode MS"/>
          <w:sz w:val="16"/>
          <w:szCs w:val="16"/>
          <w:cs/>
        </w:rPr>
        <w:t>அறிய</w:t>
      </w:r>
      <w:r w:rsidRPr="00787196">
        <w:rPr>
          <w:rFonts w:cs="Arial"/>
          <w:sz w:val="16"/>
          <w:szCs w:val="16"/>
          <w:cs/>
        </w:rPr>
        <w:t xml:space="preserve"> </w:t>
      </w:r>
      <w:r w:rsidRPr="00787196">
        <w:rPr>
          <w:rFonts w:ascii="Latha" w:hAnsi="Latha" w:cs="Arial Unicode MS"/>
          <w:sz w:val="16"/>
          <w:szCs w:val="16"/>
          <w:cs/>
        </w:rPr>
        <w:t>விரும்புகிறோம்</w:t>
      </w:r>
      <w:r w:rsidRPr="00787196">
        <w:rPr>
          <w:rFonts w:cs="Arial"/>
          <w:sz w:val="16"/>
          <w:szCs w:val="16"/>
          <w:cs/>
        </w:rPr>
        <w:t xml:space="preserve">. </w:t>
      </w:r>
      <w:r w:rsidRPr="00787196">
        <w:rPr>
          <w:rFonts w:ascii="Latha" w:hAnsi="Latha" w:cs="Arial Unicode MS"/>
          <w:sz w:val="16"/>
          <w:szCs w:val="16"/>
          <w:cs/>
        </w:rPr>
        <w:t>பின்வரும்</w:t>
      </w:r>
      <w:r w:rsidRPr="00787196">
        <w:rPr>
          <w:rFonts w:cs="Arial"/>
          <w:sz w:val="16"/>
          <w:szCs w:val="16"/>
          <w:cs/>
        </w:rPr>
        <w:t xml:space="preserve"> </w:t>
      </w:r>
      <w:r w:rsidRPr="00787196">
        <w:rPr>
          <w:rFonts w:ascii="Latha" w:hAnsi="Latha" w:cs="Arial Unicode MS"/>
          <w:sz w:val="16"/>
          <w:szCs w:val="16"/>
          <w:cs/>
        </w:rPr>
        <w:t>கேள்விகளை</w:t>
      </w:r>
      <w:r w:rsidRPr="00787196">
        <w:rPr>
          <w:rFonts w:cs="Arial"/>
        </w:rPr>
        <w:t xml:space="preserve"> </w:t>
      </w:r>
      <w:r w:rsidRPr="00787196">
        <w:rPr>
          <w:rFonts w:ascii="Latha" w:hAnsi="Latha" w:cs="Arial Unicode MS"/>
          <w:sz w:val="16"/>
          <w:szCs w:val="16"/>
          <w:cs/>
        </w:rPr>
        <w:t>கவனமாகப்</w:t>
      </w:r>
      <w:r w:rsidRPr="00787196">
        <w:rPr>
          <w:rFonts w:cs="Arial"/>
          <w:sz w:val="16"/>
          <w:szCs w:val="16"/>
          <w:cs/>
        </w:rPr>
        <w:t xml:space="preserve"> </w:t>
      </w:r>
      <w:r w:rsidRPr="00787196">
        <w:rPr>
          <w:rFonts w:ascii="Latha" w:hAnsi="Latha" w:cs="Arial Unicode MS"/>
          <w:sz w:val="16"/>
          <w:szCs w:val="16"/>
          <w:cs/>
        </w:rPr>
        <w:t>படித்து</w:t>
      </w:r>
      <w:r w:rsidRPr="00787196">
        <w:rPr>
          <w:rFonts w:cs="Arial"/>
          <w:sz w:val="16"/>
          <w:szCs w:val="16"/>
          <w:cs/>
        </w:rPr>
        <w:t xml:space="preserve"> </w:t>
      </w:r>
      <w:r w:rsidRPr="00787196">
        <w:rPr>
          <w:rFonts w:ascii="Latha" w:hAnsi="Latha" w:cs="Arial Unicode MS"/>
          <w:sz w:val="16"/>
          <w:szCs w:val="16"/>
          <w:cs/>
        </w:rPr>
        <w:t>தங்களுடைய</w:t>
      </w:r>
      <w:r w:rsidRPr="00787196">
        <w:rPr>
          <w:rFonts w:cs="Arial"/>
          <w:sz w:val="16"/>
          <w:szCs w:val="16"/>
          <w:cs/>
        </w:rPr>
        <w:t xml:space="preserve"> </w:t>
      </w:r>
      <w:r w:rsidRPr="00787196">
        <w:rPr>
          <w:rFonts w:ascii="Latha" w:hAnsi="Latha" w:cs="Arial Unicode MS"/>
          <w:sz w:val="16"/>
          <w:szCs w:val="16"/>
          <w:u w:val="single"/>
          <w:cs/>
        </w:rPr>
        <w:t>தற்போதைய</w:t>
      </w:r>
      <w:r w:rsidRPr="00787196">
        <w:rPr>
          <w:rFonts w:cs="Arial"/>
          <w:sz w:val="16"/>
          <w:szCs w:val="16"/>
          <w:cs/>
        </w:rPr>
        <w:t xml:space="preserve"> </w:t>
      </w:r>
      <w:r w:rsidRPr="00787196">
        <w:rPr>
          <w:rFonts w:ascii="Latha" w:hAnsi="Latha" w:cs="Arial Unicode MS"/>
          <w:sz w:val="16"/>
          <w:szCs w:val="16"/>
          <w:cs/>
        </w:rPr>
        <w:t>நிலைக்கேற்ப</w:t>
      </w:r>
      <w:r w:rsidRPr="00787196">
        <w:rPr>
          <w:rFonts w:cs="Arial"/>
          <w:sz w:val="16"/>
          <w:szCs w:val="16"/>
          <w:cs/>
        </w:rPr>
        <w:t xml:space="preserve"> </w:t>
      </w:r>
      <w:r w:rsidRPr="00787196">
        <w:rPr>
          <w:rFonts w:ascii="Latha" w:hAnsi="Latha" w:cs="Arial Unicode MS"/>
          <w:sz w:val="16"/>
          <w:szCs w:val="16"/>
          <w:cs/>
        </w:rPr>
        <w:t>விளக்கிடும்</w:t>
      </w:r>
      <w:r w:rsidRPr="00787196">
        <w:rPr>
          <w:rFonts w:cs="Arial"/>
          <w:sz w:val="16"/>
          <w:szCs w:val="16"/>
          <w:cs/>
        </w:rPr>
        <w:t xml:space="preserve">, </w:t>
      </w:r>
      <w:r w:rsidRPr="00787196">
        <w:rPr>
          <w:rFonts w:ascii="Latha" w:hAnsi="Latha" w:cs="Arial Unicode MS"/>
          <w:sz w:val="16"/>
          <w:szCs w:val="16"/>
          <w:cs/>
        </w:rPr>
        <w:t>மதிப்பிடும்</w:t>
      </w:r>
      <w:r w:rsidRPr="00787196">
        <w:rPr>
          <w:rFonts w:cs="Arial"/>
          <w:sz w:val="16"/>
          <w:szCs w:val="16"/>
          <w:cs/>
        </w:rPr>
        <w:t xml:space="preserve"> </w:t>
      </w:r>
      <w:r w:rsidRPr="00787196">
        <w:rPr>
          <w:rFonts w:ascii="Latha" w:hAnsi="Latha" w:cs="Arial Unicode MS"/>
          <w:sz w:val="16"/>
          <w:szCs w:val="16"/>
          <w:cs/>
        </w:rPr>
        <w:t>பதிலினை</w:t>
      </w:r>
      <w:r w:rsidRPr="00787196">
        <w:rPr>
          <w:rFonts w:cs="Arial"/>
        </w:rPr>
        <w:t xml:space="preserve"> </w:t>
      </w:r>
      <w:r w:rsidRPr="00787196">
        <w:rPr>
          <w:rFonts w:cs="Arial"/>
        </w:rPr>
        <w:sym w:font="Wingdings" w:char="F0FE"/>
      </w:r>
      <w:r w:rsidRPr="00787196">
        <w:rPr>
          <w:rFonts w:cs="Arial"/>
        </w:rPr>
        <w:t xml:space="preserve"> </w:t>
      </w:r>
      <w:r w:rsidRPr="00787196">
        <w:rPr>
          <w:rFonts w:ascii="Latha" w:hAnsi="Latha" w:cs="Arial Unicode MS"/>
          <w:sz w:val="16"/>
          <w:szCs w:val="16"/>
          <w:cs/>
        </w:rPr>
        <w:t>செய்யவும்</w:t>
      </w:r>
    </w:p>
    <w:p w14:paraId="50F9843A" w14:textId="77777777" w:rsidR="006F0EC1" w:rsidRPr="00787196" w:rsidRDefault="006F0EC1" w:rsidP="00513F57">
      <w:pPr>
        <w:spacing w:before="0" w:after="0" w:line="240" w:lineRule="auto"/>
        <w:rPr>
          <w:rFonts w:cs="Arial"/>
          <w:sz w:val="20"/>
          <w:szCs w:val="20"/>
        </w:rPr>
      </w:pPr>
    </w:p>
    <w:p w14:paraId="0F52928B" w14:textId="77777777" w:rsidR="006F0EC1" w:rsidRPr="00787196" w:rsidRDefault="006F0EC1" w:rsidP="00513F57">
      <w:pPr>
        <w:spacing w:before="0" w:after="0"/>
        <w:rPr>
          <w:rFonts w:cs="Arial"/>
        </w:rPr>
      </w:pPr>
      <w:r w:rsidRPr="00787196">
        <w:rPr>
          <w:rFonts w:cs="Arial"/>
        </w:rPr>
        <w:br w:type="page"/>
      </w:r>
    </w:p>
    <w:p w14:paraId="6DCCA06E" w14:textId="77777777" w:rsidR="006F0EC1" w:rsidRPr="00787196" w:rsidRDefault="00C7607B" w:rsidP="00513F57">
      <w:pPr>
        <w:spacing w:before="0" w:after="0"/>
        <w:rPr>
          <w:rFonts w:cs="Arial"/>
        </w:rPr>
      </w:pPr>
      <w:r w:rsidRPr="00787196">
        <w:rPr>
          <w:rFonts w:cs="Arial"/>
          <w:b/>
          <w:bCs/>
        </w:rPr>
        <w:lastRenderedPageBreak/>
        <w:t>85</w:t>
      </w:r>
      <w:r w:rsidR="006F0EC1" w:rsidRPr="00787196">
        <w:rPr>
          <w:rFonts w:cs="Arial"/>
          <w:b/>
          <w:bCs/>
        </w:rPr>
        <w:t>.</w:t>
      </w:r>
      <w:r w:rsidR="006F0EC1" w:rsidRPr="00787196">
        <w:rPr>
          <w:rFonts w:cs="Arial"/>
        </w:rPr>
        <w:t xml:space="preserve"> </w:t>
      </w:r>
      <w:r w:rsidR="006F0EC1" w:rsidRPr="00787196">
        <w:rPr>
          <w:rFonts w:ascii="Latha" w:hAnsi="Latha" w:cs="Arial Unicode MS"/>
          <w:b/>
          <w:bCs/>
          <w:cs/>
        </w:rPr>
        <w:t>லீக்</w:t>
      </w:r>
      <w:r w:rsidR="006F0EC1" w:rsidRPr="00787196">
        <w:rPr>
          <w:rFonts w:cs="Arial"/>
          <w:b/>
          <w:bCs/>
          <w:cs/>
        </w:rPr>
        <w:t>-</w:t>
      </w:r>
      <w:r w:rsidR="006F0EC1" w:rsidRPr="00787196">
        <w:rPr>
          <w:rFonts w:ascii="Latha" w:hAnsi="Latha" w:cs="Arial Unicode MS"/>
          <w:b/>
          <w:bCs/>
          <w:cs/>
        </w:rPr>
        <w:t>இன்</w:t>
      </w:r>
      <w:r w:rsidR="006F0EC1" w:rsidRPr="00787196">
        <w:rPr>
          <w:rFonts w:cs="Arial"/>
          <w:b/>
          <w:bCs/>
          <w:cs/>
        </w:rPr>
        <w:t xml:space="preserve"> </w:t>
      </w:r>
      <w:r w:rsidR="006F0EC1" w:rsidRPr="00787196">
        <w:rPr>
          <w:rFonts w:ascii="Latha" w:hAnsi="Latha" w:cs="Arial Unicode MS"/>
          <w:b/>
          <w:bCs/>
          <w:cs/>
        </w:rPr>
        <w:t>மெல்லும்</w:t>
      </w:r>
      <w:r w:rsidR="006F0EC1" w:rsidRPr="00787196">
        <w:rPr>
          <w:rFonts w:cs="Arial"/>
          <w:b/>
          <w:bCs/>
          <w:cs/>
        </w:rPr>
        <w:t xml:space="preserve"> </w:t>
      </w:r>
      <w:r w:rsidR="006F0EC1" w:rsidRPr="00787196">
        <w:rPr>
          <w:rFonts w:ascii="Latha" w:hAnsi="Latha" w:cs="Arial Unicode MS"/>
          <w:b/>
          <w:bCs/>
          <w:cs/>
        </w:rPr>
        <w:t>திறன்</w:t>
      </w:r>
      <w:r w:rsidR="006F0EC1" w:rsidRPr="00787196">
        <w:rPr>
          <w:rFonts w:cs="Arial"/>
          <w:b/>
          <w:bCs/>
          <w:cs/>
        </w:rPr>
        <w:t xml:space="preserve"> </w:t>
      </w:r>
      <w:r w:rsidR="006F0EC1" w:rsidRPr="00787196">
        <w:rPr>
          <w:rFonts w:ascii="Latha" w:hAnsi="Latha" w:cs="Arial Unicode MS"/>
          <w:b/>
          <w:bCs/>
          <w:cs/>
        </w:rPr>
        <w:t>பற்றிய</w:t>
      </w:r>
      <w:r w:rsidR="006F0EC1" w:rsidRPr="00787196">
        <w:rPr>
          <w:rFonts w:cs="Arial"/>
          <w:b/>
          <w:bCs/>
          <w:cs/>
        </w:rPr>
        <w:t xml:space="preserve"> </w:t>
      </w:r>
      <w:r w:rsidR="006F0EC1" w:rsidRPr="00787196">
        <w:rPr>
          <w:rFonts w:ascii="Latha" w:hAnsi="Latha" w:cs="Arial Unicode MS"/>
          <w:b/>
          <w:bCs/>
          <w:cs/>
        </w:rPr>
        <w:t>அகவரிசை</w:t>
      </w:r>
    </w:p>
    <w:p w14:paraId="5E33962B" w14:textId="77777777" w:rsidR="006F0EC1" w:rsidRPr="00787196" w:rsidRDefault="006F0EC1" w:rsidP="00513F57">
      <w:pPr>
        <w:spacing w:before="0" w:after="0"/>
        <w:rPr>
          <w:rFonts w:cs="Arial"/>
          <w:b/>
          <w:bCs/>
        </w:rPr>
      </w:pPr>
      <w:r w:rsidRPr="00787196">
        <w:rPr>
          <w:rFonts w:ascii="Latha" w:hAnsi="Latha" w:cs="Arial Unicode MS"/>
          <w:sz w:val="18"/>
          <w:szCs w:val="18"/>
          <w:cs/>
        </w:rPr>
        <w:t>பின்வரும்</w:t>
      </w:r>
      <w:r w:rsidRPr="00787196">
        <w:rPr>
          <w:rFonts w:cs="Arial"/>
          <w:sz w:val="18"/>
          <w:szCs w:val="18"/>
          <w:cs/>
        </w:rPr>
        <w:t xml:space="preserve"> </w:t>
      </w:r>
      <w:r w:rsidRPr="00787196">
        <w:rPr>
          <w:rFonts w:ascii="Latha" w:hAnsi="Latha" w:cs="Arial Unicode MS"/>
          <w:sz w:val="18"/>
          <w:szCs w:val="18"/>
          <w:cs/>
        </w:rPr>
        <w:t>உணவுப்</w:t>
      </w:r>
      <w:r w:rsidRPr="00787196">
        <w:rPr>
          <w:rFonts w:cs="Arial"/>
          <w:sz w:val="18"/>
          <w:szCs w:val="18"/>
          <w:cs/>
        </w:rPr>
        <w:t xml:space="preserve"> </w:t>
      </w:r>
      <w:r w:rsidRPr="00787196">
        <w:rPr>
          <w:rFonts w:ascii="Latha" w:hAnsi="Latha" w:cs="Arial Unicode MS"/>
          <w:sz w:val="18"/>
          <w:szCs w:val="18"/>
          <w:cs/>
        </w:rPr>
        <w:t>பட்டியலில்</w:t>
      </w:r>
      <w:r w:rsidRPr="00787196">
        <w:rPr>
          <w:rFonts w:cs="Arial"/>
          <w:sz w:val="18"/>
          <w:szCs w:val="18"/>
          <w:cs/>
        </w:rPr>
        <w:t xml:space="preserve"> </w:t>
      </w:r>
      <w:r w:rsidRPr="00787196">
        <w:rPr>
          <w:rFonts w:ascii="Latha" w:hAnsi="Latha" w:cs="Arial Unicode MS"/>
          <w:sz w:val="18"/>
          <w:szCs w:val="18"/>
          <w:cs/>
        </w:rPr>
        <w:t>உங்களால்</w:t>
      </w:r>
      <w:r w:rsidRPr="00787196">
        <w:rPr>
          <w:rFonts w:cs="Arial"/>
          <w:sz w:val="18"/>
          <w:szCs w:val="18"/>
          <w:cs/>
        </w:rPr>
        <w:t xml:space="preserve"> </w:t>
      </w:r>
      <w:r w:rsidRPr="00787196">
        <w:rPr>
          <w:rFonts w:ascii="Latha" w:hAnsi="Latha" w:cs="Arial Unicode MS"/>
          <w:sz w:val="18"/>
          <w:szCs w:val="18"/>
          <w:cs/>
        </w:rPr>
        <w:t>எளிதாக</w:t>
      </w:r>
      <w:r w:rsidRPr="00787196">
        <w:rPr>
          <w:rFonts w:cs="Arial"/>
          <w:sz w:val="18"/>
          <w:szCs w:val="18"/>
          <w:cs/>
        </w:rPr>
        <w:t xml:space="preserve"> </w:t>
      </w:r>
      <w:r w:rsidRPr="00787196">
        <w:rPr>
          <w:rFonts w:ascii="Latha" w:hAnsi="Latha" w:cs="Arial Unicode MS"/>
          <w:sz w:val="18"/>
          <w:szCs w:val="18"/>
          <w:cs/>
        </w:rPr>
        <w:t>மென்று</w:t>
      </w:r>
      <w:r w:rsidRPr="00787196">
        <w:rPr>
          <w:rFonts w:cs="Arial"/>
          <w:sz w:val="18"/>
          <w:szCs w:val="18"/>
          <w:cs/>
        </w:rPr>
        <w:t xml:space="preserve"> </w:t>
      </w:r>
      <w:r w:rsidRPr="00787196">
        <w:rPr>
          <w:rFonts w:ascii="Latha" w:hAnsi="Latha" w:cs="Arial Unicode MS"/>
          <w:sz w:val="18"/>
          <w:szCs w:val="18"/>
          <w:cs/>
        </w:rPr>
        <w:t>உண்ணக்கூடிய</w:t>
      </w:r>
      <w:r w:rsidRPr="00787196">
        <w:rPr>
          <w:rFonts w:cs="Arial"/>
          <w:sz w:val="18"/>
          <w:szCs w:val="18"/>
          <w:cs/>
        </w:rPr>
        <w:t xml:space="preserve"> </w:t>
      </w:r>
      <w:r w:rsidRPr="00787196">
        <w:rPr>
          <w:rFonts w:ascii="Latha" w:hAnsi="Latha" w:cs="Arial Unicode MS"/>
          <w:sz w:val="18"/>
          <w:szCs w:val="18"/>
          <w:cs/>
        </w:rPr>
        <w:t>கடினமான</w:t>
      </w:r>
      <w:r w:rsidRPr="00787196">
        <w:rPr>
          <w:rFonts w:cs="Arial"/>
          <w:sz w:val="18"/>
          <w:szCs w:val="18"/>
          <w:cs/>
        </w:rPr>
        <w:t xml:space="preserve"> </w:t>
      </w:r>
      <w:r w:rsidRPr="00787196">
        <w:rPr>
          <w:rFonts w:ascii="Latha" w:hAnsi="Latha" w:cs="Arial Unicode MS"/>
          <w:sz w:val="18"/>
          <w:szCs w:val="18"/>
          <w:cs/>
        </w:rPr>
        <w:t>உணவினை</w:t>
      </w:r>
      <w:r w:rsidRPr="00787196">
        <w:rPr>
          <w:rFonts w:cs="Arial"/>
          <w:sz w:val="18"/>
          <w:szCs w:val="18"/>
          <w:cs/>
        </w:rPr>
        <w:t xml:space="preserve"> </w:t>
      </w:r>
      <w:r w:rsidRPr="00787196">
        <w:rPr>
          <w:rFonts w:ascii="Latha" w:hAnsi="Latha" w:cs="Arial Unicode MS"/>
          <w:sz w:val="18"/>
          <w:szCs w:val="18"/>
          <w:cs/>
        </w:rPr>
        <w:t>குறிப்பிடவும்</w:t>
      </w:r>
      <w:r w:rsidRPr="00787196">
        <w:rPr>
          <w:rFonts w:cs="Arial"/>
          <w:sz w:val="18"/>
          <w:szCs w:val="18"/>
          <w:cs/>
        </w:rPr>
        <w:t xml:space="preserve">. </w:t>
      </w:r>
      <w:r w:rsidRPr="00787196">
        <w:rPr>
          <w:rFonts w:ascii="Latha" w:hAnsi="Latha" w:cs="Arial Unicode MS"/>
          <w:b/>
          <w:bCs/>
          <w:sz w:val="18"/>
          <w:szCs w:val="18"/>
          <w:cs/>
        </w:rPr>
        <w:t>ஒரே</w:t>
      </w:r>
      <w:r w:rsidRPr="00787196">
        <w:rPr>
          <w:rFonts w:cs="Arial"/>
          <w:b/>
          <w:bCs/>
          <w:sz w:val="18"/>
          <w:szCs w:val="18"/>
          <w:cs/>
        </w:rPr>
        <w:t xml:space="preserve"> </w:t>
      </w:r>
      <w:r w:rsidRPr="00787196">
        <w:rPr>
          <w:rFonts w:ascii="Latha" w:hAnsi="Latha" w:cs="Arial Unicode MS"/>
          <w:b/>
          <w:bCs/>
          <w:sz w:val="18"/>
          <w:szCs w:val="18"/>
          <w:cs/>
        </w:rPr>
        <w:t>ஒரு</w:t>
      </w:r>
      <w:r w:rsidRPr="00787196">
        <w:rPr>
          <w:rFonts w:cs="Arial"/>
          <w:b/>
          <w:bCs/>
          <w:sz w:val="18"/>
          <w:szCs w:val="18"/>
          <w:cs/>
        </w:rPr>
        <w:t xml:space="preserve"> </w:t>
      </w:r>
      <w:r w:rsidRPr="00787196">
        <w:rPr>
          <w:rFonts w:ascii="Latha" w:hAnsi="Latha" w:cs="Arial Unicode MS"/>
          <w:b/>
          <w:bCs/>
          <w:sz w:val="18"/>
          <w:szCs w:val="18"/>
          <w:cs/>
        </w:rPr>
        <w:t>பதிலை</w:t>
      </w:r>
      <w:r w:rsidRPr="00787196">
        <w:rPr>
          <w:rFonts w:cs="Arial"/>
          <w:b/>
          <w:bCs/>
          <w:sz w:val="18"/>
          <w:szCs w:val="18"/>
          <w:cs/>
        </w:rPr>
        <w:t xml:space="preserve"> </w:t>
      </w:r>
      <w:r w:rsidRPr="00787196">
        <w:rPr>
          <w:rFonts w:ascii="Latha" w:hAnsi="Latha" w:cs="Arial Unicode MS"/>
          <w:b/>
          <w:bCs/>
          <w:sz w:val="18"/>
          <w:szCs w:val="18"/>
          <w:cs/>
        </w:rPr>
        <w:t>மட்டும்</w:t>
      </w:r>
      <w:r w:rsidRPr="00787196">
        <w:rPr>
          <w:rFonts w:cs="Arial"/>
          <w:b/>
          <w:bCs/>
          <w:sz w:val="18"/>
          <w:szCs w:val="18"/>
          <w:cs/>
        </w:rPr>
        <w:t xml:space="preserve"> </w:t>
      </w:r>
      <w:r w:rsidRPr="00787196">
        <w:rPr>
          <w:rFonts w:ascii="Latha" w:hAnsi="Latha" w:cs="Arial Unicode MS"/>
          <w:b/>
          <w:bCs/>
          <w:sz w:val="18"/>
          <w:szCs w:val="18"/>
          <w:cs/>
        </w:rPr>
        <w:t>குறியிடவும்</w:t>
      </w:r>
      <w:r w:rsidRPr="00787196">
        <w:rPr>
          <w:rFonts w:cs="Arial"/>
          <w:b/>
          <w:bCs/>
          <w:sz w:val="18"/>
          <w:szCs w:val="18"/>
          <w:cs/>
        </w:rPr>
        <w:t>.</w:t>
      </w:r>
      <w:r w:rsidRPr="00787196">
        <w:rPr>
          <w:rFonts w:cs="Arial"/>
          <w:b/>
          <w:bCs/>
        </w:rPr>
        <w:t xml:space="preserve"> </w:t>
      </w:r>
    </w:p>
    <w:p w14:paraId="7C14D359" w14:textId="77777777" w:rsidR="006F0EC1" w:rsidRPr="00787196" w:rsidRDefault="006F0EC1" w:rsidP="00513F57">
      <w:pPr>
        <w:spacing w:before="0" w:after="0"/>
        <w:rPr>
          <w:rFonts w:cs="Arial"/>
        </w:rPr>
      </w:pPr>
    </w:p>
    <w:tbl>
      <w:tblPr>
        <w:tblpPr w:leftFromText="180" w:rightFromText="180" w:vertAnchor="text" w:horzAnchor="margin" w:tblpY="528"/>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537"/>
        <w:gridCol w:w="1427"/>
        <w:gridCol w:w="1810"/>
      </w:tblGrid>
      <w:tr w:rsidR="006F0EC1" w:rsidRPr="00787196" w14:paraId="0B972287" w14:textId="77777777" w:rsidTr="006315BA">
        <w:trPr>
          <w:trHeight w:val="786"/>
        </w:trPr>
        <w:tc>
          <w:tcPr>
            <w:tcW w:w="4537" w:type="dxa"/>
            <w:shd w:val="clear" w:color="auto" w:fill="auto"/>
            <w:vAlign w:val="center"/>
          </w:tcPr>
          <w:p w14:paraId="45FCF478" w14:textId="77777777" w:rsidR="006F0EC1" w:rsidRPr="00787196" w:rsidRDefault="006F0EC1" w:rsidP="005C2A75">
            <w:pPr>
              <w:spacing w:before="0" w:after="0"/>
              <w:jc w:val="center"/>
              <w:rPr>
                <w:rFonts w:eastAsia="Calibri" w:cs="Arial"/>
                <w:sz w:val="28"/>
                <w:szCs w:val="24"/>
                <w:lang w:eastAsia="en-US" w:bidi="ar-SA"/>
              </w:rPr>
            </w:pPr>
            <w:r w:rsidRPr="00787196">
              <w:rPr>
                <w:rFonts w:ascii="Latha" w:eastAsia="Calibri" w:hAnsi="Latha" w:cs="Arial Unicode MS"/>
                <w:sz w:val="28"/>
                <w:szCs w:val="24"/>
                <w:cs/>
                <w:lang w:eastAsia="en-US"/>
              </w:rPr>
              <w:t>உணவு</w:t>
            </w:r>
            <w:r w:rsidRPr="00787196">
              <w:rPr>
                <w:rFonts w:eastAsia="Calibri" w:cs="Arial"/>
                <w:sz w:val="28"/>
                <w:szCs w:val="24"/>
                <w:rtl/>
                <w:cs/>
                <w:lang w:eastAsia="en-US" w:bidi="ar-SA"/>
              </w:rPr>
              <w:t xml:space="preserve"> </w:t>
            </w:r>
            <w:r w:rsidRPr="00787196">
              <w:rPr>
                <w:rFonts w:ascii="Latha" w:eastAsia="Calibri" w:hAnsi="Latha" w:cs="Arial Unicode MS"/>
                <w:sz w:val="28"/>
                <w:szCs w:val="24"/>
                <w:cs/>
                <w:lang w:eastAsia="en-US"/>
              </w:rPr>
              <w:t>வகை</w:t>
            </w:r>
          </w:p>
        </w:tc>
        <w:tc>
          <w:tcPr>
            <w:tcW w:w="1427" w:type="dxa"/>
            <w:shd w:val="clear" w:color="auto" w:fill="auto"/>
          </w:tcPr>
          <w:p w14:paraId="143B723E" w14:textId="77777777" w:rsidR="006F0EC1" w:rsidRPr="00787196" w:rsidRDefault="006F0EC1" w:rsidP="005C2A75">
            <w:pPr>
              <w:spacing w:before="0" w:after="0"/>
              <w:jc w:val="center"/>
              <w:rPr>
                <w:rFonts w:eastAsia="Calibri" w:cs="Arial"/>
                <w:b/>
                <w:bCs/>
                <w:sz w:val="28"/>
                <w:szCs w:val="24"/>
                <w:lang w:eastAsia="en-US" w:bidi="ar-SA"/>
              </w:rPr>
            </w:pPr>
          </w:p>
        </w:tc>
        <w:tc>
          <w:tcPr>
            <w:tcW w:w="1810" w:type="dxa"/>
            <w:shd w:val="clear" w:color="auto" w:fill="auto"/>
          </w:tcPr>
          <w:p w14:paraId="479A7569" w14:textId="77777777" w:rsidR="006F0EC1" w:rsidRPr="00787196" w:rsidRDefault="006F0EC1" w:rsidP="005C2A75">
            <w:pPr>
              <w:spacing w:before="0" w:after="0"/>
              <w:jc w:val="center"/>
              <w:rPr>
                <w:rFonts w:eastAsia="Calibri" w:cs="Arial"/>
                <w:b/>
                <w:bCs/>
                <w:sz w:val="28"/>
                <w:szCs w:val="24"/>
                <w:lang w:eastAsia="en-US" w:bidi="ar-SA"/>
              </w:rPr>
            </w:pPr>
          </w:p>
        </w:tc>
      </w:tr>
      <w:tr w:rsidR="006F0EC1" w:rsidRPr="00787196" w14:paraId="5B2F0542" w14:textId="77777777" w:rsidTr="006315BA">
        <w:trPr>
          <w:trHeight w:val="786"/>
        </w:trPr>
        <w:tc>
          <w:tcPr>
            <w:tcW w:w="4537" w:type="dxa"/>
            <w:shd w:val="clear" w:color="auto" w:fill="auto"/>
            <w:vAlign w:val="center"/>
          </w:tcPr>
          <w:p w14:paraId="40143F4E" w14:textId="77777777" w:rsidR="006F0EC1" w:rsidRPr="00787196" w:rsidRDefault="006F0EC1" w:rsidP="006315BA">
            <w:pPr>
              <w:spacing w:before="0" w:after="0" w:line="240" w:lineRule="auto"/>
              <w:jc w:val="left"/>
              <w:rPr>
                <w:rFonts w:eastAsia="Calibri" w:cs="Arial"/>
                <w:sz w:val="20"/>
                <w:lang w:eastAsia="en-US" w:bidi="ar-SA"/>
              </w:rPr>
            </w:pPr>
            <w:r w:rsidRPr="00787196">
              <w:rPr>
                <w:rFonts w:ascii="Latha" w:eastAsia="Calibri" w:hAnsi="Latha" w:cs="Arial Unicode MS"/>
                <w:sz w:val="14"/>
                <w:szCs w:val="16"/>
                <w:cs/>
                <w:lang w:eastAsia="en-US"/>
              </w:rPr>
              <w:t>எதுவும்</w:t>
            </w:r>
            <w:r w:rsidRPr="00787196">
              <w:rPr>
                <w:rFonts w:eastAsia="Calibri" w:cs="Arial"/>
                <w:sz w:val="14"/>
                <w:szCs w:val="16"/>
                <w:rtl/>
                <w:cs/>
                <w:lang w:eastAsia="en-US" w:bidi="ar-SA"/>
              </w:rPr>
              <w:t xml:space="preserve"> </w:t>
            </w:r>
            <w:r w:rsidRPr="00787196">
              <w:rPr>
                <w:rFonts w:ascii="Latha" w:eastAsia="Calibri" w:hAnsi="Latha" w:cs="Arial Unicode MS"/>
                <w:sz w:val="14"/>
                <w:szCs w:val="16"/>
                <w:cs/>
                <w:lang w:eastAsia="en-US"/>
              </w:rPr>
              <w:t>இல்லை</w:t>
            </w:r>
          </w:p>
        </w:tc>
        <w:tc>
          <w:tcPr>
            <w:tcW w:w="1427" w:type="dxa"/>
            <w:shd w:val="clear" w:color="auto" w:fill="auto"/>
            <w:vAlign w:val="center"/>
          </w:tcPr>
          <w:p w14:paraId="63CD57E5"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0</w:t>
            </w:r>
          </w:p>
        </w:tc>
        <w:tc>
          <w:tcPr>
            <w:tcW w:w="1810" w:type="dxa"/>
            <w:shd w:val="clear" w:color="auto" w:fill="auto"/>
            <w:vAlign w:val="center"/>
          </w:tcPr>
          <w:p w14:paraId="57B1CDBF" w14:textId="77777777" w:rsidR="006F0EC1" w:rsidRPr="00787196" w:rsidRDefault="007D6B7F" w:rsidP="005C2A75">
            <w:pPr>
              <w:spacing w:before="0" w:after="0"/>
              <w:jc w:val="center"/>
              <w:rPr>
                <w:rFonts w:eastAsia="Calibri" w:cs="Arial"/>
                <w:b/>
                <w:bCs/>
                <w:sz w:val="20"/>
                <w:szCs w:val="24"/>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6F0EC1"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6F0EC1" w:rsidRPr="00787196" w14:paraId="5CF315C6" w14:textId="77777777" w:rsidTr="006315BA">
        <w:trPr>
          <w:trHeight w:val="746"/>
        </w:trPr>
        <w:tc>
          <w:tcPr>
            <w:tcW w:w="4537" w:type="dxa"/>
            <w:shd w:val="clear" w:color="auto" w:fill="auto"/>
            <w:vAlign w:val="center"/>
          </w:tcPr>
          <w:p w14:paraId="35E98BE5" w14:textId="77777777" w:rsidR="006F0EC1" w:rsidRPr="00787196" w:rsidRDefault="006F0EC1" w:rsidP="006315BA">
            <w:pPr>
              <w:spacing w:before="0" w:after="0" w:line="240" w:lineRule="auto"/>
              <w:jc w:val="left"/>
              <w:rPr>
                <w:rFonts w:eastAsia="Calibri" w:cs="Arial"/>
                <w:sz w:val="16"/>
                <w:szCs w:val="16"/>
                <w:lang w:eastAsia="en-US" w:bidi="ar-SA"/>
              </w:rPr>
            </w:pPr>
            <w:r w:rsidRPr="00787196">
              <w:rPr>
                <w:rFonts w:ascii="Latha" w:eastAsia="Calibri" w:hAnsi="Latha" w:cs="Arial Unicode MS"/>
                <w:sz w:val="16"/>
                <w:szCs w:val="16"/>
                <w:cs/>
                <w:lang w:eastAsia="en-US"/>
              </w:rPr>
              <w:t>அவித்த</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காய்கறிகள்</w:t>
            </w:r>
            <w:r w:rsidRPr="00787196">
              <w:rPr>
                <w:rFonts w:eastAsia="Calibri" w:cs="Arial"/>
                <w:sz w:val="16"/>
                <w:szCs w:val="16"/>
                <w:rtl/>
                <w:cs/>
                <w:lang w:eastAsia="en-US" w:bidi="ar-SA"/>
              </w:rPr>
              <w:t xml:space="preserve"> </w:t>
            </w:r>
            <w:r w:rsidRPr="00787196">
              <w:rPr>
                <w:rFonts w:eastAsia="Calibri" w:cs="Arial"/>
                <w:sz w:val="16"/>
                <w:szCs w:val="16"/>
                <w:lang w:eastAsia="en-US" w:bidi="ar-SA"/>
              </w:rPr>
              <w:t>(</w:t>
            </w:r>
            <w:r w:rsidRPr="00787196">
              <w:rPr>
                <w:rFonts w:ascii="Latha" w:eastAsia="Calibri" w:hAnsi="Latha" w:cs="Arial Unicode MS"/>
                <w:sz w:val="16"/>
                <w:szCs w:val="16"/>
                <w:cs/>
                <w:lang w:eastAsia="en-US"/>
              </w:rPr>
              <w:t>சமைத்த</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சாதம்</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இட்லி</w:t>
            </w:r>
            <w:r w:rsidRPr="00787196">
              <w:rPr>
                <w:rFonts w:eastAsia="Calibri" w:cs="Arial"/>
                <w:sz w:val="16"/>
                <w:szCs w:val="16"/>
                <w:lang w:eastAsia="en-US" w:bidi="ar-SA"/>
              </w:rPr>
              <w:t>)</w:t>
            </w:r>
          </w:p>
        </w:tc>
        <w:tc>
          <w:tcPr>
            <w:tcW w:w="1427" w:type="dxa"/>
            <w:shd w:val="clear" w:color="auto" w:fill="auto"/>
            <w:vAlign w:val="center"/>
          </w:tcPr>
          <w:p w14:paraId="5BA89EA4"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1</w:t>
            </w:r>
          </w:p>
        </w:tc>
        <w:tc>
          <w:tcPr>
            <w:tcW w:w="1810" w:type="dxa"/>
            <w:shd w:val="clear" w:color="auto" w:fill="auto"/>
            <w:vAlign w:val="center"/>
          </w:tcPr>
          <w:p w14:paraId="6EDADA3C" w14:textId="77777777" w:rsidR="006F0EC1" w:rsidRPr="00787196" w:rsidRDefault="007D6B7F" w:rsidP="005C2A75">
            <w:pPr>
              <w:spacing w:before="0" w:after="0" w:line="240" w:lineRule="auto"/>
              <w:jc w:val="center"/>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6F0EC1"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6F0EC1" w:rsidRPr="00787196" w14:paraId="4E945BC0" w14:textId="77777777" w:rsidTr="006315BA">
        <w:trPr>
          <w:trHeight w:val="786"/>
        </w:trPr>
        <w:tc>
          <w:tcPr>
            <w:tcW w:w="4537" w:type="dxa"/>
            <w:shd w:val="clear" w:color="auto" w:fill="auto"/>
            <w:vAlign w:val="center"/>
          </w:tcPr>
          <w:p w14:paraId="74972F02" w14:textId="77777777" w:rsidR="006F0EC1" w:rsidRPr="00787196" w:rsidRDefault="006F0EC1" w:rsidP="006315BA">
            <w:pPr>
              <w:spacing w:before="0" w:after="0" w:line="240" w:lineRule="auto"/>
              <w:jc w:val="left"/>
              <w:rPr>
                <w:rFonts w:eastAsia="Calibri" w:cs="Arial"/>
                <w:sz w:val="16"/>
                <w:szCs w:val="16"/>
                <w:lang w:eastAsia="en-US" w:bidi="ar-SA"/>
              </w:rPr>
            </w:pPr>
            <w:r w:rsidRPr="00787196">
              <w:rPr>
                <w:rFonts w:ascii="Latha" w:eastAsia="Calibri" w:hAnsi="Latha" w:cs="Arial Unicode MS"/>
                <w:sz w:val="16"/>
                <w:szCs w:val="16"/>
                <w:cs/>
                <w:lang w:eastAsia="en-US"/>
              </w:rPr>
              <w:t>பச்சைக்காய்கறிக்</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கலவை</w:t>
            </w:r>
            <w:r w:rsidRPr="00787196">
              <w:rPr>
                <w:rFonts w:eastAsia="Calibri" w:cs="Arial"/>
                <w:sz w:val="16"/>
                <w:szCs w:val="16"/>
                <w:rtl/>
                <w:cs/>
                <w:lang w:eastAsia="en-US" w:bidi="ar-SA"/>
              </w:rPr>
              <w:t xml:space="preserve"> </w:t>
            </w:r>
            <w:r w:rsidRPr="00787196">
              <w:rPr>
                <w:rFonts w:eastAsia="Calibri" w:cs="Arial"/>
                <w:sz w:val="16"/>
                <w:szCs w:val="16"/>
                <w:lang w:eastAsia="en-US" w:bidi="ar-SA"/>
              </w:rPr>
              <w:t>(</w:t>
            </w:r>
            <w:r w:rsidRPr="00787196">
              <w:rPr>
                <w:rFonts w:ascii="Latha" w:eastAsia="Calibri" w:hAnsi="Latha" w:cs="Arial Unicode MS"/>
                <w:sz w:val="16"/>
                <w:szCs w:val="16"/>
                <w:cs/>
                <w:lang w:eastAsia="en-US"/>
              </w:rPr>
              <w:t>முட்டைக்கோசு</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கீரைகள்</w:t>
            </w:r>
            <w:r w:rsidRPr="00787196">
              <w:rPr>
                <w:rFonts w:eastAsia="Calibri" w:cs="Arial"/>
                <w:sz w:val="16"/>
                <w:szCs w:val="16"/>
                <w:lang w:eastAsia="en-US" w:bidi="ar-SA"/>
              </w:rPr>
              <w:t>)</w:t>
            </w:r>
          </w:p>
        </w:tc>
        <w:tc>
          <w:tcPr>
            <w:tcW w:w="1427" w:type="dxa"/>
            <w:shd w:val="clear" w:color="auto" w:fill="auto"/>
            <w:vAlign w:val="center"/>
          </w:tcPr>
          <w:p w14:paraId="66F35703"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2</w:t>
            </w:r>
          </w:p>
        </w:tc>
        <w:tc>
          <w:tcPr>
            <w:tcW w:w="1810" w:type="dxa"/>
            <w:shd w:val="clear" w:color="auto" w:fill="auto"/>
            <w:vAlign w:val="center"/>
          </w:tcPr>
          <w:p w14:paraId="205DEE86" w14:textId="77777777" w:rsidR="006F0EC1" w:rsidRPr="00787196" w:rsidRDefault="007D6B7F" w:rsidP="005C2A75">
            <w:pPr>
              <w:spacing w:before="0" w:after="0" w:line="240" w:lineRule="auto"/>
              <w:jc w:val="center"/>
              <w:rPr>
                <w:rFonts w:eastAsia="Calibri" w:cs="Arial"/>
                <w:sz w:val="20"/>
                <w:lang w:eastAsia="en-US" w:bidi="ar-SA"/>
              </w:rPr>
            </w:pPr>
            <w:r w:rsidRPr="00787196">
              <w:rPr>
                <w:rFonts w:eastAsia="Calibri" w:cs="Arial"/>
                <w:b/>
                <w:bCs/>
                <w:sz w:val="20"/>
                <w:lang w:eastAsia="en-US" w:bidi="ar-SA"/>
              </w:rPr>
              <w:fldChar w:fldCharType="begin">
                <w:ffData>
                  <w:name w:val="Check9"/>
                  <w:enabled/>
                  <w:calcOnExit w:val="0"/>
                  <w:checkBox>
                    <w:sizeAuto/>
                    <w:default w:val="0"/>
                  </w:checkBox>
                </w:ffData>
              </w:fldChar>
            </w:r>
            <w:r w:rsidR="006F0EC1" w:rsidRPr="00787196">
              <w:rPr>
                <w:rFonts w:eastAsia="Calibri" w:cs="Arial"/>
                <w:b/>
                <w:bCs/>
                <w:sz w:val="20"/>
                <w:lang w:eastAsia="en-US" w:bidi="ar-SA"/>
              </w:rPr>
              <w:instrText xml:space="preserve"> FORMCHECKBOX </w:instrText>
            </w:r>
            <w:r w:rsidR="006E7D7A">
              <w:rPr>
                <w:rFonts w:eastAsia="Calibri" w:cs="Arial"/>
                <w:b/>
                <w:bCs/>
                <w:sz w:val="20"/>
                <w:lang w:eastAsia="en-US" w:bidi="ar-SA"/>
              </w:rPr>
            </w:r>
            <w:r w:rsidR="006E7D7A">
              <w:rPr>
                <w:rFonts w:eastAsia="Calibri" w:cs="Arial"/>
                <w:b/>
                <w:bCs/>
                <w:sz w:val="20"/>
                <w:lang w:eastAsia="en-US" w:bidi="ar-SA"/>
              </w:rPr>
              <w:fldChar w:fldCharType="separate"/>
            </w:r>
            <w:r w:rsidRPr="00787196">
              <w:rPr>
                <w:rFonts w:eastAsia="Calibri" w:cs="Arial"/>
                <w:b/>
                <w:bCs/>
                <w:sz w:val="20"/>
                <w:lang w:eastAsia="en-US" w:bidi="ar-SA"/>
              </w:rPr>
              <w:fldChar w:fldCharType="end"/>
            </w:r>
          </w:p>
        </w:tc>
      </w:tr>
      <w:tr w:rsidR="006F0EC1" w:rsidRPr="00787196" w14:paraId="3F89741C" w14:textId="77777777" w:rsidTr="006315BA">
        <w:trPr>
          <w:trHeight w:val="786"/>
        </w:trPr>
        <w:tc>
          <w:tcPr>
            <w:tcW w:w="4537" w:type="dxa"/>
            <w:shd w:val="clear" w:color="auto" w:fill="auto"/>
            <w:vAlign w:val="center"/>
          </w:tcPr>
          <w:p w14:paraId="2C90C31F" w14:textId="77777777" w:rsidR="006F0EC1" w:rsidRPr="00787196" w:rsidRDefault="006F0EC1" w:rsidP="006315BA">
            <w:pPr>
              <w:spacing w:before="0" w:after="0" w:line="240" w:lineRule="auto"/>
              <w:jc w:val="left"/>
              <w:rPr>
                <w:rFonts w:eastAsia="Calibri" w:cs="Arial"/>
                <w:sz w:val="16"/>
                <w:szCs w:val="16"/>
                <w:lang w:eastAsia="en-US" w:bidi="ar-SA"/>
              </w:rPr>
            </w:pPr>
            <w:r w:rsidRPr="00787196">
              <w:rPr>
                <w:rFonts w:ascii="Latha" w:eastAsia="Calibri" w:hAnsi="Latha" w:cs="Arial Unicode MS"/>
                <w:sz w:val="16"/>
                <w:szCs w:val="16"/>
                <w:cs/>
                <w:lang w:eastAsia="en-US"/>
              </w:rPr>
              <w:t>பச்சைக்</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காரட்</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அல்லது</w:t>
            </w:r>
            <w:r w:rsidRPr="00787196">
              <w:rPr>
                <w:rFonts w:eastAsia="Calibri" w:cs="Arial"/>
                <w:sz w:val="16"/>
                <w:szCs w:val="16"/>
                <w:rtl/>
                <w:cs/>
                <w:lang w:eastAsia="en-US" w:bidi="ar-SA"/>
              </w:rPr>
              <w:t xml:space="preserve">  </w:t>
            </w:r>
            <w:r w:rsidRPr="00787196">
              <w:rPr>
                <w:rFonts w:ascii="Latha" w:eastAsia="Calibri" w:hAnsi="Latha" w:cs="Arial Unicode MS"/>
                <w:sz w:val="16"/>
                <w:szCs w:val="16"/>
                <w:cs/>
                <w:lang w:eastAsia="en-US"/>
              </w:rPr>
              <w:t>சிவரிக்கீரை</w:t>
            </w:r>
            <w:r w:rsidRPr="00787196">
              <w:rPr>
                <w:rFonts w:eastAsia="Calibri" w:cs="Arial"/>
                <w:sz w:val="16"/>
                <w:szCs w:val="16"/>
                <w:cs/>
                <w:lang w:eastAsia="en-US"/>
              </w:rPr>
              <w:t xml:space="preserve"> </w:t>
            </w:r>
            <w:r w:rsidRPr="00787196">
              <w:rPr>
                <w:rFonts w:eastAsia="Calibri" w:cs="Arial"/>
                <w:sz w:val="16"/>
                <w:szCs w:val="16"/>
                <w:lang w:eastAsia="en-US" w:bidi="ar-SA"/>
              </w:rPr>
              <w:t>(</w:t>
            </w:r>
            <w:r w:rsidRPr="00787196">
              <w:rPr>
                <w:rFonts w:ascii="Latha" w:eastAsia="Calibri" w:hAnsi="Latha" w:cs="Arial Unicode MS"/>
                <w:sz w:val="16"/>
                <w:szCs w:val="16"/>
                <w:cs/>
                <w:lang w:eastAsia="en-US"/>
              </w:rPr>
              <w:t>முள்ளங்கி</w:t>
            </w:r>
            <w:r w:rsidRPr="00787196">
              <w:rPr>
                <w:rFonts w:eastAsia="Calibri" w:cs="Arial"/>
                <w:sz w:val="16"/>
                <w:szCs w:val="16"/>
                <w:lang w:eastAsia="en-US" w:bidi="ar-SA"/>
              </w:rPr>
              <w:t>)</w:t>
            </w:r>
          </w:p>
        </w:tc>
        <w:tc>
          <w:tcPr>
            <w:tcW w:w="1427" w:type="dxa"/>
            <w:shd w:val="clear" w:color="auto" w:fill="auto"/>
            <w:vAlign w:val="center"/>
          </w:tcPr>
          <w:p w14:paraId="489A4518"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3</w:t>
            </w:r>
          </w:p>
        </w:tc>
        <w:tc>
          <w:tcPr>
            <w:tcW w:w="1810" w:type="dxa"/>
            <w:shd w:val="clear" w:color="auto" w:fill="auto"/>
            <w:vAlign w:val="center"/>
          </w:tcPr>
          <w:p w14:paraId="61597279" w14:textId="77777777" w:rsidR="006F0EC1" w:rsidRPr="00787196" w:rsidRDefault="007D6B7F" w:rsidP="005C2A75">
            <w:pPr>
              <w:spacing w:before="0" w:after="0" w:line="240" w:lineRule="auto"/>
              <w:jc w:val="center"/>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6F0EC1"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6F0EC1" w:rsidRPr="00787196" w14:paraId="78F62DB8" w14:textId="77777777" w:rsidTr="006315BA">
        <w:trPr>
          <w:trHeight w:val="786"/>
        </w:trPr>
        <w:tc>
          <w:tcPr>
            <w:tcW w:w="4537" w:type="dxa"/>
            <w:shd w:val="clear" w:color="auto" w:fill="auto"/>
            <w:vAlign w:val="center"/>
          </w:tcPr>
          <w:p w14:paraId="17381C15" w14:textId="77777777" w:rsidR="006F0EC1" w:rsidRPr="00787196" w:rsidRDefault="006F0EC1" w:rsidP="006315BA">
            <w:pPr>
              <w:spacing w:before="0" w:after="0" w:line="240" w:lineRule="auto"/>
              <w:jc w:val="left"/>
              <w:rPr>
                <w:rFonts w:eastAsia="Calibri" w:cs="Arial"/>
                <w:sz w:val="20"/>
                <w:lang w:eastAsia="en-US" w:bidi="ar-SA"/>
              </w:rPr>
            </w:pPr>
            <w:r w:rsidRPr="00787196">
              <w:rPr>
                <w:rFonts w:ascii="Latha" w:eastAsia="Calibri" w:hAnsi="Latha" w:cs="Arial Unicode MS"/>
                <w:sz w:val="14"/>
                <w:szCs w:val="16"/>
                <w:cs/>
                <w:lang w:eastAsia="en-US"/>
              </w:rPr>
              <w:t>வருத்த</w:t>
            </w:r>
            <w:r w:rsidRPr="00787196">
              <w:rPr>
                <w:rFonts w:eastAsia="Calibri" w:cs="Arial"/>
                <w:sz w:val="14"/>
                <w:szCs w:val="16"/>
                <w:rtl/>
                <w:cs/>
                <w:lang w:eastAsia="en-US" w:bidi="ar-SA"/>
              </w:rPr>
              <w:t xml:space="preserve"> </w:t>
            </w:r>
            <w:r w:rsidRPr="00787196">
              <w:rPr>
                <w:rFonts w:ascii="Latha" w:eastAsia="Calibri" w:hAnsi="Latha" w:cs="Arial Unicode MS"/>
                <w:sz w:val="14"/>
                <w:szCs w:val="16"/>
                <w:cs/>
                <w:lang w:eastAsia="en-US"/>
              </w:rPr>
              <w:t>இறைச்சித்</w:t>
            </w:r>
            <w:r w:rsidRPr="00787196">
              <w:rPr>
                <w:rFonts w:eastAsia="Calibri" w:cs="Arial"/>
                <w:sz w:val="14"/>
                <w:szCs w:val="16"/>
                <w:cs/>
                <w:lang w:eastAsia="en-US"/>
              </w:rPr>
              <w:t xml:space="preserve"> </w:t>
            </w:r>
            <w:r w:rsidRPr="00787196">
              <w:rPr>
                <w:rFonts w:ascii="Latha" w:eastAsia="Calibri" w:hAnsi="Latha" w:cs="Arial Unicode MS"/>
                <w:sz w:val="14"/>
                <w:szCs w:val="16"/>
                <w:cs/>
                <w:lang w:eastAsia="en-US"/>
              </w:rPr>
              <w:t>துண்டு</w:t>
            </w:r>
          </w:p>
        </w:tc>
        <w:tc>
          <w:tcPr>
            <w:tcW w:w="1427" w:type="dxa"/>
            <w:shd w:val="clear" w:color="auto" w:fill="auto"/>
            <w:vAlign w:val="center"/>
          </w:tcPr>
          <w:p w14:paraId="5E9A1729"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4</w:t>
            </w:r>
          </w:p>
        </w:tc>
        <w:tc>
          <w:tcPr>
            <w:tcW w:w="1810" w:type="dxa"/>
            <w:shd w:val="clear" w:color="auto" w:fill="auto"/>
            <w:vAlign w:val="center"/>
          </w:tcPr>
          <w:p w14:paraId="58776F50" w14:textId="77777777" w:rsidR="006F0EC1" w:rsidRPr="00787196" w:rsidRDefault="007D6B7F" w:rsidP="005C2A75">
            <w:pPr>
              <w:spacing w:before="0" w:after="0" w:line="240" w:lineRule="auto"/>
              <w:jc w:val="center"/>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6F0EC1"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r w:rsidR="006F0EC1" w:rsidRPr="00787196" w14:paraId="04D9C700" w14:textId="77777777" w:rsidTr="006315BA">
        <w:trPr>
          <w:trHeight w:val="786"/>
        </w:trPr>
        <w:tc>
          <w:tcPr>
            <w:tcW w:w="4537" w:type="dxa"/>
            <w:shd w:val="clear" w:color="auto" w:fill="auto"/>
            <w:vAlign w:val="center"/>
          </w:tcPr>
          <w:p w14:paraId="1744EDFF" w14:textId="77777777" w:rsidR="006F0EC1" w:rsidRPr="00787196" w:rsidRDefault="006F0EC1" w:rsidP="006315BA">
            <w:pPr>
              <w:spacing w:before="0" w:after="0" w:line="240" w:lineRule="auto"/>
              <w:jc w:val="left"/>
              <w:rPr>
                <w:rFonts w:eastAsia="Calibri" w:cs="Arial"/>
                <w:sz w:val="20"/>
                <w:lang w:eastAsia="en-US" w:bidi="ar-SA"/>
              </w:rPr>
            </w:pPr>
            <w:r w:rsidRPr="00787196">
              <w:rPr>
                <w:rFonts w:ascii="Latha" w:eastAsia="Calibri" w:hAnsi="Latha" w:cs="Arial Unicode MS"/>
                <w:sz w:val="14"/>
                <w:szCs w:val="16"/>
                <w:cs/>
                <w:lang w:eastAsia="en-US"/>
              </w:rPr>
              <w:t>முழு</w:t>
            </w:r>
            <w:r w:rsidRPr="00787196">
              <w:rPr>
                <w:rFonts w:eastAsia="Calibri" w:cs="Arial"/>
                <w:sz w:val="14"/>
                <w:szCs w:val="16"/>
                <w:rtl/>
                <w:cs/>
                <w:lang w:eastAsia="en-US" w:bidi="ar-SA"/>
              </w:rPr>
              <w:t xml:space="preserve"> </w:t>
            </w:r>
            <w:r w:rsidRPr="00787196">
              <w:rPr>
                <w:rFonts w:ascii="Latha" w:eastAsia="Calibri" w:hAnsi="Latha" w:cs="Arial Unicode MS"/>
                <w:sz w:val="14"/>
                <w:szCs w:val="16"/>
                <w:cs/>
                <w:lang w:eastAsia="en-US"/>
              </w:rPr>
              <w:t>ஆப்பிள்</w:t>
            </w:r>
          </w:p>
        </w:tc>
        <w:tc>
          <w:tcPr>
            <w:tcW w:w="1427" w:type="dxa"/>
            <w:shd w:val="clear" w:color="auto" w:fill="auto"/>
            <w:vAlign w:val="center"/>
          </w:tcPr>
          <w:p w14:paraId="4A6B16BE" w14:textId="77777777" w:rsidR="006F0EC1" w:rsidRPr="00787196" w:rsidRDefault="006F0EC1" w:rsidP="005C2A75">
            <w:pPr>
              <w:spacing w:before="0" w:after="0" w:line="240" w:lineRule="auto"/>
              <w:jc w:val="center"/>
              <w:rPr>
                <w:rFonts w:eastAsia="Calibri" w:cs="Arial"/>
                <w:sz w:val="20"/>
                <w:lang w:eastAsia="en-US" w:bidi="ar-SA"/>
              </w:rPr>
            </w:pPr>
            <w:r w:rsidRPr="00787196">
              <w:rPr>
                <w:rFonts w:eastAsia="Calibri" w:cs="Arial"/>
                <w:sz w:val="20"/>
                <w:lang w:eastAsia="en-US" w:bidi="ar-SA"/>
              </w:rPr>
              <w:t>5</w:t>
            </w:r>
          </w:p>
        </w:tc>
        <w:tc>
          <w:tcPr>
            <w:tcW w:w="1810" w:type="dxa"/>
            <w:shd w:val="clear" w:color="auto" w:fill="auto"/>
            <w:vAlign w:val="center"/>
          </w:tcPr>
          <w:p w14:paraId="09545F54" w14:textId="77777777" w:rsidR="006F0EC1" w:rsidRPr="00787196" w:rsidRDefault="007D6B7F" w:rsidP="005C2A75">
            <w:pPr>
              <w:spacing w:before="0" w:after="0" w:line="240" w:lineRule="auto"/>
              <w:jc w:val="center"/>
              <w:rPr>
                <w:rFonts w:eastAsia="Calibri" w:cs="Arial"/>
                <w:sz w:val="20"/>
                <w:lang w:eastAsia="en-US" w:bidi="ar-SA"/>
              </w:rPr>
            </w:pPr>
            <w:r w:rsidRPr="00787196">
              <w:rPr>
                <w:rFonts w:eastAsia="Calibri" w:cs="Arial"/>
                <w:b/>
                <w:bCs/>
                <w:sz w:val="20"/>
                <w:szCs w:val="24"/>
                <w:lang w:eastAsia="en-US" w:bidi="ar-SA"/>
              </w:rPr>
              <w:fldChar w:fldCharType="begin">
                <w:ffData>
                  <w:name w:val="Check9"/>
                  <w:enabled/>
                  <w:calcOnExit w:val="0"/>
                  <w:checkBox>
                    <w:sizeAuto/>
                    <w:default w:val="0"/>
                  </w:checkBox>
                </w:ffData>
              </w:fldChar>
            </w:r>
            <w:r w:rsidR="006F0EC1" w:rsidRPr="00787196">
              <w:rPr>
                <w:rFonts w:eastAsia="Calibri" w:cs="Arial"/>
                <w:b/>
                <w:bCs/>
                <w:sz w:val="20"/>
                <w:szCs w:val="24"/>
                <w:lang w:eastAsia="en-US" w:bidi="ar-SA"/>
              </w:rPr>
              <w:instrText xml:space="preserve"> FORMCHECKBOX </w:instrText>
            </w:r>
            <w:r w:rsidR="006E7D7A">
              <w:rPr>
                <w:rFonts w:eastAsia="Calibri" w:cs="Arial"/>
                <w:b/>
                <w:bCs/>
                <w:sz w:val="20"/>
                <w:szCs w:val="24"/>
                <w:lang w:eastAsia="en-US" w:bidi="ar-SA"/>
              </w:rPr>
            </w:r>
            <w:r w:rsidR="006E7D7A">
              <w:rPr>
                <w:rFonts w:eastAsia="Calibri" w:cs="Arial"/>
                <w:b/>
                <w:bCs/>
                <w:sz w:val="20"/>
                <w:szCs w:val="24"/>
                <w:lang w:eastAsia="en-US" w:bidi="ar-SA"/>
              </w:rPr>
              <w:fldChar w:fldCharType="separate"/>
            </w:r>
            <w:r w:rsidRPr="00787196">
              <w:rPr>
                <w:rFonts w:eastAsia="Calibri" w:cs="Arial"/>
                <w:b/>
                <w:bCs/>
                <w:sz w:val="20"/>
                <w:szCs w:val="24"/>
                <w:lang w:eastAsia="en-US" w:bidi="ar-SA"/>
              </w:rPr>
              <w:fldChar w:fldCharType="end"/>
            </w:r>
          </w:p>
        </w:tc>
      </w:tr>
    </w:tbl>
    <w:p w14:paraId="31B4084B" w14:textId="77777777" w:rsidR="006F0EC1" w:rsidRPr="00787196" w:rsidRDefault="006F0EC1" w:rsidP="00CC7CB5">
      <w:pPr>
        <w:spacing w:before="0" w:after="0"/>
        <w:jc w:val="center"/>
        <w:rPr>
          <w:rFonts w:cs="Arial"/>
        </w:rPr>
      </w:pPr>
    </w:p>
    <w:p w14:paraId="62AEEF0C" w14:textId="77777777" w:rsidR="006F0EC1" w:rsidRPr="00787196" w:rsidRDefault="006F0EC1" w:rsidP="00513F57">
      <w:pPr>
        <w:spacing w:before="0" w:after="0"/>
        <w:rPr>
          <w:rFonts w:cs="Arial"/>
        </w:rPr>
      </w:pPr>
    </w:p>
    <w:p w14:paraId="6C159C56" w14:textId="2A5A5A95" w:rsidR="00A3661E" w:rsidRPr="00787196" w:rsidRDefault="006F0EC1" w:rsidP="00392278">
      <w:pPr>
        <w:pStyle w:val="Heading2"/>
        <w:numPr>
          <w:ilvl w:val="0"/>
          <w:numId w:val="0"/>
        </w:numPr>
        <w:ind w:left="576"/>
        <w:jc w:val="center"/>
      </w:pPr>
      <w:r w:rsidRPr="00787196">
        <w:br w:type="page"/>
      </w:r>
      <w:bookmarkStart w:id="829" w:name="_Ref425909127"/>
      <w:bookmarkStart w:id="830" w:name="_Toc456211218"/>
      <w:bookmarkStart w:id="831" w:name="_Toc488655713"/>
      <w:r w:rsidR="00A1466E" w:rsidRPr="00787196">
        <w:lastRenderedPageBreak/>
        <w:t xml:space="preserve">Appendix </w:t>
      </w:r>
      <w:r w:rsidR="00F209BB" w:rsidRPr="00787196">
        <w:t>G</w:t>
      </w:r>
      <w:r w:rsidR="00E915A9" w:rsidRPr="00787196">
        <w:t>-</w:t>
      </w:r>
      <w:r w:rsidR="00DE468B" w:rsidRPr="00787196">
        <w:t>Recoded Data</w:t>
      </w:r>
      <w:bookmarkEnd w:id="829"/>
      <w:bookmarkEnd w:id="830"/>
      <w:bookmarkEnd w:id="831"/>
    </w:p>
    <w:p w14:paraId="141B8E8C" w14:textId="6D9C6D31" w:rsidR="003933F2" w:rsidRPr="00787196" w:rsidRDefault="00A3661E" w:rsidP="00D9694A">
      <w:pPr>
        <w:pStyle w:val="Heading3"/>
        <w:numPr>
          <w:ilvl w:val="0"/>
          <w:numId w:val="0"/>
        </w:numPr>
      </w:pPr>
      <w:bookmarkStart w:id="832" w:name="_Toc456211219"/>
      <w:bookmarkStart w:id="833" w:name="_Toc488655714"/>
      <w:r w:rsidRPr="00787196">
        <w:t>Demographic data</w:t>
      </w:r>
      <w:bookmarkEnd w:id="832"/>
      <w:bookmarkEnd w:id="833"/>
      <w:r w:rsidRPr="00787196">
        <w:t xml:space="preserve"> </w:t>
      </w:r>
    </w:p>
    <w:tbl>
      <w:tblPr>
        <w:tblpPr w:leftFromText="180" w:rightFromText="180" w:vertAnchor="text" w:horzAnchor="margin" w:tblpY="407"/>
        <w:tblW w:w="0" w:type="auto"/>
        <w:tblBorders>
          <w:top w:val="single" w:sz="8" w:space="0" w:color="000000"/>
          <w:bottom w:val="single" w:sz="8" w:space="0" w:color="000000"/>
        </w:tblBorders>
        <w:tblLook w:val="04A0" w:firstRow="1" w:lastRow="0" w:firstColumn="1" w:lastColumn="0" w:noHBand="0" w:noVBand="1"/>
      </w:tblPr>
      <w:tblGrid>
        <w:gridCol w:w="4536"/>
        <w:gridCol w:w="1985"/>
        <w:gridCol w:w="992"/>
      </w:tblGrid>
      <w:tr w:rsidR="0000233C" w:rsidRPr="00787196" w14:paraId="580D3644" w14:textId="77777777" w:rsidTr="0000233C">
        <w:trPr>
          <w:trHeight w:val="554"/>
        </w:trPr>
        <w:tc>
          <w:tcPr>
            <w:tcW w:w="4536" w:type="dxa"/>
            <w:tcBorders>
              <w:top w:val="single" w:sz="8" w:space="0" w:color="000000"/>
              <w:bottom w:val="single" w:sz="8" w:space="0" w:color="000000"/>
            </w:tcBorders>
            <w:shd w:val="clear" w:color="auto" w:fill="FFFFFF"/>
            <w:vAlign w:val="center"/>
          </w:tcPr>
          <w:p w14:paraId="07348D21" w14:textId="77777777" w:rsidR="0000233C" w:rsidRPr="00787196" w:rsidRDefault="0000233C" w:rsidP="0000233C">
            <w:pPr>
              <w:autoSpaceDE w:val="0"/>
              <w:autoSpaceDN w:val="0"/>
              <w:adjustRightInd w:val="0"/>
              <w:spacing w:before="0" w:after="0" w:line="240" w:lineRule="auto"/>
              <w:rPr>
                <w:rFonts w:cs="Arial"/>
                <w:b/>
                <w:bCs/>
                <w:color w:val="000000"/>
                <w:sz w:val="22"/>
              </w:rPr>
            </w:pPr>
            <w:r w:rsidRPr="00787196">
              <w:rPr>
                <w:rFonts w:cs="Arial"/>
                <w:b/>
                <w:bCs/>
                <w:color w:val="000000"/>
                <w:sz w:val="22"/>
              </w:rPr>
              <w:t>Participants</w:t>
            </w:r>
          </w:p>
        </w:tc>
        <w:tc>
          <w:tcPr>
            <w:tcW w:w="1985" w:type="dxa"/>
            <w:tcBorders>
              <w:top w:val="single" w:sz="8" w:space="0" w:color="000000"/>
              <w:bottom w:val="single" w:sz="8" w:space="0" w:color="000000"/>
            </w:tcBorders>
            <w:shd w:val="clear" w:color="auto" w:fill="FFFFFF"/>
            <w:vAlign w:val="center"/>
          </w:tcPr>
          <w:p w14:paraId="0616CEBC" w14:textId="77777777" w:rsidR="0000233C" w:rsidRPr="00787196" w:rsidRDefault="0000233C" w:rsidP="0000233C">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n</w:t>
            </w:r>
          </w:p>
        </w:tc>
        <w:tc>
          <w:tcPr>
            <w:tcW w:w="992" w:type="dxa"/>
            <w:tcBorders>
              <w:top w:val="single" w:sz="8" w:space="0" w:color="000000"/>
              <w:bottom w:val="single" w:sz="8" w:space="0" w:color="000000"/>
            </w:tcBorders>
            <w:shd w:val="clear" w:color="auto" w:fill="FFFFFF"/>
            <w:vAlign w:val="center"/>
          </w:tcPr>
          <w:p w14:paraId="3405A810" w14:textId="77777777" w:rsidR="0000233C" w:rsidRPr="00787196" w:rsidRDefault="0000233C" w:rsidP="0000233C">
            <w:pPr>
              <w:autoSpaceDE w:val="0"/>
              <w:autoSpaceDN w:val="0"/>
              <w:adjustRightInd w:val="0"/>
              <w:spacing w:before="0" w:after="0" w:line="240" w:lineRule="auto"/>
              <w:jc w:val="center"/>
              <w:rPr>
                <w:rFonts w:cs="Arial"/>
                <w:b/>
                <w:bCs/>
                <w:color w:val="000000"/>
                <w:sz w:val="22"/>
              </w:rPr>
            </w:pPr>
            <w:r w:rsidRPr="00787196">
              <w:rPr>
                <w:rFonts w:cs="Arial"/>
                <w:b/>
                <w:bCs/>
                <w:color w:val="000000"/>
                <w:sz w:val="22"/>
              </w:rPr>
              <w:t>%</w:t>
            </w:r>
          </w:p>
        </w:tc>
      </w:tr>
      <w:tr w:rsidR="0000233C" w:rsidRPr="00787196" w14:paraId="499CD16E" w14:textId="77777777" w:rsidTr="0000233C">
        <w:trPr>
          <w:trHeight w:val="143"/>
        </w:trPr>
        <w:tc>
          <w:tcPr>
            <w:tcW w:w="4536" w:type="dxa"/>
            <w:shd w:val="clear" w:color="auto" w:fill="FFFFFF"/>
          </w:tcPr>
          <w:p w14:paraId="0DE7C159" w14:textId="77777777" w:rsidR="0000233C" w:rsidRPr="00787196" w:rsidRDefault="0000233C" w:rsidP="0000233C">
            <w:pPr>
              <w:autoSpaceDE w:val="0"/>
              <w:autoSpaceDN w:val="0"/>
              <w:adjustRightInd w:val="0"/>
              <w:spacing w:before="0" w:after="0" w:line="240" w:lineRule="auto"/>
              <w:ind w:left="142"/>
              <w:rPr>
                <w:rFonts w:cs="Arial"/>
                <w:b/>
                <w:bCs/>
                <w:color w:val="000000"/>
                <w:sz w:val="20"/>
                <w:szCs w:val="20"/>
              </w:rPr>
            </w:pPr>
          </w:p>
        </w:tc>
        <w:tc>
          <w:tcPr>
            <w:tcW w:w="1985" w:type="dxa"/>
            <w:shd w:val="clear" w:color="auto" w:fill="FFFFFF"/>
          </w:tcPr>
          <w:p w14:paraId="0EF1235D"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53E66AD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10B87B5C" w14:textId="77777777" w:rsidTr="0000233C">
        <w:trPr>
          <w:trHeight w:val="103"/>
        </w:trPr>
        <w:tc>
          <w:tcPr>
            <w:tcW w:w="4536" w:type="dxa"/>
            <w:shd w:val="clear" w:color="auto" w:fill="FFFFFF"/>
          </w:tcPr>
          <w:p w14:paraId="201B4C51" w14:textId="77777777" w:rsidR="0000233C" w:rsidRPr="00787196" w:rsidRDefault="0000233C" w:rsidP="0000233C">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Age (Median split)</w:t>
            </w:r>
          </w:p>
        </w:tc>
        <w:tc>
          <w:tcPr>
            <w:tcW w:w="1985" w:type="dxa"/>
            <w:shd w:val="clear" w:color="auto" w:fill="FFFFFF"/>
          </w:tcPr>
          <w:p w14:paraId="524B93B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shd w:val="clear" w:color="auto" w:fill="FFFFFF"/>
          </w:tcPr>
          <w:p w14:paraId="386EE0F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5E10B474" w14:textId="77777777" w:rsidTr="0000233C">
        <w:trPr>
          <w:trHeight w:val="124"/>
        </w:trPr>
        <w:tc>
          <w:tcPr>
            <w:tcW w:w="4536" w:type="dxa"/>
            <w:shd w:val="clear" w:color="auto" w:fill="FFFFFF"/>
          </w:tcPr>
          <w:p w14:paraId="10612AED" w14:textId="2AB79661" w:rsidR="0000233C" w:rsidRPr="00787196" w:rsidRDefault="003B3D2B"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18-58</w:t>
            </w:r>
          </w:p>
        </w:tc>
        <w:tc>
          <w:tcPr>
            <w:tcW w:w="1985" w:type="dxa"/>
            <w:shd w:val="clear" w:color="auto" w:fill="FFFFFF"/>
          </w:tcPr>
          <w:p w14:paraId="7AB889E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104</w:t>
            </w:r>
          </w:p>
        </w:tc>
        <w:tc>
          <w:tcPr>
            <w:tcW w:w="992" w:type="dxa"/>
            <w:tcBorders>
              <w:left w:val="nil"/>
              <w:right w:val="nil"/>
            </w:tcBorders>
            <w:shd w:val="clear" w:color="auto" w:fill="FFFFFF"/>
          </w:tcPr>
          <w:p w14:paraId="148F71E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51.7</w:t>
            </w:r>
          </w:p>
        </w:tc>
      </w:tr>
      <w:tr w:rsidR="0000233C" w:rsidRPr="00787196" w14:paraId="27A8F946" w14:textId="77777777" w:rsidTr="0000233C">
        <w:trPr>
          <w:trHeight w:val="142"/>
        </w:trPr>
        <w:tc>
          <w:tcPr>
            <w:tcW w:w="4536" w:type="dxa"/>
            <w:shd w:val="clear" w:color="auto" w:fill="FFFFFF"/>
          </w:tcPr>
          <w:p w14:paraId="41E7BFAD"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59 &amp; above</w:t>
            </w:r>
          </w:p>
        </w:tc>
        <w:tc>
          <w:tcPr>
            <w:tcW w:w="1985" w:type="dxa"/>
            <w:shd w:val="clear" w:color="auto" w:fill="FFFFFF"/>
          </w:tcPr>
          <w:p w14:paraId="72B11B26"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97</w:t>
            </w:r>
          </w:p>
        </w:tc>
        <w:tc>
          <w:tcPr>
            <w:tcW w:w="992" w:type="dxa"/>
            <w:shd w:val="clear" w:color="auto" w:fill="FFFFFF"/>
          </w:tcPr>
          <w:p w14:paraId="0F6B6FB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48.3</w:t>
            </w:r>
          </w:p>
        </w:tc>
      </w:tr>
      <w:tr w:rsidR="0000233C" w:rsidRPr="00787196" w14:paraId="73B57C77" w14:textId="77777777" w:rsidTr="0000233C">
        <w:trPr>
          <w:trHeight w:val="142"/>
        </w:trPr>
        <w:tc>
          <w:tcPr>
            <w:tcW w:w="4536" w:type="dxa"/>
            <w:shd w:val="clear" w:color="auto" w:fill="FFFFFF"/>
          </w:tcPr>
          <w:p w14:paraId="186FC4B4"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p>
        </w:tc>
        <w:tc>
          <w:tcPr>
            <w:tcW w:w="1985" w:type="dxa"/>
            <w:shd w:val="clear" w:color="auto" w:fill="FFFFFF"/>
          </w:tcPr>
          <w:p w14:paraId="12D9F1C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shd w:val="clear" w:color="auto" w:fill="FFFFFF"/>
          </w:tcPr>
          <w:p w14:paraId="4E1E191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4A02D49D" w14:textId="77777777" w:rsidTr="0000233C">
        <w:trPr>
          <w:trHeight w:val="143"/>
        </w:trPr>
        <w:tc>
          <w:tcPr>
            <w:tcW w:w="4536" w:type="dxa"/>
            <w:shd w:val="clear" w:color="auto" w:fill="FFFFFF"/>
          </w:tcPr>
          <w:p w14:paraId="1474DDC4" w14:textId="77777777" w:rsidR="0000233C" w:rsidRPr="00787196" w:rsidRDefault="0000233C" w:rsidP="0000233C">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Marital status</w:t>
            </w:r>
          </w:p>
        </w:tc>
        <w:tc>
          <w:tcPr>
            <w:tcW w:w="1985" w:type="dxa"/>
            <w:shd w:val="clear" w:color="auto" w:fill="FFFFFF"/>
          </w:tcPr>
          <w:p w14:paraId="626C577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7164FB1F"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330DA3CB" w14:textId="77777777" w:rsidTr="0000233C">
        <w:trPr>
          <w:trHeight w:val="143"/>
        </w:trPr>
        <w:tc>
          <w:tcPr>
            <w:tcW w:w="4536" w:type="dxa"/>
            <w:shd w:val="clear" w:color="auto" w:fill="FFFFFF"/>
          </w:tcPr>
          <w:p w14:paraId="69A36AB7"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Married with living partner</w:t>
            </w:r>
          </w:p>
        </w:tc>
        <w:tc>
          <w:tcPr>
            <w:tcW w:w="1985" w:type="dxa"/>
            <w:shd w:val="clear" w:color="auto" w:fill="FFFFFF"/>
          </w:tcPr>
          <w:p w14:paraId="3D41ECF6"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148</w:t>
            </w:r>
          </w:p>
        </w:tc>
        <w:tc>
          <w:tcPr>
            <w:tcW w:w="992" w:type="dxa"/>
            <w:tcBorders>
              <w:left w:val="nil"/>
              <w:right w:val="nil"/>
            </w:tcBorders>
            <w:shd w:val="clear" w:color="auto" w:fill="FFFFFF"/>
          </w:tcPr>
          <w:p w14:paraId="252C6439"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73.6</w:t>
            </w:r>
          </w:p>
        </w:tc>
      </w:tr>
      <w:tr w:rsidR="0000233C" w:rsidRPr="00787196" w14:paraId="1F3F43C9" w14:textId="77777777" w:rsidTr="0000233C">
        <w:trPr>
          <w:trHeight w:val="143"/>
        </w:trPr>
        <w:tc>
          <w:tcPr>
            <w:tcW w:w="4536" w:type="dxa"/>
            <w:shd w:val="clear" w:color="auto" w:fill="FFFFFF"/>
          </w:tcPr>
          <w:p w14:paraId="2D51685B"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Single/ separated or divorced /widowed</w:t>
            </w:r>
          </w:p>
        </w:tc>
        <w:tc>
          <w:tcPr>
            <w:tcW w:w="1985" w:type="dxa"/>
            <w:shd w:val="clear" w:color="auto" w:fill="FFFFFF"/>
          </w:tcPr>
          <w:p w14:paraId="271D3B15"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53</w:t>
            </w:r>
          </w:p>
        </w:tc>
        <w:tc>
          <w:tcPr>
            <w:tcW w:w="992" w:type="dxa"/>
            <w:tcBorders>
              <w:left w:val="nil"/>
              <w:right w:val="nil"/>
            </w:tcBorders>
            <w:shd w:val="clear" w:color="auto" w:fill="FFFFFF"/>
          </w:tcPr>
          <w:p w14:paraId="27706E2C"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26.4</w:t>
            </w:r>
          </w:p>
        </w:tc>
      </w:tr>
      <w:tr w:rsidR="0000233C" w:rsidRPr="00787196" w14:paraId="5D894E79" w14:textId="77777777" w:rsidTr="0000233C">
        <w:trPr>
          <w:trHeight w:val="143"/>
        </w:trPr>
        <w:tc>
          <w:tcPr>
            <w:tcW w:w="4536" w:type="dxa"/>
            <w:shd w:val="clear" w:color="auto" w:fill="FFFFFF"/>
          </w:tcPr>
          <w:p w14:paraId="59183987" w14:textId="77777777" w:rsidR="0000233C" w:rsidRPr="00787196" w:rsidRDefault="0000233C" w:rsidP="0000233C">
            <w:pPr>
              <w:autoSpaceDE w:val="0"/>
              <w:autoSpaceDN w:val="0"/>
              <w:adjustRightInd w:val="0"/>
              <w:spacing w:before="0" w:after="0" w:line="240" w:lineRule="auto"/>
              <w:ind w:left="142"/>
              <w:rPr>
                <w:rFonts w:cs="Arial"/>
                <w:b/>
                <w:bCs/>
                <w:color w:val="000000"/>
                <w:sz w:val="20"/>
                <w:szCs w:val="20"/>
              </w:rPr>
            </w:pPr>
          </w:p>
        </w:tc>
        <w:tc>
          <w:tcPr>
            <w:tcW w:w="1985" w:type="dxa"/>
            <w:shd w:val="clear" w:color="auto" w:fill="FFFFFF"/>
          </w:tcPr>
          <w:p w14:paraId="1163E323"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400D6931"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7354535D" w14:textId="77777777" w:rsidTr="0000233C">
        <w:trPr>
          <w:trHeight w:val="245"/>
        </w:trPr>
        <w:tc>
          <w:tcPr>
            <w:tcW w:w="4536" w:type="dxa"/>
            <w:shd w:val="clear" w:color="auto" w:fill="FFFFFF"/>
          </w:tcPr>
          <w:p w14:paraId="77945158" w14:textId="77777777" w:rsidR="0000233C" w:rsidRPr="00787196" w:rsidRDefault="0000233C" w:rsidP="0000233C">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Monthly income in (₹) rupees (1 rupee = £0.01)</w:t>
            </w:r>
          </w:p>
        </w:tc>
        <w:tc>
          <w:tcPr>
            <w:tcW w:w="1985" w:type="dxa"/>
            <w:shd w:val="clear" w:color="auto" w:fill="FFFFFF"/>
          </w:tcPr>
          <w:p w14:paraId="1001918F"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2739E6B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2C41337E" w14:textId="77777777" w:rsidTr="0000233C">
        <w:trPr>
          <w:trHeight w:val="251"/>
        </w:trPr>
        <w:tc>
          <w:tcPr>
            <w:tcW w:w="4536" w:type="dxa"/>
            <w:shd w:val="clear" w:color="auto" w:fill="FFFFFF"/>
          </w:tcPr>
          <w:p w14:paraId="050F1E09"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Upto 4555</w:t>
            </w:r>
          </w:p>
        </w:tc>
        <w:tc>
          <w:tcPr>
            <w:tcW w:w="1985" w:type="dxa"/>
            <w:shd w:val="clear" w:color="auto" w:fill="FFFFFF"/>
          </w:tcPr>
          <w:p w14:paraId="2FFFED80"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109</w:t>
            </w:r>
          </w:p>
        </w:tc>
        <w:tc>
          <w:tcPr>
            <w:tcW w:w="992" w:type="dxa"/>
            <w:tcBorders>
              <w:left w:val="nil"/>
              <w:right w:val="nil"/>
            </w:tcBorders>
            <w:shd w:val="clear" w:color="auto" w:fill="FFFFFF"/>
          </w:tcPr>
          <w:p w14:paraId="0847241D"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54.2</w:t>
            </w:r>
          </w:p>
        </w:tc>
      </w:tr>
      <w:tr w:rsidR="0000233C" w:rsidRPr="00787196" w14:paraId="7A9B6215" w14:textId="77777777" w:rsidTr="0000233C">
        <w:trPr>
          <w:trHeight w:val="251"/>
        </w:trPr>
        <w:tc>
          <w:tcPr>
            <w:tcW w:w="4536" w:type="dxa"/>
            <w:shd w:val="clear" w:color="auto" w:fill="FFFFFF"/>
          </w:tcPr>
          <w:p w14:paraId="5C614323"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4556 and above</w:t>
            </w:r>
          </w:p>
        </w:tc>
        <w:tc>
          <w:tcPr>
            <w:tcW w:w="1985" w:type="dxa"/>
            <w:shd w:val="clear" w:color="auto" w:fill="FFFFFF"/>
          </w:tcPr>
          <w:p w14:paraId="1A5971C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92</w:t>
            </w:r>
          </w:p>
        </w:tc>
        <w:tc>
          <w:tcPr>
            <w:tcW w:w="992" w:type="dxa"/>
            <w:tcBorders>
              <w:left w:val="nil"/>
              <w:right w:val="nil"/>
            </w:tcBorders>
            <w:shd w:val="clear" w:color="auto" w:fill="FFFFFF"/>
          </w:tcPr>
          <w:p w14:paraId="746FA860"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45.8</w:t>
            </w:r>
          </w:p>
        </w:tc>
      </w:tr>
      <w:tr w:rsidR="0000233C" w:rsidRPr="00787196" w14:paraId="63F98BFD" w14:textId="77777777" w:rsidTr="0000233C">
        <w:trPr>
          <w:trHeight w:val="143"/>
        </w:trPr>
        <w:tc>
          <w:tcPr>
            <w:tcW w:w="4536" w:type="dxa"/>
            <w:shd w:val="clear" w:color="auto" w:fill="FFFFFF"/>
          </w:tcPr>
          <w:p w14:paraId="360EBF88" w14:textId="77777777" w:rsidR="0000233C" w:rsidRPr="00787196" w:rsidRDefault="0000233C" w:rsidP="0000233C">
            <w:pPr>
              <w:autoSpaceDE w:val="0"/>
              <w:autoSpaceDN w:val="0"/>
              <w:adjustRightInd w:val="0"/>
              <w:spacing w:before="0" w:after="0" w:line="240" w:lineRule="auto"/>
              <w:ind w:left="142"/>
              <w:rPr>
                <w:rFonts w:cs="Arial"/>
                <w:b/>
                <w:bCs/>
                <w:color w:val="000000"/>
                <w:sz w:val="20"/>
                <w:szCs w:val="20"/>
              </w:rPr>
            </w:pPr>
          </w:p>
        </w:tc>
        <w:tc>
          <w:tcPr>
            <w:tcW w:w="1985" w:type="dxa"/>
            <w:shd w:val="clear" w:color="auto" w:fill="FFFFFF"/>
          </w:tcPr>
          <w:p w14:paraId="6ED6A0A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3ADDA46C"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39F34006" w14:textId="77777777" w:rsidTr="0000233C">
        <w:trPr>
          <w:trHeight w:val="251"/>
        </w:trPr>
        <w:tc>
          <w:tcPr>
            <w:tcW w:w="4536" w:type="dxa"/>
            <w:shd w:val="clear" w:color="auto" w:fill="FFFFFF"/>
          </w:tcPr>
          <w:p w14:paraId="777C510F" w14:textId="77777777" w:rsidR="0000233C" w:rsidRPr="00787196" w:rsidRDefault="0000233C" w:rsidP="0000233C">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Education</w:t>
            </w:r>
          </w:p>
        </w:tc>
        <w:tc>
          <w:tcPr>
            <w:tcW w:w="1985" w:type="dxa"/>
            <w:shd w:val="clear" w:color="auto" w:fill="FFFFFF"/>
          </w:tcPr>
          <w:p w14:paraId="773E98B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3775B6D1"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6F7405BE" w14:textId="77777777" w:rsidTr="0000233C">
        <w:trPr>
          <w:trHeight w:val="143"/>
        </w:trPr>
        <w:tc>
          <w:tcPr>
            <w:tcW w:w="4536" w:type="dxa"/>
            <w:shd w:val="clear" w:color="auto" w:fill="FFFFFF"/>
          </w:tcPr>
          <w:p w14:paraId="43EC06B0"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High school and above</w:t>
            </w:r>
          </w:p>
        </w:tc>
        <w:tc>
          <w:tcPr>
            <w:tcW w:w="1985" w:type="dxa"/>
            <w:shd w:val="clear" w:color="auto" w:fill="FFFFFF"/>
          </w:tcPr>
          <w:p w14:paraId="50C965FA"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71</w:t>
            </w:r>
          </w:p>
        </w:tc>
        <w:tc>
          <w:tcPr>
            <w:tcW w:w="992" w:type="dxa"/>
            <w:tcBorders>
              <w:left w:val="nil"/>
              <w:right w:val="nil"/>
            </w:tcBorders>
            <w:shd w:val="clear" w:color="auto" w:fill="FFFFFF"/>
          </w:tcPr>
          <w:p w14:paraId="595A1211"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35.3</w:t>
            </w:r>
          </w:p>
        </w:tc>
      </w:tr>
      <w:tr w:rsidR="0000233C" w:rsidRPr="00787196" w14:paraId="2840D6FA" w14:textId="77777777" w:rsidTr="0000233C">
        <w:trPr>
          <w:trHeight w:val="264"/>
        </w:trPr>
        <w:tc>
          <w:tcPr>
            <w:tcW w:w="4536" w:type="dxa"/>
            <w:shd w:val="clear" w:color="auto" w:fill="FFFFFF"/>
          </w:tcPr>
          <w:p w14:paraId="510D359F"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School drop outs/ Illiterate</w:t>
            </w:r>
          </w:p>
        </w:tc>
        <w:tc>
          <w:tcPr>
            <w:tcW w:w="1985" w:type="dxa"/>
            <w:shd w:val="clear" w:color="auto" w:fill="FFFFFF"/>
          </w:tcPr>
          <w:p w14:paraId="02CEE850"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130</w:t>
            </w:r>
          </w:p>
        </w:tc>
        <w:tc>
          <w:tcPr>
            <w:tcW w:w="992" w:type="dxa"/>
            <w:shd w:val="clear" w:color="auto" w:fill="FFFFFF"/>
          </w:tcPr>
          <w:p w14:paraId="56B2E67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64.7</w:t>
            </w:r>
          </w:p>
        </w:tc>
      </w:tr>
      <w:tr w:rsidR="0000233C" w:rsidRPr="00787196" w14:paraId="539C968F" w14:textId="77777777" w:rsidTr="0000233C">
        <w:trPr>
          <w:trHeight w:val="143"/>
        </w:trPr>
        <w:tc>
          <w:tcPr>
            <w:tcW w:w="4536" w:type="dxa"/>
            <w:shd w:val="clear" w:color="auto" w:fill="FFFFFF"/>
          </w:tcPr>
          <w:p w14:paraId="5A83FA94" w14:textId="77777777" w:rsidR="0000233C" w:rsidRPr="00787196" w:rsidRDefault="0000233C" w:rsidP="0000233C">
            <w:pPr>
              <w:autoSpaceDE w:val="0"/>
              <w:autoSpaceDN w:val="0"/>
              <w:adjustRightInd w:val="0"/>
              <w:spacing w:before="0" w:after="0" w:line="240" w:lineRule="auto"/>
              <w:ind w:left="142"/>
              <w:rPr>
                <w:rFonts w:cs="Arial"/>
                <w:b/>
                <w:bCs/>
                <w:color w:val="000000"/>
                <w:sz w:val="20"/>
                <w:szCs w:val="20"/>
              </w:rPr>
            </w:pPr>
          </w:p>
        </w:tc>
        <w:tc>
          <w:tcPr>
            <w:tcW w:w="1985" w:type="dxa"/>
            <w:shd w:val="clear" w:color="auto" w:fill="FFFFFF"/>
          </w:tcPr>
          <w:p w14:paraId="1430DDB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31B6F9D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586280E0" w14:textId="77777777" w:rsidTr="0000233C">
        <w:trPr>
          <w:trHeight w:val="143"/>
        </w:trPr>
        <w:tc>
          <w:tcPr>
            <w:tcW w:w="4536" w:type="dxa"/>
            <w:shd w:val="clear" w:color="auto" w:fill="FFFFFF"/>
          </w:tcPr>
          <w:p w14:paraId="3948CEC8" w14:textId="77777777" w:rsidR="0000233C" w:rsidRPr="00787196" w:rsidRDefault="0000233C" w:rsidP="0000233C">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Occupation</w:t>
            </w:r>
          </w:p>
        </w:tc>
        <w:tc>
          <w:tcPr>
            <w:tcW w:w="1985" w:type="dxa"/>
            <w:shd w:val="clear" w:color="auto" w:fill="FFFFFF"/>
          </w:tcPr>
          <w:p w14:paraId="39319889"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3EB59D5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704ACBBF" w14:textId="77777777" w:rsidTr="0000233C">
        <w:trPr>
          <w:trHeight w:val="264"/>
        </w:trPr>
        <w:tc>
          <w:tcPr>
            <w:tcW w:w="4536" w:type="dxa"/>
            <w:shd w:val="clear" w:color="auto" w:fill="FFFFFF"/>
          </w:tcPr>
          <w:p w14:paraId="55F702E4"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Employed</w:t>
            </w:r>
          </w:p>
        </w:tc>
        <w:tc>
          <w:tcPr>
            <w:tcW w:w="1985" w:type="dxa"/>
            <w:shd w:val="clear" w:color="auto" w:fill="FFFFFF"/>
          </w:tcPr>
          <w:p w14:paraId="0036C5CA"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79</w:t>
            </w:r>
          </w:p>
        </w:tc>
        <w:tc>
          <w:tcPr>
            <w:tcW w:w="992" w:type="dxa"/>
            <w:shd w:val="clear" w:color="auto" w:fill="FFFFFF"/>
          </w:tcPr>
          <w:p w14:paraId="504E8B8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39.3</w:t>
            </w:r>
          </w:p>
        </w:tc>
      </w:tr>
      <w:tr w:rsidR="0000233C" w:rsidRPr="00787196" w14:paraId="132381FB" w14:textId="77777777" w:rsidTr="0000233C">
        <w:trPr>
          <w:trHeight w:val="143"/>
        </w:trPr>
        <w:tc>
          <w:tcPr>
            <w:tcW w:w="4536" w:type="dxa"/>
            <w:shd w:val="clear" w:color="auto" w:fill="FFFFFF"/>
          </w:tcPr>
          <w:p w14:paraId="00775E98"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Unemployed/retired</w:t>
            </w:r>
          </w:p>
        </w:tc>
        <w:tc>
          <w:tcPr>
            <w:tcW w:w="1985" w:type="dxa"/>
            <w:shd w:val="clear" w:color="auto" w:fill="FFFFFF"/>
          </w:tcPr>
          <w:p w14:paraId="7E749899"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122</w:t>
            </w:r>
          </w:p>
        </w:tc>
        <w:tc>
          <w:tcPr>
            <w:tcW w:w="992" w:type="dxa"/>
            <w:tcBorders>
              <w:left w:val="nil"/>
              <w:right w:val="nil"/>
            </w:tcBorders>
            <w:shd w:val="clear" w:color="auto" w:fill="FFFFFF"/>
          </w:tcPr>
          <w:p w14:paraId="5A0F2C4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60.7</w:t>
            </w:r>
          </w:p>
        </w:tc>
      </w:tr>
      <w:tr w:rsidR="0000233C" w:rsidRPr="00787196" w14:paraId="2C41D7C6" w14:textId="77777777" w:rsidTr="0000233C">
        <w:trPr>
          <w:trHeight w:val="143"/>
        </w:trPr>
        <w:tc>
          <w:tcPr>
            <w:tcW w:w="4536" w:type="dxa"/>
            <w:shd w:val="clear" w:color="auto" w:fill="FFFFFF"/>
          </w:tcPr>
          <w:p w14:paraId="543E4543" w14:textId="77777777" w:rsidR="0000233C" w:rsidRPr="00787196" w:rsidRDefault="0000233C" w:rsidP="0000233C">
            <w:pPr>
              <w:autoSpaceDE w:val="0"/>
              <w:autoSpaceDN w:val="0"/>
              <w:adjustRightInd w:val="0"/>
              <w:spacing w:before="0" w:after="0" w:line="240" w:lineRule="auto"/>
              <w:ind w:left="142"/>
              <w:rPr>
                <w:rFonts w:cs="Arial"/>
                <w:b/>
                <w:bCs/>
                <w:color w:val="000000"/>
                <w:sz w:val="20"/>
                <w:szCs w:val="20"/>
              </w:rPr>
            </w:pPr>
          </w:p>
        </w:tc>
        <w:tc>
          <w:tcPr>
            <w:tcW w:w="1985" w:type="dxa"/>
            <w:shd w:val="clear" w:color="auto" w:fill="FFFFFF"/>
          </w:tcPr>
          <w:p w14:paraId="73F3F553"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7117771F"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383CE9FE" w14:textId="77777777" w:rsidTr="0000233C">
        <w:trPr>
          <w:trHeight w:val="143"/>
        </w:trPr>
        <w:tc>
          <w:tcPr>
            <w:tcW w:w="4536" w:type="dxa"/>
            <w:shd w:val="clear" w:color="auto" w:fill="FFFFFF"/>
          </w:tcPr>
          <w:p w14:paraId="74FF95FA" w14:textId="77777777" w:rsidR="0000233C" w:rsidRPr="00787196" w:rsidRDefault="0000233C" w:rsidP="0000233C">
            <w:pPr>
              <w:autoSpaceDE w:val="0"/>
              <w:autoSpaceDN w:val="0"/>
              <w:adjustRightInd w:val="0"/>
              <w:spacing w:before="0" w:after="0" w:line="240" w:lineRule="auto"/>
              <w:ind w:left="142" w:hanging="142"/>
              <w:rPr>
                <w:rFonts w:cs="Arial"/>
                <w:b/>
                <w:bCs/>
                <w:color w:val="000000"/>
                <w:sz w:val="20"/>
                <w:szCs w:val="20"/>
              </w:rPr>
            </w:pPr>
            <w:r w:rsidRPr="00787196">
              <w:rPr>
                <w:rFonts w:cs="Arial"/>
                <w:b/>
                <w:bCs/>
                <w:color w:val="000000"/>
                <w:sz w:val="20"/>
                <w:szCs w:val="20"/>
              </w:rPr>
              <w:t>Caste</w:t>
            </w:r>
          </w:p>
        </w:tc>
        <w:tc>
          <w:tcPr>
            <w:tcW w:w="1985" w:type="dxa"/>
            <w:shd w:val="clear" w:color="auto" w:fill="FFFFFF"/>
          </w:tcPr>
          <w:p w14:paraId="0C2989DD"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309AA87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1D006975" w14:textId="77777777" w:rsidTr="0000233C">
        <w:trPr>
          <w:trHeight w:val="264"/>
        </w:trPr>
        <w:tc>
          <w:tcPr>
            <w:tcW w:w="4536" w:type="dxa"/>
            <w:shd w:val="clear" w:color="auto" w:fill="FFFFFF"/>
          </w:tcPr>
          <w:p w14:paraId="13E9812E"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Forward / open category</w:t>
            </w:r>
          </w:p>
        </w:tc>
        <w:tc>
          <w:tcPr>
            <w:tcW w:w="1985" w:type="dxa"/>
            <w:shd w:val="clear" w:color="auto" w:fill="FFFFFF"/>
          </w:tcPr>
          <w:p w14:paraId="000D754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52</w:t>
            </w:r>
          </w:p>
        </w:tc>
        <w:tc>
          <w:tcPr>
            <w:tcW w:w="992" w:type="dxa"/>
            <w:shd w:val="clear" w:color="auto" w:fill="FFFFFF"/>
          </w:tcPr>
          <w:p w14:paraId="1F5863F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25.9</w:t>
            </w:r>
          </w:p>
        </w:tc>
      </w:tr>
      <w:tr w:rsidR="0000233C" w:rsidRPr="00787196" w14:paraId="11A03EFF" w14:textId="77777777" w:rsidTr="0000233C">
        <w:trPr>
          <w:trHeight w:val="143"/>
        </w:trPr>
        <w:tc>
          <w:tcPr>
            <w:tcW w:w="4536" w:type="dxa"/>
            <w:shd w:val="clear" w:color="auto" w:fill="FFFFFF"/>
          </w:tcPr>
          <w:p w14:paraId="33DA6361" w14:textId="77777777" w:rsidR="0000233C" w:rsidRPr="00787196" w:rsidRDefault="0000233C" w:rsidP="0000233C">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Historically oppressed castes</w:t>
            </w:r>
          </w:p>
        </w:tc>
        <w:tc>
          <w:tcPr>
            <w:tcW w:w="1985" w:type="dxa"/>
            <w:shd w:val="clear" w:color="auto" w:fill="FFFFFF"/>
          </w:tcPr>
          <w:p w14:paraId="5C234AB7"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149</w:t>
            </w:r>
          </w:p>
        </w:tc>
        <w:tc>
          <w:tcPr>
            <w:tcW w:w="992" w:type="dxa"/>
            <w:tcBorders>
              <w:left w:val="nil"/>
              <w:right w:val="nil"/>
            </w:tcBorders>
            <w:shd w:val="clear" w:color="auto" w:fill="FFFFFF"/>
          </w:tcPr>
          <w:p w14:paraId="50F63D73"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74.1</w:t>
            </w:r>
          </w:p>
        </w:tc>
      </w:tr>
      <w:tr w:rsidR="0000233C" w:rsidRPr="00787196" w14:paraId="113D349D" w14:textId="77777777" w:rsidTr="0000233C">
        <w:trPr>
          <w:trHeight w:val="143"/>
        </w:trPr>
        <w:tc>
          <w:tcPr>
            <w:tcW w:w="4536" w:type="dxa"/>
            <w:shd w:val="clear" w:color="auto" w:fill="FFFFFF"/>
          </w:tcPr>
          <w:p w14:paraId="4B9D646C" w14:textId="77777777" w:rsidR="0000233C" w:rsidRPr="00787196" w:rsidRDefault="0000233C" w:rsidP="0000233C">
            <w:pPr>
              <w:autoSpaceDE w:val="0"/>
              <w:autoSpaceDN w:val="0"/>
              <w:adjustRightInd w:val="0"/>
              <w:spacing w:before="0" w:after="0" w:line="240" w:lineRule="auto"/>
              <w:rPr>
                <w:rFonts w:cs="Arial"/>
                <w:color w:val="000000"/>
                <w:sz w:val="20"/>
                <w:szCs w:val="20"/>
              </w:rPr>
            </w:pPr>
          </w:p>
        </w:tc>
        <w:tc>
          <w:tcPr>
            <w:tcW w:w="1985" w:type="dxa"/>
            <w:shd w:val="clear" w:color="auto" w:fill="FFFFFF"/>
          </w:tcPr>
          <w:p w14:paraId="70226E61"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992" w:type="dxa"/>
            <w:tcBorders>
              <w:left w:val="nil"/>
              <w:right w:val="nil"/>
            </w:tcBorders>
            <w:shd w:val="clear" w:color="auto" w:fill="FFFFFF"/>
          </w:tcPr>
          <w:p w14:paraId="73F175B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bl>
    <w:p w14:paraId="00385BB8" w14:textId="77777777" w:rsidR="003933F2" w:rsidRPr="00787196" w:rsidRDefault="003933F2" w:rsidP="003933F2"/>
    <w:p w14:paraId="741823C1" w14:textId="6832E45F" w:rsidR="0000233C" w:rsidRPr="00787196" w:rsidRDefault="00712611" w:rsidP="00D9694A">
      <w:pPr>
        <w:pStyle w:val="Heading3"/>
      </w:pPr>
      <w:r w:rsidRPr="00787196">
        <w:br w:type="page"/>
      </w:r>
      <w:bookmarkStart w:id="834" w:name="_Toc456211220"/>
    </w:p>
    <w:p w14:paraId="391F78F0" w14:textId="34B07997" w:rsidR="00712611" w:rsidRPr="00787196" w:rsidRDefault="00712611" w:rsidP="00D9694A">
      <w:pPr>
        <w:pStyle w:val="Heading3"/>
        <w:numPr>
          <w:ilvl w:val="0"/>
          <w:numId w:val="0"/>
        </w:numPr>
      </w:pPr>
      <w:bookmarkStart w:id="835" w:name="_Toc488655715"/>
      <w:r w:rsidRPr="00787196">
        <w:lastRenderedPageBreak/>
        <w:t>Clinical data</w:t>
      </w:r>
      <w:bookmarkEnd w:id="834"/>
      <w:bookmarkEnd w:id="835"/>
    </w:p>
    <w:tbl>
      <w:tblPr>
        <w:tblpPr w:leftFromText="180" w:rightFromText="180" w:vertAnchor="text" w:horzAnchor="margin" w:tblpY="54"/>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969"/>
        <w:gridCol w:w="1843"/>
        <w:gridCol w:w="2268"/>
      </w:tblGrid>
      <w:tr w:rsidR="00F61740" w:rsidRPr="00787196" w14:paraId="5B26CA03" w14:textId="77777777" w:rsidTr="000E5B65">
        <w:trPr>
          <w:trHeight w:val="577"/>
        </w:trPr>
        <w:tc>
          <w:tcPr>
            <w:tcW w:w="3969" w:type="dxa"/>
            <w:tcBorders>
              <w:left w:val="nil"/>
              <w:bottom w:val="single" w:sz="8" w:space="0" w:color="000000"/>
              <w:right w:val="nil"/>
            </w:tcBorders>
            <w:shd w:val="clear" w:color="auto" w:fill="FFFFFF"/>
            <w:vAlign w:val="center"/>
          </w:tcPr>
          <w:p w14:paraId="549196E9" w14:textId="77777777" w:rsidR="00F61740" w:rsidRPr="00787196" w:rsidRDefault="00F61740" w:rsidP="000E5B65">
            <w:pPr>
              <w:autoSpaceDE w:val="0"/>
              <w:autoSpaceDN w:val="0"/>
              <w:adjustRightInd w:val="0"/>
              <w:spacing w:before="0" w:after="0" w:line="240" w:lineRule="auto"/>
              <w:rPr>
                <w:rFonts w:cs="Arial"/>
                <w:b/>
                <w:bCs/>
                <w:color w:val="000000"/>
                <w:szCs w:val="24"/>
              </w:rPr>
            </w:pPr>
            <w:r w:rsidRPr="00787196">
              <w:rPr>
                <w:rFonts w:cs="Arial"/>
                <w:b/>
                <w:bCs/>
                <w:color w:val="000000"/>
                <w:szCs w:val="24"/>
              </w:rPr>
              <w:t>Clinical data</w:t>
            </w:r>
          </w:p>
        </w:tc>
        <w:tc>
          <w:tcPr>
            <w:tcW w:w="1843" w:type="dxa"/>
            <w:tcBorders>
              <w:left w:val="nil"/>
              <w:bottom w:val="single" w:sz="8" w:space="0" w:color="000000"/>
              <w:right w:val="nil"/>
            </w:tcBorders>
            <w:shd w:val="clear" w:color="auto" w:fill="FFFFFF"/>
            <w:vAlign w:val="center"/>
          </w:tcPr>
          <w:p w14:paraId="70574F12" w14:textId="77777777" w:rsidR="00F61740" w:rsidRPr="00787196" w:rsidRDefault="00F61740" w:rsidP="000E5B65">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w:t>
            </w:r>
          </w:p>
        </w:tc>
        <w:tc>
          <w:tcPr>
            <w:tcW w:w="2268" w:type="dxa"/>
            <w:tcBorders>
              <w:left w:val="nil"/>
              <w:bottom w:val="single" w:sz="8" w:space="0" w:color="000000"/>
              <w:right w:val="nil"/>
            </w:tcBorders>
            <w:shd w:val="clear" w:color="auto" w:fill="FFFFFF"/>
            <w:vAlign w:val="center"/>
          </w:tcPr>
          <w:p w14:paraId="60814AFE" w14:textId="77777777" w:rsidR="00F61740" w:rsidRPr="00787196" w:rsidRDefault="00F61740" w:rsidP="000E5B65">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w:t>
            </w:r>
          </w:p>
        </w:tc>
      </w:tr>
      <w:tr w:rsidR="00F61740" w:rsidRPr="00787196" w14:paraId="37ABEEEA" w14:textId="77777777" w:rsidTr="000E5B65">
        <w:trPr>
          <w:trHeight w:val="228"/>
        </w:trPr>
        <w:tc>
          <w:tcPr>
            <w:tcW w:w="3969" w:type="dxa"/>
            <w:tcBorders>
              <w:left w:val="nil"/>
              <w:bottom w:val="nil"/>
              <w:right w:val="nil"/>
            </w:tcBorders>
            <w:shd w:val="clear" w:color="auto" w:fill="FFFFFF"/>
            <w:vAlign w:val="center"/>
          </w:tcPr>
          <w:p w14:paraId="7A20C9D3" w14:textId="77777777" w:rsidR="00F61740" w:rsidRPr="00787196" w:rsidRDefault="00F61740" w:rsidP="000E5B65">
            <w:pPr>
              <w:autoSpaceDE w:val="0"/>
              <w:autoSpaceDN w:val="0"/>
              <w:adjustRightInd w:val="0"/>
              <w:spacing w:before="0" w:after="0" w:line="240" w:lineRule="auto"/>
              <w:ind w:left="142"/>
              <w:rPr>
                <w:rFonts w:cs="Arial"/>
                <w:b/>
                <w:bCs/>
                <w:color w:val="000000"/>
                <w:szCs w:val="24"/>
              </w:rPr>
            </w:pPr>
          </w:p>
        </w:tc>
        <w:tc>
          <w:tcPr>
            <w:tcW w:w="1843" w:type="dxa"/>
            <w:tcBorders>
              <w:left w:val="nil"/>
              <w:bottom w:val="nil"/>
              <w:right w:val="nil"/>
            </w:tcBorders>
            <w:shd w:val="clear" w:color="auto" w:fill="FFFFFF"/>
          </w:tcPr>
          <w:p w14:paraId="56EBA3B4"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c>
          <w:tcPr>
            <w:tcW w:w="2268" w:type="dxa"/>
            <w:tcBorders>
              <w:left w:val="nil"/>
              <w:bottom w:val="nil"/>
              <w:right w:val="nil"/>
            </w:tcBorders>
            <w:shd w:val="clear" w:color="auto" w:fill="FFFFFF"/>
          </w:tcPr>
          <w:p w14:paraId="28F41A91"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r>
      <w:tr w:rsidR="00F61740" w:rsidRPr="00787196" w14:paraId="14FBBB3C" w14:textId="77777777" w:rsidTr="000E5B65">
        <w:trPr>
          <w:trHeight w:val="228"/>
        </w:trPr>
        <w:tc>
          <w:tcPr>
            <w:tcW w:w="3969" w:type="dxa"/>
            <w:tcBorders>
              <w:top w:val="nil"/>
              <w:left w:val="nil"/>
              <w:bottom w:val="nil"/>
              <w:right w:val="nil"/>
            </w:tcBorders>
            <w:shd w:val="clear" w:color="auto" w:fill="FFFFFF"/>
            <w:vAlign w:val="center"/>
          </w:tcPr>
          <w:p w14:paraId="59F9505D"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b/>
                <w:bCs/>
                <w:color w:val="000000"/>
                <w:sz w:val="20"/>
                <w:szCs w:val="20"/>
              </w:rPr>
              <w:t>Missing teeth</w:t>
            </w:r>
          </w:p>
        </w:tc>
        <w:tc>
          <w:tcPr>
            <w:tcW w:w="1843" w:type="dxa"/>
            <w:tcBorders>
              <w:top w:val="nil"/>
              <w:left w:val="nil"/>
              <w:bottom w:val="nil"/>
              <w:right w:val="nil"/>
            </w:tcBorders>
            <w:shd w:val="clear" w:color="auto" w:fill="FFFFFF"/>
          </w:tcPr>
          <w:p w14:paraId="4C8CD2F5"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c>
          <w:tcPr>
            <w:tcW w:w="2268" w:type="dxa"/>
            <w:tcBorders>
              <w:top w:val="nil"/>
              <w:left w:val="nil"/>
              <w:bottom w:val="nil"/>
              <w:right w:val="nil"/>
            </w:tcBorders>
            <w:shd w:val="clear" w:color="auto" w:fill="FFFFFF"/>
          </w:tcPr>
          <w:p w14:paraId="5185CC4E"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r>
      <w:tr w:rsidR="00F61740" w:rsidRPr="00787196" w14:paraId="5C4F7B20" w14:textId="77777777" w:rsidTr="000E5B65">
        <w:trPr>
          <w:trHeight w:val="228"/>
        </w:trPr>
        <w:tc>
          <w:tcPr>
            <w:tcW w:w="3969" w:type="dxa"/>
            <w:tcBorders>
              <w:top w:val="nil"/>
              <w:left w:val="nil"/>
              <w:bottom w:val="nil"/>
              <w:right w:val="nil"/>
            </w:tcBorders>
            <w:shd w:val="clear" w:color="auto" w:fill="FFFFFF"/>
            <w:vAlign w:val="center"/>
          </w:tcPr>
          <w:p w14:paraId="184A99AF"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21 or more teeth (functional dentition)</w:t>
            </w:r>
          </w:p>
        </w:tc>
        <w:tc>
          <w:tcPr>
            <w:tcW w:w="1843" w:type="dxa"/>
            <w:tcBorders>
              <w:top w:val="nil"/>
              <w:left w:val="nil"/>
              <w:bottom w:val="nil"/>
              <w:right w:val="nil"/>
            </w:tcBorders>
            <w:shd w:val="clear" w:color="auto" w:fill="FFFFFF"/>
          </w:tcPr>
          <w:p w14:paraId="00F67A7D"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38</w:t>
            </w:r>
          </w:p>
        </w:tc>
        <w:tc>
          <w:tcPr>
            <w:tcW w:w="2268" w:type="dxa"/>
            <w:tcBorders>
              <w:top w:val="nil"/>
              <w:left w:val="nil"/>
              <w:bottom w:val="nil"/>
              <w:right w:val="nil"/>
            </w:tcBorders>
            <w:shd w:val="clear" w:color="auto" w:fill="FFFFFF"/>
          </w:tcPr>
          <w:p w14:paraId="0AC5AB76"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18.9</w:t>
            </w:r>
          </w:p>
        </w:tc>
      </w:tr>
      <w:tr w:rsidR="00F61740" w:rsidRPr="00787196" w14:paraId="5C8C87CD" w14:textId="77777777" w:rsidTr="000E5B65">
        <w:trPr>
          <w:trHeight w:val="228"/>
        </w:trPr>
        <w:tc>
          <w:tcPr>
            <w:tcW w:w="3969" w:type="dxa"/>
            <w:tcBorders>
              <w:top w:val="nil"/>
              <w:left w:val="nil"/>
              <w:bottom w:val="nil"/>
              <w:right w:val="nil"/>
            </w:tcBorders>
            <w:shd w:val="clear" w:color="auto" w:fill="FFFFFF"/>
            <w:vAlign w:val="center"/>
          </w:tcPr>
          <w:p w14:paraId="703354E0"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 xml:space="preserve">Less than 21 teeth </w:t>
            </w:r>
          </w:p>
        </w:tc>
        <w:tc>
          <w:tcPr>
            <w:tcW w:w="1843" w:type="dxa"/>
            <w:tcBorders>
              <w:top w:val="nil"/>
              <w:left w:val="nil"/>
              <w:bottom w:val="nil"/>
              <w:right w:val="nil"/>
            </w:tcBorders>
            <w:shd w:val="clear" w:color="auto" w:fill="FFFFFF"/>
          </w:tcPr>
          <w:p w14:paraId="7C4BFA3A"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54</w:t>
            </w:r>
          </w:p>
        </w:tc>
        <w:tc>
          <w:tcPr>
            <w:tcW w:w="2268" w:type="dxa"/>
            <w:tcBorders>
              <w:top w:val="nil"/>
              <w:left w:val="nil"/>
              <w:bottom w:val="nil"/>
              <w:right w:val="nil"/>
            </w:tcBorders>
            <w:shd w:val="clear" w:color="auto" w:fill="FFFFFF"/>
          </w:tcPr>
          <w:p w14:paraId="09CB6FCB"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26.9</w:t>
            </w:r>
          </w:p>
        </w:tc>
      </w:tr>
      <w:tr w:rsidR="00F61740" w:rsidRPr="00787196" w14:paraId="6184C881" w14:textId="77777777" w:rsidTr="000E5B65">
        <w:trPr>
          <w:trHeight w:val="138"/>
        </w:trPr>
        <w:tc>
          <w:tcPr>
            <w:tcW w:w="3969" w:type="dxa"/>
            <w:tcBorders>
              <w:top w:val="nil"/>
              <w:left w:val="nil"/>
              <w:bottom w:val="nil"/>
              <w:right w:val="nil"/>
            </w:tcBorders>
            <w:shd w:val="clear" w:color="auto" w:fill="FFFFFF"/>
            <w:vAlign w:val="center"/>
          </w:tcPr>
          <w:p w14:paraId="1642A123"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No teeth present</w:t>
            </w:r>
          </w:p>
        </w:tc>
        <w:tc>
          <w:tcPr>
            <w:tcW w:w="1843" w:type="dxa"/>
            <w:tcBorders>
              <w:top w:val="nil"/>
              <w:left w:val="nil"/>
              <w:bottom w:val="nil"/>
              <w:right w:val="nil"/>
            </w:tcBorders>
            <w:shd w:val="clear" w:color="auto" w:fill="FFFFFF"/>
          </w:tcPr>
          <w:p w14:paraId="152C7124"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109</w:t>
            </w:r>
          </w:p>
        </w:tc>
        <w:tc>
          <w:tcPr>
            <w:tcW w:w="2268" w:type="dxa"/>
            <w:tcBorders>
              <w:top w:val="nil"/>
              <w:left w:val="nil"/>
              <w:bottom w:val="nil"/>
              <w:right w:val="nil"/>
            </w:tcBorders>
            <w:shd w:val="clear" w:color="auto" w:fill="FFFFFF"/>
          </w:tcPr>
          <w:p w14:paraId="64FD391C"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54.2</w:t>
            </w:r>
          </w:p>
        </w:tc>
      </w:tr>
      <w:tr w:rsidR="00F61740" w:rsidRPr="00787196" w14:paraId="2812380C" w14:textId="77777777" w:rsidTr="000E5B65">
        <w:trPr>
          <w:trHeight w:val="138"/>
        </w:trPr>
        <w:tc>
          <w:tcPr>
            <w:tcW w:w="3969" w:type="dxa"/>
            <w:tcBorders>
              <w:top w:val="nil"/>
              <w:left w:val="nil"/>
              <w:bottom w:val="nil"/>
              <w:right w:val="nil"/>
            </w:tcBorders>
            <w:shd w:val="clear" w:color="auto" w:fill="FFFFFF"/>
            <w:vAlign w:val="center"/>
          </w:tcPr>
          <w:p w14:paraId="3E0CD4D4"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p>
        </w:tc>
        <w:tc>
          <w:tcPr>
            <w:tcW w:w="1843" w:type="dxa"/>
            <w:tcBorders>
              <w:top w:val="nil"/>
              <w:left w:val="nil"/>
              <w:bottom w:val="nil"/>
              <w:right w:val="nil"/>
            </w:tcBorders>
            <w:shd w:val="clear" w:color="auto" w:fill="FFFFFF"/>
          </w:tcPr>
          <w:p w14:paraId="0D4DAC4D"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c>
          <w:tcPr>
            <w:tcW w:w="2268" w:type="dxa"/>
            <w:tcBorders>
              <w:top w:val="nil"/>
              <w:left w:val="nil"/>
              <w:bottom w:val="nil"/>
              <w:right w:val="nil"/>
            </w:tcBorders>
            <w:shd w:val="clear" w:color="auto" w:fill="FFFFFF"/>
          </w:tcPr>
          <w:p w14:paraId="77D7ACEF"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r>
      <w:tr w:rsidR="00F61740" w:rsidRPr="00787196" w14:paraId="4403C34C" w14:textId="77777777" w:rsidTr="000E5B65">
        <w:trPr>
          <w:trHeight w:val="138"/>
        </w:trPr>
        <w:tc>
          <w:tcPr>
            <w:tcW w:w="3969" w:type="dxa"/>
            <w:tcBorders>
              <w:top w:val="nil"/>
              <w:left w:val="nil"/>
              <w:bottom w:val="nil"/>
              <w:right w:val="nil"/>
            </w:tcBorders>
            <w:shd w:val="clear" w:color="auto" w:fill="FFFFFF"/>
            <w:vAlign w:val="center"/>
          </w:tcPr>
          <w:p w14:paraId="5DFCFB80" w14:textId="77777777" w:rsidR="00F61740" w:rsidRPr="00787196" w:rsidRDefault="00F61740" w:rsidP="000E5B65">
            <w:pPr>
              <w:autoSpaceDE w:val="0"/>
              <w:autoSpaceDN w:val="0"/>
              <w:adjustRightInd w:val="0"/>
              <w:spacing w:before="0" w:after="0" w:line="240" w:lineRule="auto"/>
              <w:ind w:left="142"/>
              <w:rPr>
                <w:rFonts w:cs="Arial"/>
                <w:b/>
                <w:bCs/>
                <w:color w:val="000000"/>
                <w:sz w:val="20"/>
                <w:szCs w:val="20"/>
              </w:rPr>
            </w:pPr>
            <w:r w:rsidRPr="00787196">
              <w:rPr>
                <w:rFonts w:cs="Arial"/>
                <w:b/>
                <w:bCs/>
                <w:color w:val="000000"/>
                <w:sz w:val="20"/>
                <w:szCs w:val="20"/>
              </w:rPr>
              <w:t>Occluding pairs</w:t>
            </w:r>
          </w:p>
        </w:tc>
        <w:tc>
          <w:tcPr>
            <w:tcW w:w="1843" w:type="dxa"/>
            <w:tcBorders>
              <w:top w:val="nil"/>
              <w:left w:val="nil"/>
              <w:bottom w:val="nil"/>
              <w:right w:val="nil"/>
            </w:tcBorders>
            <w:shd w:val="clear" w:color="auto" w:fill="FFFFFF"/>
          </w:tcPr>
          <w:p w14:paraId="4D4940DB"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c>
          <w:tcPr>
            <w:tcW w:w="2268" w:type="dxa"/>
            <w:tcBorders>
              <w:top w:val="nil"/>
              <w:left w:val="nil"/>
              <w:bottom w:val="nil"/>
              <w:right w:val="nil"/>
            </w:tcBorders>
            <w:shd w:val="clear" w:color="auto" w:fill="FFFFFF"/>
          </w:tcPr>
          <w:p w14:paraId="0E49E5DB"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p>
        </w:tc>
      </w:tr>
      <w:tr w:rsidR="00F61740" w:rsidRPr="00787196" w14:paraId="586E735B" w14:textId="77777777" w:rsidTr="000E5B65">
        <w:trPr>
          <w:trHeight w:val="138"/>
        </w:trPr>
        <w:tc>
          <w:tcPr>
            <w:tcW w:w="3969" w:type="dxa"/>
            <w:tcBorders>
              <w:top w:val="nil"/>
              <w:left w:val="nil"/>
              <w:bottom w:val="nil"/>
              <w:right w:val="nil"/>
            </w:tcBorders>
            <w:shd w:val="clear" w:color="auto" w:fill="FFFFFF"/>
            <w:vAlign w:val="center"/>
          </w:tcPr>
          <w:p w14:paraId="5F68120D"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Present</w:t>
            </w:r>
          </w:p>
        </w:tc>
        <w:tc>
          <w:tcPr>
            <w:tcW w:w="1843" w:type="dxa"/>
            <w:tcBorders>
              <w:top w:val="nil"/>
              <w:left w:val="nil"/>
              <w:bottom w:val="nil"/>
              <w:right w:val="nil"/>
            </w:tcBorders>
            <w:shd w:val="clear" w:color="auto" w:fill="FFFFFF"/>
          </w:tcPr>
          <w:p w14:paraId="36895597"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63</w:t>
            </w:r>
          </w:p>
        </w:tc>
        <w:tc>
          <w:tcPr>
            <w:tcW w:w="2268" w:type="dxa"/>
            <w:tcBorders>
              <w:top w:val="nil"/>
              <w:left w:val="nil"/>
              <w:bottom w:val="nil"/>
              <w:right w:val="nil"/>
            </w:tcBorders>
            <w:shd w:val="clear" w:color="auto" w:fill="FFFFFF"/>
          </w:tcPr>
          <w:p w14:paraId="4DA545AA"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31.3</w:t>
            </w:r>
          </w:p>
        </w:tc>
      </w:tr>
      <w:tr w:rsidR="00F61740" w:rsidRPr="00787196" w14:paraId="0E53BA4E" w14:textId="77777777" w:rsidTr="000E5B65">
        <w:trPr>
          <w:trHeight w:val="138"/>
        </w:trPr>
        <w:tc>
          <w:tcPr>
            <w:tcW w:w="3969" w:type="dxa"/>
            <w:tcBorders>
              <w:top w:val="nil"/>
              <w:left w:val="nil"/>
              <w:bottom w:val="nil"/>
              <w:right w:val="nil"/>
            </w:tcBorders>
            <w:shd w:val="clear" w:color="auto" w:fill="FFFFFF"/>
            <w:vAlign w:val="center"/>
          </w:tcPr>
          <w:p w14:paraId="204C59C7"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No occluding pairs</w:t>
            </w:r>
          </w:p>
        </w:tc>
        <w:tc>
          <w:tcPr>
            <w:tcW w:w="1843" w:type="dxa"/>
            <w:tcBorders>
              <w:top w:val="nil"/>
              <w:left w:val="nil"/>
              <w:bottom w:val="nil"/>
              <w:right w:val="nil"/>
            </w:tcBorders>
            <w:shd w:val="clear" w:color="auto" w:fill="FFFFFF"/>
          </w:tcPr>
          <w:p w14:paraId="2C1CFA77"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138</w:t>
            </w:r>
          </w:p>
        </w:tc>
        <w:tc>
          <w:tcPr>
            <w:tcW w:w="2268" w:type="dxa"/>
            <w:tcBorders>
              <w:top w:val="nil"/>
              <w:left w:val="nil"/>
              <w:bottom w:val="nil"/>
              <w:right w:val="nil"/>
            </w:tcBorders>
            <w:shd w:val="clear" w:color="auto" w:fill="FFFFFF"/>
          </w:tcPr>
          <w:p w14:paraId="6EC17288" w14:textId="77777777" w:rsidR="00F61740" w:rsidRPr="00787196" w:rsidRDefault="00F61740" w:rsidP="000E5B65">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68.7</w:t>
            </w:r>
          </w:p>
        </w:tc>
      </w:tr>
      <w:tr w:rsidR="00F61740" w:rsidRPr="00787196" w14:paraId="7006F6D1" w14:textId="77777777" w:rsidTr="000E5B65">
        <w:trPr>
          <w:trHeight w:val="138"/>
        </w:trPr>
        <w:tc>
          <w:tcPr>
            <w:tcW w:w="3969" w:type="dxa"/>
            <w:tcBorders>
              <w:top w:val="nil"/>
              <w:left w:val="nil"/>
              <w:bottom w:val="nil"/>
              <w:right w:val="nil"/>
            </w:tcBorders>
            <w:shd w:val="clear" w:color="auto" w:fill="FFFFFF"/>
            <w:vAlign w:val="center"/>
          </w:tcPr>
          <w:p w14:paraId="3D1EEF38" w14:textId="77777777" w:rsidR="00F61740" w:rsidRPr="00787196" w:rsidRDefault="00F61740" w:rsidP="000E5B65">
            <w:pPr>
              <w:autoSpaceDE w:val="0"/>
              <w:autoSpaceDN w:val="0"/>
              <w:adjustRightInd w:val="0"/>
              <w:spacing w:before="0" w:after="0" w:line="240" w:lineRule="auto"/>
              <w:ind w:left="142"/>
              <w:rPr>
                <w:rFonts w:cs="Arial"/>
                <w:b/>
                <w:bCs/>
                <w:color w:val="000000"/>
                <w:sz w:val="20"/>
                <w:szCs w:val="20"/>
              </w:rPr>
            </w:pPr>
          </w:p>
        </w:tc>
        <w:tc>
          <w:tcPr>
            <w:tcW w:w="1843" w:type="dxa"/>
            <w:tcBorders>
              <w:top w:val="nil"/>
              <w:left w:val="nil"/>
              <w:bottom w:val="nil"/>
              <w:right w:val="nil"/>
            </w:tcBorders>
            <w:shd w:val="clear" w:color="auto" w:fill="FFFFFF"/>
          </w:tcPr>
          <w:p w14:paraId="66CC099D"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c>
          <w:tcPr>
            <w:tcW w:w="2268" w:type="dxa"/>
            <w:tcBorders>
              <w:top w:val="nil"/>
              <w:left w:val="nil"/>
              <w:bottom w:val="nil"/>
              <w:right w:val="nil"/>
            </w:tcBorders>
            <w:shd w:val="clear" w:color="auto" w:fill="FFFFFF"/>
            <w:vAlign w:val="center"/>
          </w:tcPr>
          <w:p w14:paraId="3C99B6CF"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r>
      <w:tr w:rsidR="00F61740" w:rsidRPr="00787196" w14:paraId="44388020" w14:textId="77777777" w:rsidTr="000E5B65">
        <w:trPr>
          <w:trHeight w:val="138"/>
        </w:trPr>
        <w:tc>
          <w:tcPr>
            <w:tcW w:w="3969" w:type="dxa"/>
            <w:tcBorders>
              <w:top w:val="nil"/>
              <w:left w:val="nil"/>
              <w:bottom w:val="nil"/>
              <w:right w:val="nil"/>
            </w:tcBorders>
            <w:shd w:val="clear" w:color="auto" w:fill="FFFFFF"/>
            <w:vAlign w:val="center"/>
          </w:tcPr>
          <w:p w14:paraId="5637A50A" w14:textId="77777777" w:rsidR="00F61740" w:rsidRPr="00787196" w:rsidRDefault="00F61740" w:rsidP="000E5B65">
            <w:pPr>
              <w:autoSpaceDE w:val="0"/>
              <w:autoSpaceDN w:val="0"/>
              <w:adjustRightInd w:val="0"/>
              <w:spacing w:before="0" w:after="0" w:line="240" w:lineRule="auto"/>
              <w:ind w:left="142"/>
              <w:rPr>
                <w:rFonts w:cs="Arial"/>
                <w:b/>
                <w:bCs/>
                <w:color w:val="000000"/>
                <w:sz w:val="20"/>
                <w:szCs w:val="20"/>
              </w:rPr>
            </w:pPr>
          </w:p>
        </w:tc>
        <w:tc>
          <w:tcPr>
            <w:tcW w:w="1843" w:type="dxa"/>
            <w:tcBorders>
              <w:top w:val="nil"/>
              <w:left w:val="nil"/>
              <w:bottom w:val="nil"/>
              <w:right w:val="nil"/>
            </w:tcBorders>
            <w:shd w:val="clear" w:color="auto" w:fill="FFFFFF"/>
          </w:tcPr>
          <w:p w14:paraId="2FC346E0"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c>
          <w:tcPr>
            <w:tcW w:w="2268" w:type="dxa"/>
            <w:tcBorders>
              <w:top w:val="nil"/>
              <w:left w:val="nil"/>
              <w:bottom w:val="nil"/>
              <w:right w:val="nil"/>
            </w:tcBorders>
            <w:shd w:val="clear" w:color="auto" w:fill="FFFFFF"/>
            <w:vAlign w:val="center"/>
          </w:tcPr>
          <w:p w14:paraId="7182DBD5"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r>
      <w:tr w:rsidR="00F61740" w:rsidRPr="00787196" w14:paraId="0EACE6DB" w14:textId="77777777" w:rsidTr="000E5B65">
        <w:trPr>
          <w:trHeight w:val="138"/>
        </w:trPr>
        <w:tc>
          <w:tcPr>
            <w:tcW w:w="3969" w:type="dxa"/>
            <w:tcBorders>
              <w:top w:val="nil"/>
              <w:left w:val="nil"/>
              <w:bottom w:val="nil"/>
              <w:right w:val="nil"/>
            </w:tcBorders>
            <w:shd w:val="clear" w:color="auto" w:fill="FFFFFF"/>
            <w:vAlign w:val="center"/>
          </w:tcPr>
          <w:p w14:paraId="46982E4E" w14:textId="77777777" w:rsidR="00F61740" w:rsidRPr="00787196" w:rsidRDefault="00F61740" w:rsidP="000E5B65">
            <w:pPr>
              <w:autoSpaceDE w:val="0"/>
              <w:autoSpaceDN w:val="0"/>
              <w:adjustRightInd w:val="0"/>
              <w:spacing w:before="0" w:after="0" w:line="240" w:lineRule="auto"/>
              <w:ind w:left="142"/>
              <w:rPr>
                <w:rFonts w:cs="Arial"/>
                <w:b/>
                <w:bCs/>
                <w:color w:val="000000"/>
                <w:sz w:val="20"/>
                <w:szCs w:val="20"/>
              </w:rPr>
            </w:pPr>
            <w:r w:rsidRPr="00787196">
              <w:rPr>
                <w:rFonts w:cs="Arial"/>
                <w:b/>
                <w:bCs/>
                <w:color w:val="000000"/>
                <w:sz w:val="20"/>
                <w:szCs w:val="20"/>
              </w:rPr>
              <w:t>Time since last tooth loss episode</w:t>
            </w:r>
          </w:p>
        </w:tc>
        <w:tc>
          <w:tcPr>
            <w:tcW w:w="1843" w:type="dxa"/>
            <w:tcBorders>
              <w:top w:val="nil"/>
              <w:left w:val="nil"/>
              <w:bottom w:val="nil"/>
              <w:right w:val="nil"/>
            </w:tcBorders>
            <w:shd w:val="clear" w:color="auto" w:fill="FFFFFF"/>
          </w:tcPr>
          <w:p w14:paraId="573548A4"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c>
          <w:tcPr>
            <w:tcW w:w="2268" w:type="dxa"/>
            <w:tcBorders>
              <w:top w:val="nil"/>
              <w:left w:val="nil"/>
              <w:bottom w:val="nil"/>
              <w:right w:val="nil"/>
            </w:tcBorders>
            <w:shd w:val="clear" w:color="auto" w:fill="FFFFFF"/>
            <w:vAlign w:val="center"/>
          </w:tcPr>
          <w:p w14:paraId="3230A168"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r>
      <w:tr w:rsidR="00F61740" w:rsidRPr="00787196" w14:paraId="7BB4AE17" w14:textId="77777777" w:rsidTr="000E5B65">
        <w:trPr>
          <w:trHeight w:val="138"/>
        </w:trPr>
        <w:tc>
          <w:tcPr>
            <w:tcW w:w="3969" w:type="dxa"/>
            <w:tcBorders>
              <w:top w:val="nil"/>
              <w:left w:val="nil"/>
              <w:bottom w:val="nil"/>
              <w:right w:val="nil"/>
            </w:tcBorders>
            <w:shd w:val="clear" w:color="auto" w:fill="FFFFFF"/>
            <w:vAlign w:val="center"/>
          </w:tcPr>
          <w:p w14:paraId="1A210B65"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Less than 1 year</w:t>
            </w:r>
          </w:p>
        </w:tc>
        <w:tc>
          <w:tcPr>
            <w:tcW w:w="1843" w:type="dxa"/>
            <w:tcBorders>
              <w:top w:val="nil"/>
              <w:left w:val="nil"/>
              <w:bottom w:val="nil"/>
              <w:right w:val="nil"/>
            </w:tcBorders>
            <w:shd w:val="clear" w:color="auto" w:fill="FFFFFF"/>
          </w:tcPr>
          <w:p w14:paraId="00BEDF23" w14:textId="77777777" w:rsidR="00F61740" w:rsidRPr="00787196" w:rsidRDefault="00F61740" w:rsidP="000E5B65">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114</w:t>
            </w:r>
          </w:p>
        </w:tc>
        <w:tc>
          <w:tcPr>
            <w:tcW w:w="2268" w:type="dxa"/>
            <w:tcBorders>
              <w:top w:val="nil"/>
              <w:left w:val="nil"/>
              <w:bottom w:val="nil"/>
              <w:right w:val="nil"/>
            </w:tcBorders>
            <w:shd w:val="clear" w:color="auto" w:fill="FFFFFF"/>
            <w:vAlign w:val="center"/>
          </w:tcPr>
          <w:p w14:paraId="3582F318" w14:textId="77777777" w:rsidR="00F61740" w:rsidRPr="00787196" w:rsidRDefault="00F61740" w:rsidP="000E5B65">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56.7</w:t>
            </w:r>
          </w:p>
        </w:tc>
      </w:tr>
      <w:tr w:rsidR="00F61740" w:rsidRPr="00787196" w14:paraId="15F060CC" w14:textId="77777777" w:rsidTr="000E5B65">
        <w:trPr>
          <w:trHeight w:val="138"/>
        </w:trPr>
        <w:tc>
          <w:tcPr>
            <w:tcW w:w="3969" w:type="dxa"/>
            <w:tcBorders>
              <w:top w:val="nil"/>
              <w:left w:val="nil"/>
              <w:bottom w:val="nil"/>
              <w:right w:val="nil"/>
            </w:tcBorders>
            <w:shd w:val="clear" w:color="auto" w:fill="FFFFFF"/>
            <w:vAlign w:val="center"/>
          </w:tcPr>
          <w:p w14:paraId="5D87B3DF" w14:textId="77777777" w:rsidR="00F61740" w:rsidRPr="00787196" w:rsidRDefault="00F61740" w:rsidP="000E5B65">
            <w:pPr>
              <w:autoSpaceDE w:val="0"/>
              <w:autoSpaceDN w:val="0"/>
              <w:adjustRightInd w:val="0"/>
              <w:spacing w:before="0" w:after="0" w:line="240" w:lineRule="auto"/>
              <w:ind w:left="142"/>
              <w:rPr>
                <w:rFonts w:cs="Arial"/>
                <w:color w:val="000000"/>
                <w:sz w:val="20"/>
                <w:szCs w:val="20"/>
              </w:rPr>
            </w:pPr>
            <w:r w:rsidRPr="00787196">
              <w:rPr>
                <w:rFonts w:cs="Arial"/>
                <w:color w:val="000000"/>
                <w:sz w:val="20"/>
                <w:szCs w:val="20"/>
              </w:rPr>
              <w:t>More than a year</w:t>
            </w:r>
          </w:p>
        </w:tc>
        <w:tc>
          <w:tcPr>
            <w:tcW w:w="1843" w:type="dxa"/>
            <w:tcBorders>
              <w:top w:val="nil"/>
              <w:left w:val="nil"/>
              <w:bottom w:val="nil"/>
              <w:right w:val="nil"/>
            </w:tcBorders>
            <w:shd w:val="clear" w:color="auto" w:fill="FFFFFF"/>
          </w:tcPr>
          <w:p w14:paraId="3A0C543E" w14:textId="77777777" w:rsidR="00F61740" w:rsidRPr="00787196" w:rsidRDefault="00F61740" w:rsidP="000E5B65">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87</w:t>
            </w:r>
          </w:p>
        </w:tc>
        <w:tc>
          <w:tcPr>
            <w:tcW w:w="2268" w:type="dxa"/>
            <w:tcBorders>
              <w:top w:val="nil"/>
              <w:left w:val="nil"/>
              <w:bottom w:val="nil"/>
              <w:right w:val="nil"/>
            </w:tcBorders>
            <w:shd w:val="clear" w:color="auto" w:fill="FFFFFF"/>
            <w:vAlign w:val="center"/>
          </w:tcPr>
          <w:p w14:paraId="0608AD63" w14:textId="77777777" w:rsidR="00F61740" w:rsidRPr="00787196" w:rsidRDefault="00F61740" w:rsidP="000E5B65">
            <w:pPr>
              <w:autoSpaceDE w:val="0"/>
              <w:autoSpaceDN w:val="0"/>
              <w:adjustRightInd w:val="0"/>
              <w:spacing w:before="0" w:after="0" w:line="240" w:lineRule="auto"/>
              <w:ind w:left="142"/>
              <w:jc w:val="center"/>
              <w:rPr>
                <w:rFonts w:cs="Arial"/>
                <w:color w:val="000000"/>
                <w:sz w:val="20"/>
                <w:szCs w:val="20"/>
              </w:rPr>
            </w:pPr>
            <w:r w:rsidRPr="00787196">
              <w:rPr>
                <w:rFonts w:cs="Arial"/>
                <w:color w:val="000000"/>
                <w:sz w:val="20"/>
                <w:szCs w:val="20"/>
              </w:rPr>
              <w:t>43.3</w:t>
            </w:r>
          </w:p>
        </w:tc>
      </w:tr>
      <w:tr w:rsidR="00F61740" w:rsidRPr="00787196" w14:paraId="4DFDA1D5" w14:textId="77777777" w:rsidTr="000E5B65">
        <w:trPr>
          <w:trHeight w:val="111"/>
        </w:trPr>
        <w:tc>
          <w:tcPr>
            <w:tcW w:w="3969" w:type="dxa"/>
            <w:tcBorders>
              <w:top w:val="nil"/>
              <w:left w:val="nil"/>
              <w:bottom w:val="single" w:sz="8" w:space="0" w:color="000000"/>
              <w:right w:val="nil"/>
            </w:tcBorders>
            <w:shd w:val="clear" w:color="auto" w:fill="FFFFFF"/>
            <w:vAlign w:val="center"/>
          </w:tcPr>
          <w:p w14:paraId="41BE1D91" w14:textId="77777777" w:rsidR="00F61740" w:rsidRPr="00787196" w:rsidRDefault="00F61740" w:rsidP="000E5B65">
            <w:pPr>
              <w:autoSpaceDE w:val="0"/>
              <w:autoSpaceDN w:val="0"/>
              <w:adjustRightInd w:val="0"/>
              <w:spacing w:before="0" w:after="0" w:line="240" w:lineRule="auto"/>
              <w:rPr>
                <w:rFonts w:cs="Arial"/>
                <w:b/>
                <w:bCs/>
                <w:color w:val="000000"/>
                <w:sz w:val="20"/>
                <w:szCs w:val="20"/>
              </w:rPr>
            </w:pPr>
          </w:p>
        </w:tc>
        <w:tc>
          <w:tcPr>
            <w:tcW w:w="1843" w:type="dxa"/>
            <w:tcBorders>
              <w:top w:val="nil"/>
              <w:left w:val="nil"/>
              <w:bottom w:val="single" w:sz="8" w:space="0" w:color="000000"/>
              <w:right w:val="nil"/>
            </w:tcBorders>
            <w:shd w:val="clear" w:color="auto" w:fill="FFFFFF"/>
          </w:tcPr>
          <w:p w14:paraId="35812B01"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c>
          <w:tcPr>
            <w:tcW w:w="2268" w:type="dxa"/>
            <w:tcBorders>
              <w:top w:val="nil"/>
              <w:left w:val="nil"/>
              <w:bottom w:val="single" w:sz="8" w:space="0" w:color="000000"/>
              <w:right w:val="nil"/>
            </w:tcBorders>
            <w:shd w:val="clear" w:color="auto" w:fill="FFFFFF"/>
            <w:vAlign w:val="center"/>
          </w:tcPr>
          <w:p w14:paraId="375B8B59" w14:textId="77777777" w:rsidR="00F61740" w:rsidRPr="00787196" w:rsidRDefault="00F61740" w:rsidP="000E5B65">
            <w:pPr>
              <w:autoSpaceDE w:val="0"/>
              <w:autoSpaceDN w:val="0"/>
              <w:adjustRightInd w:val="0"/>
              <w:spacing w:before="0" w:after="0" w:line="240" w:lineRule="auto"/>
              <w:ind w:left="142"/>
              <w:jc w:val="center"/>
              <w:rPr>
                <w:rFonts w:cs="Arial"/>
                <w:b/>
                <w:bCs/>
                <w:color w:val="000000"/>
                <w:sz w:val="20"/>
                <w:szCs w:val="20"/>
              </w:rPr>
            </w:pPr>
          </w:p>
        </w:tc>
      </w:tr>
    </w:tbl>
    <w:p w14:paraId="203244EB" w14:textId="77777777" w:rsidR="00A3661E" w:rsidRPr="00787196" w:rsidRDefault="00A3661E" w:rsidP="00A3661E">
      <w:pPr>
        <w:rPr>
          <w:sz w:val="20"/>
          <w:szCs w:val="20"/>
        </w:rPr>
      </w:pPr>
    </w:p>
    <w:tbl>
      <w:tblPr>
        <w:tblpPr w:leftFromText="180" w:rightFromText="180" w:vertAnchor="text" w:horzAnchor="margin" w:tblpY="124"/>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57"/>
        <w:gridCol w:w="1009"/>
        <w:gridCol w:w="1357"/>
        <w:gridCol w:w="1273"/>
        <w:gridCol w:w="1396"/>
      </w:tblGrid>
      <w:tr w:rsidR="0000233C" w:rsidRPr="00787196" w14:paraId="5CBF0FBE" w14:textId="77777777" w:rsidTr="00E915A9">
        <w:trPr>
          <w:trHeight w:val="428"/>
        </w:trPr>
        <w:tc>
          <w:tcPr>
            <w:tcW w:w="3057" w:type="dxa"/>
            <w:vMerge w:val="restart"/>
            <w:tcBorders>
              <w:left w:val="nil"/>
              <w:right w:val="nil"/>
            </w:tcBorders>
            <w:shd w:val="clear" w:color="auto" w:fill="FFFFFF"/>
            <w:vAlign w:val="center"/>
          </w:tcPr>
          <w:p w14:paraId="785DD37E" w14:textId="77777777" w:rsidR="0000233C" w:rsidRPr="00787196" w:rsidRDefault="0000233C" w:rsidP="0000233C">
            <w:pPr>
              <w:autoSpaceDE w:val="0"/>
              <w:autoSpaceDN w:val="0"/>
              <w:adjustRightInd w:val="0"/>
              <w:spacing w:before="0" w:after="0" w:line="240" w:lineRule="auto"/>
              <w:rPr>
                <w:rFonts w:cs="Arial"/>
                <w:b/>
                <w:bCs/>
                <w:color w:val="000000"/>
                <w:szCs w:val="24"/>
              </w:rPr>
            </w:pPr>
            <w:r w:rsidRPr="00787196">
              <w:rPr>
                <w:rFonts w:cs="Arial"/>
                <w:b/>
                <w:bCs/>
                <w:color w:val="000000"/>
                <w:szCs w:val="24"/>
              </w:rPr>
              <w:t>Clinical data</w:t>
            </w:r>
          </w:p>
        </w:tc>
        <w:tc>
          <w:tcPr>
            <w:tcW w:w="2366" w:type="dxa"/>
            <w:gridSpan w:val="2"/>
            <w:tcBorders>
              <w:left w:val="nil"/>
              <w:bottom w:val="nil"/>
              <w:right w:val="nil"/>
            </w:tcBorders>
            <w:shd w:val="clear" w:color="auto" w:fill="FFFFFF"/>
            <w:vAlign w:val="center"/>
          </w:tcPr>
          <w:p w14:paraId="4287780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b/>
                <w:bCs/>
                <w:color w:val="000000"/>
                <w:sz w:val="20"/>
                <w:szCs w:val="20"/>
              </w:rPr>
              <w:t>Upper</w:t>
            </w:r>
          </w:p>
        </w:tc>
        <w:tc>
          <w:tcPr>
            <w:tcW w:w="2669" w:type="dxa"/>
            <w:gridSpan w:val="2"/>
            <w:tcBorders>
              <w:left w:val="nil"/>
              <w:bottom w:val="nil"/>
              <w:right w:val="nil"/>
            </w:tcBorders>
            <w:shd w:val="clear" w:color="auto" w:fill="FFFFFF"/>
            <w:vAlign w:val="center"/>
          </w:tcPr>
          <w:p w14:paraId="62150DC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b/>
                <w:bCs/>
                <w:color w:val="000000"/>
                <w:sz w:val="20"/>
                <w:szCs w:val="20"/>
              </w:rPr>
              <w:t>Lower</w:t>
            </w:r>
          </w:p>
        </w:tc>
      </w:tr>
      <w:tr w:rsidR="0000233C" w:rsidRPr="00787196" w14:paraId="4ED1A844" w14:textId="77777777" w:rsidTr="00E915A9">
        <w:trPr>
          <w:trHeight w:val="302"/>
        </w:trPr>
        <w:tc>
          <w:tcPr>
            <w:tcW w:w="3057" w:type="dxa"/>
            <w:vMerge/>
            <w:tcBorders>
              <w:left w:val="nil"/>
              <w:bottom w:val="single" w:sz="8" w:space="0" w:color="000000"/>
              <w:right w:val="nil"/>
            </w:tcBorders>
            <w:shd w:val="clear" w:color="auto" w:fill="FFFFFF"/>
            <w:vAlign w:val="center"/>
          </w:tcPr>
          <w:p w14:paraId="28CBD48D" w14:textId="77777777" w:rsidR="0000233C" w:rsidRPr="00787196" w:rsidRDefault="0000233C" w:rsidP="0000233C">
            <w:pPr>
              <w:autoSpaceDE w:val="0"/>
              <w:autoSpaceDN w:val="0"/>
              <w:adjustRightInd w:val="0"/>
              <w:spacing w:before="0" w:after="0" w:line="240" w:lineRule="auto"/>
              <w:rPr>
                <w:rFonts w:cs="Arial"/>
                <w:b/>
                <w:bCs/>
                <w:color w:val="000000"/>
                <w:szCs w:val="24"/>
              </w:rPr>
            </w:pPr>
          </w:p>
        </w:tc>
        <w:tc>
          <w:tcPr>
            <w:tcW w:w="1009" w:type="dxa"/>
            <w:tcBorders>
              <w:top w:val="nil"/>
              <w:left w:val="nil"/>
              <w:bottom w:val="single" w:sz="8" w:space="0" w:color="000000"/>
              <w:right w:val="nil"/>
            </w:tcBorders>
            <w:shd w:val="clear" w:color="auto" w:fill="FFFFFF"/>
          </w:tcPr>
          <w:p w14:paraId="2EA5E79C" w14:textId="77777777" w:rsidR="0000233C" w:rsidRPr="00787196" w:rsidRDefault="0000233C" w:rsidP="0000233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w:t>
            </w:r>
          </w:p>
        </w:tc>
        <w:tc>
          <w:tcPr>
            <w:tcW w:w="1356" w:type="dxa"/>
            <w:tcBorders>
              <w:top w:val="nil"/>
              <w:left w:val="nil"/>
              <w:bottom w:val="single" w:sz="8" w:space="0" w:color="000000"/>
              <w:right w:val="nil"/>
            </w:tcBorders>
            <w:shd w:val="clear" w:color="auto" w:fill="FFFFFF"/>
          </w:tcPr>
          <w:p w14:paraId="2DB322F7" w14:textId="77777777" w:rsidR="0000233C" w:rsidRPr="00787196" w:rsidRDefault="0000233C" w:rsidP="0000233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w:t>
            </w:r>
          </w:p>
        </w:tc>
        <w:tc>
          <w:tcPr>
            <w:tcW w:w="1273" w:type="dxa"/>
            <w:tcBorders>
              <w:top w:val="nil"/>
              <w:left w:val="nil"/>
              <w:bottom w:val="single" w:sz="8" w:space="0" w:color="000000"/>
              <w:right w:val="nil"/>
            </w:tcBorders>
            <w:shd w:val="clear" w:color="auto" w:fill="FFFFFF"/>
          </w:tcPr>
          <w:p w14:paraId="4C5128A9" w14:textId="77777777" w:rsidR="0000233C" w:rsidRPr="00787196" w:rsidRDefault="0000233C" w:rsidP="0000233C">
            <w:pPr>
              <w:autoSpaceDE w:val="0"/>
              <w:autoSpaceDN w:val="0"/>
              <w:adjustRightInd w:val="0"/>
              <w:spacing w:before="0" w:after="0" w:line="240" w:lineRule="auto"/>
              <w:jc w:val="center"/>
              <w:rPr>
                <w:rFonts w:cs="Arial"/>
                <w:b/>
                <w:bCs/>
                <w:color w:val="000000"/>
                <w:sz w:val="20"/>
                <w:szCs w:val="20"/>
              </w:rPr>
            </w:pPr>
            <w:r w:rsidRPr="00787196">
              <w:rPr>
                <w:rFonts w:cs="Arial"/>
                <w:b/>
                <w:bCs/>
                <w:color w:val="000000"/>
                <w:sz w:val="20"/>
                <w:szCs w:val="20"/>
              </w:rPr>
              <w:t>n</w:t>
            </w:r>
          </w:p>
        </w:tc>
        <w:tc>
          <w:tcPr>
            <w:tcW w:w="1396" w:type="dxa"/>
            <w:tcBorders>
              <w:top w:val="nil"/>
              <w:left w:val="nil"/>
              <w:bottom w:val="single" w:sz="8" w:space="0" w:color="000000"/>
              <w:right w:val="nil"/>
            </w:tcBorders>
            <w:shd w:val="clear" w:color="auto" w:fill="FFFFFF"/>
          </w:tcPr>
          <w:p w14:paraId="6091A772" w14:textId="77777777" w:rsidR="0000233C" w:rsidRPr="00787196" w:rsidRDefault="0000233C" w:rsidP="0000233C">
            <w:pPr>
              <w:autoSpaceDE w:val="0"/>
              <w:autoSpaceDN w:val="0"/>
              <w:adjustRightInd w:val="0"/>
              <w:spacing w:before="0" w:after="0" w:line="240" w:lineRule="auto"/>
              <w:jc w:val="center"/>
              <w:rPr>
                <w:rFonts w:cs="Arial"/>
                <w:b/>
                <w:bCs/>
                <w:color w:val="000000"/>
                <w:sz w:val="22"/>
              </w:rPr>
            </w:pPr>
            <w:r w:rsidRPr="00787196">
              <w:rPr>
                <w:rFonts w:cs="Arial"/>
                <w:b/>
                <w:bCs/>
                <w:color w:val="000000"/>
                <w:sz w:val="20"/>
                <w:szCs w:val="20"/>
              </w:rPr>
              <w:t>%</w:t>
            </w:r>
          </w:p>
        </w:tc>
      </w:tr>
      <w:tr w:rsidR="0000233C" w:rsidRPr="00787196" w14:paraId="038D457B" w14:textId="77777777" w:rsidTr="00E915A9">
        <w:trPr>
          <w:trHeight w:val="291"/>
        </w:trPr>
        <w:tc>
          <w:tcPr>
            <w:tcW w:w="3057" w:type="dxa"/>
            <w:tcBorders>
              <w:top w:val="single" w:sz="8" w:space="0" w:color="000000"/>
              <w:left w:val="nil"/>
              <w:bottom w:val="nil"/>
              <w:right w:val="nil"/>
            </w:tcBorders>
            <w:shd w:val="clear" w:color="auto" w:fill="FFFFFF"/>
            <w:vAlign w:val="center"/>
          </w:tcPr>
          <w:p w14:paraId="5C31091A" w14:textId="77777777" w:rsidR="0000233C" w:rsidRPr="00787196" w:rsidRDefault="0000233C" w:rsidP="0000233C">
            <w:pPr>
              <w:autoSpaceDE w:val="0"/>
              <w:autoSpaceDN w:val="0"/>
              <w:adjustRightInd w:val="0"/>
              <w:spacing w:before="0" w:after="0" w:line="240" w:lineRule="auto"/>
              <w:rPr>
                <w:rFonts w:cs="Arial"/>
                <w:b/>
                <w:bCs/>
                <w:color w:val="000000"/>
                <w:sz w:val="20"/>
                <w:szCs w:val="20"/>
              </w:rPr>
            </w:pPr>
          </w:p>
        </w:tc>
        <w:tc>
          <w:tcPr>
            <w:tcW w:w="1009" w:type="dxa"/>
            <w:tcBorders>
              <w:top w:val="single" w:sz="8" w:space="0" w:color="000000"/>
              <w:left w:val="nil"/>
              <w:bottom w:val="nil"/>
              <w:right w:val="nil"/>
            </w:tcBorders>
            <w:shd w:val="clear" w:color="auto" w:fill="FFFFFF"/>
          </w:tcPr>
          <w:p w14:paraId="60370076"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56" w:type="dxa"/>
            <w:tcBorders>
              <w:top w:val="single" w:sz="8" w:space="0" w:color="000000"/>
              <w:left w:val="nil"/>
              <w:bottom w:val="nil"/>
              <w:right w:val="nil"/>
            </w:tcBorders>
            <w:shd w:val="clear" w:color="auto" w:fill="FFFFFF"/>
          </w:tcPr>
          <w:p w14:paraId="39199CCA"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273" w:type="dxa"/>
            <w:tcBorders>
              <w:top w:val="single" w:sz="8" w:space="0" w:color="000000"/>
              <w:left w:val="nil"/>
              <w:bottom w:val="nil"/>
              <w:right w:val="nil"/>
            </w:tcBorders>
            <w:shd w:val="clear" w:color="auto" w:fill="FFFFFF"/>
          </w:tcPr>
          <w:p w14:paraId="26A0B6C5"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96" w:type="dxa"/>
            <w:tcBorders>
              <w:top w:val="single" w:sz="8" w:space="0" w:color="000000"/>
              <w:left w:val="nil"/>
              <w:bottom w:val="nil"/>
              <w:right w:val="nil"/>
            </w:tcBorders>
            <w:shd w:val="clear" w:color="auto" w:fill="FFFFFF"/>
          </w:tcPr>
          <w:p w14:paraId="7E905EA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77629C76" w14:textId="77777777" w:rsidTr="00E915A9">
        <w:trPr>
          <w:trHeight w:val="291"/>
        </w:trPr>
        <w:tc>
          <w:tcPr>
            <w:tcW w:w="3057" w:type="dxa"/>
            <w:tcBorders>
              <w:top w:val="nil"/>
              <w:left w:val="nil"/>
              <w:bottom w:val="nil"/>
              <w:right w:val="nil"/>
            </w:tcBorders>
            <w:shd w:val="clear" w:color="auto" w:fill="FFFFFF"/>
            <w:vAlign w:val="center"/>
          </w:tcPr>
          <w:p w14:paraId="5DAF345B" w14:textId="77777777" w:rsidR="0000233C" w:rsidRPr="00787196" w:rsidRDefault="0000233C" w:rsidP="0000233C">
            <w:pPr>
              <w:autoSpaceDE w:val="0"/>
              <w:autoSpaceDN w:val="0"/>
              <w:adjustRightInd w:val="0"/>
              <w:spacing w:before="0" w:after="0" w:line="240" w:lineRule="auto"/>
              <w:rPr>
                <w:rFonts w:cs="Arial"/>
                <w:color w:val="000000"/>
                <w:sz w:val="20"/>
                <w:szCs w:val="20"/>
              </w:rPr>
            </w:pPr>
            <w:r w:rsidRPr="00787196">
              <w:rPr>
                <w:rFonts w:cs="Arial"/>
                <w:b/>
                <w:bCs/>
                <w:color w:val="000000"/>
                <w:sz w:val="20"/>
                <w:szCs w:val="20"/>
              </w:rPr>
              <w:t>Prosthetic status</w:t>
            </w:r>
          </w:p>
        </w:tc>
        <w:tc>
          <w:tcPr>
            <w:tcW w:w="1009" w:type="dxa"/>
            <w:tcBorders>
              <w:top w:val="nil"/>
              <w:left w:val="nil"/>
              <w:bottom w:val="nil"/>
              <w:right w:val="nil"/>
            </w:tcBorders>
            <w:shd w:val="clear" w:color="auto" w:fill="FFFFFF"/>
          </w:tcPr>
          <w:p w14:paraId="25787B80"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56" w:type="dxa"/>
            <w:tcBorders>
              <w:top w:val="nil"/>
              <w:left w:val="nil"/>
              <w:bottom w:val="nil"/>
              <w:right w:val="nil"/>
            </w:tcBorders>
            <w:shd w:val="clear" w:color="auto" w:fill="FFFFFF"/>
          </w:tcPr>
          <w:p w14:paraId="1A269B52"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273" w:type="dxa"/>
            <w:tcBorders>
              <w:top w:val="nil"/>
              <w:left w:val="nil"/>
              <w:bottom w:val="nil"/>
              <w:right w:val="nil"/>
            </w:tcBorders>
            <w:shd w:val="clear" w:color="auto" w:fill="FFFFFF"/>
          </w:tcPr>
          <w:p w14:paraId="562146A5"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96" w:type="dxa"/>
            <w:tcBorders>
              <w:top w:val="nil"/>
              <w:left w:val="nil"/>
              <w:bottom w:val="nil"/>
              <w:right w:val="nil"/>
            </w:tcBorders>
            <w:shd w:val="clear" w:color="auto" w:fill="FFFFFF"/>
          </w:tcPr>
          <w:p w14:paraId="55A00813"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54657F97" w14:textId="77777777" w:rsidTr="00E915A9">
        <w:trPr>
          <w:trHeight w:val="291"/>
        </w:trPr>
        <w:tc>
          <w:tcPr>
            <w:tcW w:w="3057" w:type="dxa"/>
            <w:tcBorders>
              <w:top w:val="nil"/>
              <w:left w:val="nil"/>
              <w:bottom w:val="nil"/>
              <w:right w:val="nil"/>
            </w:tcBorders>
            <w:shd w:val="clear" w:color="auto" w:fill="FFFFFF"/>
            <w:vAlign w:val="center"/>
          </w:tcPr>
          <w:p w14:paraId="1D1959B9" w14:textId="77777777" w:rsidR="0000233C" w:rsidRPr="00787196" w:rsidRDefault="0000233C" w:rsidP="0000233C">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 xml:space="preserve">No prosthesis </w:t>
            </w:r>
          </w:p>
        </w:tc>
        <w:tc>
          <w:tcPr>
            <w:tcW w:w="1009" w:type="dxa"/>
            <w:tcBorders>
              <w:top w:val="nil"/>
              <w:left w:val="nil"/>
              <w:bottom w:val="nil"/>
              <w:right w:val="nil"/>
            </w:tcBorders>
            <w:shd w:val="clear" w:color="auto" w:fill="FFFFFF"/>
          </w:tcPr>
          <w:p w14:paraId="7093D59C"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97</w:t>
            </w:r>
          </w:p>
        </w:tc>
        <w:tc>
          <w:tcPr>
            <w:tcW w:w="1356" w:type="dxa"/>
            <w:tcBorders>
              <w:top w:val="nil"/>
              <w:left w:val="nil"/>
              <w:bottom w:val="nil"/>
              <w:right w:val="nil"/>
            </w:tcBorders>
            <w:shd w:val="clear" w:color="auto" w:fill="FFFFFF"/>
          </w:tcPr>
          <w:p w14:paraId="7276C5D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48.3</w:t>
            </w:r>
          </w:p>
        </w:tc>
        <w:tc>
          <w:tcPr>
            <w:tcW w:w="1273" w:type="dxa"/>
            <w:tcBorders>
              <w:top w:val="nil"/>
              <w:left w:val="nil"/>
              <w:bottom w:val="nil"/>
              <w:right w:val="nil"/>
            </w:tcBorders>
            <w:shd w:val="clear" w:color="auto" w:fill="FFFFFF"/>
          </w:tcPr>
          <w:p w14:paraId="5190D931"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107</w:t>
            </w:r>
          </w:p>
        </w:tc>
        <w:tc>
          <w:tcPr>
            <w:tcW w:w="1396" w:type="dxa"/>
            <w:tcBorders>
              <w:top w:val="nil"/>
              <w:left w:val="nil"/>
              <w:bottom w:val="nil"/>
              <w:right w:val="nil"/>
            </w:tcBorders>
            <w:shd w:val="clear" w:color="auto" w:fill="FFFFFF"/>
          </w:tcPr>
          <w:p w14:paraId="3CE9120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53.2</w:t>
            </w:r>
          </w:p>
        </w:tc>
      </w:tr>
      <w:tr w:rsidR="0000233C" w:rsidRPr="00787196" w14:paraId="6969012B" w14:textId="77777777" w:rsidTr="00E915A9">
        <w:trPr>
          <w:trHeight w:val="126"/>
        </w:trPr>
        <w:tc>
          <w:tcPr>
            <w:tcW w:w="3057" w:type="dxa"/>
            <w:tcBorders>
              <w:top w:val="nil"/>
              <w:left w:val="nil"/>
              <w:bottom w:val="nil"/>
              <w:right w:val="nil"/>
            </w:tcBorders>
            <w:shd w:val="clear" w:color="auto" w:fill="FFFFFF"/>
            <w:vAlign w:val="center"/>
          </w:tcPr>
          <w:p w14:paraId="54DCB705" w14:textId="77777777" w:rsidR="0000233C" w:rsidRPr="00787196" w:rsidRDefault="0000233C" w:rsidP="0000233C">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Wearing dentures</w:t>
            </w:r>
          </w:p>
        </w:tc>
        <w:tc>
          <w:tcPr>
            <w:tcW w:w="1009" w:type="dxa"/>
            <w:tcBorders>
              <w:top w:val="nil"/>
              <w:left w:val="nil"/>
              <w:bottom w:val="nil"/>
              <w:right w:val="nil"/>
            </w:tcBorders>
            <w:shd w:val="clear" w:color="auto" w:fill="FFFFFF"/>
          </w:tcPr>
          <w:p w14:paraId="32661BA0"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104</w:t>
            </w:r>
          </w:p>
        </w:tc>
        <w:tc>
          <w:tcPr>
            <w:tcW w:w="1356" w:type="dxa"/>
            <w:tcBorders>
              <w:top w:val="nil"/>
              <w:left w:val="nil"/>
              <w:bottom w:val="nil"/>
              <w:right w:val="nil"/>
            </w:tcBorders>
            <w:shd w:val="clear" w:color="auto" w:fill="FFFFFF"/>
          </w:tcPr>
          <w:p w14:paraId="123E96A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51.7</w:t>
            </w:r>
          </w:p>
        </w:tc>
        <w:tc>
          <w:tcPr>
            <w:tcW w:w="1273" w:type="dxa"/>
            <w:tcBorders>
              <w:top w:val="nil"/>
              <w:left w:val="nil"/>
              <w:bottom w:val="nil"/>
              <w:right w:val="nil"/>
            </w:tcBorders>
            <w:shd w:val="clear" w:color="auto" w:fill="FFFFFF"/>
          </w:tcPr>
          <w:p w14:paraId="0627449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94</w:t>
            </w:r>
          </w:p>
        </w:tc>
        <w:tc>
          <w:tcPr>
            <w:tcW w:w="1396" w:type="dxa"/>
            <w:tcBorders>
              <w:top w:val="nil"/>
              <w:left w:val="nil"/>
              <w:bottom w:val="nil"/>
              <w:right w:val="nil"/>
            </w:tcBorders>
            <w:shd w:val="clear" w:color="auto" w:fill="FFFFFF"/>
          </w:tcPr>
          <w:p w14:paraId="2B8005B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46.8</w:t>
            </w:r>
          </w:p>
        </w:tc>
      </w:tr>
      <w:tr w:rsidR="0000233C" w:rsidRPr="00787196" w14:paraId="0E22F177" w14:textId="77777777" w:rsidTr="00E915A9">
        <w:trPr>
          <w:trHeight w:val="126"/>
        </w:trPr>
        <w:tc>
          <w:tcPr>
            <w:tcW w:w="3057" w:type="dxa"/>
            <w:tcBorders>
              <w:top w:val="nil"/>
              <w:left w:val="nil"/>
              <w:bottom w:val="nil"/>
              <w:right w:val="nil"/>
            </w:tcBorders>
            <w:shd w:val="clear" w:color="auto" w:fill="FFFFFF"/>
            <w:vAlign w:val="center"/>
          </w:tcPr>
          <w:p w14:paraId="7C5EC2D5" w14:textId="77777777" w:rsidR="0000233C" w:rsidRPr="00787196" w:rsidRDefault="0000233C" w:rsidP="0000233C">
            <w:pPr>
              <w:autoSpaceDE w:val="0"/>
              <w:autoSpaceDN w:val="0"/>
              <w:adjustRightInd w:val="0"/>
              <w:spacing w:before="0" w:after="0" w:line="240" w:lineRule="auto"/>
              <w:rPr>
                <w:rFonts w:cs="Arial"/>
                <w:color w:val="000000"/>
                <w:sz w:val="20"/>
                <w:szCs w:val="20"/>
              </w:rPr>
            </w:pPr>
          </w:p>
        </w:tc>
        <w:tc>
          <w:tcPr>
            <w:tcW w:w="1009" w:type="dxa"/>
            <w:tcBorders>
              <w:top w:val="nil"/>
              <w:left w:val="nil"/>
              <w:bottom w:val="nil"/>
              <w:right w:val="nil"/>
            </w:tcBorders>
            <w:shd w:val="clear" w:color="auto" w:fill="FFFFFF"/>
          </w:tcPr>
          <w:p w14:paraId="5A655B0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56" w:type="dxa"/>
            <w:tcBorders>
              <w:top w:val="nil"/>
              <w:left w:val="nil"/>
              <w:bottom w:val="nil"/>
              <w:right w:val="nil"/>
            </w:tcBorders>
            <w:shd w:val="clear" w:color="auto" w:fill="FFFFFF"/>
          </w:tcPr>
          <w:p w14:paraId="7D61892F"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273" w:type="dxa"/>
            <w:tcBorders>
              <w:top w:val="nil"/>
              <w:left w:val="nil"/>
              <w:bottom w:val="nil"/>
              <w:right w:val="nil"/>
            </w:tcBorders>
            <w:shd w:val="clear" w:color="auto" w:fill="FFFFFF"/>
          </w:tcPr>
          <w:p w14:paraId="21D8BD06"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96" w:type="dxa"/>
            <w:tcBorders>
              <w:top w:val="nil"/>
              <w:left w:val="nil"/>
              <w:bottom w:val="nil"/>
              <w:right w:val="nil"/>
            </w:tcBorders>
            <w:shd w:val="clear" w:color="auto" w:fill="FFFFFF"/>
          </w:tcPr>
          <w:p w14:paraId="12D846D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49AD50F5" w14:textId="77777777" w:rsidTr="00E915A9">
        <w:trPr>
          <w:trHeight w:val="175"/>
        </w:trPr>
        <w:tc>
          <w:tcPr>
            <w:tcW w:w="3057" w:type="dxa"/>
            <w:tcBorders>
              <w:top w:val="nil"/>
              <w:left w:val="nil"/>
              <w:bottom w:val="nil"/>
              <w:right w:val="nil"/>
            </w:tcBorders>
            <w:shd w:val="clear" w:color="auto" w:fill="FFFFFF"/>
            <w:vAlign w:val="center"/>
          </w:tcPr>
          <w:p w14:paraId="6D9614A8" w14:textId="77777777" w:rsidR="0000233C" w:rsidRPr="00787196" w:rsidRDefault="0000233C" w:rsidP="0000233C">
            <w:pPr>
              <w:autoSpaceDE w:val="0"/>
              <w:autoSpaceDN w:val="0"/>
              <w:adjustRightInd w:val="0"/>
              <w:spacing w:before="0" w:after="0" w:line="240" w:lineRule="auto"/>
              <w:rPr>
                <w:rFonts w:cs="Arial"/>
                <w:b/>
                <w:bCs/>
                <w:color w:val="000000"/>
                <w:sz w:val="20"/>
                <w:szCs w:val="20"/>
              </w:rPr>
            </w:pPr>
            <w:r w:rsidRPr="00787196">
              <w:rPr>
                <w:rFonts w:cs="Arial"/>
                <w:b/>
                <w:bCs/>
                <w:color w:val="000000"/>
                <w:sz w:val="20"/>
                <w:szCs w:val="20"/>
              </w:rPr>
              <w:t xml:space="preserve">Prosthetic need </w:t>
            </w:r>
          </w:p>
        </w:tc>
        <w:tc>
          <w:tcPr>
            <w:tcW w:w="1009" w:type="dxa"/>
            <w:tcBorders>
              <w:top w:val="nil"/>
              <w:left w:val="nil"/>
              <w:bottom w:val="nil"/>
              <w:right w:val="nil"/>
            </w:tcBorders>
            <w:shd w:val="clear" w:color="auto" w:fill="FFFFFF"/>
          </w:tcPr>
          <w:p w14:paraId="31A3543D"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56" w:type="dxa"/>
            <w:tcBorders>
              <w:top w:val="nil"/>
              <w:left w:val="nil"/>
              <w:bottom w:val="nil"/>
              <w:right w:val="nil"/>
            </w:tcBorders>
            <w:shd w:val="clear" w:color="auto" w:fill="FFFFFF"/>
          </w:tcPr>
          <w:p w14:paraId="61E36E8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273" w:type="dxa"/>
            <w:tcBorders>
              <w:top w:val="nil"/>
              <w:left w:val="nil"/>
              <w:bottom w:val="nil"/>
              <w:right w:val="nil"/>
            </w:tcBorders>
            <w:shd w:val="clear" w:color="auto" w:fill="FFFFFF"/>
          </w:tcPr>
          <w:p w14:paraId="6D13AD4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c>
          <w:tcPr>
            <w:tcW w:w="1396" w:type="dxa"/>
            <w:tcBorders>
              <w:top w:val="nil"/>
              <w:left w:val="nil"/>
              <w:bottom w:val="nil"/>
              <w:right w:val="nil"/>
            </w:tcBorders>
            <w:shd w:val="clear" w:color="auto" w:fill="FFFFFF"/>
          </w:tcPr>
          <w:p w14:paraId="26EC134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p>
        </w:tc>
      </w:tr>
      <w:tr w:rsidR="0000233C" w:rsidRPr="00787196" w14:paraId="353DE339" w14:textId="77777777" w:rsidTr="00E915A9">
        <w:trPr>
          <w:trHeight w:val="175"/>
        </w:trPr>
        <w:tc>
          <w:tcPr>
            <w:tcW w:w="3057" w:type="dxa"/>
            <w:tcBorders>
              <w:top w:val="nil"/>
              <w:left w:val="nil"/>
              <w:bottom w:val="nil"/>
              <w:right w:val="nil"/>
            </w:tcBorders>
            <w:shd w:val="clear" w:color="auto" w:fill="FFFFFF"/>
            <w:vAlign w:val="center"/>
          </w:tcPr>
          <w:p w14:paraId="190794A2" w14:textId="77777777" w:rsidR="0000233C" w:rsidRPr="00787196" w:rsidRDefault="0000233C" w:rsidP="0000233C">
            <w:pPr>
              <w:autoSpaceDE w:val="0"/>
              <w:autoSpaceDN w:val="0"/>
              <w:adjustRightInd w:val="0"/>
              <w:spacing w:before="0" w:after="0" w:line="240" w:lineRule="auto"/>
              <w:rPr>
                <w:rFonts w:cs="Arial"/>
                <w:b/>
                <w:bCs/>
                <w:color w:val="000000"/>
                <w:sz w:val="20"/>
                <w:szCs w:val="20"/>
              </w:rPr>
            </w:pPr>
            <w:r w:rsidRPr="00787196">
              <w:rPr>
                <w:rFonts w:cs="Arial"/>
                <w:color w:val="000000"/>
                <w:sz w:val="20"/>
                <w:szCs w:val="20"/>
              </w:rPr>
              <w:t>Partial dentures/ none needed</w:t>
            </w:r>
          </w:p>
        </w:tc>
        <w:tc>
          <w:tcPr>
            <w:tcW w:w="1009" w:type="dxa"/>
            <w:tcBorders>
              <w:top w:val="nil"/>
              <w:left w:val="nil"/>
              <w:bottom w:val="nil"/>
              <w:right w:val="nil"/>
            </w:tcBorders>
            <w:shd w:val="clear" w:color="auto" w:fill="FFFFFF"/>
          </w:tcPr>
          <w:p w14:paraId="52DDC53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73</w:t>
            </w:r>
          </w:p>
        </w:tc>
        <w:tc>
          <w:tcPr>
            <w:tcW w:w="1356" w:type="dxa"/>
            <w:tcBorders>
              <w:top w:val="nil"/>
              <w:left w:val="nil"/>
              <w:bottom w:val="nil"/>
              <w:right w:val="nil"/>
            </w:tcBorders>
            <w:shd w:val="clear" w:color="auto" w:fill="FFFFFF"/>
          </w:tcPr>
          <w:p w14:paraId="20E3E24B"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36.3</w:t>
            </w:r>
          </w:p>
        </w:tc>
        <w:tc>
          <w:tcPr>
            <w:tcW w:w="1273" w:type="dxa"/>
            <w:tcBorders>
              <w:top w:val="nil"/>
              <w:left w:val="nil"/>
              <w:bottom w:val="nil"/>
              <w:right w:val="nil"/>
            </w:tcBorders>
            <w:shd w:val="clear" w:color="auto" w:fill="FFFFFF"/>
          </w:tcPr>
          <w:p w14:paraId="616D0EC4"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84</w:t>
            </w:r>
          </w:p>
        </w:tc>
        <w:tc>
          <w:tcPr>
            <w:tcW w:w="1396" w:type="dxa"/>
            <w:tcBorders>
              <w:top w:val="nil"/>
              <w:left w:val="nil"/>
              <w:bottom w:val="nil"/>
              <w:right w:val="nil"/>
            </w:tcBorders>
            <w:shd w:val="clear" w:color="auto" w:fill="FFFFFF"/>
          </w:tcPr>
          <w:p w14:paraId="2FDC65E6"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41.8</w:t>
            </w:r>
          </w:p>
        </w:tc>
      </w:tr>
      <w:tr w:rsidR="0000233C" w:rsidRPr="00787196" w14:paraId="799413DA" w14:textId="77777777" w:rsidTr="00E915A9">
        <w:trPr>
          <w:trHeight w:val="175"/>
        </w:trPr>
        <w:tc>
          <w:tcPr>
            <w:tcW w:w="3057" w:type="dxa"/>
            <w:tcBorders>
              <w:top w:val="nil"/>
              <w:left w:val="nil"/>
              <w:bottom w:val="nil"/>
              <w:right w:val="nil"/>
            </w:tcBorders>
            <w:shd w:val="clear" w:color="auto" w:fill="FFFFFF"/>
            <w:vAlign w:val="center"/>
          </w:tcPr>
          <w:p w14:paraId="2242E42A" w14:textId="77777777" w:rsidR="0000233C" w:rsidRPr="00787196" w:rsidRDefault="0000233C" w:rsidP="0000233C">
            <w:pPr>
              <w:autoSpaceDE w:val="0"/>
              <w:autoSpaceDN w:val="0"/>
              <w:adjustRightInd w:val="0"/>
              <w:spacing w:before="0" w:after="0" w:line="240" w:lineRule="auto"/>
              <w:rPr>
                <w:rFonts w:cs="Arial"/>
                <w:color w:val="000000"/>
                <w:sz w:val="20"/>
                <w:szCs w:val="20"/>
              </w:rPr>
            </w:pPr>
            <w:r w:rsidRPr="00787196">
              <w:rPr>
                <w:rFonts w:cs="Arial"/>
                <w:color w:val="000000"/>
                <w:sz w:val="20"/>
                <w:szCs w:val="20"/>
              </w:rPr>
              <w:t>Need for a full prosthesis</w:t>
            </w:r>
          </w:p>
        </w:tc>
        <w:tc>
          <w:tcPr>
            <w:tcW w:w="1009" w:type="dxa"/>
            <w:tcBorders>
              <w:top w:val="nil"/>
              <w:left w:val="nil"/>
              <w:bottom w:val="nil"/>
              <w:right w:val="nil"/>
            </w:tcBorders>
            <w:shd w:val="clear" w:color="auto" w:fill="FFFFFF"/>
          </w:tcPr>
          <w:p w14:paraId="7B37ECA8"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128</w:t>
            </w:r>
          </w:p>
        </w:tc>
        <w:tc>
          <w:tcPr>
            <w:tcW w:w="1356" w:type="dxa"/>
            <w:tcBorders>
              <w:top w:val="nil"/>
              <w:left w:val="nil"/>
              <w:bottom w:val="nil"/>
              <w:right w:val="nil"/>
            </w:tcBorders>
            <w:shd w:val="clear" w:color="auto" w:fill="FFFFFF"/>
          </w:tcPr>
          <w:p w14:paraId="2B7EDB39"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63.7</w:t>
            </w:r>
          </w:p>
        </w:tc>
        <w:tc>
          <w:tcPr>
            <w:tcW w:w="1273" w:type="dxa"/>
            <w:tcBorders>
              <w:top w:val="nil"/>
              <w:left w:val="nil"/>
              <w:bottom w:val="nil"/>
              <w:right w:val="nil"/>
            </w:tcBorders>
            <w:shd w:val="clear" w:color="auto" w:fill="FFFFFF"/>
          </w:tcPr>
          <w:p w14:paraId="3CACECA7"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117</w:t>
            </w:r>
          </w:p>
        </w:tc>
        <w:tc>
          <w:tcPr>
            <w:tcW w:w="1396" w:type="dxa"/>
            <w:tcBorders>
              <w:top w:val="nil"/>
              <w:left w:val="nil"/>
              <w:bottom w:val="nil"/>
              <w:right w:val="nil"/>
            </w:tcBorders>
            <w:shd w:val="clear" w:color="auto" w:fill="FFFFFF"/>
          </w:tcPr>
          <w:p w14:paraId="50FF9F6E" w14:textId="77777777" w:rsidR="0000233C" w:rsidRPr="00787196" w:rsidRDefault="0000233C" w:rsidP="0000233C">
            <w:pPr>
              <w:autoSpaceDE w:val="0"/>
              <w:autoSpaceDN w:val="0"/>
              <w:adjustRightInd w:val="0"/>
              <w:spacing w:before="0" w:after="0" w:line="240" w:lineRule="auto"/>
              <w:jc w:val="center"/>
              <w:rPr>
                <w:rFonts w:cs="Arial"/>
                <w:color w:val="000000"/>
                <w:sz w:val="20"/>
                <w:szCs w:val="20"/>
              </w:rPr>
            </w:pPr>
            <w:r w:rsidRPr="00787196">
              <w:rPr>
                <w:rFonts w:cs="Arial"/>
                <w:color w:val="000000"/>
                <w:sz w:val="20"/>
                <w:szCs w:val="20"/>
              </w:rPr>
              <w:t>58.2</w:t>
            </w:r>
          </w:p>
        </w:tc>
      </w:tr>
      <w:tr w:rsidR="0000233C" w:rsidRPr="00787196" w14:paraId="62977A12" w14:textId="77777777" w:rsidTr="00E915A9">
        <w:trPr>
          <w:trHeight w:val="175"/>
        </w:trPr>
        <w:tc>
          <w:tcPr>
            <w:tcW w:w="3057" w:type="dxa"/>
            <w:tcBorders>
              <w:top w:val="nil"/>
              <w:left w:val="nil"/>
              <w:right w:val="nil"/>
            </w:tcBorders>
            <w:shd w:val="clear" w:color="auto" w:fill="FFFFFF"/>
            <w:vAlign w:val="center"/>
          </w:tcPr>
          <w:p w14:paraId="40CA8AAE" w14:textId="77777777" w:rsidR="0000233C" w:rsidRPr="00787196" w:rsidRDefault="0000233C" w:rsidP="0000233C">
            <w:pPr>
              <w:autoSpaceDE w:val="0"/>
              <w:autoSpaceDN w:val="0"/>
              <w:adjustRightInd w:val="0"/>
              <w:spacing w:before="0" w:after="0" w:line="240" w:lineRule="auto"/>
              <w:rPr>
                <w:rFonts w:cs="Arial"/>
                <w:color w:val="000000"/>
                <w:sz w:val="20"/>
                <w:szCs w:val="20"/>
              </w:rPr>
            </w:pPr>
          </w:p>
        </w:tc>
        <w:tc>
          <w:tcPr>
            <w:tcW w:w="1009" w:type="dxa"/>
            <w:tcBorders>
              <w:top w:val="nil"/>
              <w:left w:val="nil"/>
              <w:right w:val="nil"/>
            </w:tcBorders>
            <w:shd w:val="clear" w:color="auto" w:fill="FFFFFF"/>
          </w:tcPr>
          <w:p w14:paraId="3537120C" w14:textId="77777777" w:rsidR="0000233C" w:rsidRPr="00787196" w:rsidRDefault="0000233C" w:rsidP="0000233C">
            <w:pPr>
              <w:autoSpaceDE w:val="0"/>
              <w:autoSpaceDN w:val="0"/>
              <w:adjustRightInd w:val="0"/>
              <w:spacing w:before="0" w:after="0" w:line="240" w:lineRule="auto"/>
              <w:ind w:left="142"/>
              <w:jc w:val="center"/>
              <w:rPr>
                <w:rFonts w:cs="Arial"/>
                <w:color w:val="000000"/>
                <w:sz w:val="20"/>
                <w:szCs w:val="20"/>
              </w:rPr>
            </w:pPr>
          </w:p>
        </w:tc>
        <w:tc>
          <w:tcPr>
            <w:tcW w:w="1356" w:type="dxa"/>
            <w:tcBorders>
              <w:top w:val="nil"/>
              <w:left w:val="nil"/>
              <w:right w:val="nil"/>
            </w:tcBorders>
            <w:shd w:val="clear" w:color="auto" w:fill="FFFFFF"/>
          </w:tcPr>
          <w:p w14:paraId="1CBC3239" w14:textId="77777777" w:rsidR="0000233C" w:rsidRPr="00787196" w:rsidRDefault="0000233C" w:rsidP="0000233C">
            <w:pPr>
              <w:autoSpaceDE w:val="0"/>
              <w:autoSpaceDN w:val="0"/>
              <w:adjustRightInd w:val="0"/>
              <w:spacing w:before="0" w:after="0" w:line="240" w:lineRule="auto"/>
              <w:ind w:left="142"/>
              <w:jc w:val="center"/>
              <w:rPr>
                <w:rFonts w:cs="Arial"/>
                <w:color w:val="000000"/>
                <w:sz w:val="20"/>
                <w:szCs w:val="20"/>
              </w:rPr>
            </w:pPr>
          </w:p>
        </w:tc>
        <w:tc>
          <w:tcPr>
            <w:tcW w:w="1273" w:type="dxa"/>
            <w:tcBorders>
              <w:top w:val="nil"/>
              <w:left w:val="nil"/>
              <w:right w:val="nil"/>
            </w:tcBorders>
            <w:shd w:val="clear" w:color="auto" w:fill="FFFFFF"/>
          </w:tcPr>
          <w:p w14:paraId="7ADF82B4" w14:textId="77777777" w:rsidR="0000233C" w:rsidRPr="00787196" w:rsidRDefault="0000233C" w:rsidP="0000233C">
            <w:pPr>
              <w:autoSpaceDE w:val="0"/>
              <w:autoSpaceDN w:val="0"/>
              <w:adjustRightInd w:val="0"/>
              <w:spacing w:before="0" w:after="0" w:line="240" w:lineRule="auto"/>
              <w:ind w:left="142"/>
              <w:jc w:val="center"/>
              <w:rPr>
                <w:rFonts w:cs="Arial"/>
                <w:color w:val="000000"/>
                <w:sz w:val="20"/>
                <w:szCs w:val="20"/>
              </w:rPr>
            </w:pPr>
          </w:p>
        </w:tc>
        <w:tc>
          <w:tcPr>
            <w:tcW w:w="1396" w:type="dxa"/>
            <w:tcBorders>
              <w:top w:val="nil"/>
              <w:left w:val="nil"/>
              <w:right w:val="nil"/>
            </w:tcBorders>
            <w:shd w:val="clear" w:color="auto" w:fill="FFFFFF"/>
            <w:vAlign w:val="center"/>
          </w:tcPr>
          <w:p w14:paraId="6BA636F6" w14:textId="77777777" w:rsidR="0000233C" w:rsidRPr="00787196" w:rsidRDefault="0000233C" w:rsidP="0000233C">
            <w:pPr>
              <w:autoSpaceDE w:val="0"/>
              <w:autoSpaceDN w:val="0"/>
              <w:adjustRightInd w:val="0"/>
              <w:spacing w:before="0" w:after="0" w:line="240" w:lineRule="auto"/>
              <w:ind w:left="142"/>
              <w:jc w:val="center"/>
              <w:rPr>
                <w:rFonts w:cs="Arial"/>
                <w:color w:val="000000"/>
                <w:sz w:val="20"/>
                <w:szCs w:val="20"/>
              </w:rPr>
            </w:pPr>
          </w:p>
        </w:tc>
      </w:tr>
    </w:tbl>
    <w:p w14:paraId="7F9EC199" w14:textId="77777777" w:rsidR="00712611" w:rsidRPr="00787196" w:rsidRDefault="00712611" w:rsidP="00A3661E">
      <w:pPr>
        <w:rPr>
          <w:sz w:val="20"/>
          <w:szCs w:val="20"/>
        </w:rPr>
      </w:pPr>
    </w:p>
    <w:p w14:paraId="0875F835" w14:textId="0200EFF1" w:rsidR="00AA7B6D" w:rsidRPr="00787196" w:rsidRDefault="00AA7B6D" w:rsidP="004F119E">
      <w:pPr>
        <w:pStyle w:val="Heading2"/>
        <w:numPr>
          <w:ilvl w:val="0"/>
          <w:numId w:val="0"/>
        </w:numPr>
        <w:rPr>
          <w:rStyle w:val="Heading2Char"/>
        </w:rPr>
      </w:pPr>
      <w:r w:rsidRPr="00787196">
        <w:br w:type="page"/>
      </w:r>
    </w:p>
    <w:p w14:paraId="30BFB2D7" w14:textId="6A8BC797" w:rsidR="00AA7B6D" w:rsidRPr="00787196" w:rsidRDefault="00A1466E" w:rsidP="00392278">
      <w:pPr>
        <w:pStyle w:val="Heading2"/>
        <w:numPr>
          <w:ilvl w:val="0"/>
          <w:numId w:val="0"/>
        </w:numPr>
        <w:ind w:left="576"/>
        <w:jc w:val="center"/>
      </w:pPr>
      <w:bookmarkStart w:id="836" w:name="_Toc488655716"/>
      <w:r w:rsidRPr="00787196">
        <w:lastRenderedPageBreak/>
        <w:t xml:space="preserve">Appendix </w:t>
      </w:r>
      <w:r w:rsidR="00F209BB" w:rsidRPr="00787196">
        <w:t>H</w:t>
      </w:r>
      <w:r w:rsidR="00E915A9" w:rsidRPr="00787196">
        <w:t>-</w:t>
      </w:r>
      <w:r w:rsidR="00510852" w:rsidRPr="00787196">
        <w:t>Distributions before and after recoding</w:t>
      </w:r>
      <w:bookmarkEnd w:id="836"/>
    </w:p>
    <w:p w14:paraId="6CE682A5" w14:textId="3B8AE76D" w:rsidR="00510852" w:rsidRPr="00787196" w:rsidRDefault="0000233C" w:rsidP="00D9694A">
      <w:pPr>
        <w:pStyle w:val="Heading3"/>
        <w:numPr>
          <w:ilvl w:val="0"/>
          <w:numId w:val="0"/>
        </w:numPr>
      </w:pPr>
      <w:bookmarkStart w:id="837" w:name="_Toc488655717"/>
      <w:r w:rsidRPr="00787196">
        <w:t>Concern about oral health</w:t>
      </w:r>
      <w:bookmarkEnd w:id="837"/>
    </w:p>
    <w:p w14:paraId="453CB4AD" w14:textId="77777777" w:rsidR="00AA7B6D" w:rsidRPr="00787196" w:rsidRDefault="00AA7B6D" w:rsidP="00AA7B6D">
      <w:pPr>
        <w:autoSpaceDE w:val="0"/>
        <w:autoSpaceDN w:val="0"/>
        <w:adjustRightInd w:val="0"/>
        <w:spacing w:before="0" w:after="0" w:line="240" w:lineRule="auto"/>
        <w:rPr>
          <w:rFonts w:ascii="Times New Roman" w:hAnsi="Times New Roman" w:cs="Times New Roman"/>
          <w:szCs w:val="24"/>
        </w:rPr>
      </w:pPr>
    </w:p>
    <w:p w14:paraId="44EC3121" w14:textId="037DDFC8" w:rsidR="008B600A" w:rsidRPr="00787196" w:rsidRDefault="00407764" w:rsidP="008B600A">
      <w:pPr>
        <w:autoSpaceDE w:val="0"/>
        <w:autoSpaceDN w:val="0"/>
        <w:adjustRightInd w:val="0"/>
        <w:spacing w:before="0" w:after="0" w:line="240" w:lineRule="auto"/>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01247123" wp14:editId="696A98EC">
            <wp:extent cx="2590800" cy="2358043"/>
            <wp:effectExtent l="0" t="0" r="0" b="444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2231" t="5164" r="32530" b="7385"/>
                    <a:stretch>
                      <a:fillRect/>
                    </a:stretch>
                  </pic:blipFill>
                  <pic:spPr bwMode="auto">
                    <a:xfrm>
                      <a:off x="0" y="0"/>
                      <a:ext cx="2610088" cy="2375598"/>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6E14F0BA" wp14:editId="39799736">
            <wp:extent cx="2696210" cy="2524125"/>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4586" cy="2541328"/>
                    </a:xfrm>
                    <a:prstGeom prst="rect">
                      <a:avLst/>
                    </a:prstGeom>
                    <a:noFill/>
                    <a:ln>
                      <a:noFill/>
                    </a:ln>
                  </pic:spPr>
                </pic:pic>
              </a:graphicData>
            </a:graphic>
          </wp:inline>
        </w:drawing>
      </w:r>
    </w:p>
    <w:p w14:paraId="3425A87D"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23BD93A9"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3AD6827A" w14:textId="69E71F75" w:rsidR="008B600A" w:rsidRPr="00787196" w:rsidRDefault="00407764" w:rsidP="008B600A">
      <w:pPr>
        <w:autoSpaceDE w:val="0"/>
        <w:autoSpaceDN w:val="0"/>
        <w:adjustRightInd w:val="0"/>
        <w:spacing w:before="0" w:after="0" w:line="240" w:lineRule="auto"/>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3464056F" wp14:editId="08AAC7AA">
            <wp:extent cx="2592705" cy="2724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r="24197" b="3151"/>
                    <a:stretch>
                      <a:fillRect/>
                    </a:stretch>
                  </pic:blipFill>
                  <pic:spPr bwMode="auto">
                    <a:xfrm>
                      <a:off x="0" y="0"/>
                      <a:ext cx="2598348" cy="2730079"/>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7C314E0F" wp14:editId="1ABA7E75">
            <wp:extent cx="2724150" cy="26027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137" cy="2611365"/>
                    </a:xfrm>
                    <a:prstGeom prst="rect">
                      <a:avLst/>
                    </a:prstGeom>
                    <a:noFill/>
                    <a:ln>
                      <a:noFill/>
                    </a:ln>
                  </pic:spPr>
                </pic:pic>
              </a:graphicData>
            </a:graphic>
          </wp:inline>
        </w:drawing>
      </w:r>
    </w:p>
    <w:p w14:paraId="5258521E" w14:textId="312FFB95" w:rsidR="0000233C" w:rsidRPr="00787196" w:rsidRDefault="0000233C">
      <w:pPr>
        <w:spacing w:before="0" w:after="0" w:line="240" w:lineRule="auto"/>
        <w:jc w:val="left"/>
        <w:rPr>
          <w:rFonts w:ascii="Times New Roman" w:hAnsi="Times New Roman" w:cs="Times New Roman"/>
          <w:szCs w:val="24"/>
        </w:rPr>
      </w:pPr>
      <w:r w:rsidRPr="00787196">
        <w:rPr>
          <w:rFonts w:ascii="Times New Roman" w:hAnsi="Times New Roman" w:cs="Times New Roman"/>
          <w:szCs w:val="24"/>
        </w:rPr>
        <w:br w:type="page"/>
      </w:r>
    </w:p>
    <w:p w14:paraId="21C5C38E" w14:textId="797CA9EE" w:rsidR="008B600A" w:rsidRPr="00787196" w:rsidRDefault="0000233C" w:rsidP="00D9694A">
      <w:pPr>
        <w:pStyle w:val="Heading3"/>
        <w:numPr>
          <w:ilvl w:val="0"/>
          <w:numId w:val="0"/>
        </w:numPr>
        <w:rPr>
          <w:rFonts w:ascii="Times New Roman" w:hAnsi="Times New Roman" w:cs="Times New Roman"/>
        </w:rPr>
      </w:pPr>
      <w:bookmarkStart w:id="838" w:name="_Toc488655718"/>
      <w:r w:rsidRPr="00787196">
        <w:lastRenderedPageBreak/>
        <w:t>Ageing expectations</w:t>
      </w:r>
      <w:bookmarkEnd w:id="838"/>
    </w:p>
    <w:p w14:paraId="3AEBE013" w14:textId="77777777" w:rsidR="008B600A" w:rsidRPr="00787196" w:rsidRDefault="008B600A" w:rsidP="00AA7B6D">
      <w:pPr>
        <w:autoSpaceDE w:val="0"/>
        <w:autoSpaceDN w:val="0"/>
        <w:adjustRightInd w:val="0"/>
        <w:spacing w:before="0" w:after="0" w:line="400" w:lineRule="atLeast"/>
        <w:rPr>
          <w:rFonts w:ascii="Times New Roman" w:hAnsi="Times New Roman" w:cs="Times New Roman"/>
          <w:szCs w:val="24"/>
        </w:rPr>
      </w:pPr>
    </w:p>
    <w:p w14:paraId="0600094E" w14:textId="26A12C8D" w:rsidR="008B600A" w:rsidRPr="00787196" w:rsidRDefault="00407764" w:rsidP="0000233C">
      <w:pPr>
        <w:autoSpaceDE w:val="0"/>
        <w:autoSpaceDN w:val="0"/>
        <w:adjustRightInd w:val="0"/>
        <w:spacing w:before="0" w:after="0" w:line="240" w:lineRule="auto"/>
        <w:jc w:val="center"/>
        <w:rPr>
          <w:rFonts w:ascii="Times New Roman" w:hAnsi="Times New Roman" w:cs="Times New Roman"/>
          <w:szCs w:val="24"/>
        </w:rPr>
      </w:pPr>
      <w:r w:rsidRPr="00787196">
        <w:rPr>
          <w:noProof/>
        </w:rPr>
        <w:drawing>
          <wp:inline distT="0" distB="0" distL="0" distR="0" wp14:anchorId="0A8C9462" wp14:editId="7F91FCBB">
            <wp:extent cx="2685130" cy="2505075"/>
            <wp:effectExtent l="0" t="0" r="127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l="1674" t="4182" r="31357" b="21809"/>
                    <a:stretch>
                      <a:fillRect/>
                    </a:stretch>
                  </pic:blipFill>
                  <pic:spPr bwMode="auto">
                    <a:xfrm>
                      <a:off x="0" y="0"/>
                      <a:ext cx="2687287" cy="2507088"/>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4E251BB0" wp14:editId="1E9994E9">
            <wp:extent cx="2600325" cy="2381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3599" cy="2402739"/>
                    </a:xfrm>
                    <a:prstGeom prst="rect">
                      <a:avLst/>
                    </a:prstGeom>
                    <a:noFill/>
                    <a:ln>
                      <a:noFill/>
                    </a:ln>
                  </pic:spPr>
                </pic:pic>
              </a:graphicData>
            </a:graphic>
          </wp:inline>
        </w:drawing>
      </w:r>
    </w:p>
    <w:p w14:paraId="4A71A4FD"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04D36BD5"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3DDC8FC3"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51840D52" w14:textId="10B158B8" w:rsidR="008B600A" w:rsidRPr="00787196" w:rsidRDefault="00407764" w:rsidP="0000233C">
      <w:pPr>
        <w:autoSpaceDE w:val="0"/>
        <w:autoSpaceDN w:val="0"/>
        <w:adjustRightInd w:val="0"/>
        <w:spacing w:before="0" w:after="0" w:line="240" w:lineRule="auto"/>
        <w:jc w:val="center"/>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00A40F99" wp14:editId="04F2759B">
            <wp:extent cx="2673985" cy="25684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r="23741" b="2579"/>
                    <a:stretch>
                      <a:fillRect/>
                    </a:stretch>
                  </pic:blipFill>
                  <pic:spPr bwMode="auto">
                    <a:xfrm>
                      <a:off x="0" y="0"/>
                      <a:ext cx="2687007" cy="2580974"/>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30F72033" wp14:editId="64966F4F">
            <wp:extent cx="2667000" cy="240024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t="5437" r="691" b="1715"/>
                    <a:stretch>
                      <a:fillRect/>
                    </a:stretch>
                  </pic:blipFill>
                  <pic:spPr bwMode="auto">
                    <a:xfrm>
                      <a:off x="0" y="0"/>
                      <a:ext cx="2681206" cy="2413026"/>
                    </a:xfrm>
                    <a:prstGeom prst="rect">
                      <a:avLst/>
                    </a:prstGeom>
                    <a:noFill/>
                    <a:ln>
                      <a:noFill/>
                    </a:ln>
                  </pic:spPr>
                </pic:pic>
              </a:graphicData>
            </a:graphic>
          </wp:inline>
        </w:drawing>
      </w:r>
    </w:p>
    <w:p w14:paraId="51FFE8B1"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618EA956" w14:textId="77777777" w:rsidR="008B600A" w:rsidRPr="00787196" w:rsidRDefault="008B600A" w:rsidP="008B600A">
      <w:pPr>
        <w:autoSpaceDE w:val="0"/>
        <w:autoSpaceDN w:val="0"/>
        <w:adjustRightInd w:val="0"/>
        <w:spacing w:before="0" w:after="0" w:line="400" w:lineRule="atLeast"/>
        <w:rPr>
          <w:rFonts w:ascii="Times New Roman" w:hAnsi="Times New Roman" w:cs="Times New Roman"/>
          <w:szCs w:val="24"/>
        </w:rPr>
      </w:pPr>
    </w:p>
    <w:p w14:paraId="39033CAE" w14:textId="4027B337" w:rsidR="0000233C" w:rsidRPr="00787196" w:rsidRDefault="0000233C">
      <w:pPr>
        <w:spacing w:before="0" w:after="0" w:line="240" w:lineRule="auto"/>
        <w:jc w:val="left"/>
        <w:rPr>
          <w:rFonts w:ascii="Times New Roman" w:hAnsi="Times New Roman" w:cs="Times New Roman"/>
          <w:szCs w:val="24"/>
        </w:rPr>
      </w:pPr>
      <w:r w:rsidRPr="00787196">
        <w:rPr>
          <w:rFonts w:ascii="Times New Roman" w:hAnsi="Times New Roman" w:cs="Times New Roman"/>
          <w:szCs w:val="24"/>
        </w:rPr>
        <w:br w:type="page"/>
      </w:r>
    </w:p>
    <w:p w14:paraId="4E1308F1" w14:textId="791E7EF7" w:rsidR="008B600A" w:rsidRPr="00787196" w:rsidRDefault="0000233C" w:rsidP="00D9694A">
      <w:pPr>
        <w:pStyle w:val="Heading3"/>
        <w:numPr>
          <w:ilvl w:val="0"/>
          <w:numId w:val="0"/>
        </w:numPr>
      </w:pPr>
      <w:bookmarkStart w:id="839" w:name="_Toc488655719"/>
      <w:r w:rsidRPr="00787196">
        <w:lastRenderedPageBreak/>
        <w:t>Perceived stress</w:t>
      </w:r>
      <w:bookmarkEnd w:id="839"/>
    </w:p>
    <w:p w14:paraId="2BC3A78D" w14:textId="77777777" w:rsidR="008B600A" w:rsidRPr="00787196" w:rsidRDefault="008B600A" w:rsidP="008B600A">
      <w:pPr>
        <w:autoSpaceDE w:val="0"/>
        <w:autoSpaceDN w:val="0"/>
        <w:adjustRightInd w:val="0"/>
        <w:spacing w:before="0" w:after="0" w:line="400" w:lineRule="atLeast"/>
        <w:rPr>
          <w:rFonts w:ascii="Times New Roman" w:hAnsi="Times New Roman" w:cs="Times New Roman"/>
          <w:szCs w:val="24"/>
        </w:rPr>
      </w:pPr>
    </w:p>
    <w:p w14:paraId="6781E320" w14:textId="7392AE03" w:rsidR="008B600A" w:rsidRPr="00787196" w:rsidRDefault="0000233C" w:rsidP="002476C7">
      <w:pPr>
        <w:autoSpaceDE w:val="0"/>
        <w:autoSpaceDN w:val="0"/>
        <w:adjustRightInd w:val="0"/>
        <w:spacing w:before="0" w:after="0" w:line="400" w:lineRule="atLeast"/>
        <w:rPr>
          <w:rFonts w:ascii="Times New Roman" w:hAnsi="Times New Roman" w:cs="Times New Roman"/>
          <w:szCs w:val="24"/>
        </w:rPr>
      </w:pPr>
      <w:r w:rsidRPr="00787196">
        <w:rPr>
          <w:noProof/>
        </w:rPr>
        <w:drawing>
          <wp:inline distT="0" distB="0" distL="0" distR="0" wp14:anchorId="56F5C204" wp14:editId="7A3905C8">
            <wp:extent cx="2609850" cy="2596987"/>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l="2039" t="658" r="23746" b="7260"/>
                    <a:stretch>
                      <a:fillRect/>
                    </a:stretch>
                  </pic:blipFill>
                  <pic:spPr bwMode="auto">
                    <a:xfrm>
                      <a:off x="0" y="0"/>
                      <a:ext cx="2641647" cy="2628628"/>
                    </a:xfrm>
                    <a:prstGeom prst="rect">
                      <a:avLst/>
                    </a:prstGeom>
                    <a:noFill/>
                    <a:ln>
                      <a:noFill/>
                    </a:ln>
                  </pic:spPr>
                </pic:pic>
              </a:graphicData>
            </a:graphic>
          </wp:inline>
        </w:drawing>
      </w:r>
      <w:r w:rsidR="00407764" w:rsidRPr="00787196">
        <w:rPr>
          <w:rFonts w:ascii="Times New Roman" w:hAnsi="Times New Roman" w:cs="Times New Roman"/>
          <w:noProof/>
          <w:szCs w:val="24"/>
        </w:rPr>
        <w:drawing>
          <wp:inline distT="0" distB="0" distL="0" distR="0" wp14:anchorId="3C626D71" wp14:editId="789FD2EC">
            <wp:extent cx="2447865" cy="27539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457" cy="2840166"/>
                    </a:xfrm>
                    <a:prstGeom prst="rect">
                      <a:avLst/>
                    </a:prstGeom>
                    <a:noFill/>
                    <a:ln>
                      <a:noFill/>
                    </a:ln>
                  </pic:spPr>
                </pic:pic>
              </a:graphicData>
            </a:graphic>
          </wp:inline>
        </w:drawing>
      </w:r>
    </w:p>
    <w:p w14:paraId="7CF33FD4"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1AE495DD"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4E55FDDA"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53F8615F" w14:textId="7387B171" w:rsidR="003B675C" w:rsidRPr="00787196" w:rsidRDefault="00407764" w:rsidP="002476C7">
      <w:pPr>
        <w:autoSpaceDE w:val="0"/>
        <w:autoSpaceDN w:val="0"/>
        <w:adjustRightInd w:val="0"/>
        <w:spacing w:before="0" w:after="0" w:line="240" w:lineRule="auto"/>
        <w:jc w:val="left"/>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270D54E4" wp14:editId="266B9EF2">
            <wp:extent cx="2428875" cy="224233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t="4280" r="23518" b="2858"/>
                    <a:stretch>
                      <a:fillRect/>
                    </a:stretch>
                  </pic:blipFill>
                  <pic:spPr bwMode="auto">
                    <a:xfrm>
                      <a:off x="0" y="0"/>
                      <a:ext cx="2436717" cy="2249573"/>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457E7FE7" wp14:editId="09BD8375">
            <wp:extent cx="2468880" cy="2351507"/>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5540" cy="2357850"/>
                    </a:xfrm>
                    <a:prstGeom prst="rect">
                      <a:avLst/>
                    </a:prstGeom>
                    <a:noFill/>
                    <a:ln>
                      <a:noFill/>
                    </a:ln>
                  </pic:spPr>
                </pic:pic>
              </a:graphicData>
            </a:graphic>
          </wp:inline>
        </w:drawing>
      </w:r>
    </w:p>
    <w:p w14:paraId="7ABC56CB"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265AAF6C" w14:textId="77777777" w:rsidR="003B675C" w:rsidRPr="00787196" w:rsidRDefault="003B675C" w:rsidP="003B675C">
      <w:pPr>
        <w:autoSpaceDE w:val="0"/>
        <w:autoSpaceDN w:val="0"/>
        <w:adjustRightInd w:val="0"/>
        <w:spacing w:before="0" w:after="0" w:line="400" w:lineRule="atLeast"/>
        <w:rPr>
          <w:rFonts w:ascii="Times New Roman" w:hAnsi="Times New Roman" w:cs="Times New Roman"/>
          <w:szCs w:val="24"/>
        </w:rPr>
      </w:pPr>
    </w:p>
    <w:p w14:paraId="00087783"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5FDD95AF" w14:textId="1543D9B6" w:rsidR="00C93283" w:rsidRPr="00787196" w:rsidRDefault="00C93283">
      <w:pPr>
        <w:spacing w:before="0" w:after="0" w:line="240" w:lineRule="auto"/>
        <w:jc w:val="left"/>
        <w:rPr>
          <w:rFonts w:ascii="Times New Roman" w:hAnsi="Times New Roman" w:cs="Times New Roman"/>
          <w:szCs w:val="24"/>
        </w:rPr>
      </w:pPr>
      <w:r w:rsidRPr="00787196">
        <w:rPr>
          <w:rFonts w:ascii="Times New Roman" w:hAnsi="Times New Roman" w:cs="Times New Roman"/>
          <w:szCs w:val="24"/>
        </w:rPr>
        <w:br w:type="page"/>
      </w:r>
    </w:p>
    <w:p w14:paraId="6703E418" w14:textId="5DD5A551" w:rsidR="003B675C" w:rsidRPr="00787196" w:rsidRDefault="00C93283" w:rsidP="00D9694A">
      <w:pPr>
        <w:pStyle w:val="Heading3"/>
        <w:numPr>
          <w:ilvl w:val="0"/>
          <w:numId w:val="0"/>
        </w:numPr>
      </w:pPr>
      <w:bookmarkStart w:id="840" w:name="_Toc488655720"/>
      <w:r w:rsidRPr="00787196">
        <w:lastRenderedPageBreak/>
        <w:t>Coping strategies</w:t>
      </w:r>
      <w:bookmarkEnd w:id="840"/>
    </w:p>
    <w:p w14:paraId="52C44426" w14:textId="77777777" w:rsidR="003B675C" w:rsidRPr="00787196" w:rsidRDefault="003B675C" w:rsidP="003B675C">
      <w:pPr>
        <w:autoSpaceDE w:val="0"/>
        <w:autoSpaceDN w:val="0"/>
        <w:adjustRightInd w:val="0"/>
        <w:spacing w:before="0" w:after="0" w:line="400" w:lineRule="atLeast"/>
        <w:rPr>
          <w:rFonts w:ascii="Times New Roman" w:hAnsi="Times New Roman" w:cs="Times New Roman"/>
          <w:szCs w:val="24"/>
        </w:rPr>
      </w:pPr>
    </w:p>
    <w:p w14:paraId="4E774AA8"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37C652A6" w14:textId="0E194ACD" w:rsidR="008B600A" w:rsidRPr="00787196" w:rsidRDefault="00407764" w:rsidP="002476C7">
      <w:pPr>
        <w:autoSpaceDE w:val="0"/>
        <w:autoSpaceDN w:val="0"/>
        <w:adjustRightInd w:val="0"/>
        <w:spacing w:before="0" w:after="0" w:line="240" w:lineRule="auto"/>
        <w:rPr>
          <w:rFonts w:ascii="Times New Roman" w:hAnsi="Times New Roman" w:cs="Times New Roman"/>
          <w:szCs w:val="24"/>
        </w:rPr>
      </w:pPr>
      <w:r w:rsidRPr="00787196">
        <w:rPr>
          <w:noProof/>
        </w:rPr>
        <w:drawing>
          <wp:inline distT="0" distB="0" distL="0" distR="0" wp14:anchorId="20FD88ED" wp14:editId="4668D54D">
            <wp:extent cx="2571527" cy="2516628"/>
            <wp:effectExtent l="0" t="0" r="63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l="2039" t="4840" r="24675" b="7472"/>
                    <a:stretch>
                      <a:fillRect/>
                    </a:stretch>
                  </pic:blipFill>
                  <pic:spPr bwMode="auto">
                    <a:xfrm>
                      <a:off x="0" y="0"/>
                      <a:ext cx="2580993" cy="2525891"/>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397AB4EE" wp14:editId="3ECBD4D9">
            <wp:extent cx="2752657" cy="2499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3219" cy="2518670"/>
                    </a:xfrm>
                    <a:prstGeom prst="rect">
                      <a:avLst/>
                    </a:prstGeom>
                    <a:noFill/>
                    <a:ln>
                      <a:noFill/>
                    </a:ln>
                  </pic:spPr>
                </pic:pic>
              </a:graphicData>
            </a:graphic>
          </wp:inline>
        </w:drawing>
      </w:r>
    </w:p>
    <w:p w14:paraId="4E5D8F02"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76441E5C"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2E4D9912"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71F625DF"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0B17D027" w14:textId="490B2331" w:rsidR="003B675C" w:rsidRPr="00787196" w:rsidRDefault="00407764" w:rsidP="002476C7">
      <w:pPr>
        <w:autoSpaceDE w:val="0"/>
        <w:autoSpaceDN w:val="0"/>
        <w:adjustRightInd w:val="0"/>
        <w:spacing w:before="0" w:after="0" w:line="240" w:lineRule="auto"/>
        <w:jc w:val="left"/>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337BD738" wp14:editId="2CB1558F">
            <wp:extent cx="2523599" cy="27089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r="22803" b="2393"/>
                    <a:stretch>
                      <a:fillRect/>
                    </a:stretch>
                  </pic:blipFill>
                  <pic:spPr bwMode="auto">
                    <a:xfrm>
                      <a:off x="0" y="0"/>
                      <a:ext cx="2539126" cy="2725577"/>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30FC4122" wp14:editId="2A2C28CA">
            <wp:extent cx="2714625" cy="269935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9615" cy="2704316"/>
                    </a:xfrm>
                    <a:prstGeom prst="rect">
                      <a:avLst/>
                    </a:prstGeom>
                    <a:noFill/>
                    <a:ln>
                      <a:noFill/>
                    </a:ln>
                  </pic:spPr>
                </pic:pic>
              </a:graphicData>
            </a:graphic>
          </wp:inline>
        </w:drawing>
      </w:r>
    </w:p>
    <w:p w14:paraId="2B9930A0"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2EEB3667"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1092E3D0"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6E3A6698"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517ED2B9" w14:textId="06973AB2" w:rsidR="00C93283" w:rsidRPr="00787196" w:rsidRDefault="00C93283">
      <w:pPr>
        <w:spacing w:before="0" w:after="0" w:line="240" w:lineRule="auto"/>
        <w:jc w:val="left"/>
        <w:rPr>
          <w:rFonts w:ascii="Times New Roman" w:hAnsi="Times New Roman" w:cs="Times New Roman"/>
          <w:szCs w:val="24"/>
        </w:rPr>
      </w:pPr>
      <w:r w:rsidRPr="00787196">
        <w:rPr>
          <w:rFonts w:ascii="Times New Roman" w:hAnsi="Times New Roman" w:cs="Times New Roman"/>
          <w:szCs w:val="24"/>
        </w:rPr>
        <w:br w:type="page"/>
      </w:r>
    </w:p>
    <w:p w14:paraId="72B36A32" w14:textId="66D9280F" w:rsidR="008B600A" w:rsidRPr="00787196" w:rsidRDefault="00C93283" w:rsidP="00D9694A">
      <w:pPr>
        <w:pStyle w:val="Heading3"/>
        <w:numPr>
          <w:ilvl w:val="0"/>
          <w:numId w:val="0"/>
        </w:numPr>
      </w:pPr>
      <w:bookmarkStart w:id="841" w:name="_Toc488655721"/>
      <w:r w:rsidRPr="00787196">
        <w:lastRenderedPageBreak/>
        <w:t>Denture satisfaction</w:t>
      </w:r>
      <w:bookmarkEnd w:id="841"/>
    </w:p>
    <w:p w14:paraId="0966E6A4" w14:textId="77777777" w:rsidR="00AA7B6D" w:rsidRPr="00787196" w:rsidRDefault="00AA7B6D" w:rsidP="00AA7B6D"/>
    <w:p w14:paraId="4BAAD67A" w14:textId="3BA81AF2" w:rsidR="008B600A" w:rsidRPr="00787196" w:rsidRDefault="00407764" w:rsidP="008B600A">
      <w:pPr>
        <w:autoSpaceDE w:val="0"/>
        <w:autoSpaceDN w:val="0"/>
        <w:adjustRightInd w:val="0"/>
        <w:spacing w:before="0" w:after="0" w:line="240" w:lineRule="auto"/>
        <w:rPr>
          <w:rFonts w:ascii="Times New Roman" w:hAnsi="Times New Roman" w:cs="Times New Roman"/>
          <w:szCs w:val="24"/>
        </w:rPr>
      </w:pPr>
      <w:r w:rsidRPr="00787196">
        <w:rPr>
          <w:noProof/>
        </w:rPr>
        <w:drawing>
          <wp:inline distT="0" distB="0" distL="0" distR="0" wp14:anchorId="585B7B42" wp14:editId="7B259F0D">
            <wp:extent cx="2553970" cy="2696210"/>
            <wp:effectExtent l="0" t="0" r="0" b="889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l="1851" t="658" r="25043" b="7498"/>
                    <a:stretch>
                      <a:fillRect/>
                    </a:stretch>
                  </pic:blipFill>
                  <pic:spPr bwMode="auto">
                    <a:xfrm>
                      <a:off x="0" y="0"/>
                      <a:ext cx="2553970" cy="2696210"/>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48947EE0" wp14:editId="6D53B579">
            <wp:extent cx="2821940" cy="269969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3712" cy="2701393"/>
                    </a:xfrm>
                    <a:prstGeom prst="rect">
                      <a:avLst/>
                    </a:prstGeom>
                    <a:noFill/>
                    <a:ln>
                      <a:noFill/>
                    </a:ln>
                  </pic:spPr>
                </pic:pic>
              </a:graphicData>
            </a:graphic>
          </wp:inline>
        </w:drawing>
      </w:r>
    </w:p>
    <w:p w14:paraId="73F2E94C"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48ED06CA"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482A48BA"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1934DD24"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1C147231"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576D798C" w14:textId="4B05C724" w:rsidR="003B675C" w:rsidRPr="00787196" w:rsidRDefault="00407764" w:rsidP="003B675C">
      <w:pPr>
        <w:autoSpaceDE w:val="0"/>
        <w:autoSpaceDN w:val="0"/>
        <w:adjustRightInd w:val="0"/>
        <w:spacing w:before="0" w:after="0" w:line="240" w:lineRule="auto"/>
        <w:rPr>
          <w:rFonts w:ascii="Times New Roman" w:hAnsi="Times New Roman" w:cs="Times New Roman"/>
          <w:szCs w:val="24"/>
        </w:rPr>
      </w:pPr>
      <w:r w:rsidRPr="00787196">
        <w:rPr>
          <w:noProof/>
        </w:rPr>
        <w:drawing>
          <wp:anchor distT="0" distB="0" distL="114300" distR="114300" simplePos="0" relativeHeight="251641344" behindDoc="0" locked="0" layoutInCell="1" allowOverlap="1" wp14:anchorId="03D4206F" wp14:editId="3F65D79F">
            <wp:simplePos x="0" y="0"/>
            <wp:positionH relativeFrom="margin">
              <wp:align>left</wp:align>
            </wp:positionH>
            <wp:positionV relativeFrom="paragraph">
              <wp:posOffset>156210</wp:posOffset>
            </wp:positionV>
            <wp:extent cx="2593340" cy="2481580"/>
            <wp:effectExtent l="0" t="0" r="0" b="0"/>
            <wp:wrapSquare wrapText="r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val="0"/>
                        </a:ext>
                      </a:extLst>
                    </a:blip>
                    <a:srcRect r="21735"/>
                    <a:stretch>
                      <a:fillRect/>
                    </a:stretch>
                  </pic:blipFill>
                  <pic:spPr bwMode="auto">
                    <a:xfrm>
                      <a:off x="0" y="0"/>
                      <a:ext cx="259334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196">
        <w:rPr>
          <w:rFonts w:ascii="Times New Roman" w:hAnsi="Times New Roman" w:cs="Times New Roman"/>
          <w:noProof/>
          <w:szCs w:val="24"/>
        </w:rPr>
        <w:drawing>
          <wp:inline distT="0" distB="0" distL="0" distR="0" wp14:anchorId="7BECF99E" wp14:editId="410DC18F">
            <wp:extent cx="2680335" cy="264858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0335" cy="2648585"/>
                    </a:xfrm>
                    <a:prstGeom prst="rect">
                      <a:avLst/>
                    </a:prstGeom>
                    <a:noFill/>
                    <a:ln>
                      <a:noFill/>
                    </a:ln>
                  </pic:spPr>
                </pic:pic>
              </a:graphicData>
            </a:graphic>
          </wp:inline>
        </w:drawing>
      </w:r>
    </w:p>
    <w:p w14:paraId="1DDCCF18"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3B01A063" w14:textId="77777777" w:rsidR="003B675C" w:rsidRPr="00787196" w:rsidRDefault="003B675C" w:rsidP="003B675C">
      <w:pPr>
        <w:autoSpaceDE w:val="0"/>
        <w:autoSpaceDN w:val="0"/>
        <w:adjustRightInd w:val="0"/>
        <w:spacing w:before="0" w:after="0" w:line="400" w:lineRule="atLeast"/>
        <w:rPr>
          <w:rFonts w:ascii="Times New Roman" w:hAnsi="Times New Roman" w:cs="Times New Roman"/>
          <w:szCs w:val="24"/>
        </w:rPr>
      </w:pPr>
    </w:p>
    <w:p w14:paraId="4872D98B"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791092B1" w14:textId="77777777" w:rsidR="008B600A" w:rsidRPr="00787196" w:rsidRDefault="008B600A" w:rsidP="008B600A">
      <w:pPr>
        <w:autoSpaceDE w:val="0"/>
        <w:autoSpaceDN w:val="0"/>
        <w:adjustRightInd w:val="0"/>
        <w:spacing w:before="0" w:after="0" w:line="400" w:lineRule="atLeast"/>
        <w:rPr>
          <w:rFonts w:ascii="Times New Roman" w:hAnsi="Times New Roman" w:cs="Times New Roman"/>
          <w:szCs w:val="24"/>
        </w:rPr>
      </w:pPr>
    </w:p>
    <w:p w14:paraId="0BD89168" w14:textId="175B08BB" w:rsidR="00C93283" w:rsidRPr="00787196" w:rsidRDefault="00C93283">
      <w:pPr>
        <w:spacing w:before="0" w:after="0" w:line="240" w:lineRule="auto"/>
        <w:jc w:val="left"/>
      </w:pPr>
      <w:r w:rsidRPr="00787196">
        <w:br w:type="page"/>
      </w:r>
    </w:p>
    <w:p w14:paraId="1A6A9EDD" w14:textId="2CEFECBC" w:rsidR="008B600A" w:rsidRPr="00787196" w:rsidRDefault="00C93283" w:rsidP="00D9694A">
      <w:pPr>
        <w:pStyle w:val="Heading3"/>
        <w:numPr>
          <w:ilvl w:val="0"/>
          <w:numId w:val="0"/>
        </w:numPr>
      </w:pPr>
      <w:bookmarkStart w:id="842" w:name="_Toc488655722"/>
      <w:r w:rsidRPr="00787196">
        <w:lastRenderedPageBreak/>
        <w:t>Chewing index</w:t>
      </w:r>
      <w:bookmarkEnd w:id="842"/>
    </w:p>
    <w:p w14:paraId="0E4EF510" w14:textId="77777777" w:rsidR="003B675C" w:rsidRPr="00787196" w:rsidRDefault="003B675C" w:rsidP="00AA7B6D"/>
    <w:p w14:paraId="061C15B9" w14:textId="679C7A9A" w:rsidR="008B600A" w:rsidRPr="00787196" w:rsidRDefault="00407764" w:rsidP="008B600A">
      <w:pPr>
        <w:autoSpaceDE w:val="0"/>
        <w:autoSpaceDN w:val="0"/>
        <w:adjustRightInd w:val="0"/>
        <w:spacing w:before="0" w:after="0" w:line="240" w:lineRule="auto"/>
        <w:rPr>
          <w:rFonts w:ascii="Times New Roman" w:hAnsi="Times New Roman" w:cs="Times New Roman"/>
          <w:szCs w:val="24"/>
        </w:rPr>
      </w:pPr>
      <w:r w:rsidRPr="00787196">
        <w:rPr>
          <w:noProof/>
        </w:rPr>
        <w:drawing>
          <wp:inline distT="0" distB="0" distL="0" distR="0" wp14:anchorId="4D31248C" wp14:editId="2BD21C02">
            <wp:extent cx="2514152" cy="2529519"/>
            <wp:effectExtent l="0" t="0" r="635" b="444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1851" t="5511" r="25043" b="7709"/>
                    <a:stretch>
                      <a:fillRect/>
                    </a:stretch>
                  </pic:blipFill>
                  <pic:spPr bwMode="auto">
                    <a:xfrm>
                      <a:off x="0" y="0"/>
                      <a:ext cx="2530453" cy="2545920"/>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7153FC54" wp14:editId="36893F4F">
            <wp:extent cx="2667319" cy="2682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r="20009"/>
                    <a:stretch>
                      <a:fillRect/>
                    </a:stretch>
                  </pic:blipFill>
                  <pic:spPr bwMode="auto">
                    <a:xfrm>
                      <a:off x="0" y="0"/>
                      <a:ext cx="2669411" cy="2684344"/>
                    </a:xfrm>
                    <a:prstGeom prst="rect">
                      <a:avLst/>
                    </a:prstGeom>
                    <a:noFill/>
                    <a:ln>
                      <a:noFill/>
                    </a:ln>
                  </pic:spPr>
                </pic:pic>
              </a:graphicData>
            </a:graphic>
          </wp:inline>
        </w:drawing>
      </w:r>
    </w:p>
    <w:p w14:paraId="7E7A0271"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29BC97A6" w14:textId="77777777" w:rsidR="003B675C" w:rsidRPr="00787196" w:rsidRDefault="003B675C" w:rsidP="008B600A">
      <w:pPr>
        <w:autoSpaceDE w:val="0"/>
        <w:autoSpaceDN w:val="0"/>
        <w:adjustRightInd w:val="0"/>
        <w:spacing w:before="0" w:after="0" w:line="240" w:lineRule="auto"/>
        <w:rPr>
          <w:rFonts w:ascii="Times New Roman" w:hAnsi="Times New Roman" w:cs="Times New Roman"/>
          <w:szCs w:val="24"/>
        </w:rPr>
      </w:pPr>
    </w:p>
    <w:p w14:paraId="431272AD" w14:textId="77777777" w:rsidR="008B600A" w:rsidRPr="00787196" w:rsidRDefault="008B600A" w:rsidP="008B600A">
      <w:pPr>
        <w:autoSpaceDE w:val="0"/>
        <w:autoSpaceDN w:val="0"/>
        <w:adjustRightInd w:val="0"/>
        <w:spacing w:before="0" w:after="0" w:line="240" w:lineRule="auto"/>
        <w:rPr>
          <w:rFonts w:ascii="Times New Roman" w:hAnsi="Times New Roman" w:cs="Times New Roman"/>
          <w:szCs w:val="24"/>
        </w:rPr>
      </w:pPr>
    </w:p>
    <w:p w14:paraId="35C6399B" w14:textId="77777777" w:rsidR="008B600A" w:rsidRPr="00787196" w:rsidRDefault="008B600A" w:rsidP="008B600A">
      <w:pPr>
        <w:autoSpaceDE w:val="0"/>
        <w:autoSpaceDN w:val="0"/>
        <w:adjustRightInd w:val="0"/>
        <w:spacing w:before="0" w:after="0" w:line="400" w:lineRule="atLeast"/>
        <w:rPr>
          <w:rFonts w:ascii="Times New Roman" w:hAnsi="Times New Roman" w:cs="Times New Roman"/>
          <w:szCs w:val="24"/>
        </w:rPr>
      </w:pPr>
    </w:p>
    <w:p w14:paraId="109CB239" w14:textId="09178D29" w:rsidR="003B675C" w:rsidRPr="00787196" w:rsidRDefault="00407764" w:rsidP="003B675C">
      <w:pPr>
        <w:autoSpaceDE w:val="0"/>
        <w:autoSpaceDN w:val="0"/>
        <w:adjustRightInd w:val="0"/>
        <w:spacing w:before="0" w:after="0" w:line="240" w:lineRule="auto"/>
        <w:rPr>
          <w:rFonts w:ascii="Times New Roman" w:hAnsi="Times New Roman" w:cs="Times New Roman"/>
          <w:szCs w:val="24"/>
        </w:rPr>
      </w:pPr>
      <w:r w:rsidRPr="00787196">
        <w:rPr>
          <w:rFonts w:ascii="Times New Roman" w:hAnsi="Times New Roman" w:cs="Times New Roman"/>
          <w:noProof/>
          <w:szCs w:val="24"/>
        </w:rPr>
        <w:drawing>
          <wp:inline distT="0" distB="0" distL="0" distR="0" wp14:anchorId="3E040AD1" wp14:editId="4A4E9796">
            <wp:extent cx="2542686" cy="2421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t="4294" r="21915" b="2287"/>
                    <a:stretch>
                      <a:fillRect/>
                    </a:stretch>
                  </pic:blipFill>
                  <pic:spPr bwMode="auto">
                    <a:xfrm>
                      <a:off x="0" y="0"/>
                      <a:ext cx="2544271" cy="2422764"/>
                    </a:xfrm>
                    <a:prstGeom prst="rect">
                      <a:avLst/>
                    </a:prstGeom>
                    <a:noFill/>
                    <a:ln>
                      <a:noFill/>
                    </a:ln>
                  </pic:spPr>
                </pic:pic>
              </a:graphicData>
            </a:graphic>
          </wp:inline>
        </w:drawing>
      </w:r>
      <w:r w:rsidRPr="00787196">
        <w:rPr>
          <w:rFonts w:ascii="Times New Roman" w:hAnsi="Times New Roman" w:cs="Times New Roman"/>
          <w:noProof/>
          <w:szCs w:val="24"/>
        </w:rPr>
        <w:drawing>
          <wp:inline distT="0" distB="0" distL="0" distR="0" wp14:anchorId="3C1FC7C5" wp14:editId="441A1FD2">
            <wp:extent cx="2789164" cy="24999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r="22604" b="1715"/>
                    <a:stretch>
                      <a:fillRect/>
                    </a:stretch>
                  </pic:blipFill>
                  <pic:spPr bwMode="auto">
                    <a:xfrm>
                      <a:off x="0" y="0"/>
                      <a:ext cx="2790032" cy="2500773"/>
                    </a:xfrm>
                    <a:prstGeom prst="rect">
                      <a:avLst/>
                    </a:prstGeom>
                    <a:noFill/>
                    <a:ln>
                      <a:noFill/>
                    </a:ln>
                  </pic:spPr>
                </pic:pic>
              </a:graphicData>
            </a:graphic>
          </wp:inline>
        </w:drawing>
      </w:r>
    </w:p>
    <w:p w14:paraId="666DF00C"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229EF72B" w14:textId="77777777" w:rsidR="003B675C" w:rsidRPr="00787196" w:rsidRDefault="003B675C" w:rsidP="003B675C">
      <w:pPr>
        <w:autoSpaceDE w:val="0"/>
        <w:autoSpaceDN w:val="0"/>
        <w:adjustRightInd w:val="0"/>
        <w:spacing w:before="0" w:after="0" w:line="400" w:lineRule="atLeast"/>
        <w:rPr>
          <w:rFonts w:ascii="Times New Roman" w:hAnsi="Times New Roman" w:cs="Times New Roman"/>
          <w:szCs w:val="24"/>
        </w:rPr>
      </w:pPr>
    </w:p>
    <w:p w14:paraId="477CFB4C" w14:textId="77777777" w:rsidR="00384A2E" w:rsidRPr="00787196" w:rsidRDefault="00384A2E" w:rsidP="003B675C">
      <w:pPr>
        <w:autoSpaceDE w:val="0"/>
        <w:autoSpaceDN w:val="0"/>
        <w:adjustRightInd w:val="0"/>
        <w:spacing w:before="0" w:after="0" w:line="400" w:lineRule="atLeast"/>
        <w:rPr>
          <w:rFonts w:ascii="Times New Roman" w:hAnsi="Times New Roman" w:cs="Times New Roman"/>
          <w:szCs w:val="24"/>
        </w:rPr>
      </w:pPr>
    </w:p>
    <w:p w14:paraId="20C161D0" w14:textId="77777777" w:rsidR="00384A2E" w:rsidRPr="00787196" w:rsidRDefault="00384A2E" w:rsidP="003B675C">
      <w:pPr>
        <w:autoSpaceDE w:val="0"/>
        <w:autoSpaceDN w:val="0"/>
        <w:adjustRightInd w:val="0"/>
        <w:spacing w:before="0" w:after="0" w:line="400" w:lineRule="atLeast"/>
        <w:rPr>
          <w:rFonts w:ascii="Times New Roman" w:hAnsi="Times New Roman" w:cs="Times New Roman"/>
          <w:szCs w:val="24"/>
        </w:rPr>
      </w:pPr>
    </w:p>
    <w:p w14:paraId="35D21BD0" w14:textId="61E51DAA" w:rsidR="00C93283" w:rsidRPr="00787196" w:rsidRDefault="00C93283">
      <w:pPr>
        <w:spacing w:before="0" w:after="0" w:line="240" w:lineRule="auto"/>
        <w:jc w:val="left"/>
        <w:rPr>
          <w:rFonts w:ascii="Times New Roman" w:hAnsi="Times New Roman" w:cs="Times New Roman"/>
          <w:szCs w:val="24"/>
        </w:rPr>
      </w:pPr>
      <w:r w:rsidRPr="00787196">
        <w:rPr>
          <w:rFonts w:ascii="Times New Roman" w:hAnsi="Times New Roman" w:cs="Times New Roman"/>
          <w:szCs w:val="24"/>
        </w:rPr>
        <w:br w:type="page"/>
      </w:r>
    </w:p>
    <w:p w14:paraId="2DAFDA93" w14:textId="44029D1D" w:rsidR="00384A2E" w:rsidRPr="00787196" w:rsidRDefault="00C93283" w:rsidP="00D9694A">
      <w:pPr>
        <w:pStyle w:val="Heading3"/>
        <w:numPr>
          <w:ilvl w:val="0"/>
          <w:numId w:val="0"/>
        </w:numPr>
      </w:pPr>
      <w:bookmarkStart w:id="843" w:name="_Toc488655723"/>
      <w:r w:rsidRPr="00787196">
        <w:lastRenderedPageBreak/>
        <w:t>Oral Health related Quality of Life</w:t>
      </w:r>
      <w:bookmarkEnd w:id="843"/>
    </w:p>
    <w:p w14:paraId="5881DDB1"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0922B50F" w14:textId="77777777" w:rsidR="003B675C" w:rsidRPr="00787196" w:rsidRDefault="003B675C" w:rsidP="003B675C">
      <w:pPr>
        <w:autoSpaceDE w:val="0"/>
        <w:autoSpaceDN w:val="0"/>
        <w:adjustRightInd w:val="0"/>
        <w:spacing w:before="0" w:after="0" w:line="240" w:lineRule="auto"/>
        <w:rPr>
          <w:rFonts w:ascii="Times New Roman" w:hAnsi="Times New Roman" w:cs="Times New Roman"/>
          <w:szCs w:val="24"/>
        </w:rPr>
      </w:pPr>
    </w:p>
    <w:p w14:paraId="3D10798B" w14:textId="77777777" w:rsidR="003B675C" w:rsidRPr="00787196" w:rsidRDefault="003B675C" w:rsidP="003B675C">
      <w:pPr>
        <w:autoSpaceDE w:val="0"/>
        <w:autoSpaceDN w:val="0"/>
        <w:adjustRightInd w:val="0"/>
        <w:spacing w:before="0" w:after="0" w:line="400" w:lineRule="atLeast"/>
        <w:rPr>
          <w:rFonts w:ascii="Times New Roman" w:hAnsi="Times New Roman" w:cs="Times New Roman"/>
          <w:szCs w:val="24"/>
        </w:rPr>
      </w:pPr>
    </w:p>
    <w:p w14:paraId="3C13A4D6" w14:textId="1A1F3791" w:rsidR="003B675C" w:rsidRPr="00787196" w:rsidRDefault="00C93283" w:rsidP="008B600A">
      <w:pPr>
        <w:autoSpaceDE w:val="0"/>
        <w:autoSpaceDN w:val="0"/>
        <w:adjustRightInd w:val="0"/>
        <w:spacing w:before="0" w:after="0" w:line="400" w:lineRule="atLeast"/>
        <w:rPr>
          <w:rFonts w:ascii="Times New Roman" w:hAnsi="Times New Roman" w:cs="Times New Roman"/>
          <w:szCs w:val="24"/>
        </w:rPr>
      </w:pPr>
      <w:r w:rsidRPr="00787196">
        <w:rPr>
          <w:noProof/>
        </w:rPr>
        <w:drawing>
          <wp:anchor distT="0" distB="0" distL="114300" distR="114300" simplePos="0" relativeHeight="251653632" behindDoc="0" locked="0" layoutInCell="1" allowOverlap="1" wp14:anchorId="68F1B882" wp14:editId="39439C52">
            <wp:simplePos x="0" y="0"/>
            <wp:positionH relativeFrom="margin">
              <wp:align>left</wp:align>
            </wp:positionH>
            <wp:positionV relativeFrom="paragraph">
              <wp:posOffset>107950</wp:posOffset>
            </wp:positionV>
            <wp:extent cx="2524760" cy="2573655"/>
            <wp:effectExtent l="0" t="0" r="8890" b="0"/>
            <wp:wrapSquare wrapText="r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a:extLst>
                        <a:ext uri="{28A0092B-C50C-407E-A947-70E740481C1C}">
                          <a14:useLocalDpi xmlns:a14="http://schemas.microsoft.com/office/drawing/2010/main" val="0"/>
                        </a:ext>
                      </a:extLst>
                    </a:blip>
                    <a:srcRect t="3723" r="23062" b="-1715"/>
                    <a:stretch>
                      <a:fillRect/>
                    </a:stretch>
                  </pic:blipFill>
                  <pic:spPr bwMode="auto">
                    <a:xfrm>
                      <a:off x="0" y="0"/>
                      <a:ext cx="252476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764" w:rsidRPr="00787196">
        <w:rPr>
          <w:rFonts w:ascii="Times New Roman" w:hAnsi="Times New Roman" w:cs="Times New Roman"/>
          <w:noProof/>
          <w:szCs w:val="24"/>
        </w:rPr>
        <w:drawing>
          <wp:inline distT="0" distB="0" distL="0" distR="0" wp14:anchorId="2A3FB439" wp14:editId="71D0D83E">
            <wp:extent cx="2724150" cy="25005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9666" cy="2514769"/>
                    </a:xfrm>
                    <a:prstGeom prst="rect">
                      <a:avLst/>
                    </a:prstGeom>
                    <a:noFill/>
                    <a:ln>
                      <a:noFill/>
                    </a:ln>
                  </pic:spPr>
                </pic:pic>
              </a:graphicData>
            </a:graphic>
          </wp:inline>
        </w:drawing>
      </w:r>
    </w:p>
    <w:p w14:paraId="58A76954" w14:textId="77777777" w:rsidR="00384A2E" w:rsidRPr="00787196" w:rsidRDefault="00384A2E" w:rsidP="00384A2E">
      <w:pPr>
        <w:autoSpaceDE w:val="0"/>
        <w:autoSpaceDN w:val="0"/>
        <w:adjustRightInd w:val="0"/>
        <w:spacing w:before="0" w:after="0" w:line="240" w:lineRule="auto"/>
        <w:rPr>
          <w:rFonts w:ascii="Times New Roman" w:hAnsi="Times New Roman" w:cs="Times New Roman"/>
          <w:szCs w:val="24"/>
        </w:rPr>
      </w:pPr>
    </w:p>
    <w:p w14:paraId="29808F36" w14:textId="77777777" w:rsidR="00384A2E" w:rsidRPr="00787196" w:rsidRDefault="00384A2E" w:rsidP="00384A2E">
      <w:pPr>
        <w:autoSpaceDE w:val="0"/>
        <w:autoSpaceDN w:val="0"/>
        <w:adjustRightInd w:val="0"/>
        <w:spacing w:before="0" w:after="0" w:line="240" w:lineRule="auto"/>
        <w:rPr>
          <w:rFonts w:ascii="Times New Roman" w:hAnsi="Times New Roman" w:cs="Times New Roman"/>
          <w:szCs w:val="24"/>
        </w:rPr>
      </w:pPr>
    </w:p>
    <w:p w14:paraId="4402E056" w14:textId="77777777" w:rsidR="00384A2E" w:rsidRPr="00787196" w:rsidRDefault="00384A2E" w:rsidP="00384A2E">
      <w:pPr>
        <w:autoSpaceDE w:val="0"/>
        <w:autoSpaceDN w:val="0"/>
        <w:adjustRightInd w:val="0"/>
        <w:spacing w:before="0" w:after="0" w:line="240" w:lineRule="auto"/>
        <w:rPr>
          <w:rFonts w:ascii="Times New Roman" w:hAnsi="Times New Roman" w:cs="Times New Roman"/>
          <w:szCs w:val="24"/>
        </w:rPr>
      </w:pPr>
    </w:p>
    <w:p w14:paraId="3D65154A" w14:textId="77777777" w:rsidR="00384A2E" w:rsidRPr="00787196" w:rsidRDefault="00384A2E" w:rsidP="00384A2E">
      <w:pPr>
        <w:autoSpaceDE w:val="0"/>
        <w:autoSpaceDN w:val="0"/>
        <w:adjustRightInd w:val="0"/>
        <w:spacing w:before="0" w:after="0" w:line="240" w:lineRule="auto"/>
        <w:rPr>
          <w:rFonts w:ascii="Times New Roman" w:hAnsi="Times New Roman" w:cs="Times New Roman"/>
          <w:szCs w:val="24"/>
        </w:rPr>
      </w:pPr>
    </w:p>
    <w:p w14:paraId="69EE8DC0" w14:textId="77777777" w:rsidR="00384A2E" w:rsidRPr="00787196" w:rsidRDefault="00384A2E" w:rsidP="00384A2E">
      <w:pPr>
        <w:autoSpaceDE w:val="0"/>
        <w:autoSpaceDN w:val="0"/>
        <w:adjustRightInd w:val="0"/>
        <w:spacing w:before="0" w:after="0" w:line="240" w:lineRule="auto"/>
        <w:rPr>
          <w:rFonts w:ascii="Times New Roman" w:hAnsi="Times New Roman" w:cs="Times New Roman"/>
          <w:szCs w:val="24"/>
        </w:rPr>
      </w:pPr>
      <w:r w:rsidRPr="00787196">
        <w:rPr>
          <w:rFonts w:ascii="Times New Roman" w:hAnsi="Times New Roman" w:cs="Times New Roman"/>
          <w:szCs w:val="24"/>
        </w:rPr>
        <w:t xml:space="preserve">       </w:t>
      </w:r>
    </w:p>
    <w:p w14:paraId="7FC0DEBB" w14:textId="78120F77" w:rsidR="00384A2E" w:rsidRPr="005402D7" w:rsidRDefault="00C93283" w:rsidP="00384A2E">
      <w:pPr>
        <w:autoSpaceDE w:val="0"/>
        <w:autoSpaceDN w:val="0"/>
        <w:adjustRightInd w:val="0"/>
        <w:spacing w:before="0" w:after="0" w:line="240" w:lineRule="auto"/>
        <w:rPr>
          <w:rFonts w:ascii="Times New Roman" w:hAnsi="Times New Roman" w:cs="Times New Roman"/>
          <w:szCs w:val="24"/>
        </w:rPr>
      </w:pPr>
      <w:r w:rsidRPr="00787196">
        <w:rPr>
          <w:noProof/>
        </w:rPr>
        <w:drawing>
          <wp:anchor distT="0" distB="0" distL="114300" distR="114300" simplePos="0" relativeHeight="251654656" behindDoc="0" locked="0" layoutInCell="1" allowOverlap="1" wp14:anchorId="1C405036" wp14:editId="7404B649">
            <wp:simplePos x="0" y="0"/>
            <wp:positionH relativeFrom="margin">
              <wp:align>left</wp:align>
            </wp:positionH>
            <wp:positionV relativeFrom="paragraph">
              <wp:posOffset>233045</wp:posOffset>
            </wp:positionV>
            <wp:extent cx="2647950" cy="2603500"/>
            <wp:effectExtent l="0" t="0" r="0" b="0"/>
            <wp:wrapSquare wrapText="r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t="3793" r="21960" b="-2359"/>
                    <a:stretch>
                      <a:fillRect/>
                    </a:stretch>
                  </pic:blipFill>
                  <pic:spPr bwMode="auto">
                    <a:xfrm>
                      <a:off x="0" y="0"/>
                      <a:ext cx="264795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A2E" w:rsidRPr="00787196">
        <w:rPr>
          <w:rFonts w:ascii="Times New Roman" w:hAnsi="Times New Roman" w:cs="Times New Roman"/>
          <w:szCs w:val="24"/>
        </w:rPr>
        <w:t xml:space="preserve">                     </w:t>
      </w:r>
      <w:r w:rsidRPr="00787196">
        <w:rPr>
          <w:rFonts w:ascii="Times New Roman" w:hAnsi="Times New Roman" w:cs="Times New Roman"/>
          <w:noProof/>
          <w:szCs w:val="24"/>
        </w:rPr>
        <w:drawing>
          <wp:inline distT="0" distB="0" distL="0" distR="0" wp14:anchorId="67E837A6" wp14:editId="52ABB90A">
            <wp:extent cx="2586990" cy="2486025"/>
            <wp:effectExtent l="0" t="0" r="381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4204" cy="2492957"/>
                    </a:xfrm>
                    <a:prstGeom prst="rect">
                      <a:avLst/>
                    </a:prstGeom>
                    <a:noFill/>
                    <a:ln>
                      <a:noFill/>
                    </a:ln>
                  </pic:spPr>
                </pic:pic>
              </a:graphicData>
            </a:graphic>
          </wp:inline>
        </w:drawing>
      </w:r>
    </w:p>
    <w:p w14:paraId="252D9FED" w14:textId="688AF85C" w:rsidR="00384A2E" w:rsidRPr="005402D7" w:rsidRDefault="00384A2E" w:rsidP="00384A2E">
      <w:pPr>
        <w:autoSpaceDE w:val="0"/>
        <w:autoSpaceDN w:val="0"/>
        <w:adjustRightInd w:val="0"/>
        <w:spacing w:before="0" w:after="0" w:line="240" w:lineRule="auto"/>
        <w:rPr>
          <w:rFonts w:ascii="Times New Roman" w:hAnsi="Times New Roman" w:cs="Times New Roman"/>
          <w:szCs w:val="24"/>
        </w:rPr>
      </w:pPr>
    </w:p>
    <w:p w14:paraId="625D0177" w14:textId="3D89643E" w:rsidR="00384A2E" w:rsidRPr="005402D7" w:rsidRDefault="00384A2E" w:rsidP="00384A2E">
      <w:pPr>
        <w:autoSpaceDE w:val="0"/>
        <w:autoSpaceDN w:val="0"/>
        <w:adjustRightInd w:val="0"/>
        <w:spacing w:before="0" w:after="0" w:line="240" w:lineRule="auto"/>
        <w:rPr>
          <w:rFonts w:ascii="Times New Roman" w:hAnsi="Times New Roman" w:cs="Times New Roman"/>
          <w:szCs w:val="24"/>
        </w:rPr>
      </w:pPr>
    </w:p>
    <w:p w14:paraId="250E1F2E" w14:textId="77777777" w:rsidR="00384A2E" w:rsidRPr="005402D7" w:rsidRDefault="00384A2E" w:rsidP="00384A2E">
      <w:pPr>
        <w:autoSpaceDE w:val="0"/>
        <w:autoSpaceDN w:val="0"/>
        <w:adjustRightInd w:val="0"/>
        <w:spacing w:before="0" w:after="0" w:line="240" w:lineRule="auto"/>
        <w:rPr>
          <w:rFonts w:ascii="Times New Roman" w:hAnsi="Times New Roman" w:cs="Times New Roman"/>
          <w:szCs w:val="24"/>
        </w:rPr>
      </w:pPr>
    </w:p>
    <w:p w14:paraId="68BAF5B6" w14:textId="33523FB9" w:rsidR="00AA7B6D" w:rsidRPr="005402D7" w:rsidRDefault="00AA7B6D" w:rsidP="00AA7B6D"/>
    <w:p w14:paraId="48B99029" w14:textId="20290ECA" w:rsidR="00065C7C" w:rsidRPr="005402D7" w:rsidRDefault="00065C7C" w:rsidP="004A69E8">
      <w:pPr>
        <w:spacing w:after="0" w:line="240" w:lineRule="auto"/>
        <w:rPr>
          <w:rFonts w:ascii="Times New Roman" w:hAnsi="Times New Roman" w:cs="Times New Roman"/>
        </w:rPr>
      </w:pPr>
    </w:p>
    <w:sectPr w:rsidR="00065C7C" w:rsidRPr="005402D7" w:rsidSect="004D7A26">
      <w:headerReference w:type="default" r:id="rId81"/>
      <w:footerReference w:type="default" r:id="rId82"/>
      <w:type w:val="nextColumn"/>
      <w:pgSz w:w="11906" w:h="16838"/>
      <w:pgMar w:top="1134" w:right="1134" w:bottom="1134" w:left="2268"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A5230" w14:textId="77777777" w:rsidR="002450FD" w:rsidRDefault="002450FD" w:rsidP="00865F6D">
      <w:pPr>
        <w:spacing w:after="0" w:line="240" w:lineRule="auto"/>
      </w:pPr>
      <w:r>
        <w:separator/>
      </w:r>
    </w:p>
  </w:endnote>
  <w:endnote w:type="continuationSeparator" w:id="0">
    <w:p w14:paraId="57895E39" w14:textId="77777777" w:rsidR="002450FD" w:rsidRDefault="002450FD" w:rsidP="00865F6D">
      <w:pPr>
        <w:spacing w:after="0" w:line="240" w:lineRule="auto"/>
      </w:pPr>
      <w:r>
        <w:continuationSeparator/>
      </w:r>
    </w:p>
  </w:endnote>
  <w:endnote w:type="continuationNotice" w:id="1">
    <w:p w14:paraId="6883D18F" w14:textId="77777777" w:rsidR="002450FD" w:rsidRDefault="00245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altName w:val="Arial"/>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BAOIK+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UOS Stephenson">
    <w:panose1 w:val="02070503080000020004"/>
    <w:charset w:val="00"/>
    <w:family w:val="roman"/>
    <w:pitch w:val="variable"/>
    <w:sig w:usb0="8000002F" w:usb1="4000004A" w:usb2="00000000" w:usb3="00000000" w:csb0="00000011" w:csb1="00000000"/>
  </w:font>
  <w:font w:name="TUOS Blake">
    <w:panose1 w:val="020B0503040000020004"/>
    <w:charset w:val="00"/>
    <w:family w:val="swiss"/>
    <w:pitch w:val="variable"/>
    <w:sig w:usb0="8000002F" w:usb1="4000004A"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SimSu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Angsana New">
    <w:panose1 w:val="02020603050405020304"/>
    <w:charset w:val="DE"/>
    <w:family w:val="roman"/>
    <w:notTrueType/>
    <w:pitch w:val="variable"/>
    <w:sig w:usb0="01000001" w:usb1="00000000" w:usb2="00000000" w:usb3="00000000" w:csb0="00010000" w:csb1="00000000"/>
  </w:font>
  <w:font w:name="Amma">
    <w:charset w:val="00"/>
    <w:family w:val="auto"/>
    <w:pitch w:val="variable"/>
    <w:sig w:usb0="00000003" w:usb1="00000000" w:usb2="00000000" w:usb3="00000000" w:csb0="00000001" w:csb1="00000000"/>
  </w:font>
  <w:font w:name="Nirmala UI">
    <w:altName w:val="Iskoola Pota"/>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361729"/>
      <w:docPartObj>
        <w:docPartGallery w:val="Page Numbers (Bottom of Page)"/>
        <w:docPartUnique/>
      </w:docPartObj>
    </w:sdtPr>
    <w:sdtEndPr>
      <w:rPr>
        <w:noProof/>
      </w:rPr>
    </w:sdtEndPr>
    <w:sdtContent>
      <w:p w14:paraId="6055488D" w14:textId="353005C1" w:rsidR="006E7D7A" w:rsidRDefault="006E7D7A">
        <w:pPr>
          <w:pStyle w:val="Footer"/>
          <w:jc w:val="right"/>
        </w:pPr>
        <w:r>
          <w:fldChar w:fldCharType="begin"/>
        </w:r>
        <w:r>
          <w:instrText xml:space="preserve"> PAGE   \* MERGEFORMAT </w:instrText>
        </w:r>
        <w:r>
          <w:fldChar w:fldCharType="separate"/>
        </w:r>
        <w:r w:rsidR="003D203F">
          <w:rPr>
            <w:noProof/>
          </w:rPr>
          <w:t>ii</w:t>
        </w:r>
        <w:r>
          <w:rPr>
            <w:noProof/>
          </w:rPr>
          <w:fldChar w:fldCharType="end"/>
        </w:r>
      </w:p>
    </w:sdtContent>
  </w:sdt>
  <w:p w14:paraId="7227500C" w14:textId="77777777" w:rsidR="006E7D7A" w:rsidRDefault="006E7D7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22FF8" w14:textId="37B7BB1A" w:rsidR="006E7D7A" w:rsidRDefault="006E7D7A">
    <w:pPr>
      <w:pStyle w:val="Footer"/>
      <w:jc w:val="center"/>
    </w:pPr>
    <w:r>
      <w:fldChar w:fldCharType="begin"/>
    </w:r>
    <w:r>
      <w:instrText xml:space="preserve"> PAGE   \* MERGEFORMAT </w:instrText>
    </w:r>
    <w:r>
      <w:fldChar w:fldCharType="separate"/>
    </w:r>
    <w:r w:rsidR="00AF67A6">
      <w:rPr>
        <w:noProof/>
      </w:rPr>
      <w:t>137</w:t>
    </w:r>
    <w:r>
      <w:fldChar w:fldCharType="end"/>
    </w:r>
  </w:p>
  <w:p w14:paraId="7A670BD7" w14:textId="64969C3F" w:rsidR="006E7D7A" w:rsidRDefault="006E7D7A" w:rsidP="001377FB">
    <w:pPr>
      <w:tabs>
        <w:tab w:val="left" w:pos="9906"/>
      </w:tabs>
    </w:pPr>
    <w:r>
      <w:tab/>
    </w:r>
  </w:p>
  <w:p w14:paraId="5E3E33A3" w14:textId="77777777" w:rsidR="006E7D7A" w:rsidRDefault="006E7D7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24D2B" w14:textId="77777777" w:rsidR="006E7D7A" w:rsidRDefault="006E7D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0C47181B" w14:textId="77777777" w:rsidR="006E7D7A" w:rsidRDefault="006E7D7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98C3F" w14:textId="4C011547" w:rsidR="006E7D7A" w:rsidRDefault="006E7D7A">
    <w:pPr>
      <w:pStyle w:val="Footer"/>
      <w:jc w:val="center"/>
    </w:pPr>
    <w:r>
      <w:fldChar w:fldCharType="begin"/>
    </w:r>
    <w:r>
      <w:instrText xml:space="preserve"> PAGE   \* MERGEFORMAT </w:instrText>
    </w:r>
    <w:r>
      <w:fldChar w:fldCharType="separate"/>
    </w:r>
    <w:r w:rsidR="00BC4ED5">
      <w:rPr>
        <w:noProof/>
      </w:rPr>
      <w:t>159</w:t>
    </w:r>
    <w:r>
      <w:fldChar w:fldCharType="end"/>
    </w:r>
  </w:p>
  <w:p w14:paraId="15D649DF" w14:textId="77777777" w:rsidR="006E7D7A" w:rsidRDefault="006E7D7A" w:rsidP="002F448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EE167" w14:textId="05A30309" w:rsidR="006E7D7A" w:rsidRDefault="006E7D7A">
    <w:pPr>
      <w:pStyle w:val="Footer"/>
      <w:jc w:val="center"/>
    </w:pPr>
    <w:r>
      <w:fldChar w:fldCharType="begin"/>
    </w:r>
    <w:r>
      <w:instrText xml:space="preserve"> PAGE   \* MERGEFORMAT </w:instrText>
    </w:r>
    <w:r>
      <w:fldChar w:fldCharType="separate"/>
    </w:r>
    <w:r w:rsidR="00BC4ED5">
      <w:rPr>
        <w:noProof/>
      </w:rPr>
      <w:t>215</w:t>
    </w:r>
    <w:r>
      <w:fldChar w:fldCharType="end"/>
    </w:r>
  </w:p>
  <w:p w14:paraId="64EA1F82" w14:textId="77777777" w:rsidR="006E7D7A" w:rsidRDefault="006E7D7A" w:rsidP="002F448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3B7EB" w14:textId="4C8250AF" w:rsidR="006E7D7A" w:rsidRDefault="006E7D7A">
    <w:pPr>
      <w:pStyle w:val="Footer"/>
      <w:jc w:val="center"/>
    </w:pPr>
    <w:r>
      <w:fldChar w:fldCharType="begin"/>
    </w:r>
    <w:r>
      <w:instrText xml:space="preserve"> PAGE   \* MERGEFORMAT </w:instrText>
    </w:r>
    <w:r>
      <w:fldChar w:fldCharType="separate"/>
    </w:r>
    <w:r w:rsidR="003D203F">
      <w:rPr>
        <w:noProof/>
      </w:rPr>
      <w:t>219</w:t>
    </w:r>
    <w:r>
      <w:fldChar w:fldCharType="end"/>
    </w:r>
  </w:p>
  <w:p w14:paraId="6B13A54F" w14:textId="77777777" w:rsidR="006E7D7A" w:rsidRDefault="006E7D7A" w:rsidP="00DA5C8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5A8A" w14:textId="58A58940" w:rsidR="006E7D7A" w:rsidRDefault="006E7D7A">
    <w:pPr>
      <w:pStyle w:val="Footer"/>
      <w:jc w:val="center"/>
    </w:pPr>
    <w:r>
      <w:fldChar w:fldCharType="begin"/>
    </w:r>
    <w:r>
      <w:instrText xml:space="preserve"> PAGE   \* MERGEFORMAT </w:instrText>
    </w:r>
    <w:r>
      <w:fldChar w:fldCharType="separate"/>
    </w:r>
    <w:r w:rsidR="00E30620">
      <w:rPr>
        <w:noProof/>
      </w:rPr>
      <w:t>254</w:t>
    </w:r>
    <w:r>
      <w:fldChar w:fldCharType="end"/>
    </w:r>
  </w:p>
  <w:p w14:paraId="58731734" w14:textId="77777777" w:rsidR="006E7D7A" w:rsidRDefault="006E7D7A" w:rsidP="00DA5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459046"/>
      <w:docPartObj>
        <w:docPartGallery w:val="Page Numbers (Bottom of Page)"/>
        <w:docPartUnique/>
      </w:docPartObj>
    </w:sdtPr>
    <w:sdtEndPr>
      <w:rPr>
        <w:noProof/>
      </w:rPr>
    </w:sdtEndPr>
    <w:sdtContent>
      <w:p w14:paraId="5676EDCE" w14:textId="341E8AB7" w:rsidR="006E7D7A" w:rsidRDefault="006E7D7A">
        <w:pPr>
          <w:pStyle w:val="Footer"/>
          <w:jc w:val="right"/>
        </w:pPr>
        <w:r>
          <w:fldChar w:fldCharType="begin"/>
        </w:r>
        <w:r>
          <w:instrText xml:space="preserve"> PAGE   \* MERGEFORMAT </w:instrText>
        </w:r>
        <w:r>
          <w:fldChar w:fldCharType="separate"/>
        </w:r>
        <w:r w:rsidR="003D203F">
          <w:rPr>
            <w:noProof/>
          </w:rPr>
          <w:t>i</w:t>
        </w:r>
        <w:r>
          <w:rPr>
            <w:noProof/>
          </w:rPr>
          <w:fldChar w:fldCharType="end"/>
        </w:r>
      </w:p>
    </w:sdtContent>
  </w:sdt>
  <w:p w14:paraId="2AAA287E" w14:textId="77777777" w:rsidR="006E7D7A" w:rsidRDefault="006E7D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06844"/>
      <w:docPartObj>
        <w:docPartGallery w:val="Page Numbers (Bottom of Page)"/>
        <w:docPartUnique/>
      </w:docPartObj>
    </w:sdtPr>
    <w:sdtEndPr>
      <w:rPr>
        <w:noProof/>
      </w:rPr>
    </w:sdtEndPr>
    <w:sdtContent>
      <w:p w14:paraId="7DBD475F" w14:textId="5BD457BE" w:rsidR="006E7D7A" w:rsidRDefault="006E7D7A">
        <w:pPr>
          <w:pStyle w:val="Footer"/>
          <w:jc w:val="right"/>
        </w:pPr>
        <w:r>
          <w:fldChar w:fldCharType="begin"/>
        </w:r>
        <w:r>
          <w:instrText xml:space="preserve"> PAGE   \* MERGEFORMAT </w:instrText>
        </w:r>
        <w:r>
          <w:fldChar w:fldCharType="separate"/>
        </w:r>
        <w:r w:rsidR="00C4335D">
          <w:rPr>
            <w:noProof/>
          </w:rPr>
          <w:t>x</w:t>
        </w:r>
        <w:r>
          <w:rPr>
            <w:noProof/>
          </w:rPr>
          <w:fldChar w:fldCharType="end"/>
        </w:r>
      </w:p>
    </w:sdtContent>
  </w:sdt>
  <w:p w14:paraId="19B6AC83" w14:textId="6DC01A49" w:rsidR="006E7D7A" w:rsidRDefault="006E7D7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86199"/>
      <w:docPartObj>
        <w:docPartGallery w:val="Page Numbers (Bottom of Page)"/>
        <w:docPartUnique/>
      </w:docPartObj>
    </w:sdtPr>
    <w:sdtEndPr>
      <w:rPr>
        <w:noProof/>
      </w:rPr>
    </w:sdtEndPr>
    <w:sdtContent>
      <w:p w14:paraId="49032270" w14:textId="177DACA6" w:rsidR="006E7D7A" w:rsidRDefault="006E7D7A">
        <w:pPr>
          <w:pStyle w:val="Footer"/>
          <w:jc w:val="center"/>
        </w:pPr>
        <w:r>
          <w:fldChar w:fldCharType="begin"/>
        </w:r>
        <w:r>
          <w:instrText xml:space="preserve"> PAGE   \* MERGEFORMAT </w:instrText>
        </w:r>
        <w:r>
          <w:fldChar w:fldCharType="separate"/>
        </w:r>
        <w:r w:rsidR="00C4335D">
          <w:rPr>
            <w:noProof/>
          </w:rPr>
          <w:t>9</w:t>
        </w:r>
        <w:r>
          <w:rPr>
            <w:noProof/>
          </w:rPr>
          <w:fldChar w:fldCharType="end"/>
        </w:r>
      </w:p>
    </w:sdtContent>
  </w:sdt>
  <w:p w14:paraId="7BD2F05D" w14:textId="52564F20" w:rsidR="006E7D7A" w:rsidRDefault="006E7D7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878642"/>
      <w:docPartObj>
        <w:docPartGallery w:val="Page Numbers (Bottom of Page)"/>
        <w:docPartUnique/>
      </w:docPartObj>
    </w:sdtPr>
    <w:sdtEndPr>
      <w:rPr>
        <w:noProof/>
      </w:rPr>
    </w:sdtEndPr>
    <w:sdtContent>
      <w:p w14:paraId="1BE136BA" w14:textId="4107C0BC" w:rsidR="006E7D7A" w:rsidRDefault="006E7D7A">
        <w:pPr>
          <w:pStyle w:val="Footer"/>
          <w:jc w:val="right"/>
        </w:pPr>
        <w:r>
          <w:fldChar w:fldCharType="begin"/>
        </w:r>
        <w:r>
          <w:instrText xml:space="preserve"> PAGE   \* MERGEFORMAT </w:instrText>
        </w:r>
        <w:r>
          <w:fldChar w:fldCharType="separate"/>
        </w:r>
        <w:r w:rsidR="003D203F">
          <w:rPr>
            <w:noProof/>
          </w:rPr>
          <w:t>xi</w:t>
        </w:r>
        <w:r>
          <w:rPr>
            <w:noProof/>
          </w:rPr>
          <w:fldChar w:fldCharType="end"/>
        </w:r>
      </w:p>
    </w:sdtContent>
  </w:sdt>
  <w:p w14:paraId="21AB02B3" w14:textId="1747118F" w:rsidR="006E7D7A" w:rsidRDefault="006E7D7A" w:rsidP="008D521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335455"/>
      <w:docPartObj>
        <w:docPartGallery w:val="Page Numbers (Bottom of Page)"/>
        <w:docPartUnique/>
      </w:docPartObj>
    </w:sdtPr>
    <w:sdtEndPr>
      <w:rPr>
        <w:noProof/>
      </w:rPr>
    </w:sdtEndPr>
    <w:sdtContent>
      <w:p w14:paraId="66BBBEF8" w14:textId="1D9E1989" w:rsidR="006E7D7A" w:rsidRDefault="006E7D7A">
        <w:pPr>
          <w:pStyle w:val="Footer"/>
          <w:jc w:val="center"/>
        </w:pPr>
        <w:r>
          <w:fldChar w:fldCharType="begin"/>
        </w:r>
        <w:r>
          <w:instrText xml:space="preserve"> PAGE   \* MERGEFORMAT </w:instrText>
        </w:r>
        <w:r>
          <w:fldChar w:fldCharType="separate"/>
        </w:r>
        <w:r w:rsidR="003D203F">
          <w:rPr>
            <w:noProof/>
          </w:rPr>
          <w:t>1</w:t>
        </w:r>
        <w:r>
          <w:rPr>
            <w:noProof/>
          </w:rPr>
          <w:fldChar w:fldCharType="end"/>
        </w:r>
      </w:p>
    </w:sdtContent>
  </w:sdt>
  <w:p w14:paraId="4B9A2FEC" w14:textId="77777777" w:rsidR="006E7D7A" w:rsidRDefault="006E7D7A" w:rsidP="008D521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799659"/>
      <w:docPartObj>
        <w:docPartGallery w:val="Page Numbers (Bottom of Page)"/>
        <w:docPartUnique/>
      </w:docPartObj>
    </w:sdtPr>
    <w:sdtContent>
      <w:p w14:paraId="411734AA" w14:textId="19BA8338" w:rsidR="006E7D7A" w:rsidRDefault="006E7D7A">
        <w:pPr>
          <w:pStyle w:val="Footer"/>
          <w:jc w:val="center"/>
        </w:pPr>
        <w:r>
          <w:fldChar w:fldCharType="begin"/>
        </w:r>
        <w:r>
          <w:instrText xml:space="preserve"> PAGE   \* MERGEFORMAT </w:instrText>
        </w:r>
        <w:r>
          <w:fldChar w:fldCharType="separate"/>
        </w:r>
        <w:r w:rsidR="007263E6">
          <w:rPr>
            <w:noProof/>
          </w:rPr>
          <w:t>44</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1A959" w14:textId="68CF4415" w:rsidR="006E7D7A" w:rsidRDefault="006E7D7A">
    <w:pPr>
      <w:pStyle w:val="Footer"/>
      <w:jc w:val="center"/>
    </w:pPr>
    <w:r>
      <w:fldChar w:fldCharType="begin"/>
    </w:r>
    <w:r>
      <w:instrText xml:space="preserve"> PAGE   \* MERGEFORMAT </w:instrText>
    </w:r>
    <w:r>
      <w:fldChar w:fldCharType="separate"/>
    </w:r>
    <w:r w:rsidR="007263E6">
      <w:rPr>
        <w:noProof/>
      </w:rPr>
      <w:t>45</w:t>
    </w:r>
    <w:r>
      <w:fldChar w:fldCharType="end"/>
    </w:r>
  </w:p>
  <w:p w14:paraId="367A965F" w14:textId="77777777" w:rsidR="006E7D7A" w:rsidRDefault="006E7D7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759DC" w14:textId="3C02F0F5" w:rsidR="006E7D7A" w:rsidRDefault="006E7D7A">
    <w:pPr>
      <w:pStyle w:val="Footer"/>
      <w:jc w:val="center"/>
    </w:pPr>
    <w:r>
      <w:fldChar w:fldCharType="begin"/>
    </w:r>
    <w:r>
      <w:instrText xml:space="preserve"> PAGE   \* MERGEFORMAT </w:instrText>
    </w:r>
    <w:r>
      <w:fldChar w:fldCharType="separate"/>
    </w:r>
    <w:r w:rsidR="007263E6">
      <w:rPr>
        <w:noProof/>
      </w:rPr>
      <w:t>48</w:t>
    </w:r>
    <w:r>
      <w:fldChar w:fldCharType="end"/>
    </w:r>
  </w:p>
  <w:p w14:paraId="3ECEF6BB" w14:textId="77777777" w:rsidR="006E7D7A" w:rsidRDefault="006E7D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B4C9C" w14:textId="77777777" w:rsidR="002450FD" w:rsidRDefault="002450FD" w:rsidP="00865F6D">
      <w:pPr>
        <w:spacing w:after="0" w:line="240" w:lineRule="auto"/>
      </w:pPr>
      <w:r>
        <w:separator/>
      </w:r>
    </w:p>
  </w:footnote>
  <w:footnote w:type="continuationSeparator" w:id="0">
    <w:p w14:paraId="1A378740" w14:textId="77777777" w:rsidR="002450FD" w:rsidRDefault="002450FD" w:rsidP="00865F6D">
      <w:pPr>
        <w:spacing w:after="0" w:line="240" w:lineRule="auto"/>
      </w:pPr>
      <w:r>
        <w:continuationSeparator/>
      </w:r>
    </w:p>
  </w:footnote>
  <w:footnote w:type="continuationNotice" w:id="1">
    <w:p w14:paraId="0FF181B1" w14:textId="77777777" w:rsidR="002450FD" w:rsidRDefault="002450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ABB3" w14:textId="77777777" w:rsidR="006E7D7A" w:rsidRPr="00413D2C" w:rsidRDefault="006E7D7A" w:rsidP="00413D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A162" w14:textId="74FE8F3F" w:rsidR="006E7D7A" w:rsidRDefault="006E7D7A" w:rsidP="00F01277">
    <w:pPr>
      <w:spacing w:before="0" w:after="0" w:line="240" w:lineRule="auto"/>
      <w:rPr>
        <w:rFonts w:ascii="TUOS Stephenson" w:hAnsi="TUOS Stephenson"/>
      </w:rPr>
    </w:pPr>
    <w:r>
      <w:t xml:space="preserve">      </w:t>
    </w:r>
    <w:r w:rsidRPr="00CB21FF">
      <w:rPr>
        <w:rFonts w:ascii="TUOS Stephenson" w:hAnsi="TUOS Stephenson"/>
      </w:rPr>
      <w:t xml:space="preserve">                  </w:t>
    </w:r>
    <w:r>
      <w:rPr>
        <w:rFonts w:ascii="TUOS Stephenson" w:hAnsi="TUOS Stephenson"/>
      </w:rPr>
      <w:t xml:space="preserve">                         </w:t>
    </w:r>
  </w:p>
  <w:p w14:paraId="7054E0C0" w14:textId="64CA6B81" w:rsidR="006E7D7A" w:rsidRPr="00130D7F" w:rsidRDefault="006E7D7A" w:rsidP="00F01277">
    <w:pPr>
      <w:tabs>
        <w:tab w:val="left" w:pos="2694"/>
      </w:tabs>
      <w:spacing w:before="0" w:after="0" w:line="240" w:lineRule="auto"/>
      <w:ind w:left="2835"/>
      <w:rPr>
        <w:rFonts w:ascii="TUOS Stephenson" w:hAnsi="TUOS Stephenson"/>
        <w:bCs/>
        <w:color w:val="808080"/>
        <w:sz w:val="28"/>
        <w:szCs w:val="30"/>
      </w:rPr>
    </w:pPr>
    <w:r w:rsidRPr="00130D7F">
      <w:rPr>
        <w:noProof/>
        <w:sz w:val="28"/>
        <w:szCs w:val="28"/>
      </w:rPr>
      <w:drawing>
        <wp:anchor distT="0" distB="0" distL="114300" distR="114300" simplePos="0" relativeHeight="251653120" behindDoc="1" locked="0" layoutInCell="1" allowOverlap="1" wp14:anchorId="62EEB9E4" wp14:editId="72AF5398">
          <wp:simplePos x="0" y="0"/>
          <wp:positionH relativeFrom="margin">
            <wp:align>left</wp:align>
          </wp:positionH>
          <wp:positionV relativeFrom="paragraph">
            <wp:posOffset>46355</wp:posOffset>
          </wp:positionV>
          <wp:extent cx="1733550" cy="602101"/>
          <wp:effectExtent l="0" t="0" r="0" b="7620"/>
          <wp:wrapNone/>
          <wp:docPr id="75" name="Picture 225"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uoslogo_key_cmyk let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02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D7F">
      <w:rPr>
        <w:noProof/>
        <w:sz w:val="28"/>
        <w:szCs w:val="28"/>
      </w:rPr>
      <w:drawing>
        <wp:anchor distT="0" distB="0" distL="114300" distR="114300" simplePos="0" relativeHeight="251657216" behindDoc="0" locked="0" layoutInCell="1" allowOverlap="1" wp14:anchorId="458037F0" wp14:editId="58EB0F23">
          <wp:simplePos x="0" y="0"/>
          <wp:positionH relativeFrom="margin">
            <wp:align>right</wp:align>
          </wp:positionH>
          <wp:positionV relativeFrom="margin">
            <wp:posOffset>-897890</wp:posOffset>
          </wp:positionV>
          <wp:extent cx="1769745" cy="666750"/>
          <wp:effectExtent l="0" t="0" r="1905" b="0"/>
          <wp:wrapSquare wrapText="bothSides"/>
          <wp:docPr id="76"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974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D7F">
      <w:rPr>
        <w:rFonts w:ascii="TUOS Stephenson" w:hAnsi="TUOS Stephenson"/>
        <w:bCs/>
        <w:color w:val="808080"/>
        <w:sz w:val="28"/>
        <w:szCs w:val="28"/>
      </w:rPr>
      <w:t>Sc</w:t>
    </w:r>
    <w:r w:rsidRPr="00130D7F">
      <w:rPr>
        <w:rFonts w:ascii="TUOS Stephenson" w:hAnsi="TUOS Stephenson"/>
        <w:bCs/>
        <w:color w:val="808080"/>
        <w:sz w:val="28"/>
        <w:szCs w:val="30"/>
      </w:rPr>
      <w:t>hool of</w:t>
    </w:r>
  </w:p>
  <w:p w14:paraId="033F0FC7" w14:textId="77777777" w:rsidR="006E7D7A" w:rsidRPr="00130D7F" w:rsidRDefault="006E7D7A" w:rsidP="00F01277">
    <w:pPr>
      <w:tabs>
        <w:tab w:val="left" w:pos="2694"/>
      </w:tabs>
      <w:spacing w:before="0" w:after="0" w:line="240" w:lineRule="auto"/>
      <w:ind w:left="2835"/>
      <w:rPr>
        <w:rFonts w:ascii="TUOS Stephenson" w:hAnsi="TUOS Stephenson"/>
        <w:bCs/>
        <w:color w:val="808080"/>
        <w:sz w:val="28"/>
        <w:szCs w:val="30"/>
      </w:rPr>
    </w:pPr>
    <w:r w:rsidRPr="00130D7F">
      <w:rPr>
        <w:rFonts w:ascii="TUOS Stephenson" w:hAnsi="TUOS Stephenson"/>
        <w:bCs/>
        <w:color w:val="808080"/>
        <w:sz w:val="28"/>
        <w:szCs w:val="30"/>
      </w:rPr>
      <w:t>Clinical</w:t>
    </w:r>
  </w:p>
  <w:p w14:paraId="254CF9AB" w14:textId="77777777" w:rsidR="006E7D7A" w:rsidRPr="00130D7F" w:rsidRDefault="006E7D7A" w:rsidP="00F01277">
    <w:pPr>
      <w:tabs>
        <w:tab w:val="left" w:pos="2694"/>
      </w:tabs>
      <w:spacing w:before="0" w:after="0" w:line="240" w:lineRule="auto"/>
      <w:ind w:left="2835"/>
      <w:rPr>
        <w:rFonts w:ascii="TUOS Stephenson" w:hAnsi="TUOS Stephenson"/>
        <w:bCs/>
        <w:color w:val="808080"/>
        <w:sz w:val="28"/>
        <w:szCs w:val="30"/>
      </w:rPr>
    </w:pPr>
    <w:r w:rsidRPr="00130D7F">
      <w:rPr>
        <w:rFonts w:ascii="TUOS Stephenson" w:hAnsi="TUOS Stephenson"/>
        <w:bCs/>
        <w:color w:val="808080"/>
        <w:sz w:val="28"/>
        <w:szCs w:val="30"/>
      </w:rPr>
      <w:t>Dentistry</w:t>
    </w:r>
  </w:p>
  <w:p w14:paraId="1512EDB1" w14:textId="77777777" w:rsidR="006E7D7A" w:rsidRPr="00CB21FF" w:rsidRDefault="006E7D7A" w:rsidP="00F01277">
    <w:pPr>
      <w:pStyle w:val="Header"/>
      <w:tabs>
        <w:tab w:val="center" w:pos="4678"/>
        <w:tab w:val="right" w:pos="9072"/>
      </w:tabs>
      <w:spacing w:before="0"/>
      <w:rPr>
        <w:rFonts w:ascii="TUOS Stephenson" w:hAnsi="TUOS Stephenso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3A2E" w14:textId="40C53500" w:rsidR="006E7D7A" w:rsidRDefault="006E7D7A">
    <w:pPr>
      <w:pStyle w:val="Header"/>
    </w:pPr>
    <w:r w:rsidRPr="005C2A75">
      <w:rPr>
        <w:rFonts w:ascii="Calibri" w:hAnsi="Calibri"/>
        <w:bCs/>
        <w:noProof/>
        <w:color w:val="808080"/>
        <w:sz w:val="32"/>
        <w:szCs w:val="32"/>
      </w:rPr>
      <w:drawing>
        <wp:inline distT="0" distB="0" distL="0" distR="0" wp14:anchorId="7B5E5982" wp14:editId="6C3ED02D">
          <wp:extent cx="1907540" cy="898525"/>
          <wp:effectExtent l="0" t="0" r="0" b="0"/>
          <wp:docPr id="77" name="Picture 226" descr="C:\Users\UOS\Desktop\shri-ramachandra-univers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OS\Desktop\shri-ramachandra-university-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89852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2973" w14:textId="77777777" w:rsidR="006E7D7A" w:rsidRPr="00DB3005" w:rsidRDefault="006E7D7A" w:rsidP="00DB300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5D276" w14:textId="77777777" w:rsidR="006E7D7A" w:rsidRPr="0025279C" w:rsidRDefault="006E7D7A" w:rsidP="002527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3D54F" w14:textId="77777777" w:rsidR="006E7D7A" w:rsidRPr="00CB21FF" w:rsidRDefault="006E7D7A" w:rsidP="00620E02">
    <w:pPr>
      <w:pStyle w:val="Header"/>
      <w:tabs>
        <w:tab w:val="center" w:pos="4678"/>
        <w:tab w:val="right" w:pos="9072"/>
      </w:tabs>
      <w:spacing w:before="0"/>
      <w:rPr>
        <w:rFonts w:ascii="TUOS Stephenson" w:hAnsi="TUOS Stephenso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E14F6" w14:textId="77777777" w:rsidR="006E7D7A" w:rsidRPr="001A17DF" w:rsidRDefault="006E7D7A" w:rsidP="001A17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4643F" w14:textId="77777777" w:rsidR="006E7D7A" w:rsidRDefault="006E7D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4A4A4" w14:textId="77777777" w:rsidR="006E7D7A" w:rsidRDefault="006E7D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1871D" w14:textId="77777777" w:rsidR="006E7D7A" w:rsidRPr="00761CBF" w:rsidRDefault="006E7D7A" w:rsidP="00761C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AD60" w14:textId="01DDB8DE" w:rsidR="006E7D7A" w:rsidRPr="00B95C63" w:rsidRDefault="006E7D7A" w:rsidP="00DC6284">
    <w:pPr>
      <w:pStyle w:val="Header"/>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28C9E" w14:textId="77777777" w:rsidR="006E7D7A" w:rsidRPr="00425D56" w:rsidRDefault="006E7D7A" w:rsidP="00425D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470C" w14:textId="77777777" w:rsidR="006E7D7A" w:rsidRPr="00CB21FF" w:rsidRDefault="006E7D7A" w:rsidP="00CB21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4200" w14:textId="61D2E611" w:rsidR="006E7D7A" w:rsidRDefault="006E7D7A" w:rsidP="00CB21FF">
    <w:pPr>
      <w:spacing w:after="0"/>
      <w:ind w:left="2835"/>
      <w:rPr>
        <w:rFonts w:ascii="Calibri" w:hAnsi="Calibri"/>
        <w:bCs/>
        <w:color w:val="808080"/>
        <w:sz w:val="32"/>
        <w:szCs w:val="32"/>
      </w:rPr>
    </w:pPr>
    <w:r>
      <w:rPr>
        <w:noProof/>
      </w:rPr>
      <w:drawing>
        <wp:anchor distT="0" distB="0" distL="114300" distR="114300" simplePos="0" relativeHeight="251665408" behindDoc="0" locked="0" layoutInCell="1" allowOverlap="1" wp14:anchorId="1BCA7028" wp14:editId="15D2F3DE">
          <wp:simplePos x="0" y="0"/>
          <wp:positionH relativeFrom="margin">
            <wp:posOffset>3557905</wp:posOffset>
          </wp:positionH>
          <wp:positionV relativeFrom="margin">
            <wp:posOffset>-603885</wp:posOffset>
          </wp:positionV>
          <wp:extent cx="1547495" cy="582930"/>
          <wp:effectExtent l="0" t="0" r="0" b="7620"/>
          <wp:wrapSquare wrapText="bothSides"/>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0809A66" wp14:editId="057DD190">
          <wp:simplePos x="0" y="0"/>
          <wp:positionH relativeFrom="margin">
            <wp:align>left</wp:align>
          </wp:positionH>
          <wp:positionV relativeFrom="paragraph">
            <wp:posOffset>431800</wp:posOffset>
          </wp:positionV>
          <wp:extent cx="1600200" cy="551144"/>
          <wp:effectExtent l="0" t="0" r="0" b="1905"/>
          <wp:wrapNone/>
          <wp:docPr id="74" name="Picture 16" descr="tuoslogo_key_cmyk let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oslogo_key_cmyk lett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551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D8B5" w14:textId="46C7D9B2" w:rsidR="006E7D7A" w:rsidRPr="00652C2F" w:rsidRDefault="006E7D7A" w:rsidP="0001542C">
    <w:pPr>
      <w:spacing w:before="0" w:after="0" w:line="240" w:lineRule="auto"/>
      <w:ind w:left="2552"/>
      <w:rPr>
        <w:rFonts w:ascii="TUOS Stephenson" w:hAnsi="TUOS Stephenson"/>
        <w:bCs/>
        <w:color w:val="808080"/>
        <w:szCs w:val="26"/>
      </w:rPr>
    </w:pPr>
    <w:r w:rsidRPr="00652C2F">
      <w:rPr>
        <w:rFonts w:ascii="TUOS Stephenson" w:hAnsi="TUOS Stephenson"/>
        <w:bCs/>
        <w:color w:val="808080"/>
        <w:szCs w:val="26"/>
      </w:rPr>
      <w:t xml:space="preserve">School of </w:t>
    </w:r>
  </w:p>
  <w:p w14:paraId="32AB9F60" w14:textId="00C566B8" w:rsidR="006E7D7A" w:rsidRPr="00652C2F" w:rsidRDefault="006E7D7A" w:rsidP="0001542C">
    <w:pPr>
      <w:spacing w:before="0" w:after="0" w:line="240" w:lineRule="auto"/>
      <w:ind w:left="2552"/>
      <w:rPr>
        <w:rFonts w:ascii="TUOS Stephenson" w:hAnsi="TUOS Stephenson"/>
        <w:bCs/>
        <w:color w:val="808080"/>
        <w:szCs w:val="26"/>
      </w:rPr>
    </w:pPr>
    <w:r w:rsidRPr="00652C2F">
      <w:rPr>
        <w:rFonts w:ascii="TUOS Stephenson" w:hAnsi="TUOS Stephenson"/>
        <w:bCs/>
        <w:color w:val="808080"/>
        <w:szCs w:val="26"/>
      </w:rPr>
      <w:t xml:space="preserve">Clinical </w:t>
    </w:r>
  </w:p>
  <w:p w14:paraId="7D0DF705" w14:textId="4AEC2EF9" w:rsidR="006E7D7A" w:rsidRPr="00652C2F" w:rsidRDefault="006E7D7A" w:rsidP="0001542C">
    <w:pPr>
      <w:spacing w:before="0" w:after="0" w:line="240" w:lineRule="auto"/>
      <w:ind w:left="2552"/>
      <w:rPr>
        <w:sz w:val="18"/>
        <w:szCs w:val="18"/>
      </w:rPr>
    </w:pPr>
    <w:r w:rsidRPr="00652C2F">
      <w:rPr>
        <w:rFonts w:ascii="TUOS Stephenson" w:hAnsi="TUOS Stephenson"/>
        <w:bCs/>
        <w:color w:val="808080"/>
        <w:szCs w:val="26"/>
      </w:rPr>
      <w:t>Dentistry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84BC8" w14:textId="77777777" w:rsidR="006E7D7A" w:rsidRPr="00BB1E13" w:rsidRDefault="006E7D7A" w:rsidP="00062AE7">
    <w:pPr>
      <w:pStyle w:val="Header"/>
      <w:tabs>
        <w:tab w:val="center" w:pos="4678"/>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5B7"/>
    <w:multiLevelType w:val="hybridMultilevel"/>
    <w:tmpl w:val="A142EBD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B34EE"/>
    <w:multiLevelType w:val="hybridMultilevel"/>
    <w:tmpl w:val="3D56573A"/>
    <w:lvl w:ilvl="0" w:tplc="4E347C7A">
      <w:start w:val="6"/>
      <w:numFmt w:val="bullet"/>
      <w:lvlText w:val="•"/>
      <w:lvlJc w:val="left"/>
      <w:pPr>
        <w:ind w:left="780" w:hanging="360"/>
      </w:pPr>
      <w:rPr>
        <w:rFonts w:ascii="Times New Roman" w:eastAsiaTheme="minorHAnsi"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3A3142"/>
    <w:multiLevelType w:val="hybridMultilevel"/>
    <w:tmpl w:val="DCC2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307AF"/>
    <w:multiLevelType w:val="hybridMultilevel"/>
    <w:tmpl w:val="25AED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55196"/>
    <w:multiLevelType w:val="multilevel"/>
    <w:tmpl w:val="80D61606"/>
    <w:styleLink w:val="Style1"/>
    <w:lvl w:ilvl="0">
      <w:start w:val="1"/>
      <w:numFmt w:val="decimal"/>
      <w:lvlText w:val="%1"/>
      <w:lvlJc w:val="left"/>
      <w:pPr>
        <w:ind w:left="360" w:hanging="360"/>
      </w:pPr>
      <w:rPr>
        <w:rFonts w:ascii="Times New Roman" w:hAnsi="Times New Roman" w:hint="default"/>
        <w:color w:val="auto"/>
      </w:rPr>
    </w:lvl>
    <w:lvl w:ilvl="1">
      <w:start w:val="1"/>
      <w:numFmt w:val="none"/>
      <w:lvlText w:val="1.%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7C773F"/>
    <w:multiLevelType w:val="multilevel"/>
    <w:tmpl w:val="BC7C5B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E2E290D"/>
    <w:multiLevelType w:val="hybridMultilevel"/>
    <w:tmpl w:val="18EA1A2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1103C64"/>
    <w:multiLevelType w:val="hybridMultilevel"/>
    <w:tmpl w:val="0A5E3A38"/>
    <w:lvl w:ilvl="0" w:tplc="E5440B8A">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4D280D"/>
    <w:multiLevelType w:val="hybridMultilevel"/>
    <w:tmpl w:val="84E486B8"/>
    <w:lvl w:ilvl="0" w:tplc="08090001">
      <w:start w:val="1"/>
      <w:numFmt w:val="bullet"/>
      <w:lvlText w:val=""/>
      <w:lvlJc w:val="left"/>
      <w:pPr>
        <w:ind w:left="765" w:hanging="360"/>
      </w:pPr>
      <w:rPr>
        <w:rFonts w:ascii="Symbol" w:hAnsi="Symbol" w:hint="default"/>
      </w:rPr>
    </w:lvl>
    <w:lvl w:ilvl="1" w:tplc="919236A4" w:tentative="1">
      <w:start w:val="1"/>
      <w:numFmt w:val="lowerLetter"/>
      <w:lvlText w:val="%2."/>
      <w:lvlJc w:val="left"/>
      <w:pPr>
        <w:ind w:left="1485" w:hanging="360"/>
      </w:pPr>
    </w:lvl>
    <w:lvl w:ilvl="2" w:tplc="95A438AA" w:tentative="1">
      <w:start w:val="1"/>
      <w:numFmt w:val="lowerRoman"/>
      <w:lvlText w:val="%3."/>
      <w:lvlJc w:val="right"/>
      <w:pPr>
        <w:ind w:left="2205" w:hanging="180"/>
      </w:pPr>
    </w:lvl>
    <w:lvl w:ilvl="3" w:tplc="343439C4" w:tentative="1">
      <w:start w:val="1"/>
      <w:numFmt w:val="decimal"/>
      <w:lvlText w:val="%4."/>
      <w:lvlJc w:val="left"/>
      <w:pPr>
        <w:ind w:left="2925" w:hanging="360"/>
      </w:pPr>
    </w:lvl>
    <w:lvl w:ilvl="4" w:tplc="6D502650" w:tentative="1">
      <w:start w:val="1"/>
      <w:numFmt w:val="lowerLetter"/>
      <w:lvlText w:val="%5."/>
      <w:lvlJc w:val="left"/>
      <w:pPr>
        <w:ind w:left="3645" w:hanging="360"/>
      </w:pPr>
    </w:lvl>
    <w:lvl w:ilvl="5" w:tplc="3304AB6E" w:tentative="1">
      <w:start w:val="1"/>
      <w:numFmt w:val="lowerRoman"/>
      <w:lvlText w:val="%6."/>
      <w:lvlJc w:val="right"/>
      <w:pPr>
        <w:ind w:left="4365" w:hanging="180"/>
      </w:pPr>
    </w:lvl>
    <w:lvl w:ilvl="6" w:tplc="278CAEC0" w:tentative="1">
      <w:start w:val="1"/>
      <w:numFmt w:val="decimal"/>
      <w:lvlText w:val="%7."/>
      <w:lvlJc w:val="left"/>
      <w:pPr>
        <w:ind w:left="5085" w:hanging="360"/>
      </w:pPr>
    </w:lvl>
    <w:lvl w:ilvl="7" w:tplc="6A0605FC" w:tentative="1">
      <w:start w:val="1"/>
      <w:numFmt w:val="lowerLetter"/>
      <w:lvlText w:val="%8."/>
      <w:lvlJc w:val="left"/>
      <w:pPr>
        <w:ind w:left="5805" w:hanging="360"/>
      </w:pPr>
    </w:lvl>
    <w:lvl w:ilvl="8" w:tplc="0DACD1D6" w:tentative="1">
      <w:start w:val="1"/>
      <w:numFmt w:val="lowerRoman"/>
      <w:lvlText w:val="%9."/>
      <w:lvlJc w:val="right"/>
      <w:pPr>
        <w:ind w:left="6525" w:hanging="180"/>
      </w:pPr>
    </w:lvl>
  </w:abstractNum>
  <w:abstractNum w:abstractNumId="9" w15:restartNumberingAfterBreak="0">
    <w:nsid w:val="1ABF3D6E"/>
    <w:multiLevelType w:val="hybridMultilevel"/>
    <w:tmpl w:val="E96200B2"/>
    <w:lvl w:ilvl="0" w:tplc="E5440B8A">
      <w:numFmt w:val="bullet"/>
      <w:lvlText w:val=""/>
      <w:lvlJc w:val="left"/>
      <w:pPr>
        <w:ind w:left="600" w:hanging="360"/>
      </w:pPr>
      <w:rPr>
        <w:rFonts w:ascii="Wingdings" w:eastAsia="Times New Roman" w:hAnsi="Wingding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2146D6"/>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33E85"/>
    <w:multiLevelType w:val="hybridMultilevel"/>
    <w:tmpl w:val="859E923E"/>
    <w:lvl w:ilvl="0" w:tplc="F39E96F4">
      <w:start w:val="1"/>
      <w:numFmt w:val="decimal"/>
      <w:lvlText w:val="%1."/>
      <w:lvlJc w:val="left"/>
      <w:pPr>
        <w:ind w:left="765" w:hanging="360"/>
      </w:pPr>
    </w:lvl>
    <w:lvl w:ilvl="1" w:tplc="919236A4" w:tentative="1">
      <w:start w:val="1"/>
      <w:numFmt w:val="lowerLetter"/>
      <w:lvlText w:val="%2."/>
      <w:lvlJc w:val="left"/>
      <w:pPr>
        <w:ind w:left="1485" w:hanging="360"/>
      </w:pPr>
    </w:lvl>
    <w:lvl w:ilvl="2" w:tplc="95A438AA" w:tentative="1">
      <w:start w:val="1"/>
      <w:numFmt w:val="lowerRoman"/>
      <w:lvlText w:val="%3."/>
      <w:lvlJc w:val="right"/>
      <w:pPr>
        <w:ind w:left="2205" w:hanging="180"/>
      </w:pPr>
    </w:lvl>
    <w:lvl w:ilvl="3" w:tplc="343439C4" w:tentative="1">
      <w:start w:val="1"/>
      <w:numFmt w:val="decimal"/>
      <w:lvlText w:val="%4."/>
      <w:lvlJc w:val="left"/>
      <w:pPr>
        <w:ind w:left="2925" w:hanging="360"/>
      </w:pPr>
    </w:lvl>
    <w:lvl w:ilvl="4" w:tplc="6D502650" w:tentative="1">
      <w:start w:val="1"/>
      <w:numFmt w:val="lowerLetter"/>
      <w:lvlText w:val="%5."/>
      <w:lvlJc w:val="left"/>
      <w:pPr>
        <w:ind w:left="3645" w:hanging="360"/>
      </w:pPr>
    </w:lvl>
    <w:lvl w:ilvl="5" w:tplc="3304AB6E" w:tentative="1">
      <w:start w:val="1"/>
      <w:numFmt w:val="lowerRoman"/>
      <w:lvlText w:val="%6."/>
      <w:lvlJc w:val="right"/>
      <w:pPr>
        <w:ind w:left="4365" w:hanging="180"/>
      </w:pPr>
    </w:lvl>
    <w:lvl w:ilvl="6" w:tplc="278CAEC0" w:tentative="1">
      <w:start w:val="1"/>
      <w:numFmt w:val="decimal"/>
      <w:lvlText w:val="%7."/>
      <w:lvlJc w:val="left"/>
      <w:pPr>
        <w:ind w:left="5085" w:hanging="360"/>
      </w:pPr>
    </w:lvl>
    <w:lvl w:ilvl="7" w:tplc="6A0605FC" w:tentative="1">
      <w:start w:val="1"/>
      <w:numFmt w:val="lowerLetter"/>
      <w:lvlText w:val="%8."/>
      <w:lvlJc w:val="left"/>
      <w:pPr>
        <w:ind w:left="5805" w:hanging="360"/>
      </w:pPr>
    </w:lvl>
    <w:lvl w:ilvl="8" w:tplc="0DACD1D6" w:tentative="1">
      <w:start w:val="1"/>
      <w:numFmt w:val="lowerRoman"/>
      <w:lvlText w:val="%9."/>
      <w:lvlJc w:val="right"/>
      <w:pPr>
        <w:ind w:left="6525" w:hanging="180"/>
      </w:pPr>
    </w:lvl>
  </w:abstractNum>
  <w:abstractNum w:abstractNumId="12" w15:restartNumberingAfterBreak="0">
    <w:nsid w:val="299D1DAA"/>
    <w:multiLevelType w:val="multilevel"/>
    <w:tmpl w:val="5538B532"/>
    <w:styleLink w:val="Style4"/>
    <w:lvl w:ilvl="0">
      <w:start w:val="1"/>
      <w:numFmt w:val="decimal"/>
      <w:lvlText w:val="%1."/>
      <w:lvlJc w:val="left"/>
      <w:pPr>
        <w:ind w:left="720" w:hanging="360"/>
      </w:pPr>
      <w:rPr>
        <w:rFonts w:ascii="Times New Roman" w:hAnsi="Times New Roman" w:hint="default"/>
        <w:b/>
        <w:sz w:val="28"/>
      </w:rPr>
    </w:lvl>
    <w:lvl w:ilvl="1">
      <w:start w:val="1"/>
      <w:numFmt w:val="none"/>
      <w:lvlRestart w:val="0"/>
      <w:lvlText w:val="1.%1"/>
      <w:lvlJc w:val="left"/>
      <w:pPr>
        <w:ind w:left="1080" w:hanging="360"/>
      </w:pPr>
      <w:rPr>
        <w:rFonts w:ascii="Times New Roman" w:hAnsi="Times New Roman" w:hint="default"/>
        <w:b/>
        <w:sz w:val="24"/>
      </w:rPr>
    </w:lvl>
    <w:lvl w:ilvl="2">
      <w:start w:val="1"/>
      <w:numFmt w:val="none"/>
      <w:lvlRestart w:val="0"/>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9AD1AF3"/>
    <w:multiLevelType w:val="hybridMultilevel"/>
    <w:tmpl w:val="341E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E244C"/>
    <w:multiLevelType w:val="hybridMultilevel"/>
    <w:tmpl w:val="6584E0B0"/>
    <w:lvl w:ilvl="0" w:tplc="946A417A">
      <w:start w:val="1"/>
      <w:numFmt w:val="bullet"/>
      <w:lvlText w:val=""/>
      <w:lvlJc w:val="left"/>
      <w:pPr>
        <w:tabs>
          <w:tab w:val="num" w:pos="720"/>
        </w:tabs>
        <w:ind w:left="720" w:hanging="360"/>
      </w:pPr>
      <w:rPr>
        <w:rFonts w:ascii="Symbol" w:hAnsi="Symbol" w:hint="default"/>
      </w:rPr>
    </w:lvl>
    <w:lvl w:ilvl="1" w:tplc="63729C0C">
      <w:start w:val="1"/>
      <w:numFmt w:val="bullet"/>
      <w:lvlText w:val="o"/>
      <w:lvlJc w:val="left"/>
      <w:pPr>
        <w:tabs>
          <w:tab w:val="num" w:pos="1440"/>
        </w:tabs>
        <w:ind w:left="1440" w:hanging="360"/>
      </w:pPr>
      <w:rPr>
        <w:rFonts w:ascii="Courier New" w:hAnsi="Courier New" w:cs="Courier New" w:hint="default"/>
      </w:rPr>
    </w:lvl>
    <w:lvl w:ilvl="2" w:tplc="E9C01D56">
      <w:start w:val="1"/>
      <w:numFmt w:val="bullet"/>
      <w:lvlText w:val=""/>
      <w:lvlJc w:val="left"/>
      <w:pPr>
        <w:tabs>
          <w:tab w:val="num" w:pos="2160"/>
        </w:tabs>
        <w:ind w:left="2160" w:hanging="360"/>
      </w:pPr>
      <w:rPr>
        <w:rFonts w:ascii="Wingdings" w:hAnsi="Wingdings" w:hint="default"/>
      </w:rPr>
    </w:lvl>
    <w:lvl w:ilvl="3" w:tplc="F76A5542">
      <w:start w:val="1"/>
      <w:numFmt w:val="bullet"/>
      <w:lvlText w:val=""/>
      <w:lvlJc w:val="left"/>
      <w:pPr>
        <w:tabs>
          <w:tab w:val="num" w:pos="2880"/>
        </w:tabs>
        <w:ind w:left="2880" w:hanging="360"/>
      </w:pPr>
      <w:rPr>
        <w:rFonts w:ascii="Symbol" w:hAnsi="Symbol" w:hint="default"/>
      </w:rPr>
    </w:lvl>
    <w:lvl w:ilvl="4" w:tplc="3B021122">
      <w:start w:val="1"/>
      <w:numFmt w:val="bullet"/>
      <w:lvlText w:val="o"/>
      <w:lvlJc w:val="left"/>
      <w:pPr>
        <w:tabs>
          <w:tab w:val="num" w:pos="3600"/>
        </w:tabs>
        <w:ind w:left="3600" w:hanging="360"/>
      </w:pPr>
      <w:rPr>
        <w:rFonts w:ascii="Courier New" w:hAnsi="Courier New" w:cs="Courier New" w:hint="default"/>
      </w:rPr>
    </w:lvl>
    <w:lvl w:ilvl="5" w:tplc="82463BDE">
      <w:start w:val="1"/>
      <w:numFmt w:val="bullet"/>
      <w:lvlText w:val=""/>
      <w:lvlJc w:val="left"/>
      <w:pPr>
        <w:tabs>
          <w:tab w:val="num" w:pos="4320"/>
        </w:tabs>
        <w:ind w:left="4320" w:hanging="360"/>
      </w:pPr>
      <w:rPr>
        <w:rFonts w:ascii="Wingdings" w:hAnsi="Wingdings" w:hint="default"/>
      </w:rPr>
    </w:lvl>
    <w:lvl w:ilvl="6" w:tplc="27A2F7C8">
      <w:start w:val="1"/>
      <w:numFmt w:val="bullet"/>
      <w:lvlText w:val=""/>
      <w:lvlJc w:val="left"/>
      <w:pPr>
        <w:tabs>
          <w:tab w:val="num" w:pos="5040"/>
        </w:tabs>
        <w:ind w:left="5040" w:hanging="360"/>
      </w:pPr>
      <w:rPr>
        <w:rFonts w:ascii="Symbol" w:hAnsi="Symbol" w:hint="default"/>
      </w:rPr>
    </w:lvl>
    <w:lvl w:ilvl="7" w:tplc="6CCC2FEE">
      <w:start w:val="1"/>
      <w:numFmt w:val="bullet"/>
      <w:lvlText w:val="o"/>
      <w:lvlJc w:val="left"/>
      <w:pPr>
        <w:tabs>
          <w:tab w:val="num" w:pos="5760"/>
        </w:tabs>
        <w:ind w:left="5760" w:hanging="360"/>
      </w:pPr>
      <w:rPr>
        <w:rFonts w:ascii="Courier New" w:hAnsi="Courier New" w:cs="Courier New" w:hint="default"/>
      </w:rPr>
    </w:lvl>
    <w:lvl w:ilvl="8" w:tplc="2DE28A70">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F7B9B"/>
    <w:multiLevelType w:val="hybridMultilevel"/>
    <w:tmpl w:val="5650D1F8"/>
    <w:lvl w:ilvl="0" w:tplc="E5440B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D0755"/>
    <w:multiLevelType w:val="hybridMultilevel"/>
    <w:tmpl w:val="0B808F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A500F"/>
    <w:multiLevelType w:val="hybridMultilevel"/>
    <w:tmpl w:val="3CDC17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212F4"/>
    <w:multiLevelType w:val="multilevel"/>
    <w:tmpl w:val="FA6EFE42"/>
    <w:lvl w:ilvl="0">
      <w:start w:val="1"/>
      <w:numFmt w:val="decimal"/>
      <w:pStyle w:val="Para1"/>
      <w:lvlText w:val="%1."/>
      <w:lvlJc w:val="left"/>
      <w:pPr>
        <w:tabs>
          <w:tab w:val="num" w:pos="720"/>
        </w:tabs>
        <w:ind w:left="720" w:hanging="720"/>
      </w:pPr>
      <w:rPr>
        <w:rFonts w:ascii="Book Antiqua" w:hAnsi="Book Antiqua" w:hint="default"/>
        <w:sz w:val="24"/>
      </w:rPr>
    </w:lvl>
    <w:lvl w:ilvl="1">
      <w:start w:val="1"/>
      <w:numFmt w:val="lowerLetter"/>
      <w:lvlText w:val="%2)"/>
      <w:lvlJc w:val="left"/>
      <w:pPr>
        <w:tabs>
          <w:tab w:val="num" w:pos="1440"/>
        </w:tabs>
        <w:ind w:left="1440" w:hanging="720"/>
      </w:pPr>
      <w:rPr>
        <w:rFonts w:ascii="Book Antiqua" w:hAnsi="Book Antiqua" w:hint="default"/>
        <w:sz w:val="24"/>
      </w:rPr>
    </w:lvl>
    <w:lvl w:ilvl="2">
      <w:start w:val="1"/>
      <w:numFmt w:val="lowerRoman"/>
      <w:lvlText w:val="%3)"/>
      <w:lvlJc w:val="left"/>
      <w:pPr>
        <w:tabs>
          <w:tab w:val="num" w:pos="2160"/>
        </w:tabs>
        <w:ind w:left="2160" w:hanging="720"/>
      </w:pPr>
      <w:rPr>
        <w:rFonts w:ascii="Book Antiqua" w:hAnsi="Book Antiqua" w:hint="default"/>
        <w:sz w:val="24"/>
      </w:rPr>
    </w:lvl>
    <w:lvl w:ilvl="3">
      <w:start w:val="1"/>
      <w:numFmt w:val="bullet"/>
      <w:pStyle w:val="para4"/>
      <w:lvlText w:val=""/>
      <w:lvlJc w:val="left"/>
      <w:pPr>
        <w:tabs>
          <w:tab w:val="num" w:pos="2160"/>
        </w:tabs>
        <w:ind w:left="2160" w:hanging="720"/>
      </w:pPr>
      <w:rPr>
        <w:rFonts w:ascii="Symbol" w:hAnsi="Symbol" w:hint="default"/>
        <w:sz w:val="24"/>
      </w:rPr>
    </w:lvl>
    <w:lvl w:ilvl="4">
      <w:start w:val="1"/>
      <w:numFmt w:val="bullet"/>
      <w:pStyle w:val="para5"/>
      <w:lvlText w:val=""/>
      <w:lvlJc w:val="left"/>
      <w:pPr>
        <w:tabs>
          <w:tab w:val="num" w:pos="2160"/>
        </w:tabs>
        <w:ind w:left="2160" w:hanging="720"/>
      </w:pPr>
      <w:rPr>
        <w:rFonts w:ascii="Symbol" w:hAnsi="Symbol" w:hint="default"/>
        <w:sz w:val="24"/>
      </w:rPr>
    </w:lvl>
    <w:lvl w:ilvl="5">
      <w:start w:val="1"/>
      <w:numFmt w:val="none"/>
      <w:lvlText w:val=""/>
      <w:lvlJc w:val="left"/>
      <w:pPr>
        <w:tabs>
          <w:tab w:val="num" w:pos="2520"/>
        </w:tabs>
        <w:ind w:left="2520" w:hanging="1080"/>
      </w:pPr>
      <w:rPr>
        <w:rFonts w:hint="default"/>
      </w:rPr>
    </w:lvl>
    <w:lvl w:ilvl="6">
      <w:start w:val="1"/>
      <w:numFmt w:val="none"/>
      <w:lvlText w:val=""/>
      <w:lvlJc w:val="left"/>
      <w:pPr>
        <w:tabs>
          <w:tab w:val="num" w:pos="2520"/>
        </w:tabs>
        <w:ind w:left="2520" w:hanging="1080"/>
      </w:pPr>
      <w:rPr>
        <w:rFonts w:hint="default"/>
      </w:rPr>
    </w:lvl>
    <w:lvl w:ilvl="7">
      <w:start w:val="1"/>
      <w:numFmt w:val="none"/>
      <w:lvlText w:val="%1.%2.%3.%4.%5.%6.%7.%8."/>
      <w:lvlJc w:val="left"/>
      <w:pPr>
        <w:tabs>
          <w:tab w:val="num" w:pos="4320"/>
        </w:tabs>
        <w:ind w:left="3744" w:hanging="1224"/>
      </w:pPr>
    </w:lvl>
    <w:lvl w:ilvl="8">
      <w:start w:val="1"/>
      <w:numFmt w:val="none"/>
      <w:lvlText w:val="%1.%2.%3.%4.%5.%6.%7.%8.%9."/>
      <w:lvlJc w:val="left"/>
      <w:pPr>
        <w:tabs>
          <w:tab w:val="num" w:pos="5040"/>
        </w:tabs>
        <w:ind w:left="4320" w:hanging="1440"/>
      </w:pPr>
    </w:lvl>
  </w:abstractNum>
  <w:abstractNum w:abstractNumId="19" w15:restartNumberingAfterBreak="0">
    <w:nsid w:val="487B6B2B"/>
    <w:multiLevelType w:val="hybridMultilevel"/>
    <w:tmpl w:val="1C1E24A2"/>
    <w:lvl w:ilvl="0" w:tplc="E5440B8A">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4903365A"/>
    <w:multiLevelType w:val="hybridMultilevel"/>
    <w:tmpl w:val="1CEAB90E"/>
    <w:lvl w:ilvl="0" w:tplc="D1F8C79A">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17E19"/>
    <w:multiLevelType w:val="hybridMultilevel"/>
    <w:tmpl w:val="A9AE0D1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4C010873"/>
    <w:multiLevelType w:val="hybridMultilevel"/>
    <w:tmpl w:val="8ABC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661D3"/>
    <w:multiLevelType w:val="hybridMultilevel"/>
    <w:tmpl w:val="5A8E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E5F30"/>
    <w:multiLevelType w:val="multilevel"/>
    <w:tmpl w:val="B2526E84"/>
    <w:lvl w:ilvl="0">
      <w:start w:val="1"/>
      <w:numFmt w:val="decimal"/>
      <w:pStyle w:val="Index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77384F"/>
    <w:multiLevelType w:val="hybridMultilevel"/>
    <w:tmpl w:val="3B1E3FBE"/>
    <w:lvl w:ilvl="0" w:tplc="FC4EDD3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E5795"/>
    <w:multiLevelType w:val="hybridMultilevel"/>
    <w:tmpl w:val="82C2B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9E3D4F"/>
    <w:multiLevelType w:val="hybridMultilevel"/>
    <w:tmpl w:val="339425A8"/>
    <w:lvl w:ilvl="0" w:tplc="0AC4724E">
      <w:numFmt w:val="bullet"/>
      <w:lvlText w:val=""/>
      <w:lvlJc w:val="left"/>
      <w:pPr>
        <w:ind w:left="720" w:hanging="360"/>
      </w:pPr>
      <w:rPr>
        <w:rFonts w:ascii="Wingdings" w:eastAsia="Times New Roman" w:hAnsi="Wingdings" w:cs="Times New Roman" w:hint="default"/>
        <w:sz w:val="16"/>
        <w:szCs w:val="16"/>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8" w15:restartNumberingAfterBreak="0">
    <w:nsid w:val="576514B7"/>
    <w:multiLevelType w:val="hybridMultilevel"/>
    <w:tmpl w:val="905488EE"/>
    <w:lvl w:ilvl="0" w:tplc="25D6D2C0">
      <w:numFmt w:val="bullet"/>
      <w:lvlText w:val="•"/>
      <w:lvlJc w:val="left"/>
      <w:pPr>
        <w:ind w:left="786" w:hanging="360"/>
      </w:pPr>
      <w:rPr>
        <w:rFonts w:ascii="Arial" w:eastAsia="SimSu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580323EF"/>
    <w:multiLevelType w:val="hybridMultilevel"/>
    <w:tmpl w:val="A5CA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AE3EEF"/>
    <w:multiLevelType w:val="multilevel"/>
    <w:tmpl w:val="1C600EE0"/>
    <w:lvl w:ilvl="0">
      <w:start w:val="1"/>
      <w:numFmt w:val="decimal"/>
      <w:lvlText w:val="%1."/>
      <w:lvlJc w:val="left"/>
      <w:pPr>
        <w:tabs>
          <w:tab w:val="num" w:pos="720"/>
        </w:tabs>
        <w:ind w:left="720" w:hanging="720"/>
      </w:pPr>
      <w:rPr>
        <w:rFonts w:ascii="Book Antiqua" w:hAnsi="Book Antiqua" w:hint="default"/>
        <w:sz w:val="24"/>
      </w:rPr>
    </w:lvl>
    <w:lvl w:ilvl="1">
      <w:start w:val="1"/>
      <w:numFmt w:val="lowerLetter"/>
      <w:pStyle w:val="para2"/>
      <w:lvlText w:val="%2)"/>
      <w:lvlJc w:val="left"/>
      <w:pPr>
        <w:tabs>
          <w:tab w:val="num" w:pos="1440"/>
        </w:tabs>
        <w:ind w:left="1440" w:hanging="720"/>
      </w:pPr>
      <w:rPr>
        <w:rFonts w:ascii="Book Antiqua" w:hAnsi="Book Antiqua" w:hint="default"/>
        <w:sz w:val="24"/>
      </w:rPr>
    </w:lvl>
    <w:lvl w:ilvl="2">
      <w:start w:val="1"/>
      <w:numFmt w:val="lowerRoman"/>
      <w:lvlText w:val="%3)"/>
      <w:lvlJc w:val="left"/>
      <w:pPr>
        <w:tabs>
          <w:tab w:val="num" w:pos="2160"/>
        </w:tabs>
        <w:ind w:left="2160" w:hanging="720"/>
      </w:pPr>
      <w:rPr>
        <w:rFonts w:ascii="Book Antiqua" w:hAnsi="Book Antiqua" w:hint="default"/>
        <w:sz w:val="24"/>
      </w:rPr>
    </w:lvl>
    <w:lvl w:ilvl="3">
      <w:start w:val="1"/>
      <w:numFmt w:val="bullet"/>
      <w:lvlText w:val=""/>
      <w:lvlJc w:val="left"/>
      <w:pPr>
        <w:tabs>
          <w:tab w:val="num" w:pos="2160"/>
        </w:tabs>
        <w:ind w:left="2160" w:hanging="720"/>
      </w:pPr>
      <w:rPr>
        <w:rFonts w:ascii="Symbol" w:hAnsi="Symbol" w:hint="default"/>
        <w:sz w:val="24"/>
      </w:rPr>
    </w:lvl>
    <w:lvl w:ilvl="4">
      <w:start w:val="1"/>
      <w:numFmt w:val="bullet"/>
      <w:lvlText w:val=""/>
      <w:lvlJc w:val="left"/>
      <w:pPr>
        <w:tabs>
          <w:tab w:val="num" w:pos="2160"/>
        </w:tabs>
        <w:ind w:left="2160" w:hanging="720"/>
      </w:pPr>
      <w:rPr>
        <w:rFonts w:ascii="Symbol" w:hAnsi="Symbol" w:hint="default"/>
        <w:sz w:val="24"/>
      </w:rPr>
    </w:lvl>
    <w:lvl w:ilvl="5">
      <w:start w:val="1"/>
      <w:numFmt w:val="none"/>
      <w:lvlText w:val=""/>
      <w:lvlJc w:val="left"/>
      <w:pPr>
        <w:tabs>
          <w:tab w:val="num" w:pos="2520"/>
        </w:tabs>
        <w:ind w:left="2520" w:hanging="1080"/>
      </w:pPr>
      <w:rPr>
        <w:rFonts w:hint="default"/>
      </w:rPr>
    </w:lvl>
    <w:lvl w:ilvl="6">
      <w:start w:val="1"/>
      <w:numFmt w:val="none"/>
      <w:lvlText w:val=""/>
      <w:lvlJc w:val="left"/>
      <w:pPr>
        <w:tabs>
          <w:tab w:val="num" w:pos="2520"/>
        </w:tabs>
        <w:ind w:left="2520" w:hanging="1080"/>
      </w:pPr>
      <w:rPr>
        <w:rFonts w:hint="default"/>
      </w:rPr>
    </w:lvl>
    <w:lvl w:ilvl="7">
      <w:start w:val="1"/>
      <w:numFmt w:val="none"/>
      <w:lvlText w:val="%1.%2.%3.%4.%5.%6.%7.%8."/>
      <w:lvlJc w:val="left"/>
      <w:pPr>
        <w:tabs>
          <w:tab w:val="num" w:pos="4320"/>
        </w:tabs>
        <w:ind w:left="3744" w:hanging="1224"/>
      </w:pPr>
    </w:lvl>
    <w:lvl w:ilvl="8">
      <w:start w:val="1"/>
      <w:numFmt w:val="none"/>
      <w:lvlText w:val="%1.%2.%3.%4.%5.%6.%7.%8.%9."/>
      <w:lvlJc w:val="left"/>
      <w:pPr>
        <w:tabs>
          <w:tab w:val="num" w:pos="5040"/>
        </w:tabs>
        <w:ind w:left="4320" w:hanging="1440"/>
      </w:pPr>
    </w:lvl>
  </w:abstractNum>
  <w:abstractNum w:abstractNumId="31" w15:restartNumberingAfterBreak="0">
    <w:nsid w:val="5AF9584D"/>
    <w:multiLevelType w:val="hybridMultilevel"/>
    <w:tmpl w:val="147C5502"/>
    <w:lvl w:ilvl="0" w:tplc="A00EDB30">
      <w:start w:val="1"/>
      <w:numFmt w:val="bullet"/>
      <w:lvlText w:val=""/>
      <w:lvlJc w:val="left"/>
      <w:pPr>
        <w:ind w:left="1353" w:hanging="360"/>
      </w:pPr>
      <w:rPr>
        <w:rFonts w:ascii="Wingdings" w:hAnsi="Wingdings" w:hint="default"/>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03256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F1B6152"/>
    <w:multiLevelType w:val="hybridMultilevel"/>
    <w:tmpl w:val="F7B69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D652E4"/>
    <w:multiLevelType w:val="multilevel"/>
    <w:tmpl w:val="8A1AA718"/>
    <w:styleLink w:val="PR1"/>
    <w:lvl w:ilvl="0">
      <w:start w:val="1"/>
      <w:numFmt w:val="decimal"/>
      <w:pStyle w:val="Style5"/>
      <w:lvlText w:val="%1."/>
      <w:lvlJc w:val="left"/>
      <w:pPr>
        <w:ind w:left="360" w:hanging="360"/>
      </w:pPr>
      <w:rPr>
        <w:rFonts w:ascii="Times New Roman" w:hAnsi="Times New Roman" w:hint="default"/>
        <w:b/>
        <w:sz w:val="28"/>
      </w:rPr>
    </w:lvl>
    <w:lvl w:ilvl="1">
      <w:start w:val="1"/>
      <w:numFmt w:val="decimal"/>
      <w:lvlText w:val="%1.%2"/>
      <w:lvlJc w:val="left"/>
      <w:pPr>
        <w:ind w:left="-700" w:hanging="576"/>
      </w:pPr>
      <w:rPr>
        <w:rFonts w:hint="default"/>
        <w:b/>
      </w:rPr>
    </w:lvl>
    <w:lvl w:ilvl="2">
      <w:start w:val="1"/>
      <w:numFmt w:val="decimal"/>
      <w:lvlText w:val="%1.%2.%3"/>
      <w:lvlJc w:val="left"/>
      <w:pPr>
        <w:ind w:left="153" w:hanging="720"/>
      </w:pPr>
      <w:rPr>
        <w:rFonts w:hint="default"/>
      </w:rPr>
    </w:lvl>
    <w:lvl w:ilvl="3">
      <w:start w:val="1"/>
      <w:numFmt w:val="decimal"/>
      <w:lvlText w:val="%1.%2.%3.%4"/>
      <w:lvlJc w:val="left"/>
      <w:pPr>
        <w:ind w:left="-412" w:hanging="864"/>
      </w:pPr>
      <w:rPr>
        <w:rFonts w:hint="default"/>
      </w:rPr>
    </w:lvl>
    <w:lvl w:ilvl="4">
      <w:start w:val="1"/>
      <w:numFmt w:val="decimal"/>
      <w:lvlText w:val="%1.%2.%3.%4.%5"/>
      <w:lvlJc w:val="left"/>
      <w:pPr>
        <w:ind w:left="-268" w:hanging="1008"/>
      </w:pPr>
      <w:rPr>
        <w:rFonts w:hint="default"/>
      </w:rPr>
    </w:lvl>
    <w:lvl w:ilvl="5">
      <w:start w:val="1"/>
      <w:numFmt w:val="decimal"/>
      <w:lvlText w:val="%1.%2.%3.%4.%5.%6"/>
      <w:lvlJc w:val="left"/>
      <w:pPr>
        <w:ind w:left="-124" w:hanging="1152"/>
      </w:pPr>
      <w:rPr>
        <w:rFonts w:hint="default"/>
      </w:rPr>
    </w:lvl>
    <w:lvl w:ilvl="6">
      <w:start w:val="1"/>
      <w:numFmt w:val="decimal"/>
      <w:lvlText w:val="%1.%2.%3.%4.%5.%6.%7"/>
      <w:lvlJc w:val="left"/>
      <w:pPr>
        <w:ind w:left="20" w:hanging="1296"/>
      </w:pPr>
      <w:rPr>
        <w:rFonts w:hint="default"/>
      </w:rPr>
    </w:lvl>
    <w:lvl w:ilvl="7">
      <w:start w:val="1"/>
      <w:numFmt w:val="decimal"/>
      <w:lvlText w:val="%1.%2.%3.%4.%5.%6.%7.%8"/>
      <w:lvlJc w:val="left"/>
      <w:pPr>
        <w:ind w:left="164" w:hanging="1440"/>
      </w:pPr>
      <w:rPr>
        <w:rFonts w:hint="default"/>
      </w:rPr>
    </w:lvl>
    <w:lvl w:ilvl="8">
      <w:start w:val="1"/>
      <w:numFmt w:val="decimal"/>
      <w:lvlText w:val="%1.%2.%3.%4.%5.%6.%7.%8.%9"/>
      <w:lvlJc w:val="left"/>
      <w:pPr>
        <w:ind w:left="308" w:hanging="1584"/>
      </w:pPr>
      <w:rPr>
        <w:rFonts w:hint="default"/>
      </w:rPr>
    </w:lvl>
  </w:abstractNum>
  <w:abstractNum w:abstractNumId="35" w15:restartNumberingAfterBreak="0">
    <w:nsid w:val="60E9170B"/>
    <w:multiLevelType w:val="hybridMultilevel"/>
    <w:tmpl w:val="FFA0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1494E"/>
    <w:multiLevelType w:val="hybridMultilevel"/>
    <w:tmpl w:val="DB6C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205CD"/>
    <w:multiLevelType w:val="hybridMultilevel"/>
    <w:tmpl w:val="630E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0C47CB"/>
    <w:multiLevelType w:val="multilevel"/>
    <w:tmpl w:val="8A1AA718"/>
    <w:numStyleLink w:val="PR1"/>
  </w:abstractNum>
  <w:abstractNum w:abstractNumId="39" w15:restartNumberingAfterBreak="0">
    <w:nsid w:val="66A75B63"/>
    <w:multiLevelType w:val="multilevel"/>
    <w:tmpl w:val="6068ECAC"/>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AC01E78"/>
    <w:multiLevelType w:val="multilevel"/>
    <w:tmpl w:val="EEB641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6F60726B"/>
    <w:multiLevelType w:val="hybridMultilevel"/>
    <w:tmpl w:val="A4EC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4B4E21"/>
    <w:multiLevelType w:val="hybridMultilevel"/>
    <w:tmpl w:val="EC4E183E"/>
    <w:lvl w:ilvl="0" w:tplc="E5440B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C85705"/>
    <w:multiLevelType w:val="hybridMultilevel"/>
    <w:tmpl w:val="CB46B920"/>
    <w:lvl w:ilvl="0" w:tplc="8FF080A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79E808D3"/>
    <w:multiLevelType w:val="hybridMultilevel"/>
    <w:tmpl w:val="9DDEF4B0"/>
    <w:lvl w:ilvl="0" w:tplc="AC74481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536C66"/>
    <w:multiLevelType w:val="hybridMultilevel"/>
    <w:tmpl w:val="96E4226C"/>
    <w:lvl w:ilvl="0" w:tplc="C9DEC30E">
      <w:numFmt w:val="bullet"/>
      <w:lvlText w:val=""/>
      <w:lvlJc w:val="left"/>
      <w:pPr>
        <w:ind w:left="720" w:hanging="360"/>
      </w:pPr>
      <w:rPr>
        <w:rFonts w:ascii="Wingdings" w:eastAsia="Times New Roman" w:hAnsi="Wingdings" w:cs="Times New Roman"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2"/>
  </w:num>
  <w:num w:numId="3">
    <w:abstractNumId w:val="10"/>
  </w:num>
  <w:num w:numId="4">
    <w:abstractNumId w:val="24"/>
  </w:num>
  <w:num w:numId="5">
    <w:abstractNumId w:val="34"/>
  </w:num>
  <w:num w:numId="6">
    <w:abstractNumId w:val="38"/>
  </w:num>
  <w:num w:numId="7">
    <w:abstractNumId w:val="12"/>
  </w:num>
  <w:num w:numId="8">
    <w:abstractNumId w:val="18"/>
  </w:num>
  <w:num w:numId="9">
    <w:abstractNumId w:val="30"/>
  </w:num>
  <w:num w:numId="10">
    <w:abstractNumId w:val="11"/>
  </w:num>
  <w:num w:numId="11">
    <w:abstractNumId w:val="19"/>
  </w:num>
  <w:num w:numId="12">
    <w:abstractNumId w:val="23"/>
  </w:num>
  <w:num w:numId="13">
    <w:abstractNumId w:val="2"/>
  </w:num>
  <w:num w:numId="14">
    <w:abstractNumId w:val="0"/>
  </w:num>
  <w:num w:numId="15">
    <w:abstractNumId w:val="43"/>
  </w:num>
  <w:num w:numId="16">
    <w:abstractNumId w:val="14"/>
  </w:num>
  <w:num w:numId="17">
    <w:abstractNumId w:val="7"/>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1"/>
  </w:num>
  <w:num w:numId="23">
    <w:abstractNumId w:val="16"/>
  </w:num>
  <w:num w:numId="24">
    <w:abstractNumId w:val="25"/>
  </w:num>
  <w:num w:numId="25">
    <w:abstractNumId w:val="44"/>
  </w:num>
  <w:num w:numId="26">
    <w:abstractNumId w:val="20"/>
  </w:num>
  <w:num w:numId="27">
    <w:abstractNumId w:val="31"/>
  </w:num>
  <w:num w:numId="28">
    <w:abstractNumId w:val="6"/>
  </w:num>
  <w:num w:numId="29">
    <w:abstractNumId w:val="3"/>
  </w:num>
  <w:num w:numId="30">
    <w:abstractNumId w:val="41"/>
  </w:num>
  <w:num w:numId="31">
    <w:abstractNumId w:val="28"/>
  </w:num>
  <w:num w:numId="32">
    <w:abstractNumId w:val="15"/>
  </w:num>
  <w:num w:numId="33">
    <w:abstractNumId w:val="22"/>
  </w:num>
  <w:num w:numId="34">
    <w:abstractNumId w:val="42"/>
  </w:num>
  <w:num w:numId="35">
    <w:abstractNumId w:val="36"/>
  </w:num>
  <w:num w:numId="36">
    <w:abstractNumId w:val="1"/>
  </w:num>
  <w:num w:numId="37">
    <w:abstractNumId w:val="8"/>
  </w:num>
  <w:num w:numId="38">
    <w:abstractNumId w:val="26"/>
  </w:num>
  <w:num w:numId="39">
    <w:abstractNumId w:val="17"/>
  </w:num>
  <w:num w:numId="40">
    <w:abstractNumId w:val="5"/>
  </w:num>
  <w:num w:numId="41">
    <w:abstractNumId w:val="29"/>
  </w:num>
  <w:num w:numId="42">
    <w:abstractNumId w:val="40"/>
  </w:num>
  <w:num w:numId="43">
    <w:abstractNumId w:val="13"/>
  </w:num>
  <w:num w:numId="44">
    <w:abstractNumId w:val="37"/>
  </w:num>
  <w:num w:numId="45">
    <w:abstractNumId w:val="39"/>
  </w:num>
  <w:num w:numId="46">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gutterAtTop/>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0&lt;/HangingIndent&gt;&lt;LineSpacing&gt;1&lt;/LineSpacing&gt;&lt;SpaceAfter&gt;1&lt;/SpaceAfter&gt;&lt;/ENLayout&gt;"/>
    <w:docVar w:name="EN.Libraries" w:val="&lt;Libraries&gt;&lt;/Libraries&gt;"/>
  </w:docVars>
  <w:rsids>
    <w:rsidRoot w:val="009A69AC"/>
    <w:rsid w:val="00000044"/>
    <w:rsid w:val="0000012E"/>
    <w:rsid w:val="00000443"/>
    <w:rsid w:val="0000063B"/>
    <w:rsid w:val="00000D2A"/>
    <w:rsid w:val="00001ADF"/>
    <w:rsid w:val="0000231B"/>
    <w:rsid w:val="0000233C"/>
    <w:rsid w:val="00002741"/>
    <w:rsid w:val="0000421A"/>
    <w:rsid w:val="0000421F"/>
    <w:rsid w:val="00004355"/>
    <w:rsid w:val="00004761"/>
    <w:rsid w:val="00005199"/>
    <w:rsid w:val="000051A2"/>
    <w:rsid w:val="00005253"/>
    <w:rsid w:val="0000552C"/>
    <w:rsid w:val="00005CFE"/>
    <w:rsid w:val="00005FBE"/>
    <w:rsid w:val="0000618A"/>
    <w:rsid w:val="00006AEB"/>
    <w:rsid w:val="00007E04"/>
    <w:rsid w:val="0001046A"/>
    <w:rsid w:val="00011295"/>
    <w:rsid w:val="00011821"/>
    <w:rsid w:val="00011D60"/>
    <w:rsid w:val="00012267"/>
    <w:rsid w:val="0001273B"/>
    <w:rsid w:val="0001350E"/>
    <w:rsid w:val="00013C20"/>
    <w:rsid w:val="00014216"/>
    <w:rsid w:val="00014443"/>
    <w:rsid w:val="000147E4"/>
    <w:rsid w:val="00014CDA"/>
    <w:rsid w:val="00014E4C"/>
    <w:rsid w:val="000151C6"/>
    <w:rsid w:val="0001542C"/>
    <w:rsid w:val="0001543E"/>
    <w:rsid w:val="000157E5"/>
    <w:rsid w:val="0001642C"/>
    <w:rsid w:val="00016938"/>
    <w:rsid w:val="000172A0"/>
    <w:rsid w:val="0001739C"/>
    <w:rsid w:val="0001795D"/>
    <w:rsid w:val="00017B2B"/>
    <w:rsid w:val="00017CA4"/>
    <w:rsid w:val="000205AD"/>
    <w:rsid w:val="0002068E"/>
    <w:rsid w:val="00020A78"/>
    <w:rsid w:val="00020B10"/>
    <w:rsid w:val="0002125C"/>
    <w:rsid w:val="00021511"/>
    <w:rsid w:val="000219FF"/>
    <w:rsid w:val="00021CE0"/>
    <w:rsid w:val="00021F94"/>
    <w:rsid w:val="00023188"/>
    <w:rsid w:val="00023D1F"/>
    <w:rsid w:val="00024205"/>
    <w:rsid w:val="00024A62"/>
    <w:rsid w:val="000250C4"/>
    <w:rsid w:val="000252F2"/>
    <w:rsid w:val="00026B15"/>
    <w:rsid w:val="00026D06"/>
    <w:rsid w:val="000275BD"/>
    <w:rsid w:val="00027740"/>
    <w:rsid w:val="00027752"/>
    <w:rsid w:val="000279D3"/>
    <w:rsid w:val="00027B44"/>
    <w:rsid w:val="00030027"/>
    <w:rsid w:val="00030205"/>
    <w:rsid w:val="00030818"/>
    <w:rsid w:val="000312C1"/>
    <w:rsid w:val="0003196E"/>
    <w:rsid w:val="00031ACE"/>
    <w:rsid w:val="00031D29"/>
    <w:rsid w:val="000325AF"/>
    <w:rsid w:val="00032C5E"/>
    <w:rsid w:val="00032D1F"/>
    <w:rsid w:val="000332A1"/>
    <w:rsid w:val="0003389F"/>
    <w:rsid w:val="00033A29"/>
    <w:rsid w:val="00034051"/>
    <w:rsid w:val="0003440C"/>
    <w:rsid w:val="0003475C"/>
    <w:rsid w:val="0003484E"/>
    <w:rsid w:val="00034B24"/>
    <w:rsid w:val="0003532C"/>
    <w:rsid w:val="0003542B"/>
    <w:rsid w:val="000354C3"/>
    <w:rsid w:val="00035969"/>
    <w:rsid w:val="000361EB"/>
    <w:rsid w:val="00036858"/>
    <w:rsid w:val="00036C5A"/>
    <w:rsid w:val="00037060"/>
    <w:rsid w:val="000373DE"/>
    <w:rsid w:val="00037A78"/>
    <w:rsid w:val="00037FAF"/>
    <w:rsid w:val="00040195"/>
    <w:rsid w:val="0004040B"/>
    <w:rsid w:val="000415AD"/>
    <w:rsid w:val="00041ADF"/>
    <w:rsid w:val="00041D89"/>
    <w:rsid w:val="00041FC7"/>
    <w:rsid w:val="0004207A"/>
    <w:rsid w:val="0004276C"/>
    <w:rsid w:val="000429A1"/>
    <w:rsid w:val="00043026"/>
    <w:rsid w:val="0004331F"/>
    <w:rsid w:val="00043755"/>
    <w:rsid w:val="000440F9"/>
    <w:rsid w:val="0004446D"/>
    <w:rsid w:val="000445EB"/>
    <w:rsid w:val="0004480A"/>
    <w:rsid w:val="00044D9F"/>
    <w:rsid w:val="000453AB"/>
    <w:rsid w:val="0004557F"/>
    <w:rsid w:val="000458C4"/>
    <w:rsid w:val="00045C7C"/>
    <w:rsid w:val="0004625E"/>
    <w:rsid w:val="000475F0"/>
    <w:rsid w:val="00047C31"/>
    <w:rsid w:val="00050001"/>
    <w:rsid w:val="00050F99"/>
    <w:rsid w:val="0005130B"/>
    <w:rsid w:val="00051A85"/>
    <w:rsid w:val="00051F35"/>
    <w:rsid w:val="00052166"/>
    <w:rsid w:val="0005295B"/>
    <w:rsid w:val="000535D1"/>
    <w:rsid w:val="0005367B"/>
    <w:rsid w:val="00053886"/>
    <w:rsid w:val="000543A5"/>
    <w:rsid w:val="000546FE"/>
    <w:rsid w:val="00054C9B"/>
    <w:rsid w:val="00055333"/>
    <w:rsid w:val="00055C13"/>
    <w:rsid w:val="00055DFF"/>
    <w:rsid w:val="0005643E"/>
    <w:rsid w:val="00056544"/>
    <w:rsid w:val="00056B1D"/>
    <w:rsid w:val="00056DEB"/>
    <w:rsid w:val="000578AC"/>
    <w:rsid w:val="00057A99"/>
    <w:rsid w:val="00057E45"/>
    <w:rsid w:val="00057EF8"/>
    <w:rsid w:val="0006053E"/>
    <w:rsid w:val="000605AD"/>
    <w:rsid w:val="00060CEB"/>
    <w:rsid w:val="0006120E"/>
    <w:rsid w:val="00061325"/>
    <w:rsid w:val="0006143F"/>
    <w:rsid w:val="0006183D"/>
    <w:rsid w:val="00061946"/>
    <w:rsid w:val="00061A0B"/>
    <w:rsid w:val="00061AE1"/>
    <w:rsid w:val="000629A0"/>
    <w:rsid w:val="00062AE7"/>
    <w:rsid w:val="00062E15"/>
    <w:rsid w:val="000633FD"/>
    <w:rsid w:val="0006394C"/>
    <w:rsid w:val="00063E97"/>
    <w:rsid w:val="000652DE"/>
    <w:rsid w:val="00065465"/>
    <w:rsid w:val="00065684"/>
    <w:rsid w:val="00065C7C"/>
    <w:rsid w:val="00065D72"/>
    <w:rsid w:val="000665AE"/>
    <w:rsid w:val="00066707"/>
    <w:rsid w:val="00066936"/>
    <w:rsid w:val="00066C9D"/>
    <w:rsid w:val="0006726F"/>
    <w:rsid w:val="00067574"/>
    <w:rsid w:val="0006772A"/>
    <w:rsid w:val="00067D00"/>
    <w:rsid w:val="0007000D"/>
    <w:rsid w:val="00070390"/>
    <w:rsid w:val="000705AF"/>
    <w:rsid w:val="00070814"/>
    <w:rsid w:val="00070C5A"/>
    <w:rsid w:val="00070CD7"/>
    <w:rsid w:val="00071ACB"/>
    <w:rsid w:val="00071D2E"/>
    <w:rsid w:val="00071E07"/>
    <w:rsid w:val="000720F4"/>
    <w:rsid w:val="000721FC"/>
    <w:rsid w:val="000727CD"/>
    <w:rsid w:val="00072E7A"/>
    <w:rsid w:val="00073170"/>
    <w:rsid w:val="00073388"/>
    <w:rsid w:val="00073827"/>
    <w:rsid w:val="00074157"/>
    <w:rsid w:val="0007497E"/>
    <w:rsid w:val="00074AF3"/>
    <w:rsid w:val="00074CB4"/>
    <w:rsid w:val="000756B9"/>
    <w:rsid w:val="00075E4D"/>
    <w:rsid w:val="00076253"/>
    <w:rsid w:val="00076F8E"/>
    <w:rsid w:val="00077102"/>
    <w:rsid w:val="000771AA"/>
    <w:rsid w:val="0007794E"/>
    <w:rsid w:val="00077A65"/>
    <w:rsid w:val="0008011D"/>
    <w:rsid w:val="000809BE"/>
    <w:rsid w:val="00080AE1"/>
    <w:rsid w:val="00080E80"/>
    <w:rsid w:val="0008107B"/>
    <w:rsid w:val="000813C9"/>
    <w:rsid w:val="00081FC5"/>
    <w:rsid w:val="000821E3"/>
    <w:rsid w:val="000824D8"/>
    <w:rsid w:val="00082A47"/>
    <w:rsid w:val="00082AC9"/>
    <w:rsid w:val="00083009"/>
    <w:rsid w:val="00083775"/>
    <w:rsid w:val="00083AC1"/>
    <w:rsid w:val="00084782"/>
    <w:rsid w:val="000847ED"/>
    <w:rsid w:val="0008484D"/>
    <w:rsid w:val="00084A0A"/>
    <w:rsid w:val="00085194"/>
    <w:rsid w:val="0008523A"/>
    <w:rsid w:val="00085612"/>
    <w:rsid w:val="00086B0A"/>
    <w:rsid w:val="00086BB7"/>
    <w:rsid w:val="00086EF5"/>
    <w:rsid w:val="000873AF"/>
    <w:rsid w:val="00087597"/>
    <w:rsid w:val="00087A1C"/>
    <w:rsid w:val="0009032E"/>
    <w:rsid w:val="00090371"/>
    <w:rsid w:val="00090ED8"/>
    <w:rsid w:val="00090F6C"/>
    <w:rsid w:val="000911FF"/>
    <w:rsid w:val="000917A1"/>
    <w:rsid w:val="0009187E"/>
    <w:rsid w:val="00092548"/>
    <w:rsid w:val="0009294E"/>
    <w:rsid w:val="00092965"/>
    <w:rsid w:val="00092ED4"/>
    <w:rsid w:val="00092FF9"/>
    <w:rsid w:val="00093238"/>
    <w:rsid w:val="00093DB5"/>
    <w:rsid w:val="00093E16"/>
    <w:rsid w:val="00094A92"/>
    <w:rsid w:val="00095AEE"/>
    <w:rsid w:val="00095D8F"/>
    <w:rsid w:val="00096E1A"/>
    <w:rsid w:val="0009710A"/>
    <w:rsid w:val="00097A76"/>
    <w:rsid w:val="00097C0A"/>
    <w:rsid w:val="00097EDE"/>
    <w:rsid w:val="000A024D"/>
    <w:rsid w:val="000A1902"/>
    <w:rsid w:val="000A2335"/>
    <w:rsid w:val="000A2437"/>
    <w:rsid w:val="000A325E"/>
    <w:rsid w:val="000A34F6"/>
    <w:rsid w:val="000A3647"/>
    <w:rsid w:val="000A3A00"/>
    <w:rsid w:val="000A42D5"/>
    <w:rsid w:val="000A44CD"/>
    <w:rsid w:val="000A4B88"/>
    <w:rsid w:val="000A4C3B"/>
    <w:rsid w:val="000A5664"/>
    <w:rsid w:val="000A57F8"/>
    <w:rsid w:val="000A60F7"/>
    <w:rsid w:val="000A6476"/>
    <w:rsid w:val="000A6B6A"/>
    <w:rsid w:val="000A6D11"/>
    <w:rsid w:val="000A7083"/>
    <w:rsid w:val="000A714A"/>
    <w:rsid w:val="000A72DA"/>
    <w:rsid w:val="000A793A"/>
    <w:rsid w:val="000B0789"/>
    <w:rsid w:val="000B0A42"/>
    <w:rsid w:val="000B0B27"/>
    <w:rsid w:val="000B0E11"/>
    <w:rsid w:val="000B110E"/>
    <w:rsid w:val="000B127D"/>
    <w:rsid w:val="000B1349"/>
    <w:rsid w:val="000B1BF3"/>
    <w:rsid w:val="000B1FFB"/>
    <w:rsid w:val="000B24ED"/>
    <w:rsid w:val="000B25DE"/>
    <w:rsid w:val="000B2BBA"/>
    <w:rsid w:val="000B2CF0"/>
    <w:rsid w:val="000B2F45"/>
    <w:rsid w:val="000B37A6"/>
    <w:rsid w:val="000B37B8"/>
    <w:rsid w:val="000B3E87"/>
    <w:rsid w:val="000B4298"/>
    <w:rsid w:val="000B431D"/>
    <w:rsid w:val="000B4519"/>
    <w:rsid w:val="000B47DC"/>
    <w:rsid w:val="000B4B33"/>
    <w:rsid w:val="000B5128"/>
    <w:rsid w:val="000B5AF3"/>
    <w:rsid w:val="000B64B3"/>
    <w:rsid w:val="000B684D"/>
    <w:rsid w:val="000B695F"/>
    <w:rsid w:val="000B6A07"/>
    <w:rsid w:val="000B710C"/>
    <w:rsid w:val="000B7744"/>
    <w:rsid w:val="000B7DFC"/>
    <w:rsid w:val="000C0086"/>
    <w:rsid w:val="000C0AF3"/>
    <w:rsid w:val="000C1029"/>
    <w:rsid w:val="000C16B8"/>
    <w:rsid w:val="000C1EC6"/>
    <w:rsid w:val="000C296F"/>
    <w:rsid w:val="000C2D8C"/>
    <w:rsid w:val="000C2FF2"/>
    <w:rsid w:val="000C323A"/>
    <w:rsid w:val="000C33D0"/>
    <w:rsid w:val="000C3805"/>
    <w:rsid w:val="000C4506"/>
    <w:rsid w:val="000C48F5"/>
    <w:rsid w:val="000C6247"/>
    <w:rsid w:val="000C64B0"/>
    <w:rsid w:val="000C69CF"/>
    <w:rsid w:val="000C6C68"/>
    <w:rsid w:val="000C6D4E"/>
    <w:rsid w:val="000C7441"/>
    <w:rsid w:val="000C7881"/>
    <w:rsid w:val="000C7893"/>
    <w:rsid w:val="000C7D2F"/>
    <w:rsid w:val="000C7FEB"/>
    <w:rsid w:val="000D0013"/>
    <w:rsid w:val="000D117C"/>
    <w:rsid w:val="000D142F"/>
    <w:rsid w:val="000D251A"/>
    <w:rsid w:val="000D2B82"/>
    <w:rsid w:val="000D2E36"/>
    <w:rsid w:val="000D357B"/>
    <w:rsid w:val="000D364F"/>
    <w:rsid w:val="000D39F9"/>
    <w:rsid w:val="000D41AC"/>
    <w:rsid w:val="000D4812"/>
    <w:rsid w:val="000D48CC"/>
    <w:rsid w:val="000D4DAE"/>
    <w:rsid w:val="000D5116"/>
    <w:rsid w:val="000D5826"/>
    <w:rsid w:val="000D6134"/>
    <w:rsid w:val="000D62C1"/>
    <w:rsid w:val="000D6B2B"/>
    <w:rsid w:val="000D6BDD"/>
    <w:rsid w:val="000D6C6B"/>
    <w:rsid w:val="000D717D"/>
    <w:rsid w:val="000D727C"/>
    <w:rsid w:val="000D7487"/>
    <w:rsid w:val="000D74EB"/>
    <w:rsid w:val="000D7A18"/>
    <w:rsid w:val="000E08B4"/>
    <w:rsid w:val="000E0B5C"/>
    <w:rsid w:val="000E106B"/>
    <w:rsid w:val="000E1072"/>
    <w:rsid w:val="000E1E41"/>
    <w:rsid w:val="000E241A"/>
    <w:rsid w:val="000E2D20"/>
    <w:rsid w:val="000E366C"/>
    <w:rsid w:val="000E38A2"/>
    <w:rsid w:val="000E499F"/>
    <w:rsid w:val="000E50BB"/>
    <w:rsid w:val="000E5448"/>
    <w:rsid w:val="000E5B65"/>
    <w:rsid w:val="000E5DEF"/>
    <w:rsid w:val="000E6271"/>
    <w:rsid w:val="000E67FC"/>
    <w:rsid w:val="000E6948"/>
    <w:rsid w:val="000E696C"/>
    <w:rsid w:val="000E6F9D"/>
    <w:rsid w:val="000E7093"/>
    <w:rsid w:val="000E7674"/>
    <w:rsid w:val="000E7983"/>
    <w:rsid w:val="000E7A2E"/>
    <w:rsid w:val="000F02C2"/>
    <w:rsid w:val="000F040A"/>
    <w:rsid w:val="000F0817"/>
    <w:rsid w:val="000F085B"/>
    <w:rsid w:val="000F144B"/>
    <w:rsid w:val="000F1AAE"/>
    <w:rsid w:val="000F2397"/>
    <w:rsid w:val="000F259D"/>
    <w:rsid w:val="000F2A5B"/>
    <w:rsid w:val="000F2D79"/>
    <w:rsid w:val="000F2E85"/>
    <w:rsid w:val="000F2FD2"/>
    <w:rsid w:val="000F34D3"/>
    <w:rsid w:val="000F3AA4"/>
    <w:rsid w:val="000F3F28"/>
    <w:rsid w:val="000F481F"/>
    <w:rsid w:val="000F52BC"/>
    <w:rsid w:val="000F54F5"/>
    <w:rsid w:val="000F6080"/>
    <w:rsid w:val="000F6B45"/>
    <w:rsid w:val="000F6CF7"/>
    <w:rsid w:val="000F6D2A"/>
    <w:rsid w:val="000F70BB"/>
    <w:rsid w:val="000F73FD"/>
    <w:rsid w:val="0010055B"/>
    <w:rsid w:val="001006B9"/>
    <w:rsid w:val="00100E82"/>
    <w:rsid w:val="00101114"/>
    <w:rsid w:val="00101D76"/>
    <w:rsid w:val="0010238E"/>
    <w:rsid w:val="00102DBA"/>
    <w:rsid w:val="001037FC"/>
    <w:rsid w:val="00103EAC"/>
    <w:rsid w:val="00103EEF"/>
    <w:rsid w:val="0010471C"/>
    <w:rsid w:val="001049A7"/>
    <w:rsid w:val="00104A6F"/>
    <w:rsid w:val="0010568E"/>
    <w:rsid w:val="00105948"/>
    <w:rsid w:val="00106101"/>
    <w:rsid w:val="00106490"/>
    <w:rsid w:val="0010793B"/>
    <w:rsid w:val="00107B69"/>
    <w:rsid w:val="001101B6"/>
    <w:rsid w:val="0011026D"/>
    <w:rsid w:val="00110332"/>
    <w:rsid w:val="00110596"/>
    <w:rsid w:val="0011122E"/>
    <w:rsid w:val="001117D5"/>
    <w:rsid w:val="00111893"/>
    <w:rsid w:val="00111AC6"/>
    <w:rsid w:val="0011210E"/>
    <w:rsid w:val="001121F9"/>
    <w:rsid w:val="00112314"/>
    <w:rsid w:val="00112E81"/>
    <w:rsid w:val="001130CC"/>
    <w:rsid w:val="00113D9C"/>
    <w:rsid w:val="001156F5"/>
    <w:rsid w:val="001158C7"/>
    <w:rsid w:val="00115AC2"/>
    <w:rsid w:val="00115F4B"/>
    <w:rsid w:val="00116234"/>
    <w:rsid w:val="0011676A"/>
    <w:rsid w:val="00116AEF"/>
    <w:rsid w:val="00116C71"/>
    <w:rsid w:val="00116D7B"/>
    <w:rsid w:val="00116EE5"/>
    <w:rsid w:val="00117167"/>
    <w:rsid w:val="0011789A"/>
    <w:rsid w:val="00117911"/>
    <w:rsid w:val="0011798B"/>
    <w:rsid w:val="00117D5F"/>
    <w:rsid w:val="00117F8B"/>
    <w:rsid w:val="00120249"/>
    <w:rsid w:val="00120525"/>
    <w:rsid w:val="00120DAB"/>
    <w:rsid w:val="0012120C"/>
    <w:rsid w:val="00121514"/>
    <w:rsid w:val="001217C2"/>
    <w:rsid w:val="0012195A"/>
    <w:rsid w:val="00121EC8"/>
    <w:rsid w:val="001230ED"/>
    <w:rsid w:val="0012374E"/>
    <w:rsid w:val="00123958"/>
    <w:rsid w:val="00123BAE"/>
    <w:rsid w:val="00123EA2"/>
    <w:rsid w:val="00124031"/>
    <w:rsid w:val="00124431"/>
    <w:rsid w:val="00124FD1"/>
    <w:rsid w:val="00125C9A"/>
    <w:rsid w:val="00126B15"/>
    <w:rsid w:val="00126DAE"/>
    <w:rsid w:val="00126F5E"/>
    <w:rsid w:val="001276D0"/>
    <w:rsid w:val="001277DF"/>
    <w:rsid w:val="00127B9B"/>
    <w:rsid w:val="00130425"/>
    <w:rsid w:val="001304BE"/>
    <w:rsid w:val="00130870"/>
    <w:rsid w:val="00130BBA"/>
    <w:rsid w:val="00130D7F"/>
    <w:rsid w:val="001310CD"/>
    <w:rsid w:val="001317B5"/>
    <w:rsid w:val="00131F80"/>
    <w:rsid w:val="0013211B"/>
    <w:rsid w:val="0013225C"/>
    <w:rsid w:val="00132B7A"/>
    <w:rsid w:val="00132CC4"/>
    <w:rsid w:val="00132F99"/>
    <w:rsid w:val="00132FC7"/>
    <w:rsid w:val="00133172"/>
    <w:rsid w:val="00133BEB"/>
    <w:rsid w:val="001340E1"/>
    <w:rsid w:val="001347ED"/>
    <w:rsid w:val="001348A8"/>
    <w:rsid w:val="0013492F"/>
    <w:rsid w:val="00134B03"/>
    <w:rsid w:val="00134ECF"/>
    <w:rsid w:val="00135012"/>
    <w:rsid w:val="00135984"/>
    <w:rsid w:val="00135C1F"/>
    <w:rsid w:val="00135FEA"/>
    <w:rsid w:val="00136257"/>
    <w:rsid w:val="00136430"/>
    <w:rsid w:val="00136C0B"/>
    <w:rsid w:val="001377FB"/>
    <w:rsid w:val="00137A0B"/>
    <w:rsid w:val="001414BE"/>
    <w:rsid w:val="00141DA3"/>
    <w:rsid w:val="001429F5"/>
    <w:rsid w:val="00142DF5"/>
    <w:rsid w:val="00143CF8"/>
    <w:rsid w:val="001448A0"/>
    <w:rsid w:val="001448DE"/>
    <w:rsid w:val="00145142"/>
    <w:rsid w:val="00145779"/>
    <w:rsid w:val="0014581C"/>
    <w:rsid w:val="001468B4"/>
    <w:rsid w:val="00146926"/>
    <w:rsid w:val="0014730F"/>
    <w:rsid w:val="00150019"/>
    <w:rsid w:val="00151C7A"/>
    <w:rsid w:val="00151CFE"/>
    <w:rsid w:val="00152551"/>
    <w:rsid w:val="00152846"/>
    <w:rsid w:val="00152CD0"/>
    <w:rsid w:val="00152DC9"/>
    <w:rsid w:val="00152FFB"/>
    <w:rsid w:val="00153447"/>
    <w:rsid w:val="00153671"/>
    <w:rsid w:val="00153C5B"/>
    <w:rsid w:val="00154614"/>
    <w:rsid w:val="00154AF7"/>
    <w:rsid w:val="00154C26"/>
    <w:rsid w:val="00155851"/>
    <w:rsid w:val="00155968"/>
    <w:rsid w:val="00155A08"/>
    <w:rsid w:val="00155B75"/>
    <w:rsid w:val="00155E97"/>
    <w:rsid w:val="00156376"/>
    <w:rsid w:val="0015670F"/>
    <w:rsid w:val="00156DDC"/>
    <w:rsid w:val="0015710C"/>
    <w:rsid w:val="001573D7"/>
    <w:rsid w:val="00157E09"/>
    <w:rsid w:val="00160EA4"/>
    <w:rsid w:val="001610B6"/>
    <w:rsid w:val="00161F19"/>
    <w:rsid w:val="0016205C"/>
    <w:rsid w:val="00162659"/>
    <w:rsid w:val="00162B9C"/>
    <w:rsid w:val="00162D95"/>
    <w:rsid w:val="00163501"/>
    <w:rsid w:val="00163A19"/>
    <w:rsid w:val="00164C01"/>
    <w:rsid w:val="00164F17"/>
    <w:rsid w:val="001656A4"/>
    <w:rsid w:val="00165C1E"/>
    <w:rsid w:val="00165C48"/>
    <w:rsid w:val="00165CFB"/>
    <w:rsid w:val="00165D90"/>
    <w:rsid w:val="00166426"/>
    <w:rsid w:val="00166524"/>
    <w:rsid w:val="00166D39"/>
    <w:rsid w:val="00167500"/>
    <w:rsid w:val="00167628"/>
    <w:rsid w:val="00167A95"/>
    <w:rsid w:val="00167DB6"/>
    <w:rsid w:val="00167E7A"/>
    <w:rsid w:val="001704E1"/>
    <w:rsid w:val="001707BB"/>
    <w:rsid w:val="00170A99"/>
    <w:rsid w:val="00171B13"/>
    <w:rsid w:val="00172A2F"/>
    <w:rsid w:val="00172B21"/>
    <w:rsid w:val="001731A2"/>
    <w:rsid w:val="00173541"/>
    <w:rsid w:val="00173AA5"/>
    <w:rsid w:val="00174352"/>
    <w:rsid w:val="00174DEE"/>
    <w:rsid w:val="00174E3E"/>
    <w:rsid w:val="001755A8"/>
    <w:rsid w:val="00175F58"/>
    <w:rsid w:val="001762DB"/>
    <w:rsid w:val="001762E7"/>
    <w:rsid w:val="001764C6"/>
    <w:rsid w:val="00176704"/>
    <w:rsid w:val="00176DA8"/>
    <w:rsid w:val="00176F06"/>
    <w:rsid w:val="001772B0"/>
    <w:rsid w:val="00177CC1"/>
    <w:rsid w:val="0018031A"/>
    <w:rsid w:val="00180562"/>
    <w:rsid w:val="0018074E"/>
    <w:rsid w:val="0018175B"/>
    <w:rsid w:val="001819B4"/>
    <w:rsid w:val="00181E2D"/>
    <w:rsid w:val="00181F85"/>
    <w:rsid w:val="001825C8"/>
    <w:rsid w:val="00182701"/>
    <w:rsid w:val="00182FDA"/>
    <w:rsid w:val="0018307F"/>
    <w:rsid w:val="0018335C"/>
    <w:rsid w:val="00183981"/>
    <w:rsid w:val="00184048"/>
    <w:rsid w:val="0018505F"/>
    <w:rsid w:val="001853D2"/>
    <w:rsid w:val="00185C82"/>
    <w:rsid w:val="00185E1E"/>
    <w:rsid w:val="001861D9"/>
    <w:rsid w:val="00186B2B"/>
    <w:rsid w:val="00186DF5"/>
    <w:rsid w:val="00186FFC"/>
    <w:rsid w:val="0018741C"/>
    <w:rsid w:val="00187509"/>
    <w:rsid w:val="0019019C"/>
    <w:rsid w:val="00190902"/>
    <w:rsid w:val="00191434"/>
    <w:rsid w:val="001915E3"/>
    <w:rsid w:val="001918F0"/>
    <w:rsid w:val="001919EC"/>
    <w:rsid w:val="00191B22"/>
    <w:rsid w:val="0019212F"/>
    <w:rsid w:val="00192505"/>
    <w:rsid w:val="00192528"/>
    <w:rsid w:val="0019283B"/>
    <w:rsid w:val="00192864"/>
    <w:rsid w:val="00192C96"/>
    <w:rsid w:val="00192D5A"/>
    <w:rsid w:val="00193A1B"/>
    <w:rsid w:val="001940D0"/>
    <w:rsid w:val="001941CD"/>
    <w:rsid w:val="00194838"/>
    <w:rsid w:val="001953C8"/>
    <w:rsid w:val="00195727"/>
    <w:rsid w:val="00195A13"/>
    <w:rsid w:val="001960AD"/>
    <w:rsid w:val="00197187"/>
    <w:rsid w:val="0019768E"/>
    <w:rsid w:val="0019771E"/>
    <w:rsid w:val="00197A87"/>
    <w:rsid w:val="00197B0B"/>
    <w:rsid w:val="00197D48"/>
    <w:rsid w:val="00197D88"/>
    <w:rsid w:val="001A0256"/>
    <w:rsid w:val="001A1550"/>
    <w:rsid w:val="001A16BA"/>
    <w:rsid w:val="001A16F6"/>
    <w:rsid w:val="001A1783"/>
    <w:rsid w:val="001A17DF"/>
    <w:rsid w:val="001A1A2A"/>
    <w:rsid w:val="001A1CA5"/>
    <w:rsid w:val="001A1E53"/>
    <w:rsid w:val="001A1E5A"/>
    <w:rsid w:val="001A247D"/>
    <w:rsid w:val="001A25FA"/>
    <w:rsid w:val="001A29DF"/>
    <w:rsid w:val="001A34EE"/>
    <w:rsid w:val="001A3586"/>
    <w:rsid w:val="001A36C1"/>
    <w:rsid w:val="001A383C"/>
    <w:rsid w:val="001A404B"/>
    <w:rsid w:val="001A46C8"/>
    <w:rsid w:val="001A5A36"/>
    <w:rsid w:val="001A5C7C"/>
    <w:rsid w:val="001A5DB5"/>
    <w:rsid w:val="001A6391"/>
    <w:rsid w:val="001A6883"/>
    <w:rsid w:val="001A6B73"/>
    <w:rsid w:val="001A6E02"/>
    <w:rsid w:val="001A738C"/>
    <w:rsid w:val="001A7813"/>
    <w:rsid w:val="001A7B07"/>
    <w:rsid w:val="001A7BAC"/>
    <w:rsid w:val="001B00E1"/>
    <w:rsid w:val="001B0369"/>
    <w:rsid w:val="001B0412"/>
    <w:rsid w:val="001B06EC"/>
    <w:rsid w:val="001B128C"/>
    <w:rsid w:val="001B1B79"/>
    <w:rsid w:val="001B1C1C"/>
    <w:rsid w:val="001B1D37"/>
    <w:rsid w:val="001B27D5"/>
    <w:rsid w:val="001B33A1"/>
    <w:rsid w:val="001B33D1"/>
    <w:rsid w:val="001B3514"/>
    <w:rsid w:val="001B3653"/>
    <w:rsid w:val="001B3A0C"/>
    <w:rsid w:val="001B3DAA"/>
    <w:rsid w:val="001B3F61"/>
    <w:rsid w:val="001B46E4"/>
    <w:rsid w:val="001B4846"/>
    <w:rsid w:val="001B4BFE"/>
    <w:rsid w:val="001B4E95"/>
    <w:rsid w:val="001B4EF0"/>
    <w:rsid w:val="001B4FE7"/>
    <w:rsid w:val="001B5A0E"/>
    <w:rsid w:val="001B5B05"/>
    <w:rsid w:val="001B6E24"/>
    <w:rsid w:val="001B72B3"/>
    <w:rsid w:val="001B7AC6"/>
    <w:rsid w:val="001C09F2"/>
    <w:rsid w:val="001C0F8E"/>
    <w:rsid w:val="001C1278"/>
    <w:rsid w:val="001C1877"/>
    <w:rsid w:val="001C1A5A"/>
    <w:rsid w:val="001C1B23"/>
    <w:rsid w:val="001C1B38"/>
    <w:rsid w:val="001C21AB"/>
    <w:rsid w:val="001C303E"/>
    <w:rsid w:val="001C31A5"/>
    <w:rsid w:val="001C34CB"/>
    <w:rsid w:val="001C39F0"/>
    <w:rsid w:val="001C3BA2"/>
    <w:rsid w:val="001C4A74"/>
    <w:rsid w:val="001C4C87"/>
    <w:rsid w:val="001C4F36"/>
    <w:rsid w:val="001C4FAE"/>
    <w:rsid w:val="001C50D8"/>
    <w:rsid w:val="001C5759"/>
    <w:rsid w:val="001C68D2"/>
    <w:rsid w:val="001C6AFA"/>
    <w:rsid w:val="001C71F1"/>
    <w:rsid w:val="001D00BF"/>
    <w:rsid w:val="001D0EFB"/>
    <w:rsid w:val="001D172A"/>
    <w:rsid w:val="001D2851"/>
    <w:rsid w:val="001D2A27"/>
    <w:rsid w:val="001D2A41"/>
    <w:rsid w:val="001D3822"/>
    <w:rsid w:val="001D3975"/>
    <w:rsid w:val="001D3996"/>
    <w:rsid w:val="001D4202"/>
    <w:rsid w:val="001D439B"/>
    <w:rsid w:val="001D48CD"/>
    <w:rsid w:val="001D4EBF"/>
    <w:rsid w:val="001D5BF0"/>
    <w:rsid w:val="001D5F7E"/>
    <w:rsid w:val="001D6304"/>
    <w:rsid w:val="001D67B1"/>
    <w:rsid w:val="001D6E37"/>
    <w:rsid w:val="001D6FF0"/>
    <w:rsid w:val="001D72B6"/>
    <w:rsid w:val="001D7460"/>
    <w:rsid w:val="001D7505"/>
    <w:rsid w:val="001D7927"/>
    <w:rsid w:val="001D7B09"/>
    <w:rsid w:val="001D7C0A"/>
    <w:rsid w:val="001D7F54"/>
    <w:rsid w:val="001E0D7C"/>
    <w:rsid w:val="001E1A16"/>
    <w:rsid w:val="001E1B7C"/>
    <w:rsid w:val="001E1C18"/>
    <w:rsid w:val="001E2AE8"/>
    <w:rsid w:val="001E2F1E"/>
    <w:rsid w:val="001E3B84"/>
    <w:rsid w:val="001E3FB8"/>
    <w:rsid w:val="001E44FF"/>
    <w:rsid w:val="001E4F1E"/>
    <w:rsid w:val="001E55DE"/>
    <w:rsid w:val="001E586D"/>
    <w:rsid w:val="001E6676"/>
    <w:rsid w:val="001E6843"/>
    <w:rsid w:val="001E6FE4"/>
    <w:rsid w:val="001E7020"/>
    <w:rsid w:val="001E722A"/>
    <w:rsid w:val="001E7297"/>
    <w:rsid w:val="001E7BAB"/>
    <w:rsid w:val="001F006C"/>
    <w:rsid w:val="001F0918"/>
    <w:rsid w:val="001F0BA8"/>
    <w:rsid w:val="001F0C07"/>
    <w:rsid w:val="001F11AD"/>
    <w:rsid w:val="001F14E6"/>
    <w:rsid w:val="001F1581"/>
    <w:rsid w:val="001F15E0"/>
    <w:rsid w:val="001F1B1C"/>
    <w:rsid w:val="001F2311"/>
    <w:rsid w:val="001F303E"/>
    <w:rsid w:val="001F35A1"/>
    <w:rsid w:val="001F3750"/>
    <w:rsid w:val="001F3E4C"/>
    <w:rsid w:val="001F424F"/>
    <w:rsid w:val="001F4307"/>
    <w:rsid w:val="001F442B"/>
    <w:rsid w:val="001F4989"/>
    <w:rsid w:val="001F4F88"/>
    <w:rsid w:val="001F4FC1"/>
    <w:rsid w:val="001F5334"/>
    <w:rsid w:val="001F5490"/>
    <w:rsid w:val="001F562D"/>
    <w:rsid w:val="001F6117"/>
    <w:rsid w:val="001F62D4"/>
    <w:rsid w:val="001F6CCB"/>
    <w:rsid w:val="001F7469"/>
    <w:rsid w:val="001F774F"/>
    <w:rsid w:val="001F7E45"/>
    <w:rsid w:val="00200372"/>
    <w:rsid w:val="0020192A"/>
    <w:rsid w:val="00201CFA"/>
    <w:rsid w:val="00201FDD"/>
    <w:rsid w:val="0020262B"/>
    <w:rsid w:val="00202E46"/>
    <w:rsid w:val="002037A3"/>
    <w:rsid w:val="00204322"/>
    <w:rsid w:val="0020473D"/>
    <w:rsid w:val="00204C81"/>
    <w:rsid w:val="00205102"/>
    <w:rsid w:val="002061DC"/>
    <w:rsid w:val="0020672E"/>
    <w:rsid w:val="00206C3A"/>
    <w:rsid w:val="00207286"/>
    <w:rsid w:val="0020736A"/>
    <w:rsid w:val="002077A6"/>
    <w:rsid w:val="00207806"/>
    <w:rsid w:val="002078F7"/>
    <w:rsid w:val="00207ECB"/>
    <w:rsid w:val="0021007F"/>
    <w:rsid w:val="0021027D"/>
    <w:rsid w:val="00210384"/>
    <w:rsid w:val="00210C85"/>
    <w:rsid w:val="00211C8D"/>
    <w:rsid w:val="00212114"/>
    <w:rsid w:val="00212D8A"/>
    <w:rsid w:val="00212DB8"/>
    <w:rsid w:val="00213636"/>
    <w:rsid w:val="002144AE"/>
    <w:rsid w:val="002148E0"/>
    <w:rsid w:val="00214A90"/>
    <w:rsid w:val="00214CB6"/>
    <w:rsid w:val="00214DEB"/>
    <w:rsid w:val="002152E2"/>
    <w:rsid w:val="002153D8"/>
    <w:rsid w:val="00215477"/>
    <w:rsid w:val="002155B7"/>
    <w:rsid w:val="0021597D"/>
    <w:rsid w:val="002161E4"/>
    <w:rsid w:val="0021624C"/>
    <w:rsid w:val="00216DFA"/>
    <w:rsid w:val="0021777B"/>
    <w:rsid w:val="002177AF"/>
    <w:rsid w:val="00217826"/>
    <w:rsid w:val="002178E5"/>
    <w:rsid w:val="002178FB"/>
    <w:rsid w:val="00220739"/>
    <w:rsid w:val="00220E7A"/>
    <w:rsid w:val="0022148E"/>
    <w:rsid w:val="002218AB"/>
    <w:rsid w:val="00222302"/>
    <w:rsid w:val="00222462"/>
    <w:rsid w:val="00222B42"/>
    <w:rsid w:val="00222EFB"/>
    <w:rsid w:val="002230F0"/>
    <w:rsid w:val="002232A9"/>
    <w:rsid w:val="0022332C"/>
    <w:rsid w:val="0022384C"/>
    <w:rsid w:val="00223957"/>
    <w:rsid w:val="00223AFA"/>
    <w:rsid w:val="00223D9F"/>
    <w:rsid w:val="002242D9"/>
    <w:rsid w:val="0022443B"/>
    <w:rsid w:val="002245E4"/>
    <w:rsid w:val="0022507D"/>
    <w:rsid w:val="002252D2"/>
    <w:rsid w:val="00225B9E"/>
    <w:rsid w:val="00225DD5"/>
    <w:rsid w:val="00226A04"/>
    <w:rsid w:val="00226CEC"/>
    <w:rsid w:val="00226D7E"/>
    <w:rsid w:val="00226EC8"/>
    <w:rsid w:val="00226F2B"/>
    <w:rsid w:val="00227039"/>
    <w:rsid w:val="00227982"/>
    <w:rsid w:val="00227BC6"/>
    <w:rsid w:val="00227C8E"/>
    <w:rsid w:val="00231CF4"/>
    <w:rsid w:val="00232132"/>
    <w:rsid w:val="002329D3"/>
    <w:rsid w:val="00232C36"/>
    <w:rsid w:val="00232DED"/>
    <w:rsid w:val="00233562"/>
    <w:rsid w:val="002335AD"/>
    <w:rsid w:val="00233B9D"/>
    <w:rsid w:val="0023496D"/>
    <w:rsid w:val="002361BB"/>
    <w:rsid w:val="002363F6"/>
    <w:rsid w:val="00236636"/>
    <w:rsid w:val="00236C08"/>
    <w:rsid w:val="00236F15"/>
    <w:rsid w:val="00236F58"/>
    <w:rsid w:val="00236FAE"/>
    <w:rsid w:val="002370C9"/>
    <w:rsid w:val="00237609"/>
    <w:rsid w:val="00237B1D"/>
    <w:rsid w:val="00240084"/>
    <w:rsid w:val="00240171"/>
    <w:rsid w:val="00240C95"/>
    <w:rsid w:val="00241486"/>
    <w:rsid w:val="00242399"/>
    <w:rsid w:val="00242AAC"/>
    <w:rsid w:val="00242D79"/>
    <w:rsid w:val="00243AAE"/>
    <w:rsid w:val="00243B38"/>
    <w:rsid w:val="002441FD"/>
    <w:rsid w:val="00244A5B"/>
    <w:rsid w:val="00244A8D"/>
    <w:rsid w:val="002450FD"/>
    <w:rsid w:val="00245247"/>
    <w:rsid w:val="002456BE"/>
    <w:rsid w:val="002460C3"/>
    <w:rsid w:val="00246232"/>
    <w:rsid w:val="0024627A"/>
    <w:rsid w:val="0024631B"/>
    <w:rsid w:val="00246B0F"/>
    <w:rsid w:val="00246C5C"/>
    <w:rsid w:val="00246D51"/>
    <w:rsid w:val="002472AF"/>
    <w:rsid w:val="002476C7"/>
    <w:rsid w:val="00247809"/>
    <w:rsid w:val="0025057E"/>
    <w:rsid w:val="002506CC"/>
    <w:rsid w:val="0025075D"/>
    <w:rsid w:val="0025118E"/>
    <w:rsid w:val="002514E0"/>
    <w:rsid w:val="00251DC5"/>
    <w:rsid w:val="0025279C"/>
    <w:rsid w:val="002528FA"/>
    <w:rsid w:val="0025354B"/>
    <w:rsid w:val="00253772"/>
    <w:rsid w:val="00253826"/>
    <w:rsid w:val="002544DF"/>
    <w:rsid w:val="00254870"/>
    <w:rsid w:val="002551AC"/>
    <w:rsid w:val="0025570C"/>
    <w:rsid w:val="00255A59"/>
    <w:rsid w:val="00255B22"/>
    <w:rsid w:val="00255CB6"/>
    <w:rsid w:val="002562E3"/>
    <w:rsid w:val="002563CE"/>
    <w:rsid w:val="002603E4"/>
    <w:rsid w:val="0026097C"/>
    <w:rsid w:val="00260D5F"/>
    <w:rsid w:val="002611C4"/>
    <w:rsid w:val="002613E4"/>
    <w:rsid w:val="002615B5"/>
    <w:rsid w:val="00261D3B"/>
    <w:rsid w:val="0026257A"/>
    <w:rsid w:val="00262AB0"/>
    <w:rsid w:val="00263091"/>
    <w:rsid w:val="002630F5"/>
    <w:rsid w:val="0026372D"/>
    <w:rsid w:val="00263789"/>
    <w:rsid w:val="00263A6E"/>
    <w:rsid w:val="00265074"/>
    <w:rsid w:val="0026512E"/>
    <w:rsid w:val="002654DC"/>
    <w:rsid w:val="0026562D"/>
    <w:rsid w:val="002656A6"/>
    <w:rsid w:val="00265FEB"/>
    <w:rsid w:val="002661D4"/>
    <w:rsid w:val="00266849"/>
    <w:rsid w:val="00267C23"/>
    <w:rsid w:val="00267F9C"/>
    <w:rsid w:val="0027062E"/>
    <w:rsid w:val="00270A50"/>
    <w:rsid w:val="00270FC3"/>
    <w:rsid w:val="0027109F"/>
    <w:rsid w:val="0027113A"/>
    <w:rsid w:val="002715EC"/>
    <w:rsid w:val="00271BC7"/>
    <w:rsid w:val="0027200D"/>
    <w:rsid w:val="002725C2"/>
    <w:rsid w:val="00272748"/>
    <w:rsid w:val="00272928"/>
    <w:rsid w:val="00272E92"/>
    <w:rsid w:val="0027325A"/>
    <w:rsid w:val="00273469"/>
    <w:rsid w:val="00273561"/>
    <w:rsid w:val="00273A6E"/>
    <w:rsid w:val="00273D25"/>
    <w:rsid w:val="00273D8D"/>
    <w:rsid w:val="00273DBC"/>
    <w:rsid w:val="00273DEA"/>
    <w:rsid w:val="00273E0F"/>
    <w:rsid w:val="00273F16"/>
    <w:rsid w:val="002743C5"/>
    <w:rsid w:val="00274504"/>
    <w:rsid w:val="00274842"/>
    <w:rsid w:val="00274D51"/>
    <w:rsid w:val="00274E66"/>
    <w:rsid w:val="00275774"/>
    <w:rsid w:val="00275CD5"/>
    <w:rsid w:val="00275E28"/>
    <w:rsid w:val="00276190"/>
    <w:rsid w:val="002771A9"/>
    <w:rsid w:val="00277286"/>
    <w:rsid w:val="002777EA"/>
    <w:rsid w:val="00277A7C"/>
    <w:rsid w:val="00277ED0"/>
    <w:rsid w:val="00280532"/>
    <w:rsid w:val="002806DF"/>
    <w:rsid w:val="00280847"/>
    <w:rsid w:val="00280A51"/>
    <w:rsid w:val="00280CA5"/>
    <w:rsid w:val="002819DC"/>
    <w:rsid w:val="00281B17"/>
    <w:rsid w:val="002831BA"/>
    <w:rsid w:val="0028385A"/>
    <w:rsid w:val="00283F89"/>
    <w:rsid w:val="002841CD"/>
    <w:rsid w:val="00284697"/>
    <w:rsid w:val="00284808"/>
    <w:rsid w:val="00284C60"/>
    <w:rsid w:val="0028506F"/>
    <w:rsid w:val="002850E3"/>
    <w:rsid w:val="002851DF"/>
    <w:rsid w:val="002855DF"/>
    <w:rsid w:val="00285BDB"/>
    <w:rsid w:val="00285D46"/>
    <w:rsid w:val="00286057"/>
    <w:rsid w:val="0028609B"/>
    <w:rsid w:val="002864F6"/>
    <w:rsid w:val="0028720C"/>
    <w:rsid w:val="00290094"/>
    <w:rsid w:val="00290612"/>
    <w:rsid w:val="00291428"/>
    <w:rsid w:val="002915F8"/>
    <w:rsid w:val="0029185C"/>
    <w:rsid w:val="00291D33"/>
    <w:rsid w:val="0029204D"/>
    <w:rsid w:val="00292352"/>
    <w:rsid w:val="0029242A"/>
    <w:rsid w:val="00292725"/>
    <w:rsid w:val="00293706"/>
    <w:rsid w:val="0029383A"/>
    <w:rsid w:val="002939B4"/>
    <w:rsid w:val="00294235"/>
    <w:rsid w:val="002942BF"/>
    <w:rsid w:val="002942D4"/>
    <w:rsid w:val="0029461C"/>
    <w:rsid w:val="002948B0"/>
    <w:rsid w:val="0029523A"/>
    <w:rsid w:val="0029583C"/>
    <w:rsid w:val="00295E83"/>
    <w:rsid w:val="00295EA3"/>
    <w:rsid w:val="00295F57"/>
    <w:rsid w:val="0029610E"/>
    <w:rsid w:val="00296490"/>
    <w:rsid w:val="00296665"/>
    <w:rsid w:val="0029690F"/>
    <w:rsid w:val="00296A06"/>
    <w:rsid w:val="00296DC0"/>
    <w:rsid w:val="00296E71"/>
    <w:rsid w:val="00297706"/>
    <w:rsid w:val="00297A9A"/>
    <w:rsid w:val="002A00BA"/>
    <w:rsid w:val="002A0183"/>
    <w:rsid w:val="002A098B"/>
    <w:rsid w:val="002A1967"/>
    <w:rsid w:val="002A1C3E"/>
    <w:rsid w:val="002A2190"/>
    <w:rsid w:val="002A25ED"/>
    <w:rsid w:val="002A261C"/>
    <w:rsid w:val="002A2E02"/>
    <w:rsid w:val="002A39FA"/>
    <w:rsid w:val="002A3A58"/>
    <w:rsid w:val="002A3D5B"/>
    <w:rsid w:val="002A45BE"/>
    <w:rsid w:val="002A4B24"/>
    <w:rsid w:val="002A51CA"/>
    <w:rsid w:val="002A51EB"/>
    <w:rsid w:val="002A55AB"/>
    <w:rsid w:val="002A581A"/>
    <w:rsid w:val="002A5D13"/>
    <w:rsid w:val="002A61C6"/>
    <w:rsid w:val="002A629E"/>
    <w:rsid w:val="002A64F4"/>
    <w:rsid w:val="002A6892"/>
    <w:rsid w:val="002A6C1D"/>
    <w:rsid w:val="002A700D"/>
    <w:rsid w:val="002A7F54"/>
    <w:rsid w:val="002B0AE6"/>
    <w:rsid w:val="002B10B1"/>
    <w:rsid w:val="002B1885"/>
    <w:rsid w:val="002B1E77"/>
    <w:rsid w:val="002B24AD"/>
    <w:rsid w:val="002B2BF8"/>
    <w:rsid w:val="002B2F89"/>
    <w:rsid w:val="002B37C2"/>
    <w:rsid w:val="002B3A0E"/>
    <w:rsid w:val="002B3AE7"/>
    <w:rsid w:val="002B3C4D"/>
    <w:rsid w:val="002B3E88"/>
    <w:rsid w:val="002B4124"/>
    <w:rsid w:val="002B420A"/>
    <w:rsid w:val="002B48D4"/>
    <w:rsid w:val="002B4A58"/>
    <w:rsid w:val="002B5318"/>
    <w:rsid w:val="002B56D0"/>
    <w:rsid w:val="002B56F2"/>
    <w:rsid w:val="002B5951"/>
    <w:rsid w:val="002B5B27"/>
    <w:rsid w:val="002B607C"/>
    <w:rsid w:val="002B6239"/>
    <w:rsid w:val="002B6379"/>
    <w:rsid w:val="002B6549"/>
    <w:rsid w:val="002B6631"/>
    <w:rsid w:val="002B7AF2"/>
    <w:rsid w:val="002C0FE8"/>
    <w:rsid w:val="002C1AB9"/>
    <w:rsid w:val="002C1D4F"/>
    <w:rsid w:val="002C2837"/>
    <w:rsid w:val="002C2FAF"/>
    <w:rsid w:val="002C33D9"/>
    <w:rsid w:val="002C345D"/>
    <w:rsid w:val="002C39CB"/>
    <w:rsid w:val="002C3DC8"/>
    <w:rsid w:val="002C44A1"/>
    <w:rsid w:val="002C4FCD"/>
    <w:rsid w:val="002C53DB"/>
    <w:rsid w:val="002C5596"/>
    <w:rsid w:val="002C560F"/>
    <w:rsid w:val="002C58EC"/>
    <w:rsid w:val="002C5BD1"/>
    <w:rsid w:val="002C6468"/>
    <w:rsid w:val="002C6B34"/>
    <w:rsid w:val="002C6B81"/>
    <w:rsid w:val="002C6CBE"/>
    <w:rsid w:val="002C7168"/>
    <w:rsid w:val="002C72AA"/>
    <w:rsid w:val="002C7A8F"/>
    <w:rsid w:val="002D05F3"/>
    <w:rsid w:val="002D074F"/>
    <w:rsid w:val="002D0750"/>
    <w:rsid w:val="002D0A83"/>
    <w:rsid w:val="002D18FD"/>
    <w:rsid w:val="002D1BB9"/>
    <w:rsid w:val="002D32B8"/>
    <w:rsid w:val="002D3500"/>
    <w:rsid w:val="002D37D5"/>
    <w:rsid w:val="002D384A"/>
    <w:rsid w:val="002D3A08"/>
    <w:rsid w:val="002D3E20"/>
    <w:rsid w:val="002D4616"/>
    <w:rsid w:val="002D491E"/>
    <w:rsid w:val="002D4F3B"/>
    <w:rsid w:val="002D4F5C"/>
    <w:rsid w:val="002D5F47"/>
    <w:rsid w:val="002D61F7"/>
    <w:rsid w:val="002D6215"/>
    <w:rsid w:val="002D6B28"/>
    <w:rsid w:val="002D70FE"/>
    <w:rsid w:val="002D739E"/>
    <w:rsid w:val="002D77C3"/>
    <w:rsid w:val="002D7B51"/>
    <w:rsid w:val="002D7C64"/>
    <w:rsid w:val="002E07DA"/>
    <w:rsid w:val="002E0D62"/>
    <w:rsid w:val="002E171F"/>
    <w:rsid w:val="002E1AF5"/>
    <w:rsid w:val="002E1C03"/>
    <w:rsid w:val="002E2353"/>
    <w:rsid w:val="002E2FB7"/>
    <w:rsid w:val="002E3D38"/>
    <w:rsid w:val="002E3DB7"/>
    <w:rsid w:val="002E4120"/>
    <w:rsid w:val="002E41CE"/>
    <w:rsid w:val="002E470C"/>
    <w:rsid w:val="002E5277"/>
    <w:rsid w:val="002E5450"/>
    <w:rsid w:val="002E59DD"/>
    <w:rsid w:val="002E5A93"/>
    <w:rsid w:val="002E62A1"/>
    <w:rsid w:val="002E6638"/>
    <w:rsid w:val="002E6752"/>
    <w:rsid w:val="002E67FF"/>
    <w:rsid w:val="002E6902"/>
    <w:rsid w:val="002E6922"/>
    <w:rsid w:val="002E72EF"/>
    <w:rsid w:val="002E7AE9"/>
    <w:rsid w:val="002F030A"/>
    <w:rsid w:val="002F0B69"/>
    <w:rsid w:val="002F0CEF"/>
    <w:rsid w:val="002F1254"/>
    <w:rsid w:val="002F14FB"/>
    <w:rsid w:val="002F163F"/>
    <w:rsid w:val="002F1690"/>
    <w:rsid w:val="002F16CA"/>
    <w:rsid w:val="002F17C7"/>
    <w:rsid w:val="002F1CB2"/>
    <w:rsid w:val="002F217B"/>
    <w:rsid w:val="002F263A"/>
    <w:rsid w:val="002F2FC6"/>
    <w:rsid w:val="002F3BEF"/>
    <w:rsid w:val="002F3D1A"/>
    <w:rsid w:val="002F4489"/>
    <w:rsid w:val="002F5213"/>
    <w:rsid w:val="002F57D8"/>
    <w:rsid w:val="002F59EB"/>
    <w:rsid w:val="002F5B82"/>
    <w:rsid w:val="002F5BF2"/>
    <w:rsid w:val="002F6283"/>
    <w:rsid w:val="002F6546"/>
    <w:rsid w:val="002F6B6C"/>
    <w:rsid w:val="002F6D64"/>
    <w:rsid w:val="002F6FD0"/>
    <w:rsid w:val="002F7001"/>
    <w:rsid w:val="002F72FF"/>
    <w:rsid w:val="002F798F"/>
    <w:rsid w:val="002F7B22"/>
    <w:rsid w:val="002F7D2C"/>
    <w:rsid w:val="00300077"/>
    <w:rsid w:val="0030025E"/>
    <w:rsid w:val="003008E2"/>
    <w:rsid w:val="00300B5A"/>
    <w:rsid w:val="00300F40"/>
    <w:rsid w:val="0030141E"/>
    <w:rsid w:val="003016ED"/>
    <w:rsid w:val="00302B1E"/>
    <w:rsid w:val="00302B43"/>
    <w:rsid w:val="00302D71"/>
    <w:rsid w:val="003035BE"/>
    <w:rsid w:val="00303C6F"/>
    <w:rsid w:val="00304388"/>
    <w:rsid w:val="0030442A"/>
    <w:rsid w:val="00304AD9"/>
    <w:rsid w:val="00304CDD"/>
    <w:rsid w:val="00305109"/>
    <w:rsid w:val="0030549F"/>
    <w:rsid w:val="0030569A"/>
    <w:rsid w:val="00305FBC"/>
    <w:rsid w:val="0030715E"/>
    <w:rsid w:val="00307B6F"/>
    <w:rsid w:val="00307EFB"/>
    <w:rsid w:val="0031073D"/>
    <w:rsid w:val="003107FA"/>
    <w:rsid w:val="00310C1C"/>
    <w:rsid w:val="003112FF"/>
    <w:rsid w:val="003115AE"/>
    <w:rsid w:val="00311827"/>
    <w:rsid w:val="003118B5"/>
    <w:rsid w:val="003118E2"/>
    <w:rsid w:val="00312191"/>
    <w:rsid w:val="003121EE"/>
    <w:rsid w:val="00312CFC"/>
    <w:rsid w:val="00312E3C"/>
    <w:rsid w:val="00312E40"/>
    <w:rsid w:val="003134DA"/>
    <w:rsid w:val="00313EDA"/>
    <w:rsid w:val="00313F97"/>
    <w:rsid w:val="0031406F"/>
    <w:rsid w:val="00314985"/>
    <w:rsid w:val="00314F8C"/>
    <w:rsid w:val="003161E8"/>
    <w:rsid w:val="0031634C"/>
    <w:rsid w:val="00317306"/>
    <w:rsid w:val="00317333"/>
    <w:rsid w:val="00317A4A"/>
    <w:rsid w:val="00317AF1"/>
    <w:rsid w:val="003204AE"/>
    <w:rsid w:val="00320649"/>
    <w:rsid w:val="00321330"/>
    <w:rsid w:val="00321570"/>
    <w:rsid w:val="00321721"/>
    <w:rsid w:val="003219DF"/>
    <w:rsid w:val="00322487"/>
    <w:rsid w:val="00322EB5"/>
    <w:rsid w:val="0032336E"/>
    <w:rsid w:val="003234A1"/>
    <w:rsid w:val="003234A8"/>
    <w:rsid w:val="00323BBC"/>
    <w:rsid w:val="00323CE5"/>
    <w:rsid w:val="00324202"/>
    <w:rsid w:val="003244FB"/>
    <w:rsid w:val="00324FCF"/>
    <w:rsid w:val="003258C8"/>
    <w:rsid w:val="0032598E"/>
    <w:rsid w:val="00325C18"/>
    <w:rsid w:val="00325E4A"/>
    <w:rsid w:val="003263FE"/>
    <w:rsid w:val="00326439"/>
    <w:rsid w:val="00326566"/>
    <w:rsid w:val="00326586"/>
    <w:rsid w:val="003268E7"/>
    <w:rsid w:val="00326A5D"/>
    <w:rsid w:val="00326E66"/>
    <w:rsid w:val="00326F39"/>
    <w:rsid w:val="00327B5C"/>
    <w:rsid w:val="00330326"/>
    <w:rsid w:val="00330664"/>
    <w:rsid w:val="00330F54"/>
    <w:rsid w:val="00331C56"/>
    <w:rsid w:val="00331E7F"/>
    <w:rsid w:val="00331F7F"/>
    <w:rsid w:val="003320DA"/>
    <w:rsid w:val="00332223"/>
    <w:rsid w:val="0033237D"/>
    <w:rsid w:val="00332CDF"/>
    <w:rsid w:val="00332EFB"/>
    <w:rsid w:val="00332FF6"/>
    <w:rsid w:val="0033313F"/>
    <w:rsid w:val="003333FB"/>
    <w:rsid w:val="0033340D"/>
    <w:rsid w:val="003342C3"/>
    <w:rsid w:val="003351E9"/>
    <w:rsid w:val="00335556"/>
    <w:rsid w:val="003355A0"/>
    <w:rsid w:val="0033563C"/>
    <w:rsid w:val="00335787"/>
    <w:rsid w:val="00335902"/>
    <w:rsid w:val="00335A0E"/>
    <w:rsid w:val="003365A0"/>
    <w:rsid w:val="00336615"/>
    <w:rsid w:val="003368E7"/>
    <w:rsid w:val="00336A54"/>
    <w:rsid w:val="00336ED3"/>
    <w:rsid w:val="003370E0"/>
    <w:rsid w:val="003375AE"/>
    <w:rsid w:val="0033775C"/>
    <w:rsid w:val="00337AF9"/>
    <w:rsid w:val="00337C06"/>
    <w:rsid w:val="00337EF3"/>
    <w:rsid w:val="0034053C"/>
    <w:rsid w:val="00340C0B"/>
    <w:rsid w:val="00340DD6"/>
    <w:rsid w:val="00341752"/>
    <w:rsid w:val="00341CA0"/>
    <w:rsid w:val="00341D94"/>
    <w:rsid w:val="00342432"/>
    <w:rsid w:val="003425AA"/>
    <w:rsid w:val="00342CF2"/>
    <w:rsid w:val="00343B5A"/>
    <w:rsid w:val="00343BAC"/>
    <w:rsid w:val="00344D61"/>
    <w:rsid w:val="0034543C"/>
    <w:rsid w:val="00345448"/>
    <w:rsid w:val="00345C07"/>
    <w:rsid w:val="00345D5C"/>
    <w:rsid w:val="00345EC3"/>
    <w:rsid w:val="00346129"/>
    <w:rsid w:val="00346784"/>
    <w:rsid w:val="003468EF"/>
    <w:rsid w:val="00346EC3"/>
    <w:rsid w:val="00347771"/>
    <w:rsid w:val="003479BA"/>
    <w:rsid w:val="00347DC7"/>
    <w:rsid w:val="00350257"/>
    <w:rsid w:val="003507C2"/>
    <w:rsid w:val="0035106C"/>
    <w:rsid w:val="00351354"/>
    <w:rsid w:val="00351877"/>
    <w:rsid w:val="00351EEA"/>
    <w:rsid w:val="003526E2"/>
    <w:rsid w:val="0035289F"/>
    <w:rsid w:val="0035299D"/>
    <w:rsid w:val="00353396"/>
    <w:rsid w:val="003538A8"/>
    <w:rsid w:val="00353F1A"/>
    <w:rsid w:val="0035485A"/>
    <w:rsid w:val="00354B21"/>
    <w:rsid w:val="00354B6F"/>
    <w:rsid w:val="00354E32"/>
    <w:rsid w:val="00355123"/>
    <w:rsid w:val="00355186"/>
    <w:rsid w:val="00355428"/>
    <w:rsid w:val="0035574E"/>
    <w:rsid w:val="00355AFD"/>
    <w:rsid w:val="00355EE8"/>
    <w:rsid w:val="00355F68"/>
    <w:rsid w:val="003560CB"/>
    <w:rsid w:val="003560EC"/>
    <w:rsid w:val="003563C5"/>
    <w:rsid w:val="00356627"/>
    <w:rsid w:val="00356F08"/>
    <w:rsid w:val="0035718C"/>
    <w:rsid w:val="0035754A"/>
    <w:rsid w:val="0035780E"/>
    <w:rsid w:val="003623C3"/>
    <w:rsid w:val="00362861"/>
    <w:rsid w:val="00362B00"/>
    <w:rsid w:val="003636B1"/>
    <w:rsid w:val="00363E57"/>
    <w:rsid w:val="003641E6"/>
    <w:rsid w:val="00364361"/>
    <w:rsid w:val="003648FF"/>
    <w:rsid w:val="00364E1E"/>
    <w:rsid w:val="00365AE6"/>
    <w:rsid w:val="00365B8D"/>
    <w:rsid w:val="00365CD5"/>
    <w:rsid w:val="00366282"/>
    <w:rsid w:val="00366D33"/>
    <w:rsid w:val="00367BA7"/>
    <w:rsid w:val="00367BC7"/>
    <w:rsid w:val="0037043B"/>
    <w:rsid w:val="003708AE"/>
    <w:rsid w:val="00370DB9"/>
    <w:rsid w:val="00371195"/>
    <w:rsid w:val="00371BC3"/>
    <w:rsid w:val="00372514"/>
    <w:rsid w:val="00372925"/>
    <w:rsid w:val="00372A96"/>
    <w:rsid w:val="00372BDE"/>
    <w:rsid w:val="00372BFD"/>
    <w:rsid w:val="00373358"/>
    <w:rsid w:val="00373916"/>
    <w:rsid w:val="00373DEC"/>
    <w:rsid w:val="00373FE6"/>
    <w:rsid w:val="0037406F"/>
    <w:rsid w:val="003741AE"/>
    <w:rsid w:val="003742DF"/>
    <w:rsid w:val="003745B5"/>
    <w:rsid w:val="003749E6"/>
    <w:rsid w:val="00374C72"/>
    <w:rsid w:val="00374C8A"/>
    <w:rsid w:val="00374D29"/>
    <w:rsid w:val="0037541C"/>
    <w:rsid w:val="0037620A"/>
    <w:rsid w:val="00376566"/>
    <w:rsid w:val="0037711A"/>
    <w:rsid w:val="00377537"/>
    <w:rsid w:val="0038039F"/>
    <w:rsid w:val="003810F2"/>
    <w:rsid w:val="00381912"/>
    <w:rsid w:val="003821A0"/>
    <w:rsid w:val="0038252B"/>
    <w:rsid w:val="00382890"/>
    <w:rsid w:val="0038290D"/>
    <w:rsid w:val="00382C4F"/>
    <w:rsid w:val="00382E64"/>
    <w:rsid w:val="003837A5"/>
    <w:rsid w:val="00383B73"/>
    <w:rsid w:val="00383C74"/>
    <w:rsid w:val="0038411E"/>
    <w:rsid w:val="00384A2E"/>
    <w:rsid w:val="00385452"/>
    <w:rsid w:val="0038586C"/>
    <w:rsid w:val="00385F29"/>
    <w:rsid w:val="00386636"/>
    <w:rsid w:val="003868E5"/>
    <w:rsid w:val="003869E2"/>
    <w:rsid w:val="00386B1A"/>
    <w:rsid w:val="00386CE2"/>
    <w:rsid w:val="0038739E"/>
    <w:rsid w:val="0038743F"/>
    <w:rsid w:val="003874EC"/>
    <w:rsid w:val="003876A0"/>
    <w:rsid w:val="00387A20"/>
    <w:rsid w:val="00387EAB"/>
    <w:rsid w:val="00390B94"/>
    <w:rsid w:val="0039146E"/>
    <w:rsid w:val="003914A7"/>
    <w:rsid w:val="003914EB"/>
    <w:rsid w:val="00391835"/>
    <w:rsid w:val="00391E75"/>
    <w:rsid w:val="00392278"/>
    <w:rsid w:val="003926B1"/>
    <w:rsid w:val="00392E70"/>
    <w:rsid w:val="003933F2"/>
    <w:rsid w:val="0039374A"/>
    <w:rsid w:val="00393A95"/>
    <w:rsid w:val="00393C8E"/>
    <w:rsid w:val="0039411C"/>
    <w:rsid w:val="0039465B"/>
    <w:rsid w:val="00394937"/>
    <w:rsid w:val="00395166"/>
    <w:rsid w:val="00395916"/>
    <w:rsid w:val="00396179"/>
    <w:rsid w:val="0039625A"/>
    <w:rsid w:val="00396A12"/>
    <w:rsid w:val="00396E4E"/>
    <w:rsid w:val="00396F8E"/>
    <w:rsid w:val="00396FD3"/>
    <w:rsid w:val="00396FE8"/>
    <w:rsid w:val="00397076"/>
    <w:rsid w:val="003972A7"/>
    <w:rsid w:val="0039763E"/>
    <w:rsid w:val="00397A5C"/>
    <w:rsid w:val="00397B3F"/>
    <w:rsid w:val="00397E9E"/>
    <w:rsid w:val="00397F49"/>
    <w:rsid w:val="003A0395"/>
    <w:rsid w:val="003A10A9"/>
    <w:rsid w:val="003A28C4"/>
    <w:rsid w:val="003A2C31"/>
    <w:rsid w:val="003A2DD8"/>
    <w:rsid w:val="003A3150"/>
    <w:rsid w:val="003A35FA"/>
    <w:rsid w:val="003A3C40"/>
    <w:rsid w:val="003A3E92"/>
    <w:rsid w:val="003A49B8"/>
    <w:rsid w:val="003A4C70"/>
    <w:rsid w:val="003A5D80"/>
    <w:rsid w:val="003A641C"/>
    <w:rsid w:val="003A6673"/>
    <w:rsid w:val="003A6AF9"/>
    <w:rsid w:val="003A7332"/>
    <w:rsid w:val="003A737A"/>
    <w:rsid w:val="003A7BFA"/>
    <w:rsid w:val="003A7E50"/>
    <w:rsid w:val="003A7FE3"/>
    <w:rsid w:val="003B04D5"/>
    <w:rsid w:val="003B0627"/>
    <w:rsid w:val="003B0FF0"/>
    <w:rsid w:val="003B1AFD"/>
    <w:rsid w:val="003B27C8"/>
    <w:rsid w:val="003B31C2"/>
    <w:rsid w:val="003B3D2B"/>
    <w:rsid w:val="003B3EE8"/>
    <w:rsid w:val="003B456B"/>
    <w:rsid w:val="003B4B9D"/>
    <w:rsid w:val="003B525D"/>
    <w:rsid w:val="003B5292"/>
    <w:rsid w:val="003B5419"/>
    <w:rsid w:val="003B56B3"/>
    <w:rsid w:val="003B59F1"/>
    <w:rsid w:val="003B5DC4"/>
    <w:rsid w:val="003B5EAA"/>
    <w:rsid w:val="003B62C3"/>
    <w:rsid w:val="003B6727"/>
    <w:rsid w:val="003B675C"/>
    <w:rsid w:val="003B6772"/>
    <w:rsid w:val="003B716D"/>
    <w:rsid w:val="003B7665"/>
    <w:rsid w:val="003C05F7"/>
    <w:rsid w:val="003C06BC"/>
    <w:rsid w:val="003C0FBD"/>
    <w:rsid w:val="003C1DFA"/>
    <w:rsid w:val="003C1F44"/>
    <w:rsid w:val="003C1FCD"/>
    <w:rsid w:val="003C2027"/>
    <w:rsid w:val="003C20BA"/>
    <w:rsid w:val="003C23FE"/>
    <w:rsid w:val="003C32D5"/>
    <w:rsid w:val="003C33FC"/>
    <w:rsid w:val="003C3492"/>
    <w:rsid w:val="003C3620"/>
    <w:rsid w:val="003C3C1F"/>
    <w:rsid w:val="003C40F2"/>
    <w:rsid w:val="003C421F"/>
    <w:rsid w:val="003C42EC"/>
    <w:rsid w:val="003C4843"/>
    <w:rsid w:val="003C5B10"/>
    <w:rsid w:val="003C5BBA"/>
    <w:rsid w:val="003C638D"/>
    <w:rsid w:val="003C6579"/>
    <w:rsid w:val="003C68A4"/>
    <w:rsid w:val="003C6A15"/>
    <w:rsid w:val="003C6B74"/>
    <w:rsid w:val="003C71E4"/>
    <w:rsid w:val="003D1045"/>
    <w:rsid w:val="003D10D3"/>
    <w:rsid w:val="003D175B"/>
    <w:rsid w:val="003D1ABB"/>
    <w:rsid w:val="003D203F"/>
    <w:rsid w:val="003D22CD"/>
    <w:rsid w:val="003D2B33"/>
    <w:rsid w:val="003D2DFB"/>
    <w:rsid w:val="003D2EA6"/>
    <w:rsid w:val="003D309F"/>
    <w:rsid w:val="003D358E"/>
    <w:rsid w:val="003D431F"/>
    <w:rsid w:val="003D45AE"/>
    <w:rsid w:val="003D4724"/>
    <w:rsid w:val="003D4DA5"/>
    <w:rsid w:val="003D517D"/>
    <w:rsid w:val="003D5D6F"/>
    <w:rsid w:val="003D5F17"/>
    <w:rsid w:val="003D6179"/>
    <w:rsid w:val="003D653E"/>
    <w:rsid w:val="003D6AB1"/>
    <w:rsid w:val="003D6ADA"/>
    <w:rsid w:val="003D72C3"/>
    <w:rsid w:val="003D7732"/>
    <w:rsid w:val="003E005E"/>
    <w:rsid w:val="003E031B"/>
    <w:rsid w:val="003E0377"/>
    <w:rsid w:val="003E043D"/>
    <w:rsid w:val="003E0AAA"/>
    <w:rsid w:val="003E0B81"/>
    <w:rsid w:val="003E1014"/>
    <w:rsid w:val="003E145E"/>
    <w:rsid w:val="003E15C4"/>
    <w:rsid w:val="003E201D"/>
    <w:rsid w:val="003E26AA"/>
    <w:rsid w:val="003E2782"/>
    <w:rsid w:val="003E283A"/>
    <w:rsid w:val="003E2DEE"/>
    <w:rsid w:val="003E2E7E"/>
    <w:rsid w:val="003E37B0"/>
    <w:rsid w:val="003E3AE4"/>
    <w:rsid w:val="003E3B0A"/>
    <w:rsid w:val="003E4372"/>
    <w:rsid w:val="003E4875"/>
    <w:rsid w:val="003E4B64"/>
    <w:rsid w:val="003E4B88"/>
    <w:rsid w:val="003E50E3"/>
    <w:rsid w:val="003E527D"/>
    <w:rsid w:val="003E6056"/>
    <w:rsid w:val="003E6996"/>
    <w:rsid w:val="003E6E38"/>
    <w:rsid w:val="003E7A37"/>
    <w:rsid w:val="003E7B60"/>
    <w:rsid w:val="003E7C01"/>
    <w:rsid w:val="003F00E5"/>
    <w:rsid w:val="003F02E6"/>
    <w:rsid w:val="003F0641"/>
    <w:rsid w:val="003F0C88"/>
    <w:rsid w:val="003F19B1"/>
    <w:rsid w:val="003F1A21"/>
    <w:rsid w:val="003F241A"/>
    <w:rsid w:val="003F271D"/>
    <w:rsid w:val="003F3081"/>
    <w:rsid w:val="003F3544"/>
    <w:rsid w:val="003F3CE4"/>
    <w:rsid w:val="003F489E"/>
    <w:rsid w:val="003F496A"/>
    <w:rsid w:val="003F4C9F"/>
    <w:rsid w:val="003F4F52"/>
    <w:rsid w:val="003F530C"/>
    <w:rsid w:val="003F5F8A"/>
    <w:rsid w:val="003F6584"/>
    <w:rsid w:val="003F6E53"/>
    <w:rsid w:val="003F6EBF"/>
    <w:rsid w:val="003F733D"/>
    <w:rsid w:val="003F746C"/>
    <w:rsid w:val="003F75D0"/>
    <w:rsid w:val="0040123B"/>
    <w:rsid w:val="004012DD"/>
    <w:rsid w:val="004015C3"/>
    <w:rsid w:val="004015D2"/>
    <w:rsid w:val="00402415"/>
    <w:rsid w:val="00402564"/>
    <w:rsid w:val="004025A1"/>
    <w:rsid w:val="004029C5"/>
    <w:rsid w:val="00402F2E"/>
    <w:rsid w:val="00403075"/>
    <w:rsid w:val="004030FC"/>
    <w:rsid w:val="004034C7"/>
    <w:rsid w:val="00403DE7"/>
    <w:rsid w:val="00404A69"/>
    <w:rsid w:val="00404D21"/>
    <w:rsid w:val="00405741"/>
    <w:rsid w:val="00405B13"/>
    <w:rsid w:val="00406196"/>
    <w:rsid w:val="0040657A"/>
    <w:rsid w:val="004066C6"/>
    <w:rsid w:val="00406C5A"/>
    <w:rsid w:val="00407764"/>
    <w:rsid w:val="004079AA"/>
    <w:rsid w:val="00407DDA"/>
    <w:rsid w:val="00410B8D"/>
    <w:rsid w:val="00411088"/>
    <w:rsid w:val="004118DD"/>
    <w:rsid w:val="00411C6E"/>
    <w:rsid w:val="00411CC7"/>
    <w:rsid w:val="00411F12"/>
    <w:rsid w:val="0041285C"/>
    <w:rsid w:val="00412938"/>
    <w:rsid w:val="00412B90"/>
    <w:rsid w:val="00413240"/>
    <w:rsid w:val="004132DC"/>
    <w:rsid w:val="0041342E"/>
    <w:rsid w:val="00413523"/>
    <w:rsid w:val="0041392A"/>
    <w:rsid w:val="00413D2C"/>
    <w:rsid w:val="0041464E"/>
    <w:rsid w:val="004146E6"/>
    <w:rsid w:val="00414713"/>
    <w:rsid w:val="00415418"/>
    <w:rsid w:val="004156A0"/>
    <w:rsid w:val="00416211"/>
    <w:rsid w:val="00416C97"/>
    <w:rsid w:val="0041717F"/>
    <w:rsid w:val="004171CF"/>
    <w:rsid w:val="00417256"/>
    <w:rsid w:val="00417834"/>
    <w:rsid w:val="004178EB"/>
    <w:rsid w:val="00417956"/>
    <w:rsid w:val="004202D5"/>
    <w:rsid w:val="0042078A"/>
    <w:rsid w:val="00420A68"/>
    <w:rsid w:val="00420A73"/>
    <w:rsid w:val="0042196B"/>
    <w:rsid w:val="00421A5C"/>
    <w:rsid w:val="00421BBE"/>
    <w:rsid w:val="00421C43"/>
    <w:rsid w:val="00421FBE"/>
    <w:rsid w:val="0042209E"/>
    <w:rsid w:val="004220A1"/>
    <w:rsid w:val="004233F3"/>
    <w:rsid w:val="004234CE"/>
    <w:rsid w:val="00424469"/>
    <w:rsid w:val="00424758"/>
    <w:rsid w:val="00424892"/>
    <w:rsid w:val="0042517A"/>
    <w:rsid w:val="00425B54"/>
    <w:rsid w:val="00425D26"/>
    <w:rsid w:val="00425D56"/>
    <w:rsid w:val="00426AE2"/>
    <w:rsid w:val="00426F7F"/>
    <w:rsid w:val="00427D83"/>
    <w:rsid w:val="00427E73"/>
    <w:rsid w:val="004305BB"/>
    <w:rsid w:val="00430F12"/>
    <w:rsid w:val="004314BA"/>
    <w:rsid w:val="0043180A"/>
    <w:rsid w:val="00431D5F"/>
    <w:rsid w:val="00431FDC"/>
    <w:rsid w:val="00432072"/>
    <w:rsid w:val="00432131"/>
    <w:rsid w:val="00432805"/>
    <w:rsid w:val="00432943"/>
    <w:rsid w:val="0043359D"/>
    <w:rsid w:val="004336E2"/>
    <w:rsid w:val="00433A88"/>
    <w:rsid w:val="00434686"/>
    <w:rsid w:val="00434C0C"/>
    <w:rsid w:val="00434C31"/>
    <w:rsid w:val="00434D52"/>
    <w:rsid w:val="00434FB1"/>
    <w:rsid w:val="00435144"/>
    <w:rsid w:val="00435552"/>
    <w:rsid w:val="0043562B"/>
    <w:rsid w:val="00435675"/>
    <w:rsid w:val="0043584E"/>
    <w:rsid w:val="00436186"/>
    <w:rsid w:val="00436616"/>
    <w:rsid w:val="00437E24"/>
    <w:rsid w:val="00440436"/>
    <w:rsid w:val="004405AC"/>
    <w:rsid w:val="00441092"/>
    <w:rsid w:val="0044187B"/>
    <w:rsid w:val="00441F7A"/>
    <w:rsid w:val="004424C2"/>
    <w:rsid w:val="00442688"/>
    <w:rsid w:val="00443019"/>
    <w:rsid w:val="004441A4"/>
    <w:rsid w:val="0044465E"/>
    <w:rsid w:val="0044482C"/>
    <w:rsid w:val="004455CC"/>
    <w:rsid w:val="00445994"/>
    <w:rsid w:val="00445CB6"/>
    <w:rsid w:val="004464FB"/>
    <w:rsid w:val="00446682"/>
    <w:rsid w:val="00446947"/>
    <w:rsid w:val="00447DC4"/>
    <w:rsid w:val="00450548"/>
    <w:rsid w:val="00451E47"/>
    <w:rsid w:val="00451F1C"/>
    <w:rsid w:val="004532B4"/>
    <w:rsid w:val="0045376E"/>
    <w:rsid w:val="004537F0"/>
    <w:rsid w:val="0045400D"/>
    <w:rsid w:val="0045422A"/>
    <w:rsid w:val="004545F3"/>
    <w:rsid w:val="00455062"/>
    <w:rsid w:val="00455A41"/>
    <w:rsid w:val="00455A42"/>
    <w:rsid w:val="004568CB"/>
    <w:rsid w:val="00456AE0"/>
    <w:rsid w:val="00456CB4"/>
    <w:rsid w:val="004570E8"/>
    <w:rsid w:val="0045772B"/>
    <w:rsid w:val="00457BB1"/>
    <w:rsid w:val="00457EA0"/>
    <w:rsid w:val="004606A3"/>
    <w:rsid w:val="004609C1"/>
    <w:rsid w:val="00460BD0"/>
    <w:rsid w:val="00461679"/>
    <w:rsid w:val="00461921"/>
    <w:rsid w:val="00461F1B"/>
    <w:rsid w:val="00462388"/>
    <w:rsid w:val="00462BDB"/>
    <w:rsid w:val="00462BFA"/>
    <w:rsid w:val="00462D9B"/>
    <w:rsid w:val="00463CF8"/>
    <w:rsid w:val="00463CFE"/>
    <w:rsid w:val="00463DBB"/>
    <w:rsid w:val="004641D7"/>
    <w:rsid w:val="00464751"/>
    <w:rsid w:val="00464F6C"/>
    <w:rsid w:val="004651A7"/>
    <w:rsid w:val="004655D8"/>
    <w:rsid w:val="004655FB"/>
    <w:rsid w:val="004657EE"/>
    <w:rsid w:val="00465FCD"/>
    <w:rsid w:val="00466238"/>
    <w:rsid w:val="00466A09"/>
    <w:rsid w:val="00466EFC"/>
    <w:rsid w:val="00466F4E"/>
    <w:rsid w:val="00467C6E"/>
    <w:rsid w:val="00467F8D"/>
    <w:rsid w:val="00467F92"/>
    <w:rsid w:val="004702DF"/>
    <w:rsid w:val="00470D2C"/>
    <w:rsid w:val="00471A05"/>
    <w:rsid w:val="00471D91"/>
    <w:rsid w:val="0047226A"/>
    <w:rsid w:val="00473141"/>
    <w:rsid w:val="00473AEA"/>
    <w:rsid w:val="00473B4C"/>
    <w:rsid w:val="00473EEC"/>
    <w:rsid w:val="0047509A"/>
    <w:rsid w:val="004750A1"/>
    <w:rsid w:val="00475194"/>
    <w:rsid w:val="00475AA5"/>
    <w:rsid w:val="00475F61"/>
    <w:rsid w:val="00476333"/>
    <w:rsid w:val="004767F5"/>
    <w:rsid w:val="00476AD4"/>
    <w:rsid w:val="00476B53"/>
    <w:rsid w:val="004772E2"/>
    <w:rsid w:val="004773C0"/>
    <w:rsid w:val="00477604"/>
    <w:rsid w:val="00477654"/>
    <w:rsid w:val="0047767C"/>
    <w:rsid w:val="004808A7"/>
    <w:rsid w:val="00480A6C"/>
    <w:rsid w:val="00480E8A"/>
    <w:rsid w:val="004810AC"/>
    <w:rsid w:val="0048147C"/>
    <w:rsid w:val="004815EE"/>
    <w:rsid w:val="004816EC"/>
    <w:rsid w:val="00481F48"/>
    <w:rsid w:val="0048220C"/>
    <w:rsid w:val="00482AAD"/>
    <w:rsid w:val="00482D02"/>
    <w:rsid w:val="00482DDB"/>
    <w:rsid w:val="00482EBA"/>
    <w:rsid w:val="004830DB"/>
    <w:rsid w:val="00483A73"/>
    <w:rsid w:val="00483E7B"/>
    <w:rsid w:val="0048450C"/>
    <w:rsid w:val="004848F8"/>
    <w:rsid w:val="00484BE7"/>
    <w:rsid w:val="00484C8E"/>
    <w:rsid w:val="0048697A"/>
    <w:rsid w:val="00486C8F"/>
    <w:rsid w:val="00487101"/>
    <w:rsid w:val="004872BF"/>
    <w:rsid w:val="00487817"/>
    <w:rsid w:val="00487CA7"/>
    <w:rsid w:val="00487F0F"/>
    <w:rsid w:val="00490CD5"/>
    <w:rsid w:val="00491721"/>
    <w:rsid w:val="004921FF"/>
    <w:rsid w:val="004927B4"/>
    <w:rsid w:val="00492FE3"/>
    <w:rsid w:val="0049301C"/>
    <w:rsid w:val="00494877"/>
    <w:rsid w:val="00494AFC"/>
    <w:rsid w:val="00494C51"/>
    <w:rsid w:val="00494F02"/>
    <w:rsid w:val="00495032"/>
    <w:rsid w:val="004953B0"/>
    <w:rsid w:val="00495421"/>
    <w:rsid w:val="0049690B"/>
    <w:rsid w:val="00496975"/>
    <w:rsid w:val="00496B2B"/>
    <w:rsid w:val="00496E73"/>
    <w:rsid w:val="0049731D"/>
    <w:rsid w:val="004974B6"/>
    <w:rsid w:val="004978ED"/>
    <w:rsid w:val="004A0920"/>
    <w:rsid w:val="004A152F"/>
    <w:rsid w:val="004A1F77"/>
    <w:rsid w:val="004A244B"/>
    <w:rsid w:val="004A292A"/>
    <w:rsid w:val="004A3557"/>
    <w:rsid w:val="004A4328"/>
    <w:rsid w:val="004A446F"/>
    <w:rsid w:val="004A4894"/>
    <w:rsid w:val="004A4BAF"/>
    <w:rsid w:val="004A4F3F"/>
    <w:rsid w:val="004A52DE"/>
    <w:rsid w:val="004A5B89"/>
    <w:rsid w:val="004A661D"/>
    <w:rsid w:val="004A6632"/>
    <w:rsid w:val="004A69E8"/>
    <w:rsid w:val="004A6CAE"/>
    <w:rsid w:val="004A6E28"/>
    <w:rsid w:val="004A7210"/>
    <w:rsid w:val="004A7C4F"/>
    <w:rsid w:val="004B0762"/>
    <w:rsid w:val="004B078E"/>
    <w:rsid w:val="004B098C"/>
    <w:rsid w:val="004B10F9"/>
    <w:rsid w:val="004B15D1"/>
    <w:rsid w:val="004B16BC"/>
    <w:rsid w:val="004B16D2"/>
    <w:rsid w:val="004B17EE"/>
    <w:rsid w:val="004B1D19"/>
    <w:rsid w:val="004B267C"/>
    <w:rsid w:val="004B29AD"/>
    <w:rsid w:val="004B2DE3"/>
    <w:rsid w:val="004B2EB2"/>
    <w:rsid w:val="004B35EB"/>
    <w:rsid w:val="004B384D"/>
    <w:rsid w:val="004B38E2"/>
    <w:rsid w:val="004B39D1"/>
    <w:rsid w:val="004B39D9"/>
    <w:rsid w:val="004B4E8B"/>
    <w:rsid w:val="004B5157"/>
    <w:rsid w:val="004B51A8"/>
    <w:rsid w:val="004B5C13"/>
    <w:rsid w:val="004B5C59"/>
    <w:rsid w:val="004B5DFC"/>
    <w:rsid w:val="004B6B1C"/>
    <w:rsid w:val="004B6C8A"/>
    <w:rsid w:val="004B70F1"/>
    <w:rsid w:val="004B75AE"/>
    <w:rsid w:val="004B79B2"/>
    <w:rsid w:val="004B7BB0"/>
    <w:rsid w:val="004C0D1B"/>
    <w:rsid w:val="004C186B"/>
    <w:rsid w:val="004C24BE"/>
    <w:rsid w:val="004C2735"/>
    <w:rsid w:val="004C297B"/>
    <w:rsid w:val="004C2DE9"/>
    <w:rsid w:val="004C3267"/>
    <w:rsid w:val="004C3A25"/>
    <w:rsid w:val="004C41B3"/>
    <w:rsid w:val="004C4625"/>
    <w:rsid w:val="004C46A0"/>
    <w:rsid w:val="004C4A50"/>
    <w:rsid w:val="004C5CF2"/>
    <w:rsid w:val="004C644C"/>
    <w:rsid w:val="004C6495"/>
    <w:rsid w:val="004C66A2"/>
    <w:rsid w:val="004C709B"/>
    <w:rsid w:val="004C711B"/>
    <w:rsid w:val="004C796D"/>
    <w:rsid w:val="004D03F1"/>
    <w:rsid w:val="004D0505"/>
    <w:rsid w:val="004D07EA"/>
    <w:rsid w:val="004D0812"/>
    <w:rsid w:val="004D0816"/>
    <w:rsid w:val="004D0E98"/>
    <w:rsid w:val="004D0EC8"/>
    <w:rsid w:val="004D13A6"/>
    <w:rsid w:val="004D1EB3"/>
    <w:rsid w:val="004D1FD7"/>
    <w:rsid w:val="004D234A"/>
    <w:rsid w:val="004D2A6B"/>
    <w:rsid w:val="004D2C6B"/>
    <w:rsid w:val="004D31B7"/>
    <w:rsid w:val="004D3821"/>
    <w:rsid w:val="004D3AB3"/>
    <w:rsid w:val="004D4040"/>
    <w:rsid w:val="004D47F2"/>
    <w:rsid w:val="004D57D8"/>
    <w:rsid w:val="004D663D"/>
    <w:rsid w:val="004D6944"/>
    <w:rsid w:val="004D7189"/>
    <w:rsid w:val="004D76AF"/>
    <w:rsid w:val="004D7A26"/>
    <w:rsid w:val="004E06B7"/>
    <w:rsid w:val="004E0BB6"/>
    <w:rsid w:val="004E0C01"/>
    <w:rsid w:val="004E0EB3"/>
    <w:rsid w:val="004E154B"/>
    <w:rsid w:val="004E234D"/>
    <w:rsid w:val="004E26E6"/>
    <w:rsid w:val="004E31A7"/>
    <w:rsid w:val="004E3FB1"/>
    <w:rsid w:val="004E4100"/>
    <w:rsid w:val="004E4194"/>
    <w:rsid w:val="004E42AD"/>
    <w:rsid w:val="004E4910"/>
    <w:rsid w:val="004E50C2"/>
    <w:rsid w:val="004E50C6"/>
    <w:rsid w:val="004E566E"/>
    <w:rsid w:val="004E608A"/>
    <w:rsid w:val="004E62C2"/>
    <w:rsid w:val="004E6438"/>
    <w:rsid w:val="004E67FB"/>
    <w:rsid w:val="004E7408"/>
    <w:rsid w:val="004E7627"/>
    <w:rsid w:val="004F06C6"/>
    <w:rsid w:val="004F0A1D"/>
    <w:rsid w:val="004F119E"/>
    <w:rsid w:val="004F1989"/>
    <w:rsid w:val="004F1CC4"/>
    <w:rsid w:val="004F21F3"/>
    <w:rsid w:val="004F2654"/>
    <w:rsid w:val="004F321D"/>
    <w:rsid w:val="004F3D69"/>
    <w:rsid w:val="004F428E"/>
    <w:rsid w:val="004F476E"/>
    <w:rsid w:val="004F4839"/>
    <w:rsid w:val="004F4B92"/>
    <w:rsid w:val="004F4DEC"/>
    <w:rsid w:val="004F5FC8"/>
    <w:rsid w:val="004F5FCA"/>
    <w:rsid w:val="004F6445"/>
    <w:rsid w:val="004F64B1"/>
    <w:rsid w:val="004F6AF4"/>
    <w:rsid w:val="004F6AFD"/>
    <w:rsid w:val="004F7584"/>
    <w:rsid w:val="004F781B"/>
    <w:rsid w:val="004F7A2B"/>
    <w:rsid w:val="004F7F8F"/>
    <w:rsid w:val="0050022B"/>
    <w:rsid w:val="005006FD"/>
    <w:rsid w:val="00500BEE"/>
    <w:rsid w:val="005027E2"/>
    <w:rsid w:val="005028CC"/>
    <w:rsid w:val="00502E5E"/>
    <w:rsid w:val="005035AA"/>
    <w:rsid w:val="005035C2"/>
    <w:rsid w:val="00503A03"/>
    <w:rsid w:val="00503CEC"/>
    <w:rsid w:val="00503FE0"/>
    <w:rsid w:val="00504110"/>
    <w:rsid w:val="00504482"/>
    <w:rsid w:val="00504522"/>
    <w:rsid w:val="00504915"/>
    <w:rsid w:val="00504FAB"/>
    <w:rsid w:val="005050F5"/>
    <w:rsid w:val="00505B46"/>
    <w:rsid w:val="00505E18"/>
    <w:rsid w:val="00505F99"/>
    <w:rsid w:val="0050603D"/>
    <w:rsid w:val="005061B1"/>
    <w:rsid w:val="0050671A"/>
    <w:rsid w:val="00507394"/>
    <w:rsid w:val="00510156"/>
    <w:rsid w:val="00510852"/>
    <w:rsid w:val="00510FB5"/>
    <w:rsid w:val="00511323"/>
    <w:rsid w:val="005116FD"/>
    <w:rsid w:val="00511E1B"/>
    <w:rsid w:val="005120BF"/>
    <w:rsid w:val="005125BF"/>
    <w:rsid w:val="00512830"/>
    <w:rsid w:val="0051306C"/>
    <w:rsid w:val="005135DA"/>
    <w:rsid w:val="00513E99"/>
    <w:rsid w:val="00513F57"/>
    <w:rsid w:val="00515279"/>
    <w:rsid w:val="00515587"/>
    <w:rsid w:val="005155DE"/>
    <w:rsid w:val="005158D0"/>
    <w:rsid w:val="00515B3A"/>
    <w:rsid w:val="00516BD9"/>
    <w:rsid w:val="00516E2B"/>
    <w:rsid w:val="00517551"/>
    <w:rsid w:val="00520C75"/>
    <w:rsid w:val="005216DA"/>
    <w:rsid w:val="00521AE9"/>
    <w:rsid w:val="0052271D"/>
    <w:rsid w:val="00522EDA"/>
    <w:rsid w:val="0052349F"/>
    <w:rsid w:val="00523B36"/>
    <w:rsid w:val="005249A5"/>
    <w:rsid w:val="00524DDF"/>
    <w:rsid w:val="005250FE"/>
    <w:rsid w:val="005251F3"/>
    <w:rsid w:val="005257B4"/>
    <w:rsid w:val="00525DC8"/>
    <w:rsid w:val="00525EF9"/>
    <w:rsid w:val="0052620C"/>
    <w:rsid w:val="0052621C"/>
    <w:rsid w:val="005264A0"/>
    <w:rsid w:val="00526978"/>
    <w:rsid w:val="00526AF5"/>
    <w:rsid w:val="00526C17"/>
    <w:rsid w:val="0052763C"/>
    <w:rsid w:val="00527D1E"/>
    <w:rsid w:val="00527D92"/>
    <w:rsid w:val="005302DA"/>
    <w:rsid w:val="005303DD"/>
    <w:rsid w:val="00530BFB"/>
    <w:rsid w:val="00530C98"/>
    <w:rsid w:val="00530CEE"/>
    <w:rsid w:val="00531782"/>
    <w:rsid w:val="005318DF"/>
    <w:rsid w:val="005327B6"/>
    <w:rsid w:val="00532A44"/>
    <w:rsid w:val="00532C0E"/>
    <w:rsid w:val="005333D8"/>
    <w:rsid w:val="00533771"/>
    <w:rsid w:val="005339FD"/>
    <w:rsid w:val="00533B6E"/>
    <w:rsid w:val="005346FB"/>
    <w:rsid w:val="00534B39"/>
    <w:rsid w:val="00534CD1"/>
    <w:rsid w:val="0053504C"/>
    <w:rsid w:val="00535619"/>
    <w:rsid w:val="00535842"/>
    <w:rsid w:val="00536322"/>
    <w:rsid w:val="00536BCF"/>
    <w:rsid w:val="00536BE3"/>
    <w:rsid w:val="00536D51"/>
    <w:rsid w:val="00536F31"/>
    <w:rsid w:val="00537036"/>
    <w:rsid w:val="00537678"/>
    <w:rsid w:val="00537CE1"/>
    <w:rsid w:val="00537D5C"/>
    <w:rsid w:val="00537D67"/>
    <w:rsid w:val="00537E55"/>
    <w:rsid w:val="005402D7"/>
    <w:rsid w:val="00540D3B"/>
    <w:rsid w:val="00541763"/>
    <w:rsid w:val="005422E7"/>
    <w:rsid w:val="0054289A"/>
    <w:rsid w:val="005433F6"/>
    <w:rsid w:val="005435F7"/>
    <w:rsid w:val="0054366E"/>
    <w:rsid w:val="005438DA"/>
    <w:rsid w:val="00544C2B"/>
    <w:rsid w:val="00544CF9"/>
    <w:rsid w:val="00545348"/>
    <w:rsid w:val="00545660"/>
    <w:rsid w:val="00545D67"/>
    <w:rsid w:val="00545F95"/>
    <w:rsid w:val="00546730"/>
    <w:rsid w:val="005468F8"/>
    <w:rsid w:val="00546D8F"/>
    <w:rsid w:val="005509C5"/>
    <w:rsid w:val="00551087"/>
    <w:rsid w:val="0055131D"/>
    <w:rsid w:val="0055135D"/>
    <w:rsid w:val="00551794"/>
    <w:rsid w:val="00551ACF"/>
    <w:rsid w:val="00551B55"/>
    <w:rsid w:val="0055204A"/>
    <w:rsid w:val="005529C8"/>
    <w:rsid w:val="0055447C"/>
    <w:rsid w:val="00554545"/>
    <w:rsid w:val="005547A9"/>
    <w:rsid w:val="00554D3E"/>
    <w:rsid w:val="00554E44"/>
    <w:rsid w:val="005551A7"/>
    <w:rsid w:val="00556DE6"/>
    <w:rsid w:val="00556F6C"/>
    <w:rsid w:val="00557115"/>
    <w:rsid w:val="00557172"/>
    <w:rsid w:val="0055761C"/>
    <w:rsid w:val="00557CA9"/>
    <w:rsid w:val="00557EE3"/>
    <w:rsid w:val="0056068F"/>
    <w:rsid w:val="00561D07"/>
    <w:rsid w:val="005627DD"/>
    <w:rsid w:val="00562A16"/>
    <w:rsid w:val="00563628"/>
    <w:rsid w:val="00563A19"/>
    <w:rsid w:val="00563F00"/>
    <w:rsid w:val="00563F86"/>
    <w:rsid w:val="0056473D"/>
    <w:rsid w:val="00564762"/>
    <w:rsid w:val="0056500E"/>
    <w:rsid w:val="005656FC"/>
    <w:rsid w:val="00565DAE"/>
    <w:rsid w:val="00565E3A"/>
    <w:rsid w:val="00567C66"/>
    <w:rsid w:val="00567E76"/>
    <w:rsid w:val="0057024E"/>
    <w:rsid w:val="00570703"/>
    <w:rsid w:val="00570725"/>
    <w:rsid w:val="00570976"/>
    <w:rsid w:val="0057152E"/>
    <w:rsid w:val="00571DD3"/>
    <w:rsid w:val="00571EA9"/>
    <w:rsid w:val="005724BF"/>
    <w:rsid w:val="00573AF4"/>
    <w:rsid w:val="00573F82"/>
    <w:rsid w:val="00573F9C"/>
    <w:rsid w:val="00574241"/>
    <w:rsid w:val="0057468E"/>
    <w:rsid w:val="00575711"/>
    <w:rsid w:val="00575754"/>
    <w:rsid w:val="00576F35"/>
    <w:rsid w:val="0057714E"/>
    <w:rsid w:val="00580125"/>
    <w:rsid w:val="00580683"/>
    <w:rsid w:val="00580EE4"/>
    <w:rsid w:val="0058147B"/>
    <w:rsid w:val="005820B1"/>
    <w:rsid w:val="0058265F"/>
    <w:rsid w:val="00582704"/>
    <w:rsid w:val="005827DC"/>
    <w:rsid w:val="00582CB2"/>
    <w:rsid w:val="00582E13"/>
    <w:rsid w:val="00582E55"/>
    <w:rsid w:val="005831B7"/>
    <w:rsid w:val="0058339E"/>
    <w:rsid w:val="005833ED"/>
    <w:rsid w:val="005834B5"/>
    <w:rsid w:val="00583806"/>
    <w:rsid w:val="00583EFF"/>
    <w:rsid w:val="00583FE4"/>
    <w:rsid w:val="00584135"/>
    <w:rsid w:val="00584C6D"/>
    <w:rsid w:val="00584F1B"/>
    <w:rsid w:val="00585972"/>
    <w:rsid w:val="00585DCD"/>
    <w:rsid w:val="00586178"/>
    <w:rsid w:val="005861DD"/>
    <w:rsid w:val="0058636C"/>
    <w:rsid w:val="005868C3"/>
    <w:rsid w:val="00586907"/>
    <w:rsid w:val="00586B06"/>
    <w:rsid w:val="005876F8"/>
    <w:rsid w:val="0058779A"/>
    <w:rsid w:val="00587B03"/>
    <w:rsid w:val="005906AE"/>
    <w:rsid w:val="005909C9"/>
    <w:rsid w:val="00590ADC"/>
    <w:rsid w:val="00590B48"/>
    <w:rsid w:val="00590B8B"/>
    <w:rsid w:val="005911EC"/>
    <w:rsid w:val="005919E5"/>
    <w:rsid w:val="00591FE5"/>
    <w:rsid w:val="0059228F"/>
    <w:rsid w:val="0059249A"/>
    <w:rsid w:val="005924FB"/>
    <w:rsid w:val="005925F4"/>
    <w:rsid w:val="00592ABA"/>
    <w:rsid w:val="00592FD8"/>
    <w:rsid w:val="00593054"/>
    <w:rsid w:val="0059336F"/>
    <w:rsid w:val="00594A8D"/>
    <w:rsid w:val="00595B7A"/>
    <w:rsid w:val="00595C34"/>
    <w:rsid w:val="00595E94"/>
    <w:rsid w:val="00595EDD"/>
    <w:rsid w:val="00596441"/>
    <w:rsid w:val="0059646B"/>
    <w:rsid w:val="005964C2"/>
    <w:rsid w:val="00596A3D"/>
    <w:rsid w:val="00596A68"/>
    <w:rsid w:val="00596BAA"/>
    <w:rsid w:val="00596C99"/>
    <w:rsid w:val="00596CDC"/>
    <w:rsid w:val="00596E17"/>
    <w:rsid w:val="00596EDA"/>
    <w:rsid w:val="0059716A"/>
    <w:rsid w:val="005973C4"/>
    <w:rsid w:val="005974B5"/>
    <w:rsid w:val="00597B54"/>
    <w:rsid w:val="00597C31"/>
    <w:rsid w:val="00597D0C"/>
    <w:rsid w:val="005A0001"/>
    <w:rsid w:val="005A0165"/>
    <w:rsid w:val="005A024B"/>
    <w:rsid w:val="005A031A"/>
    <w:rsid w:val="005A03AB"/>
    <w:rsid w:val="005A06DB"/>
    <w:rsid w:val="005A0741"/>
    <w:rsid w:val="005A07D9"/>
    <w:rsid w:val="005A09B5"/>
    <w:rsid w:val="005A0E97"/>
    <w:rsid w:val="005A11EB"/>
    <w:rsid w:val="005A13C0"/>
    <w:rsid w:val="005A212D"/>
    <w:rsid w:val="005A26B7"/>
    <w:rsid w:val="005A2AF0"/>
    <w:rsid w:val="005A30AC"/>
    <w:rsid w:val="005A3CF0"/>
    <w:rsid w:val="005A48C7"/>
    <w:rsid w:val="005A4FB2"/>
    <w:rsid w:val="005A511E"/>
    <w:rsid w:val="005A55F6"/>
    <w:rsid w:val="005A58CF"/>
    <w:rsid w:val="005A60E4"/>
    <w:rsid w:val="005A6B28"/>
    <w:rsid w:val="005A6BE3"/>
    <w:rsid w:val="005A6EEA"/>
    <w:rsid w:val="005A750C"/>
    <w:rsid w:val="005A7771"/>
    <w:rsid w:val="005A79C2"/>
    <w:rsid w:val="005A7C38"/>
    <w:rsid w:val="005A7E81"/>
    <w:rsid w:val="005B0B0F"/>
    <w:rsid w:val="005B0C31"/>
    <w:rsid w:val="005B1B7A"/>
    <w:rsid w:val="005B1E8A"/>
    <w:rsid w:val="005B244D"/>
    <w:rsid w:val="005B32B5"/>
    <w:rsid w:val="005B3354"/>
    <w:rsid w:val="005B3E9B"/>
    <w:rsid w:val="005B4479"/>
    <w:rsid w:val="005B47B4"/>
    <w:rsid w:val="005B4999"/>
    <w:rsid w:val="005B4CB5"/>
    <w:rsid w:val="005B4E42"/>
    <w:rsid w:val="005B50D4"/>
    <w:rsid w:val="005B572D"/>
    <w:rsid w:val="005B6046"/>
    <w:rsid w:val="005B6479"/>
    <w:rsid w:val="005B6753"/>
    <w:rsid w:val="005B67B3"/>
    <w:rsid w:val="005B6C5F"/>
    <w:rsid w:val="005B6F82"/>
    <w:rsid w:val="005B744F"/>
    <w:rsid w:val="005B78AC"/>
    <w:rsid w:val="005B7A11"/>
    <w:rsid w:val="005B7A33"/>
    <w:rsid w:val="005B7D0B"/>
    <w:rsid w:val="005C050A"/>
    <w:rsid w:val="005C066B"/>
    <w:rsid w:val="005C073D"/>
    <w:rsid w:val="005C0B9A"/>
    <w:rsid w:val="005C1060"/>
    <w:rsid w:val="005C108A"/>
    <w:rsid w:val="005C1F30"/>
    <w:rsid w:val="005C24AF"/>
    <w:rsid w:val="005C28DF"/>
    <w:rsid w:val="005C2A75"/>
    <w:rsid w:val="005C2F3A"/>
    <w:rsid w:val="005C3A4B"/>
    <w:rsid w:val="005C45F0"/>
    <w:rsid w:val="005C5A79"/>
    <w:rsid w:val="005C608A"/>
    <w:rsid w:val="005C6A33"/>
    <w:rsid w:val="005C6DD9"/>
    <w:rsid w:val="005C6FE5"/>
    <w:rsid w:val="005C7213"/>
    <w:rsid w:val="005C756C"/>
    <w:rsid w:val="005C76F8"/>
    <w:rsid w:val="005C7846"/>
    <w:rsid w:val="005C7B16"/>
    <w:rsid w:val="005D0129"/>
    <w:rsid w:val="005D02F2"/>
    <w:rsid w:val="005D0AC1"/>
    <w:rsid w:val="005D0D40"/>
    <w:rsid w:val="005D1147"/>
    <w:rsid w:val="005D1D24"/>
    <w:rsid w:val="005D1F54"/>
    <w:rsid w:val="005D27BE"/>
    <w:rsid w:val="005D281A"/>
    <w:rsid w:val="005D360B"/>
    <w:rsid w:val="005D387A"/>
    <w:rsid w:val="005D38BB"/>
    <w:rsid w:val="005D3A6A"/>
    <w:rsid w:val="005D427A"/>
    <w:rsid w:val="005D435B"/>
    <w:rsid w:val="005D53E4"/>
    <w:rsid w:val="005D5539"/>
    <w:rsid w:val="005D5827"/>
    <w:rsid w:val="005D5AFA"/>
    <w:rsid w:val="005D5CB8"/>
    <w:rsid w:val="005D60D9"/>
    <w:rsid w:val="005D6469"/>
    <w:rsid w:val="005D68B4"/>
    <w:rsid w:val="005D766E"/>
    <w:rsid w:val="005D7982"/>
    <w:rsid w:val="005E01DB"/>
    <w:rsid w:val="005E047A"/>
    <w:rsid w:val="005E0752"/>
    <w:rsid w:val="005E2193"/>
    <w:rsid w:val="005E2B7F"/>
    <w:rsid w:val="005E2DF1"/>
    <w:rsid w:val="005E3583"/>
    <w:rsid w:val="005E3B6A"/>
    <w:rsid w:val="005E3D40"/>
    <w:rsid w:val="005E3E70"/>
    <w:rsid w:val="005E4006"/>
    <w:rsid w:val="005E4B41"/>
    <w:rsid w:val="005E507C"/>
    <w:rsid w:val="005E5091"/>
    <w:rsid w:val="005E58A7"/>
    <w:rsid w:val="005E58F3"/>
    <w:rsid w:val="005E5E94"/>
    <w:rsid w:val="005E6389"/>
    <w:rsid w:val="005E6720"/>
    <w:rsid w:val="005E6A89"/>
    <w:rsid w:val="005E6FF6"/>
    <w:rsid w:val="005E70CB"/>
    <w:rsid w:val="005E713F"/>
    <w:rsid w:val="005E722A"/>
    <w:rsid w:val="005E7D84"/>
    <w:rsid w:val="005F0618"/>
    <w:rsid w:val="005F0741"/>
    <w:rsid w:val="005F084E"/>
    <w:rsid w:val="005F0892"/>
    <w:rsid w:val="005F0C2C"/>
    <w:rsid w:val="005F102A"/>
    <w:rsid w:val="005F1816"/>
    <w:rsid w:val="005F1E1D"/>
    <w:rsid w:val="005F2080"/>
    <w:rsid w:val="005F2264"/>
    <w:rsid w:val="005F2300"/>
    <w:rsid w:val="005F31E9"/>
    <w:rsid w:val="005F3896"/>
    <w:rsid w:val="005F3E2F"/>
    <w:rsid w:val="005F44EC"/>
    <w:rsid w:val="005F45D5"/>
    <w:rsid w:val="005F4F21"/>
    <w:rsid w:val="005F4F8F"/>
    <w:rsid w:val="005F518F"/>
    <w:rsid w:val="005F5738"/>
    <w:rsid w:val="005F57CE"/>
    <w:rsid w:val="005F5B36"/>
    <w:rsid w:val="005F62E0"/>
    <w:rsid w:val="005F632A"/>
    <w:rsid w:val="005F696F"/>
    <w:rsid w:val="005F6C24"/>
    <w:rsid w:val="005F7941"/>
    <w:rsid w:val="005F7AB1"/>
    <w:rsid w:val="00600D30"/>
    <w:rsid w:val="00600D8B"/>
    <w:rsid w:val="00601113"/>
    <w:rsid w:val="0060126B"/>
    <w:rsid w:val="006014E5"/>
    <w:rsid w:val="00601599"/>
    <w:rsid w:val="00601B9E"/>
    <w:rsid w:val="00601E1C"/>
    <w:rsid w:val="006020E6"/>
    <w:rsid w:val="0060235F"/>
    <w:rsid w:val="006026C2"/>
    <w:rsid w:val="006026F1"/>
    <w:rsid w:val="006034CA"/>
    <w:rsid w:val="00603D91"/>
    <w:rsid w:val="006049F9"/>
    <w:rsid w:val="00604E5F"/>
    <w:rsid w:val="00604EA8"/>
    <w:rsid w:val="006060A4"/>
    <w:rsid w:val="00606108"/>
    <w:rsid w:val="00606E5E"/>
    <w:rsid w:val="00606FB8"/>
    <w:rsid w:val="0060773B"/>
    <w:rsid w:val="006077A7"/>
    <w:rsid w:val="00607EC3"/>
    <w:rsid w:val="00607F2A"/>
    <w:rsid w:val="00610637"/>
    <w:rsid w:val="00610A75"/>
    <w:rsid w:val="00610F92"/>
    <w:rsid w:val="00611966"/>
    <w:rsid w:val="00611DC9"/>
    <w:rsid w:val="00611E58"/>
    <w:rsid w:val="00612537"/>
    <w:rsid w:val="00612928"/>
    <w:rsid w:val="006138B5"/>
    <w:rsid w:val="006139B2"/>
    <w:rsid w:val="00613E68"/>
    <w:rsid w:val="00613E75"/>
    <w:rsid w:val="00613FF4"/>
    <w:rsid w:val="006141F9"/>
    <w:rsid w:val="00614243"/>
    <w:rsid w:val="0061436F"/>
    <w:rsid w:val="00614806"/>
    <w:rsid w:val="00614A36"/>
    <w:rsid w:val="00615B99"/>
    <w:rsid w:val="006166B8"/>
    <w:rsid w:val="00616B9B"/>
    <w:rsid w:val="00616BB5"/>
    <w:rsid w:val="00616C5A"/>
    <w:rsid w:val="00617611"/>
    <w:rsid w:val="0061763F"/>
    <w:rsid w:val="0061766C"/>
    <w:rsid w:val="006208FA"/>
    <w:rsid w:val="00620E02"/>
    <w:rsid w:val="0062102A"/>
    <w:rsid w:val="006212BC"/>
    <w:rsid w:val="006213A9"/>
    <w:rsid w:val="00622091"/>
    <w:rsid w:val="006221A2"/>
    <w:rsid w:val="00622688"/>
    <w:rsid w:val="00622CC7"/>
    <w:rsid w:val="006232BF"/>
    <w:rsid w:val="006233A4"/>
    <w:rsid w:val="00623BF7"/>
    <w:rsid w:val="00623D2B"/>
    <w:rsid w:val="00623F9A"/>
    <w:rsid w:val="00624199"/>
    <w:rsid w:val="0062431F"/>
    <w:rsid w:val="00624787"/>
    <w:rsid w:val="00625C54"/>
    <w:rsid w:val="00625DC3"/>
    <w:rsid w:val="00625F21"/>
    <w:rsid w:val="00626198"/>
    <w:rsid w:val="00626898"/>
    <w:rsid w:val="006278CB"/>
    <w:rsid w:val="00627A3E"/>
    <w:rsid w:val="00630D65"/>
    <w:rsid w:val="006315BA"/>
    <w:rsid w:val="00631772"/>
    <w:rsid w:val="006318D6"/>
    <w:rsid w:val="00632220"/>
    <w:rsid w:val="006324C4"/>
    <w:rsid w:val="0063266B"/>
    <w:rsid w:val="00632681"/>
    <w:rsid w:val="006326C9"/>
    <w:rsid w:val="006326FE"/>
    <w:rsid w:val="00632989"/>
    <w:rsid w:val="00632CED"/>
    <w:rsid w:val="00634148"/>
    <w:rsid w:val="0063429B"/>
    <w:rsid w:val="006343B5"/>
    <w:rsid w:val="0063450F"/>
    <w:rsid w:val="00634570"/>
    <w:rsid w:val="0063472D"/>
    <w:rsid w:val="0063485E"/>
    <w:rsid w:val="006358D2"/>
    <w:rsid w:val="00635B3D"/>
    <w:rsid w:val="0063642C"/>
    <w:rsid w:val="006371AB"/>
    <w:rsid w:val="0063798D"/>
    <w:rsid w:val="00637C98"/>
    <w:rsid w:val="00637E71"/>
    <w:rsid w:val="00637F26"/>
    <w:rsid w:val="00637FE4"/>
    <w:rsid w:val="00640588"/>
    <w:rsid w:val="0064079F"/>
    <w:rsid w:val="00641EA0"/>
    <w:rsid w:val="006429EA"/>
    <w:rsid w:val="00642CE3"/>
    <w:rsid w:val="00642DBB"/>
    <w:rsid w:val="00642DDE"/>
    <w:rsid w:val="006431DE"/>
    <w:rsid w:val="0064349A"/>
    <w:rsid w:val="00643B64"/>
    <w:rsid w:val="00643E36"/>
    <w:rsid w:val="00644306"/>
    <w:rsid w:val="006447A0"/>
    <w:rsid w:val="00644972"/>
    <w:rsid w:val="00644F48"/>
    <w:rsid w:val="0064508F"/>
    <w:rsid w:val="00645316"/>
    <w:rsid w:val="00645ADC"/>
    <w:rsid w:val="00645E0F"/>
    <w:rsid w:val="006463A2"/>
    <w:rsid w:val="006501CC"/>
    <w:rsid w:val="0065026B"/>
    <w:rsid w:val="0065049E"/>
    <w:rsid w:val="00650C0E"/>
    <w:rsid w:val="00650DAD"/>
    <w:rsid w:val="00650F7E"/>
    <w:rsid w:val="00651376"/>
    <w:rsid w:val="00652706"/>
    <w:rsid w:val="00652766"/>
    <w:rsid w:val="00652878"/>
    <w:rsid w:val="00652C1A"/>
    <w:rsid w:val="00652C2F"/>
    <w:rsid w:val="006532F5"/>
    <w:rsid w:val="006534B9"/>
    <w:rsid w:val="00653F44"/>
    <w:rsid w:val="00654E48"/>
    <w:rsid w:val="00655537"/>
    <w:rsid w:val="006557C2"/>
    <w:rsid w:val="00655B63"/>
    <w:rsid w:val="00655C72"/>
    <w:rsid w:val="006563E7"/>
    <w:rsid w:val="00656BD4"/>
    <w:rsid w:val="00657673"/>
    <w:rsid w:val="00657769"/>
    <w:rsid w:val="006577DB"/>
    <w:rsid w:val="0065795E"/>
    <w:rsid w:val="0066098B"/>
    <w:rsid w:val="00660BB7"/>
    <w:rsid w:val="00660CF3"/>
    <w:rsid w:val="00661027"/>
    <w:rsid w:val="006611C3"/>
    <w:rsid w:val="0066188A"/>
    <w:rsid w:val="00661C36"/>
    <w:rsid w:val="006626E3"/>
    <w:rsid w:val="006628D1"/>
    <w:rsid w:val="006635D1"/>
    <w:rsid w:val="00663729"/>
    <w:rsid w:val="00663B2E"/>
    <w:rsid w:val="00664278"/>
    <w:rsid w:val="006642F8"/>
    <w:rsid w:val="0066455C"/>
    <w:rsid w:val="00664700"/>
    <w:rsid w:val="00664D31"/>
    <w:rsid w:val="00664E57"/>
    <w:rsid w:val="00664F24"/>
    <w:rsid w:val="0066511F"/>
    <w:rsid w:val="006652F6"/>
    <w:rsid w:val="00665755"/>
    <w:rsid w:val="00665EA6"/>
    <w:rsid w:val="00665FF8"/>
    <w:rsid w:val="0066613E"/>
    <w:rsid w:val="00666976"/>
    <w:rsid w:val="00666A4C"/>
    <w:rsid w:val="00666F8C"/>
    <w:rsid w:val="0066742F"/>
    <w:rsid w:val="006700B7"/>
    <w:rsid w:val="0067030A"/>
    <w:rsid w:val="00670929"/>
    <w:rsid w:val="0067157C"/>
    <w:rsid w:val="00671953"/>
    <w:rsid w:val="00671D87"/>
    <w:rsid w:val="00671F39"/>
    <w:rsid w:val="00672A9A"/>
    <w:rsid w:val="00672BFD"/>
    <w:rsid w:val="00672C2F"/>
    <w:rsid w:val="00672E14"/>
    <w:rsid w:val="00673095"/>
    <w:rsid w:val="00673448"/>
    <w:rsid w:val="006741CD"/>
    <w:rsid w:val="00675998"/>
    <w:rsid w:val="00675A2B"/>
    <w:rsid w:val="00675C08"/>
    <w:rsid w:val="00675DAB"/>
    <w:rsid w:val="006764DD"/>
    <w:rsid w:val="006766B3"/>
    <w:rsid w:val="006767F5"/>
    <w:rsid w:val="0067684B"/>
    <w:rsid w:val="0067703E"/>
    <w:rsid w:val="00677318"/>
    <w:rsid w:val="00677359"/>
    <w:rsid w:val="006779EC"/>
    <w:rsid w:val="00677F01"/>
    <w:rsid w:val="006800BA"/>
    <w:rsid w:val="006800C0"/>
    <w:rsid w:val="006805D1"/>
    <w:rsid w:val="00680A28"/>
    <w:rsid w:val="00680CF9"/>
    <w:rsid w:val="0068124A"/>
    <w:rsid w:val="0068129A"/>
    <w:rsid w:val="006813E8"/>
    <w:rsid w:val="0068146E"/>
    <w:rsid w:val="0068148E"/>
    <w:rsid w:val="00682B37"/>
    <w:rsid w:val="00682F66"/>
    <w:rsid w:val="006832D9"/>
    <w:rsid w:val="0068344C"/>
    <w:rsid w:val="00683766"/>
    <w:rsid w:val="006837E3"/>
    <w:rsid w:val="00684C08"/>
    <w:rsid w:val="00685331"/>
    <w:rsid w:val="006853F7"/>
    <w:rsid w:val="006857AC"/>
    <w:rsid w:val="00685BF1"/>
    <w:rsid w:val="00685E9A"/>
    <w:rsid w:val="006860F4"/>
    <w:rsid w:val="00686BDC"/>
    <w:rsid w:val="00686DF7"/>
    <w:rsid w:val="006871A7"/>
    <w:rsid w:val="006879AA"/>
    <w:rsid w:val="006879FE"/>
    <w:rsid w:val="00687D01"/>
    <w:rsid w:val="00690129"/>
    <w:rsid w:val="0069059F"/>
    <w:rsid w:val="00690939"/>
    <w:rsid w:val="00691422"/>
    <w:rsid w:val="00691A33"/>
    <w:rsid w:val="006927FD"/>
    <w:rsid w:val="006936B9"/>
    <w:rsid w:val="006939EB"/>
    <w:rsid w:val="00693C3A"/>
    <w:rsid w:val="0069420A"/>
    <w:rsid w:val="00694335"/>
    <w:rsid w:val="0069448D"/>
    <w:rsid w:val="00694BF2"/>
    <w:rsid w:val="006950D4"/>
    <w:rsid w:val="0069531D"/>
    <w:rsid w:val="0069580E"/>
    <w:rsid w:val="00695877"/>
    <w:rsid w:val="00695995"/>
    <w:rsid w:val="00695A82"/>
    <w:rsid w:val="00695D8B"/>
    <w:rsid w:val="006963C1"/>
    <w:rsid w:val="00697017"/>
    <w:rsid w:val="0069743E"/>
    <w:rsid w:val="0069785F"/>
    <w:rsid w:val="00697927"/>
    <w:rsid w:val="006A0C6D"/>
    <w:rsid w:val="006A1399"/>
    <w:rsid w:val="006A16B4"/>
    <w:rsid w:val="006A22E9"/>
    <w:rsid w:val="006A2423"/>
    <w:rsid w:val="006A2453"/>
    <w:rsid w:val="006A2AD4"/>
    <w:rsid w:val="006A31A7"/>
    <w:rsid w:val="006A4367"/>
    <w:rsid w:val="006A494D"/>
    <w:rsid w:val="006A4B27"/>
    <w:rsid w:val="006A502B"/>
    <w:rsid w:val="006A5110"/>
    <w:rsid w:val="006A53B7"/>
    <w:rsid w:val="006A541E"/>
    <w:rsid w:val="006A55EF"/>
    <w:rsid w:val="006A6146"/>
    <w:rsid w:val="006A6B43"/>
    <w:rsid w:val="006A7DAB"/>
    <w:rsid w:val="006B0702"/>
    <w:rsid w:val="006B0828"/>
    <w:rsid w:val="006B08B4"/>
    <w:rsid w:val="006B09BF"/>
    <w:rsid w:val="006B13F2"/>
    <w:rsid w:val="006B1539"/>
    <w:rsid w:val="006B15FB"/>
    <w:rsid w:val="006B16EC"/>
    <w:rsid w:val="006B2063"/>
    <w:rsid w:val="006B21E0"/>
    <w:rsid w:val="006B2B1E"/>
    <w:rsid w:val="006B35D8"/>
    <w:rsid w:val="006B4681"/>
    <w:rsid w:val="006B4CE3"/>
    <w:rsid w:val="006B51ED"/>
    <w:rsid w:val="006B59C9"/>
    <w:rsid w:val="006B59CE"/>
    <w:rsid w:val="006B5A0C"/>
    <w:rsid w:val="006B5E21"/>
    <w:rsid w:val="006B5EB8"/>
    <w:rsid w:val="006B600E"/>
    <w:rsid w:val="006B609D"/>
    <w:rsid w:val="006B651A"/>
    <w:rsid w:val="006B6AE6"/>
    <w:rsid w:val="006B7AF3"/>
    <w:rsid w:val="006C0B46"/>
    <w:rsid w:val="006C1D71"/>
    <w:rsid w:val="006C1ECA"/>
    <w:rsid w:val="006C25E1"/>
    <w:rsid w:val="006C2B50"/>
    <w:rsid w:val="006C2DBD"/>
    <w:rsid w:val="006C3A03"/>
    <w:rsid w:val="006C3D63"/>
    <w:rsid w:val="006C3E9A"/>
    <w:rsid w:val="006C478C"/>
    <w:rsid w:val="006C5A01"/>
    <w:rsid w:val="006C6201"/>
    <w:rsid w:val="006C657F"/>
    <w:rsid w:val="006C6FDA"/>
    <w:rsid w:val="006C739D"/>
    <w:rsid w:val="006C7740"/>
    <w:rsid w:val="006C77E8"/>
    <w:rsid w:val="006C79DB"/>
    <w:rsid w:val="006C7D75"/>
    <w:rsid w:val="006D0362"/>
    <w:rsid w:val="006D09F3"/>
    <w:rsid w:val="006D0A2B"/>
    <w:rsid w:val="006D1197"/>
    <w:rsid w:val="006D11F7"/>
    <w:rsid w:val="006D19E3"/>
    <w:rsid w:val="006D2537"/>
    <w:rsid w:val="006D2545"/>
    <w:rsid w:val="006D26CE"/>
    <w:rsid w:val="006D28C3"/>
    <w:rsid w:val="006D32BD"/>
    <w:rsid w:val="006D3764"/>
    <w:rsid w:val="006D3A97"/>
    <w:rsid w:val="006D3EF1"/>
    <w:rsid w:val="006D3FF3"/>
    <w:rsid w:val="006D4C1D"/>
    <w:rsid w:val="006D4FB0"/>
    <w:rsid w:val="006D6301"/>
    <w:rsid w:val="006D66F8"/>
    <w:rsid w:val="006D6E09"/>
    <w:rsid w:val="006D6E0B"/>
    <w:rsid w:val="006D6F72"/>
    <w:rsid w:val="006D73C4"/>
    <w:rsid w:val="006D763A"/>
    <w:rsid w:val="006E060C"/>
    <w:rsid w:val="006E067A"/>
    <w:rsid w:val="006E12D0"/>
    <w:rsid w:val="006E18F8"/>
    <w:rsid w:val="006E2890"/>
    <w:rsid w:val="006E2948"/>
    <w:rsid w:val="006E2F11"/>
    <w:rsid w:val="006E3196"/>
    <w:rsid w:val="006E32EA"/>
    <w:rsid w:val="006E33FF"/>
    <w:rsid w:val="006E3A65"/>
    <w:rsid w:val="006E4A66"/>
    <w:rsid w:val="006E50F1"/>
    <w:rsid w:val="006E541C"/>
    <w:rsid w:val="006E5721"/>
    <w:rsid w:val="006E5868"/>
    <w:rsid w:val="006E5ABC"/>
    <w:rsid w:val="006E5DD5"/>
    <w:rsid w:val="006E5E22"/>
    <w:rsid w:val="006E6047"/>
    <w:rsid w:val="006E6159"/>
    <w:rsid w:val="006E6200"/>
    <w:rsid w:val="006E6250"/>
    <w:rsid w:val="006E67C3"/>
    <w:rsid w:val="006E699B"/>
    <w:rsid w:val="006E6D4A"/>
    <w:rsid w:val="006E6FFC"/>
    <w:rsid w:val="006E71B1"/>
    <w:rsid w:val="006E786F"/>
    <w:rsid w:val="006E7D7A"/>
    <w:rsid w:val="006F0039"/>
    <w:rsid w:val="006F04A7"/>
    <w:rsid w:val="006F0EC1"/>
    <w:rsid w:val="006F138B"/>
    <w:rsid w:val="006F1576"/>
    <w:rsid w:val="006F1759"/>
    <w:rsid w:val="006F178C"/>
    <w:rsid w:val="006F1A5F"/>
    <w:rsid w:val="006F1ED2"/>
    <w:rsid w:val="006F1F7C"/>
    <w:rsid w:val="006F2609"/>
    <w:rsid w:val="006F2994"/>
    <w:rsid w:val="006F2E94"/>
    <w:rsid w:val="006F3747"/>
    <w:rsid w:val="006F3BE2"/>
    <w:rsid w:val="006F49CB"/>
    <w:rsid w:val="006F4D01"/>
    <w:rsid w:val="006F5024"/>
    <w:rsid w:val="006F5B6D"/>
    <w:rsid w:val="006F5C3F"/>
    <w:rsid w:val="006F5ED6"/>
    <w:rsid w:val="006F6192"/>
    <w:rsid w:val="006F61B0"/>
    <w:rsid w:val="006F6401"/>
    <w:rsid w:val="006F65C9"/>
    <w:rsid w:val="006F689C"/>
    <w:rsid w:val="006F6A4C"/>
    <w:rsid w:val="006F6A98"/>
    <w:rsid w:val="006F6BB4"/>
    <w:rsid w:val="0070001B"/>
    <w:rsid w:val="007000FF"/>
    <w:rsid w:val="00700473"/>
    <w:rsid w:val="007005E0"/>
    <w:rsid w:val="00700978"/>
    <w:rsid w:val="00700E7B"/>
    <w:rsid w:val="00700EBF"/>
    <w:rsid w:val="00701046"/>
    <w:rsid w:val="0070173A"/>
    <w:rsid w:val="00701C71"/>
    <w:rsid w:val="00701EB9"/>
    <w:rsid w:val="00701F6D"/>
    <w:rsid w:val="00702A64"/>
    <w:rsid w:val="00703016"/>
    <w:rsid w:val="0070306F"/>
    <w:rsid w:val="00703EBC"/>
    <w:rsid w:val="0070448D"/>
    <w:rsid w:val="00705358"/>
    <w:rsid w:val="00705D56"/>
    <w:rsid w:val="00705ED9"/>
    <w:rsid w:val="00705EF4"/>
    <w:rsid w:val="00707764"/>
    <w:rsid w:val="00707BDF"/>
    <w:rsid w:val="00710FA2"/>
    <w:rsid w:val="007110A2"/>
    <w:rsid w:val="00711261"/>
    <w:rsid w:val="00711BBC"/>
    <w:rsid w:val="00712435"/>
    <w:rsid w:val="00712611"/>
    <w:rsid w:val="007127A6"/>
    <w:rsid w:val="00712927"/>
    <w:rsid w:val="00712C72"/>
    <w:rsid w:val="007137F9"/>
    <w:rsid w:val="00713CBB"/>
    <w:rsid w:val="00714211"/>
    <w:rsid w:val="0071453D"/>
    <w:rsid w:val="0071477B"/>
    <w:rsid w:val="00714965"/>
    <w:rsid w:val="00715005"/>
    <w:rsid w:val="007163E9"/>
    <w:rsid w:val="00716963"/>
    <w:rsid w:val="0071699A"/>
    <w:rsid w:val="00716AEA"/>
    <w:rsid w:val="00716E6A"/>
    <w:rsid w:val="00717107"/>
    <w:rsid w:val="00717467"/>
    <w:rsid w:val="00717862"/>
    <w:rsid w:val="00720B3A"/>
    <w:rsid w:val="0072104D"/>
    <w:rsid w:val="007212F7"/>
    <w:rsid w:val="0072182D"/>
    <w:rsid w:val="00721F8F"/>
    <w:rsid w:val="007222B9"/>
    <w:rsid w:val="00722B71"/>
    <w:rsid w:val="00723DD7"/>
    <w:rsid w:val="007240EE"/>
    <w:rsid w:val="00724310"/>
    <w:rsid w:val="0072500E"/>
    <w:rsid w:val="0072515C"/>
    <w:rsid w:val="00725326"/>
    <w:rsid w:val="0072558C"/>
    <w:rsid w:val="00725DA9"/>
    <w:rsid w:val="007263E6"/>
    <w:rsid w:val="00726C4D"/>
    <w:rsid w:val="00726FEB"/>
    <w:rsid w:val="007273EF"/>
    <w:rsid w:val="00727B08"/>
    <w:rsid w:val="0073045D"/>
    <w:rsid w:val="00730695"/>
    <w:rsid w:val="0073148F"/>
    <w:rsid w:val="007317D3"/>
    <w:rsid w:val="00731D0E"/>
    <w:rsid w:val="00731E7B"/>
    <w:rsid w:val="00732086"/>
    <w:rsid w:val="007320FC"/>
    <w:rsid w:val="0073229F"/>
    <w:rsid w:val="007322EC"/>
    <w:rsid w:val="00732A55"/>
    <w:rsid w:val="007332C4"/>
    <w:rsid w:val="00733F2A"/>
    <w:rsid w:val="00734FAE"/>
    <w:rsid w:val="0073594D"/>
    <w:rsid w:val="00735A4F"/>
    <w:rsid w:val="00735DCA"/>
    <w:rsid w:val="007362D1"/>
    <w:rsid w:val="00736612"/>
    <w:rsid w:val="00737065"/>
    <w:rsid w:val="007370C8"/>
    <w:rsid w:val="007379B1"/>
    <w:rsid w:val="007379D8"/>
    <w:rsid w:val="00737F9A"/>
    <w:rsid w:val="007410C1"/>
    <w:rsid w:val="007419DE"/>
    <w:rsid w:val="007420D9"/>
    <w:rsid w:val="007427C9"/>
    <w:rsid w:val="00743201"/>
    <w:rsid w:val="00743B18"/>
    <w:rsid w:val="00743BDB"/>
    <w:rsid w:val="00743D67"/>
    <w:rsid w:val="00744587"/>
    <w:rsid w:val="00744E76"/>
    <w:rsid w:val="00744ED3"/>
    <w:rsid w:val="00745162"/>
    <w:rsid w:val="0074560C"/>
    <w:rsid w:val="007457B9"/>
    <w:rsid w:val="00745B8D"/>
    <w:rsid w:val="00745C79"/>
    <w:rsid w:val="00745FAD"/>
    <w:rsid w:val="007468E8"/>
    <w:rsid w:val="00746D68"/>
    <w:rsid w:val="007472EB"/>
    <w:rsid w:val="0074777C"/>
    <w:rsid w:val="00750030"/>
    <w:rsid w:val="0075041B"/>
    <w:rsid w:val="0075042C"/>
    <w:rsid w:val="007508B7"/>
    <w:rsid w:val="00750BB2"/>
    <w:rsid w:val="00750C38"/>
    <w:rsid w:val="00750DE2"/>
    <w:rsid w:val="00751A31"/>
    <w:rsid w:val="0075217B"/>
    <w:rsid w:val="007521A2"/>
    <w:rsid w:val="007525B8"/>
    <w:rsid w:val="00753D66"/>
    <w:rsid w:val="00753DB5"/>
    <w:rsid w:val="00754040"/>
    <w:rsid w:val="007545B9"/>
    <w:rsid w:val="007550C4"/>
    <w:rsid w:val="00755522"/>
    <w:rsid w:val="00755705"/>
    <w:rsid w:val="0075588A"/>
    <w:rsid w:val="00755F46"/>
    <w:rsid w:val="00756553"/>
    <w:rsid w:val="00756705"/>
    <w:rsid w:val="00756B91"/>
    <w:rsid w:val="00757446"/>
    <w:rsid w:val="00757BCD"/>
    <w:rsid w:val="00757CD7"/>
    <w:rsid w:val="00757EC7"/>
    <w:rsid w:val="007601C0"/>
    <w:rsid w:val="0076028B"/>
    <w:rsid w:val="0076058D"/>
    <w:rsid w:val="00760864"/>
    <w:rsid w:val="00760A6A"/>
    <w:rsid w:val="007610F2"/>
    <w:rsid w:val="007611DD"/>
    <w:rsid w:val="007614C5"/>
    <w:rsid w:val="00761CBF"/>
    <w:rsid w:val="00763143"/>
    <w:rsid w:val="0076412A"/>
    <w:rsid w:val="007646BD"/>
    <w:rsid w:val="00764F59"/>
    <w:rsid w:val="00765021"/>
    <w:rsid w:val="0076509B"/>
    <w:rsid w:val="007650B7"/>
    <w:rsid w:val="007653BF"/>
    <w:rsid w:val="007654C1"/>
    <w:rsid w:val="007654E4"/>
    <w:rsid w:val="007655D6"/>
    <w:rsid w:val="00765797"/>
    <w:rsid w:val="00765970"/>
    <w:rsid w:val="00766553"/>
    <w:rsid w:val="007672C4"/>
    <w:rsid w:val="00770134"/>
    <w:rsid w:val="0077027C"/>
    <w:rsid w:val="007707A2"/>
    <w:rsid w:val="00770A38"/>
    <w:rsid w:val="00771282"/>
    <w:rsid w:val="007712FF"/>
    <w:rsid w:val="007715D2"/>
    <w:rsid w:val="00772546"/>
    <w:rsid w:val="00772D08"/>
    <w:rsid w:val="00773041"/>
    <w:rsid w:val="00773778"/>
    <w:rsid w:val="00773CEB"/>
    <w:rsid w:val="00774207"/>
    <w:rsid w:val="0077443C"/>
    <w:rsid w:val="00774EBF"/>
    <w:rsid w:val="00774FBD"/>
    <w:rsid w:val="007750AF"/>
    <w:rsid w:val="00775770"/>
    <w:rsid w:val="00775993"/>
    <w:rsid w:val="007759D5"/>
    <w:rsid w:val="00775BFD"/>
    <w:rsid w:val="00775F7E"/>
    <w:rsid w:val="00776075"/>
    <w:rsid w:val="007760BA"/>
    <w:rsid w:val="00776BA1"/>
    <w:rsid w:val="00777303"/>
    <w:rsid w:val="00777594"/>
    <w:rsid w:val="007777B6"/>
    <w:rsid w:val="00777829"/>
    <w:rsid w:val="00777A6E"/>
    <w:rsid w:val="00780005"/>
    <w:rsid w:val="0078044D"/>
    <w:rsid w:val="007810CC"/>
    <w:rsid w:val="007818AC"/>
    <w:rsid w:val="00781938"/>
    <w:rsid w:val="00781E10"/>
    <w:rsid w:val="0078217E"/>
    <w:rsid w:val="007824A6"/>
    <w:rsid w:val="007830B5"/>
    <w:rsid w:val="00784765"/>
    <w:rsid w:val="00784E2F"/>
    <w:rsid w:val="0078556E"/>
    <w:rsid w:val="007863B7"/>
    <w:rsid w:val="00786B0E"/>
    <w:rsid w:val="00786FFC"/>
    <w:rsid w:val="00787196"/>
    <w:rsid w:val="0078753F"/>
    <w:rsid w:val="007875CF"/>
    <w:rsid w:val="00787AEC"/>
    <w:rsid w:val="00787E1C"/>
    <w:rsid w:val="00787FFA"/>
    <w:rsid w:val="00790395"/>
    <w:rsid w:val="00790423"/>
    <w:rsid w:val="0079054F"/>
    <w:rsid w:val="00790607"/>
    <w:rsid w:val="007912F9"/>
    <w:rsid w:val="00791880"/>
    <w:rsid w:val="00791FE7"/>
    <w:rsid w:val="00792014"/>
    <w:rsid w:val="00792113"/>
    <w:rsid w:val="007925C3"/>
    <w:rsid w:val="0079280A"/>
    <w:rsid w:val="0079281F"/>
    <w:rsid w:val="00793C13"/>
    <w:rsid w:val="00794058"/>
    <w:rsid w:val="007941F5"/>
    <w:rsid w:val="00794260"/>
    <w:rsid w:val="00794684"/>
    <w:rsid w:val="00794D53"/>
    <w:rsid w:val="0079553A"/>
    <w:rsid w:val="007959C4"/>
    <w:rsid w:val="00795F45"/>
    <w:rsid w:val="007963A5"/>
    <w:rsid w:val="00796669"/>
    <w:rsid w:val="00796C64"/>
    <w:rsid w:val="00796D25"/>
    <w:rsid w:val="00796EE1"/>
    <w:rsid w:val="007973DE"/>
    <w:rsid w:val="00797AA5"/>
    <w:rsid w:val="00797C42"/>
    <w:rsid w:val="00797D3E"/>
    <w:rsid w:val="00797EB8"/>
    <w:rsid w:val="00797F19"/>
    <w:rsid w:val="00797F74"/>
    <w:rsid w:val="007A0C25"/>
    <w:rsid w:val="007A1411"/>
    <w:rsid w:val="007A3E1D"/>
    <w:rsid w:val="007A3E6C"/>
    <w:rsid w:val="007A4087"/>
    <w:rsid w:val="007A40BC"/>
    <w:rsid w:val="007A482F"/>
    <w:rsid w:val="007A4A81"/>
    <w:rsid w:val="007A4B72"/>
    <w:rsid w:val="007A4FE4"/>
    <w:rsid w:val="007A5022"/>
    <w:rsid w:val="007A513B"/>
    <w:rsid w:val="007A52BD"/>
    <w:rsid w:val="007A576B"/>
    <w:rsid w:val="007A661D"/>
    <w:rsid w:val="007A68D2"/>
    <w:rsid w:val="007A6B90"/>
    <w:rsid w:val="007A7212"/>
    <w:rsid w:val="007A7345"/>
    <w:rsid w:val="007A79A2"/>
    <w:rsid w:val="007A7E37"/>
    <w:rsid w:val="007B01A7"/>
    <w:rsid w:val="007B05BC"/>
    <w:rsid w:val="007B07C0"/>
    <w:rsid w:val="007B0A57"/>
    <w:rsid w:val="007B12B6"/>
    <w:rsid w:val="007B1B89"/>
    <w:rsid w:val="007B1D27"/>
    <w:rsid w:val="007B2ED5"/>
    <w:rsid w:val="007B2FDA"/>
    <w:rsid w:val="007B305F"/>
    <w:rsid w:val="007B3B5A"/>
    <w:rsid w:val="007B4313"/>
    <w:rsid w:val="007B4709"/>
    <w:rsid w:val="007B4B48"/>
    <w:rsid w:val="007B51EE"/>
    <w:rsid w:val="007B54D4"/>
    <w:rsid w:val="007B562B"/>
    <w:rsid w:val="007B606C"/>
    <w:rsid w:val="007B6504"/>
    <w:rsid w:val="007B6858"/>
    <w:rsid w:val="007B6A89"/>
    <w:rsid w:val="007B6B65"/>
    <w:rsid w:val="007B6CC1"/>
    <w:rsid w:val="007B7A63"/>
    <w:rsid w:val="007B7BD9"/>
    <w:rsid w:val="007C0569"/>
    <w:rsid w:val="007C0C6E"/>
    <w:rsid w:val="007C1151"/>
    <w:rsid w:val="007C124B"/>
    <w:rsid w:val="007C16ED"/>
    <w:rsid w:val="007C1763"/>
    <w:rsid w:val="007C1C23"/>
    <w:rsid w:val="007C1C78"/>
    <w:rsid w:val="007C2260"/>
    <w:rsid w:val="007C23CE"/>
    <w:rsid w:val="007C2670"/>
    <w:rsid w:val="007C2851"/>
    <w:rsid w:val="007C2C96"/>
    <w:rsid w:val="007C3569"/>
    <w:rsid w:val="007C45B2"/>
    <w:rsid w:val="007C4AC8"/>
    <w:rsid w:val="007C4FD7"/>
    <w:rsid w:val="007C52CD"/>
    <w:rsid w:val="007C5AA3"/>
    <w:rsid w:val="007C60C6"/>
    <w:rsid w:val="007C63A0"/>
    <w:rsid w:val="007C6CC1"/>
    <w:rsid w:val="007C6F81"/>
    <w:rsid w:val="007C76AF"/>
    <w:rsid w:val="007C7C18"/>
    <w:rsid w:val="007D0062"/>
    <w:rsid w:val="007D02ED"/>
    <w:rsid w:val="007D1B47"/>
    <w:rsid w:val="007D1BCD"/>
    <w:rsid w:val="007D1D34"/>
    <w:rsid w:val="007D1E61"/>
    <w:rsid w:val="007D239D"/>
    <w:rsid w:val="007D253B"/>
    <w:rsid w:val="007D26D4"/>
    <w:rsid w:val="007D2802"/>
    <w:rsid w:val="007D2938"/>
    <w:rsid w:val="007D33FD"/>
    <w:rsid w:val="007D389E"/>
    <w:rsid w:val="007D417F"/>
    <w:rsid w:val="007D4191"/>
    <w:rsid w:val="007D41F9"/>
    <w:rsid w:val="007D4CAD"/>
    <w:rsid w:val="007D54EC"/>
    <w:rsid w:val="007D599C"/>
    <w:rsid w:val="007D5A86"/>
    <w:rsid w:val="007D5B64"/>
    <w:rsid w:val="007D5F60"/>
    <w:rsid w:val="007D60B8"/>
    <w:rsid w:val="007D6138"/>
    <w:rsid w:val="007D614B"/>
    <w:rsid w:val="007D6436"/>
    <w:rsid w:val="007D6706"/>
    <w:rsid w:val="007D6B7F"/>
    <w:rsid w:val="007D6C0F"/>
    <w:rsid w:val="007D6C33"/>
    <w:rsid w:val="007D76F9"/>
    <w:rsid w:val="007D7BA5"/>
    <w:rsid w:val="007E02FE"/>
    <w:rsid w:val="007E0884"/>
    <w:rsid w:val="007E0BCD"/>
    <w:rsid w:val="007E1D12"/>
    <w:rsid w:val="007E22CE"/>
    <w:rsid w:val="007E23AB"/>
    <w:rsid w:val="007E2ADC"/>
    <w:rsid w:val="007E30A8"/>
    <w:rsid w:val="007E35FC"/>
    <w:rsid w:val="007E3B68"/>
    <w:rsid w:val="007E40D1"/>
    <w:rsid w:val="007E4D0C"/>
    <w:rsid w:val="007E502F"/>
    <w:rsid w:val="007E55D2"/>
    <w:rsid w:val="007E57EF"/>
    <w:rsid w:val="007E588B"/>
    <w:rsid w:val="007E5923"/>
    <w:rsid w:val="007E5C73"/>
    <w:rsid w:val="007E6058"/>
    <w:rsid w:val="007E6675"/>
    <w:rsid w:val="007E66AE"/>
    <w:rsid w:val="007E68DD"/>
    <w:rsid w:val="007E71AB"/>
    <w:rsid w:val="007E769C"/>
    <w:rsid w:val="007E7DA1"/>
    <w:rsid w:val="007F00E3"/>
    <w:rsid w:val="007F08EA"/>
    <w:rsid w:val="007F0D33"/>
    <w:rsid w:val="007F183B"/>
    <w:rsid w:val="007F1A1B"/>
    <w:rsid w:val="007F2237"/>
    <w:rsid w:val="007F23F0"/>
    <w:rsid w:val="007F29F0"/>
    <w:rsid w:val="007F2F93"/>
    <w:rsid w:val="007F30D4"/>
    <w:rsid w:val="007F31E4"/>
    <w:rsid w:val="007F3BC0"/>
    <w:rsid w:val="007F3CA9"/>
    <w:rsid w:val="007F3CBD"/>
    <w:rsid w:val="007F3CCC"/>
    <w:rsid w:val="007F3DA9"/>
    <w:rsid w:val="007F3F68"/>
    <w:rsid w:val="007F4311"/>
    <w:rsid w:val="007F4A85"/>
    <w:rsid w:val="007F5FA0"/>
    <w:rsid w:val="007F6F32"/>
    <w:rsid w:val="007F7674"/>
    <w:rsid w:val="007F7F64"/>
    <w:rsid w:val="008004E9"/>
    <w:rsid w:val="0080098D"/>
    <w:rsid w:val="0080137E"/>
    <w:rsid w:val="00801E9C"/>
    <w:rsid w:val="008023DE"/>
    <w:rsid w:val="00803E72"/>
    <w:rsid w:val="008040C0"/>
    <w:rsid w:val="00805145"/>
    <w:rsid w:val="00805250"/>
    <w:rsid w:val="00805662"/>
    <w:rsid w:val="00805A27"/>
    <w:rsid w:val="00805BBC"/>
    <w:rsid w:val="00805DB6"/>
    <w:rsid w:val="00805E82"/>
    <w:rsid w:val="00805EE8"/>
    <w:rsid w:val="00805F0D"/>
    <w:rsid w:val="00806387"/>
    <w:rsid w:val="008073DE"/>
    <w:rsid w:val="00807754"/>
    <w:rsid w:val="008077B9"/>
    <w:rsid w:val="00807BC6"/>
    <w:rsid w:val="00807BCC"/>
    <w:rsid w:val="00810268"/>
    <w:rsid w:val="00810C1C"/>
    <w:rsid w:val="00810D6D"/>
    <w:rsid w:val="0081140C"/>
    <w:rsid w:val="00811F01"/>
    <w:rsid w:val="0081336C"/>
    <w:rsid w:val="00813B1A"/>
    <w:rsid w:val="0081400A"/>
    <w:rsid w:val="00814827"/>
    <w:rsid w:val="008149CF"/>
    <w:rsid w:val="00814AA7"/>
    <w:rsid w:val="00814C6C"/>
    <w:rsid w:val="00814E36"/>
    <w:rsid w:val="00815138"/>
    <w:rsid w:val="00815D78"/>
    <w:rsid w:val="00816900"/>
    <w:rsid w:val="00816C45"/>
    <w:rsid w:val="00816E72"/>
    <w:rsid w:val="008177BC"/>
    <w:rsid w:val="0081782A"/>
    <w:rsid w:val="00820889"/>
    <w:rsid w:val="00820956"/>
    <w:rsid w:val="00820E04"/>
    <w:rsid w:val="00820FD4"/>
    <w:rsid w:val="008221F1"/>
    <w:rsid w:val="00822352"/>
    <w:rsid w:val="008227AB"/>
    <w:rsid w:val="008228D2"/>
    <w:rsid w:val="00823691"/>
    <w:rsid w:val="0082393D"/>
    <w:rsid w:val="00824218"/>
    <w:rsid w:val="008244B8"/>
    <w:rsid w:val="0082469E"/>
    <w:rsid w:val="008249B4"/>
    <w:rsid w:val="00824DA4"/>
    <w:rsid w:val="00825919"/>
    <w:rsid w:val="00825F81"/>
    <w:rsid w:val="00825F9E"/>
    <w:rsid w:val="008269A4"/>
    <w:rsid w:val="008269E5"/>
    <w:rsid w:val="0082793D"/>
    <w:rsid w:val="00827B84"/>
    <w:rsid w:val="00830AD6"/>
    <w:rsid w:val="008310E0"/>
    <w:rsid w:val="008316FD"/>
    <w:rsid w:val="00831A29"/>
    <w:rsid w:val="0083201A"/>
    <w:rsid w:val="008329DC"/>
    <w:rsid w:val="00834CA8"/>
    <w:rsid w:val="00835465"/>
    <w:rsid w:val="00835CD8"/>
    <w:rsid w:val="00835FED"/>
    <w:rsid w:val="0083609A"/>
    <w:rsid w:val="00836335"/>
    <w:rsid w:val="008364E8"/>
    <w:rsid w:val="00837137"/>
    <w:rsid w:val="0083734F"/>
    <w:rsid w:val="00837D29"/>
    <w:rsid w:val="00837DB4"/>
    <w:rsid w:val="0084026F"/>
    <w:rsid w:val="00840FAC"/>
    <w:rsid w:val="00841A1B"/>
    <w:rsid w:val="00841B12"/>
    <w:rsid w:val="00841C86"/>
    <w:rsid w:val="0084207F"/>
    <w:rsid w:val="00842D68"/>
    <w:rsid w:val="008432C6"/>
    <w:rsid w:val="008435B1"/>
    <w:rsid w:val="00843F77"/>
    <w:rsid w:val="00844252"/>
    <w:rsid w:val="00844C4E"/>
    <w:rsid w:val="0084508A"/>
    <w:rsid w:val="00845C70"/>
    <w:rsid w:val="00845DBA"/>
    <w:rsid w:val="00845DFB"/>
    <w:rsid w:val="00845E79"/>
    <w:rsid w:val="0084643A"/>
    <w:rsid w:val="0084674F"/>
    <w:rsid w:val="00847845"/>
    <w:rsid w:val="008479C0"/>
    <w:rsid w:val="00847CD1"/>
    <w:rsid w:val="00847E47"/>
    <w:rsid w:val="00850892"/>
    <w:rsid w:val="00850A83"/>
    <w:rsid w:val="00851921"/>
    <w:rsid w:val="0085221B"/>
    <w:rsid w:val="00852543"/>
    <w:rsid w:val="0085276E"/>
    <w:rsid w:val="00852AC0"/>
    <w:rsid w:val="00852C57"/>
    <w:rsid w:val="008530F7"/>
    <w:rsid w:val="008535E9"/>
    <w:rsid w:val="0085388A"/>
    <w:rsid w:val="00855078"/>
    <w:rsid w:val="0085663D"/>
    <w:rsid w:val="00856910"/>
    <w:rsid w:val="00857889"/>
    <w:rsid w:val="00860A24"/>
    <w:rsid w:val="00862E72"/>
    <w:rsid w:val="00863B68"/>
    <w:rsid w:val="00863CEC"/>
    <w:rsid w:val="00863E74"/>
    <w:rsid w:val="00863FC8"/>
    <w:rsid w:val="008652A2"/>
    <w:rsid w:val="00865482"/>
    <w:rsid w:val="0086548E"/>
    <w:rsid w:val="00865D9C"/>
    <w:rsid w:val="00865EF6"/>
    <w:rsid w:val="00865F6D"/>
    <w:rsid w:val="00866A3E"/>
    <w:rsid w:val="00866B55"/>
    <w:rsid w:val="00866B56"/>
    <w:rsid w:val="00866F8C"/>
    <w:rsid w:val="0086710B"/>
    <w:rsid w:val="00867646"/>
    <w:rsid w:val="00870228"/>
    <w:rsid w:val="0087041E"/>
    <w:rsid w:val="008707F8"/>
    <w:rsid w:val="008713E8"/>
    <w:rsid w:val="00872A84"/>
    <w:rsid w:val="00872AAC"/>
    <w:rsid w:val="00873230"/>
    <w:rsid w:val="0087360E"/>
    <w:rsid w:val="008737B5"/>
    <w:rsid w:val="008738E4"/>
    <w:rsid w:val="00873B17"/>
    <w:rsid w:val="008743EF"/>
    <w:rsid w:val="00874DE1"/>
    <w:rsid w:val="008754A0"/>
    <w:rsid w:val="00875947"/>
    <w:rsid w:val="00875AAA"/>
    <w:rsid w:val="008760B4"/>
    <w:rsid w:val="0087681F"/>
    <w:rsid w:val="00876A2A"/>
    <w:rsid w:val="00877304"/>
    <w:rsid w:val="00877397"/>
    <w:rsid w:val="00877CFF"/>
    <w:rsid w:val="0088018A"/>
    <w:rsid w:val="0088119C"/>
    <w:rsid w:val="00881216"/>
    <w:rsid w:val="00881CCA"/>
    <w:rsid w:val="00882C70"/>
    <w:rsid w:val="00882C72"/>
    <w:rsid w:val="00883189"/>
    <w:rsid w:val="008833BA"/>
    <w:rsid w:val="00883707"/>
    <w:rsid w:val="008838F5"/>
    <w:rsid w:val="00884411"/>
    <w:rsid w:val="00884542"/>
    <w:rsid w:val="00884E93"/>
    <w:rsid w:val="00884E98"/>
    <w:rsid w:val="008853C6"/>
    <w:rsid w:val="008854C4"/>
    <w:rsid w:val="00885729"/>
    <w:rsid w:val="008858C6"/>
    <w:rsid w:val="00885BDA"/>
    <w:rsid w:val="00885E15"/>
    <w:rsid w:val="00886F8C"/>
    <w:rsid w:val="00887234"/>
    <w:rsid w:val="0088735C"/>
    <w:rsid w:val="008874C9"/>
    <w:rsid w:val="00887BAB"/>
    <w:rsid w:val="00890037"/>
    <w:rsid w:val="008902A6"/>
    <w:rsid w:val="00890591"/>
    <w:rsid w:val="00890F78"/>
    <w:rsid w:val="00890F9B"/>
    <w:rsid w:val="00891071"/>
    <w:rsid w:val="008919BB"/>
    <w:rsid w:val="00892163"/>
    <w:rsid w:val="008929BC"/>
    <w:rsid w:val="00892A1E"/>
    <w:rsid w:val="00892B22"/>
    <w:rsid w:val="0089389E"/>
    <w:rsid w:val="008939F9"/>
    <w:rsid w:val="008948D2"/>
    <w:rsid w:val="0089498E"/>
    <w:rsid w:val="00895A72"/>
    <w:rsid w:val="00895D4A"/>
    <w:rsid w:val="00896BFA"/>
    <w:rsid w:val="00896D7B"/>
    <w:rsid w:val="00896F9B"/>
    <w:rsid w:val="00897002"/>
    <w:rsid w:val="00897031"/>
    <w:rsid w:val="00897C44"/>
    <w:rsid w:val="008A04BC"/>
    <w:rsid w:val="008A0D33"/>
    <w:rsid w:val="008A1481"/>
    <w:rsid w:val="008A14C2"/>
    <w:rsid w:val="008A1592"/>
    <w:rsid w:val="008A1605"/>
    <w:rsid w:val="008A1692"/>
    <w:rsid w:val="008A1804"/>
    <w:rsid w:val="008A1820"/>
    <w:rsid w:val="008A1F31"/>
    <w:rsid w:val="008A2429"/>
    <w:rsid w:val="008A271D"/>
    <w:rsid w:val="008A29AB"/>
    <w:rsid w:val="008A31B2"/>
    <w:rsid w:val="008A362C"/>
    <w:rsid w:val="008A3CC3"/>
    <w:rsid w:val="008A4141"/>
    <w:rsid w:val="008A42A6"/>
    <w:rsid w:val="008A4838"/>
    <w:rsid w:val="008A4AE2"/>
    <w:rsid w:val="008A55E9"/>
    <w:rsid w:val="008A5DAF"/>
    <w:rsid w:val="008A644E"/>
    <w:rsid w:val="008A6464"/>
    <w:rsid w:val="008A6660"/>
    <w:rsid w:val="008A6890"/>
    <w:rsid w:val="008A6954"/>
    <w:rsid w:val="008A6C7D"/>
    <w:rsid w:val="008B07DE"/>
    <w:rsid w:val="008B0E87"/>
    <w:rsid w:val="008B16EB"/>
    <w:rsid w:val="008B1A91"/>
    <w:rsid w:val="008B23BA"/>
    <w:rsid w:val="008B283C"/>
    <w:rsid w:val="008B36AB"/>
    <w:rsid w:val="008B3702"/>
    <w:rsid w:val="008B4A84"/>
    <w:rsid w:val="008B5244"/>
    <w:rsid w:val="008B552E"/>
    <w:rsid w:val="008B563B"/>
    <w:rsid w:val="008B5A91"/>
    <w:rsid w:val="008B5C13"/>
    <w:rsid w:val="008B5F76"/>
    <w:rsid w:val="008B600A"/>
    <w:rsid w:val="008B66F5"/>
    <w:rsid w:val="008B6A46"/>
    <w:rsid w:val="008B6D1B"/>
    <w:rsid w:val="008B71A3"/>
    <w:rsid w:val="008B7258"/>
    <w:rsid w:val="008B778D"/>
    <w:rsid w:val="008B7D09"/>
    <w:rsid w:val="008C079E"/>
    <w:rsid w:val="008C0866"/>
    <w:rsid w:val="008C0C9A"/>
    <w:rsid w:val="008C178E"/>
    <w:rsid w:val="008C1883"/>
    <w:rsid w:val="008C1E77"/>
    <w:rsid w:val="008C2245"/>
    <w:rsid w:val="008C255D"/>
    <w:rsid w:val="008C2DBE"/>
    <w:rsid w:val="008C3A77"/>
    <w:rsid w:val="008C3EB3"/>
    <w:rsid w:val="008C3F8B"/>
    <w:rsid w:val="008C40DD"/>
    <w:rsid w:val="008C4C64"/>
    <w:rsid w:val="008C583B"/>
    <w:rsid w:val="008C5FB8"/>
    <w:rsid w:val="008C634B"/>
    <w:rsid w:val="008C6350"/>
    <w:rsid w:val="008C6AC4"/>
    <w:rsid w:val="008C6B6C"/>
    <w:rsid w:val="008C6BE5"/>
    <w:rsid w:val="008C6EC3"/>
    <w:rsid w:val="008C795C"/>
    <w:rsid w:val="008C79AD"/>
    <w:rsid w:val="008C7A49"/>
    <w:rsid w:val="008C7DBD"/>
    <w:rsid w:val="008C7F2C"/>
    <w:rsid w:val="008D000F"/>
    <w:rsid w:val="008D0523"/>
    <w:rsid w:val="008D0B7E"/>
    <w:rsid w:val="008D0BB7"/>
    <w:rsid w:val="008D1452"/>
    <w:rsid w:val="008D23D0"/>
    <w:rsid w:val="008D31B3"/>
    <w:rsid w:val="008D3E06"/>
    <w:rsid w:val="008D3F75"/>
    <w:rsid w:val="008D3FC1"/>
    <w:rsid w:val="008D434C"/>
    <w:rsid w:val="008D438B"/>
    <w:rsid w:val="008D46DF"/>
    <w:rsid w:val="008D4946"/>
    <w:rsid w:val="008D4EA6"/>
    <w:rsid w:val="008D5210"/>
    <w:rsid w:val="008D5AB8"/>
    <w:rsid w:val="008D5B30"/>
    <w:rsid w:val="008D619A"/>
    <w:rsid w:val="008D658B"/>
    <w:rsid w:val="008D6649"/>
    <w:rsid w:val="008D671A"/>
    <w:rsid w:val="008D6A8E"/>
    <w:rsid w:val="008D7061"/>
    <w:rsid w:val="008D79E0"/>
    <w:rsid w:val="008D7FD2"/>
    <w:rsid w:val="008E0210"/>
    <w:rsid w:val="008E02E7"/>
    <w:rsid w:val="008E116F"/>
    <w:rsid w:val="008E13D1"/>
    <w:rsid w:val="008E1B3C"/>
    <w:rsid w:val="008E26BA"/>
    <w:rsid w:val="008E2AB2"/>
    <w:rsid w:val="008E2B31"/>
    <w:rsid w:val="008E2EC9"/>
    <w:rsid w:val="008E2EE8"/>
    <w:rsid w:val="008E3083"/>
    <w:rsid w:val="008E363D"/>
    <w:rsid w:val="008E3B7A"/>
    <w:rsid w:val="008E4065"/>
    <w:rsid w:val="008E44C8"/>
    <w:rsid w:val="008E4B4F"/>
    <w:rsid w:val="008E644B"/>
    <w:rsid w:val="008E6DB5"/>
    <w:rsid w:val="008E733D"/>
    <w:rsid w:val="008E7438"/>
    <w:rsid w:val="008E7500"/>
    <w:rsid w:val="008E7613"/>
    <w:rsid w:val="008E76F4"/>
    <w:rsid w:val="008E7C42"/>
    <w:rsid w:val="008F0B2F"/>
    <w:rsid w:val="008F1079"/>
    <w:rsid w:val="008F1C36"/>
    <w:rsid w:val="008F1FF1"/>
    <w:rsid w:val="008F2BAF"/>
    <w:rsid w:val="008F2DBC"/>
    <w:rsid w:val="008F2F86"/>
    <w:rsid w:val="008F36AD"/>
    <w:rsid w:val="008F386D"/>
    <w:rsid w:val="008F531B"/>
    <w:rsid w:val="008F59B8"/>
    <w:rsid w:val="008F6026"/>
    <w:rsid w:val="008F6E7B"/>
    <w:rsid w:val="008F6EA6"/>
    <w:rsid w:val="008F778B"/>
    <w:rsid w:val="008F7A5B"/>
    <w:rsid w:val="008F7DFE"/>
    <w:rsid w:val="0090098E"/>
    <w:rsid w:val="00900A11"/>
    <w:rsid w:val="00900BC9"/>
    <w:rsid w:val="009015F3"/>
    <w:rsid w:val="009018E7"/>
    <w:rsid w:val="0090194A"/>
    <w:rsid w:val="00903A6D"/>
    <w:rsid w:val="00903CA9"/>
    <w:rsid w:val="00903CDD"/>
    <w:rsid w:val="00903D81"/>
    <w:rsid w:val="009047CC"/>
    <w:rsid w:val="009047F9"/>
    <w:rsid w:val="00904B9D"/>
    <w:rsid w:val="0090583E"/>
    <w:rsid w:val="00905E51"/>
    <w:rsid w:val="00905EE5"/>
    <w:rsid w:val="00905F2A"/>
    <w:rsid w:val="00906169"/>
    <w:rsid w:val="00906A50"/>
    <w:rsid w:val="00907314"/>
    <w:rsid w:val="009075A2"/>
    <w:rsid w:val="009076DD"/>
    <w:rsid w:val="0090781B"/>
    <w:rsid w:val="00907928"/>
    <w:rsid w:val="00907E8A"/>
    <w:rsid w:val="00910053"/>
    <w:rsid w:val="009100E9"/>
    <w:rsid w:val="009103C7"/>
    <w:rsid w:val="00910AE5"/>
    <w:rsid w:val="0091106B"/>
    <w:rsid w:val="0091127E"/>
    <w:rsid w:val="0091134D"/>
    <w:rsid w:val="009117FC"/>
    <w:rsid w:val="0091256F"/>
    <w:rsid w:val="00912838"/>
    <w:rsid w:val="00912947"/>
    <w:rsid w:val="00912E3C"/>
    <w:rsid w:val="009137C1"/>
    <w:rsid w:val="00913843"/>
    <w:rsid w:val="00913A13"/>
    <w:rsid w:val="00913C9A"/>
    <w:rsid w:val="00913FF4"/>
    <w:rsid w:val="0091476D"/>
    <w:rsid w:val="0091481E"/>
    <w:rsid w:val="00914A9B"/>
    <w:rsid w:val="00914DF8"/>
    <w:rsid w:val="00916644"/>
    <w:rsid w:val="009167F8"/>
    <w:rsid w:val="00920364"/>
    <w:rsid w:val="0092064E"/>
    <w:rsid w:val="009207E9"/>
    <w:rsid w:val="00920800"/>
    <w:rsid w:val="00920B3E"/>
    <w:rsid w:val="0092145F"/>
    <w:rsid w:val="00921BA0"/>
    <w:rsid w:val="00922A44"/>
    <w:rsid w:val="00922A9E"/>
    <w:rsid w:val="00922AA3"/>
    <w:rsid w:val="00922C56"/>
    <w:rsid w:val="0092322E"/>
    <w:rsid w:val="00923634"/>
    <w:rsid w:val="00923DDB"/>
    <w:rsid w:val="0092442E"/>
    <w:rsid w:val="00924B8C"/>
    <w:rsid w:val="00924D41"/>
    <w:rsid w:val="00924F13"/>
    <w:rsid w:val="009254F6"/>
    <w:rsid w:val="00925B86"/>
    <w:rsid w:val="00926184"/>
    <w:rsid w:val="00926740"/>
    <w:rsid w:val="009269AE"/>
    <w:rsid w:val="00926AE3"/>
    <w:rsid w:val="009270A7"/>
    <w:rsid w:val="009278B7"/>
    <w:rsid w:val="00927EC4"/>
    <w:rsid w:val="00927F78"/>
    <w:rsid w:val="009302AB"/>
    <w:rsid w:val="00930467"/>
    <w:rsid w:val="009304D7"/>
    <w:rsid w:val="00930530"/>
    <w:rsid w:val="00930860"/>
    <w:rsid w:val="009308EC"/>
    <w:rsid w:val="00930AAB"/>
    <w:rsid w:val="00930D82"/>
    <w:rsid w:val="00930F04"/>
    <w:rsid w:val="00931288"/>
    <w:rsid w:val="009315C3"/>
    <w:rsid w:val="00931D6D"/>
    <w:rsid w:val="0093267F"/>
    <w:rsid w:val="009329B8"/>
    <w:rsid w:val="0093336F"/>
    <w:rsid w:val="00933669"/>
    <w:rsid w:val="00933886"/>
    <w:rsid w:val="00933987"/>
    <w:rsid w:val="00933A74"/>
    <w:rsid w:val="00934206"/>
    <w:rsid w:val="00934550"/>
    <w:rsid w:val="009347B4"/>
    <w:rsid w:val="00934848"/>
    <w:rsid w:val="0093519D"/>
    <w:rsid w:val="00935BB5"/>
    <w:rsid w:val="00935D4A"/>
    <w:rsid w:val="00936280"/>
    <w:rsid w:val="00936735"/>
    <w:rsid w:val="00936833"/>
    <w:rsid w:val="009372C3"/>
    <w:rsid w:val="00937BAA"/>
    <w:rsid w:val="00940067"/>
    <w:rsid w:val="0094041B"/>
    <w:rsid w:val="00940716"/>
    <w:rsid w:val="009407B6"/>
    <w:rsid w:val="00940913"/>
    <w:rsid w:val="00940926"/>
    <w:rsid w:val="00940B23"/>
    <w:rsid w:val="009411F9"/>
    <w:rsid w:val="00941272"/>
    <w:rsid w:val="009420AB"/>
    <w:rsid w:val="00942167"/>
    <w:rsid w:val="00942200"/>
    <w:rsid w:val="009423CB"/>
    <w:rsid w:val="0094255B"/>
    <w:rsid w:val="00942677"/>
    <w:rsid w:val="00942688"/>
    <w:rsid w:val="00942726"/>
    <w:rsid w:val="00942A2A"/>
    <w:rsid w:val="00942DFA"/>
    <w:rsid w:val="00942F4F"/>
    <w:rsid w:val="00943AB8"/>
    <w:rsid w:val="00943C6D"/>
    <w:rsid w:val="00943D48"/>
    <w:rsid w:val="009440FB"/>
    <w:rsid w:val="00944229"/>
    <w:rsid w:val="009446FB"/>
    <w:rsid w:val="009447FE"/>
    <w:rsid w:val="00944C8F"/>
    <w:rsid w:val="009452F4"/>
    <w:rsid w:val="00945676"/>
    <w:rsid w:val="009457DB"/>
    <w:rsid w:val="0094594D"/>
    <w:rsid w:val="00945988"/>
    <w:rsid w:val="009460D0"/>
    <w:rsid w:val="009469F5"/>
    <w:rsid w:val="009475ED"/>
    <w:rsid w:val="0095038E"/>
    <w:rsid w:val="00950C78"/>
    <w:rsid w:val="00951BC7"/>
    <w:rsid w:val="009521CF"/>
    <w:rsid w:val="009523E5"/>
    <w:rsid w:val="00952902"/>
    <w:rsid w:val="00952ACF"/>
    <w:rsid w:val="00952D7C"/>
    <w:rsid w:val="00952FB5"/>
    <w:rsid w:val="00953258"/>
    <w:rsid w:val="009533DD"/>
    <w:rsid w:val="009539DA"/>
    <w:rsid w:val="00953D01"/>
    <w:rsid w:val="0095427E"/>
    <w:rsid w:val="009542EC"/>
    <w:rsid w:val="00954739"/>
    <w:rsid w:val="00954F4D"/>
    <w:rsid w:val="00955187"/>
    <w:rsid w:val="009551DE"/>
    <w:rsid w:val="009553FA"/>
    <w:rsid w:val="009556FC"/>
    <w:rsid w:val="00955DE4"/>
    <w:rsid w:val="00956BF2"/>
    <w:rsid w:val="00956F59"/>
    <w:rsid w:val="009577DE"/>
    <w:rsid w:val="00957C71"/>
    <w:rsid w:val="0096082F"/>
    <w:rsid w:val="00960FE9"/>
    <w:rsid w:val="00961132"/>
    <w:rsid w:val="00961E52"/>
    <w:rsid w:val="009623AE"/>
    <w:rsid w:val="00962771"/>
    <w:rsid w:val="009628C3"/>
    <w:rsid w:val="00962B21"/>
    <w:rsid w:val="00962B44"/>
    <w:rsid w:val="00962C4D"/>
    <w:rsid w:val="0096383D"/>
    <w:rsid w:val="00963CDF"/>
    <w:rsid w:val="00963D38"/>
    <w:rsid w:val="00963DE6"/>
    <w:rsid w:val="0096439C"/>
    <w:rsid w:val="00964404"/>
    <w:rsid w:val="009648F4"/>
    <w:rsid w:val="00965189"/>
    <w:rsid w:val="009652A3"/>
    <w:rsid w:val="009657C4"/>
    <w:rsid w:val="009657FF"/>
    <w:rsid w:val="00965A66"/>
    <w:rsid w:val="00966CB4"/>
    <w:rsid w:val="00966D4F"/>
    <w:rsid w:val="0096714F"/>
    <w:rsid w:val="00967447"/>
    <w:rsid w:val="00967885"/>
    <w:rsid w:val="00967B95"/>
    <w:rsid w:val="00970320"/>
    <w:rsid w:val="009710BC"/>
    <w:rsid w:val="0097169D"/>
    <w:rsid w:val="0097173B"/>
    <w:rsid w:val="00972392"/>
    <w:rsid w:val="00972C8B"/>
    <w:rsid w:val="009736DE"/>
    <w:rsid w:val="00973C32"/>
    <w:rsid w:val="00974854"/>
    <w:rsid w:val="00974975"/>
    <w:rsid w:val="00975218"/>
    <w:rsid w:val="00975410"/>
    <w:rsid w:val="0097576D"/>
    <w:rsid w:val="009758DD"/>
    <w:rsid w:val="00975D6F"/>
    <w:rsid w:val="00976254"/>
    <w:rsid w:val="00976DA7"/>
    <w:rsid w:val="00977234"/>
    <w:rsid w:val="009779C5"/>
    <w:rsid w:val="00980311"/>
    <w:rsid w:val="009809EF"/>
    <w:rsid w:val="00980A6D"/>
    <w:rsid w:val="00980D60"/>
    <w:rsid w:val="00980E6E"/>
    <w:rsid w:val="00980E95"/>
    <w:rsid w:val="00981333"/>
    <w:rsid w:val="00981EBA"/>
    <w:rsid w:val="0098246A"/>
    <w:rsid w:val="009824DF"/>
    <w:rsid w:val="009837AC"/>
    <w:rsid w:val="009840CD"/>
    <w:rsid w:val="009842C4"/>
    <w:rsid w:val="00984563"/>
    <w:rsid w:val="009848A9"/>
    <w:rsid w:val="0098498E"/>
    <w:rsid w:val="00985503"/>
    <w:rsid w:val="009859FD"/>
    <w:rsid w:val="00985A3A"/>
    <w:rsid w:val="00986361"/>
    <w:rsid w:val="00986405"/>
    <w:rsid w:val="009864C2"/>
    <w:rsid w:val="0098679D"/>
    <w:rsid w:val="009867E3"/>
    <w:rsid w:val="0098689F"/>
    <w:rsid w:val="00986D68"/>
    <w:rsid w:val="00987555"/>
    <w:rsid w:val="009878FE"/>
    <w:rsid w:val="009906CA"/>
    <w:rsid w:val="00990CE5"/>
    <w:rsid w:val="00990DBF"/>
    <w:rsid w:val="00990F4A"/>
    <w:rsid w:val="009910E4"/>
    <w:rsid w:val="00991713"/>
    <w:rsid w:val="00991F7E"/>
    <w:rsid w:val="00991FE0"/>
    <w:rsid w:val="00992855"/>
    <w:rsid w:val="00992981"/>
    <w:rsid w:val="00994415"/>
    <w:rsid w:val="0099442F"/>
    <w:rsid w:val="00995491"/>
    <w:rsid w:val="009955F4"/>
    <w:rsid w:val="009962E6"/>
    <w:rsid w:val="009965DF"/>
    <w:rsid w:val="00996B9F"/>
    <w:rsid w:val="00997F38"/>
    <w:rsid w:val="009A049B"/>
    <w:rsid w:val="009A08CB"/>
    <w:rsid w:val="009A0C33"/>
    <w:rsid w:val="009A1187"/>
    <w:rsid w:val="009A1C5F"/>
    <w:rsid w:val="009A1D1C"/>
    <w:rsid w:val="009A254B"/>
    <w:rsid w:val="009A2B40"/>
    <w:rsid w:val="009A432E"/>
    <w:rsid w:val="009A436E"/>
    <w:rsid w:val="009A4444"/>
    <w:rsid w:val="009A47C3"/>
    <w:rsid w:val="009A6114"/>
    <w:rsid w:val="009A6246"/>
    <w:rsid w:val="009A66D6"/>
    <w:rsid w:val="009A6867"/>
    <w:rsid w:val="009A698A"/>
    <w:rsid w:val="009A69AC"/>
    <w:rsid w:val="009A69DF"/>
    <w:rsid w:val="009A738E"/>
    <w:rsid w:val="009A7E79"/>
    <w:rsid w:val="009B0A12"/>
    <w:rsid w:val="009B0ADC"/>
    <w:rsid w:val="009B0BBC"/>
    <w:rsid w:val="009B0EF2"/>
    <w:rsid w:val="009B106D"/>
    <w:rsid w:val="009B17AC"/>
    <w:rsid w:val="009B1C8B"/>
    <w:rsid w:val="009B245C"/>
    <w:rsid w:val="009B24F6"/>
    <w:rsid w:val="009B360A"/>
    <w:rsid w:val="009B3F53"/>
    <w:rsid w:val="009B3F82"/>
    <w:rsid w:val="009B40AE"/>
    <w:rsid w:val="009B4F61"/>
    <w:rsid w:val="009B57F4"/>
    <w:rsid w:val="009B5BD8"/>
    <w:rsid w:val="009B6405"/>
    <w:rsid w:val="009B6897"/>
    <w:rsid w:val="009B749B"/>
    <w:rsid w:val="009B74C0"/>
    <w:rsid w:val="009B7529"/>
    <w:rsid w:val="009B7DEE"/>
    <w:rsid w:val="009C0062"/>
    <w:rsid w:val="009C008E"/>
    <w:rsid w:val="009C03CE"/>
    <w:rsid w:val="009C04BD"/>
    <w:rsid w:val="009C0612"/>
    <w:rsid w:val="009C09F5"/>
    <w:rsid w:val="009C1915"/>
    <w:rsid w:val="009C2410"/>
    <w:rsid w:val="009C27C4"/>
    <w:rsid w:val="009C2F98"/>
    <w:rsid w:val="009C33BB"/>
    <w:rsid w:val="009C3E96"/>
    <w:rsid w:val="009C4355"/>
    <w:rsid w:val="009C4B3A"/>
    <w:rsid w:val="009C511F"/>
    <w:rsid w:val="009C5D71"/>
    <w:rsid w:val="009C6A2D"/>
    <w:rsid w:val="009C703F"/>
    <w:rsid w:val="009C7317"/>
    <w:rsid w:val="009C7A60"/>
    <w:rsid w:val="009D0003"/>
    <w:rsid w:val="009D0133"/>
    <w:rsid w:val="009D03B4"/>
    <w:rsid w:val="009D0727"/>
    <w:rsid w:val="009D07E0"/>
    <w:rsid w:val="009D08F1"/>
    <w:rsid w:val="009D09C8"/>
    <w:rsid w:val="009D0BC6"/>
    <w:rsid w:val="009D0D30"/>
    <w:rsid w:val="009D0F68"/>
    <w:rsid w:val="009D10D8"/>
    <w:rsid w:val="009D156A"/>
    <w:rsid w:val="009D17A4"/>
    <w:rsid w:val="009D2260"/>
    <w:rsid w:val="009D2476"/>
    <w:rsid w:val="009D29DA"/>
    <w:rsid w:val="009D2B8C"/>
    <w:rsid w:val="009D2E8E"/>
    <w:rsid w:val="009D350D"/>
    <w:rsid w:val="009D44BA"/>
    <w:rsid w:val="009D5EC8"/>
    <w:rsid w:val="009D6CF1"/>
    <w:rsid w:val="009D6FD4"/>
    <w:rsid w:val="009D7561"/>
    <w:rsid w:val="009D7672"/>
    <w:rsid w:val="009D77FC"/>
    <w:rsid w:val="009D7EDB"/>
    <w:rsid w:val="009E0127"/>
    <w:rsid w:val="009E0630"/>
    <w:rsid w:val="009E0792"/>
    <w:rsid w:val="009E0846"/>
    <w:rsid w:val="009E189C"/>
    <w:rsid w:val="009E1C1D"/>
    <w:rsid w:val="009E279F"/>
    <w:rsid w:val="009E2EAA"/>
    <w:rsid w:val="009E3516"/>
    <w:rsid w:val="009E3AE8"/>
    <w:rsid w:val="009E3F5A"/>
    <w:rsid w:val="009E4571"/>
    <w:rsid w:val="009E47BB"/>
    <w:rsid w:val="009E4F3E"/>
    <w:rsid w:val="009E4F7E"/>
    <w:rsid w:val="009E5273"/>
    <w:rsid w:val="009E591E"/>
    <w:rsid w:val="009E643D"/>
    <w:rsid w:val="009E67B8"/>
    <w:rsid w:val="009E6D9A"/>
    <w:rsid w:val="009E6FE2"/>
    <w:rsid w:val="009E7146"/>
    <w:rsid w:val="009E743D"/>
    <w:rsid w:val="009E78BE"/>
    <w:rsid w:val="009E7DED"/>
    <w:rsid w:val="009E7F9E"/>
    <w:rsid w:val="009F015F"/>
    <w:rsid w:val="009F0700"/>
    <w:rsid w:val="009F09C0"/>
    <w:rsid w:val="009F0BD0"/>
    <w:rsid w:val="009F1017"/>
    <w:rsid w:val="009F11E6"/>
    <w:rsid w:val="009F12F6"/>
    <w:rsid w:val="009F17BF"/>
    <w:rsid w:val="009F2229"/>
    <w:rsid w:val="009F2252"/>
    <w:rsid w:val="009F22F3"/>
    <w:rsid w:val="009F31E7"/>
    <w:rsid w:val="009F3202"/>
    <w:rsid w:val="009F3A4D"/>
    <w:rsid w:val="009F4191"/>
    <w:rsid w:val="009F432F"/>
    <w:rsid w:val="009F4391"/>
    <w:rsid w:val="009F470A"/>
    <w:rsid w:val="009F4A29"/>
    <w:rsid w:val="009F4A8C"/>
    <w:rsid w:val="009F5248"/>
    <w:rsid w:val="009F58D0"/>
    <w:rsid w:val="009F59A3"/>
    <w:rsid w:val="009F5BA0"/>
    <w:rsid w:val="009F6071"/>
    <w:rsid w:val="009F608D"/>
    <w:rsid w:val="009F65EA"/>
    <w:rsid w:val="009F7358"/>
    <w:rsid w:val="009F7645"/>
    <w:rsid w:val="00A0030F"/>
    <w:rsid w:val="00A00339"/>
    <w:rsid w:val="00A004DF"/>
    <w:rsid w:val="00A007C7"/>
    <w:rsid w:val="00A00E4C"/>
    <w:rsid w:val="00A01419"/>
    <w:rsid w:val="00A018DF"/>
    <w:rsid w:val="00A01F4D"/>
    <w:rsid w:val="00A022F1"/>
    <w:rsid w:val="00A022F4"/>
    <w:rsid w:val="00A02D5B"/>
    <w:rsid w:val="00A02F47"/>
    <w:rsid w:val="00A02F53"/>
    <w:rsid w:val="00A03134"/>
    <w:rsid w:val="00A0342A"/>
    <w:rsid w:val="00A035C9"/>
    <w:rsid w:val="00A03C68"/>
    <w:rsid w:val="00A03C93"/>
    <w:rsid w:val="00A03D8B"/>
    <w:rsid w:val="00A0479C"/>
    <w:rsid w:val="00A0483A"/>
    <w:rsid w:val="00A04F33"/>
    <w:rsid w:val="00A054A8"/>
    <w:rsid w:val="00A05860"/>
    <w:rsid w:val="00A063BF"/>
    <w:rsid w:val="00A06A80"/>
    <w:rsid w:val="00A06D73"/>
    <w:rsid w:val="00A075DD"/>
    <w:rsid w:val="00A07954"/>
    <w:rsid w:val="00A07E83"/>
    <w:rsid w:val="00A1035A"/>
    <w:rsid w:val="00A10942"/>
    <w:rsid w:val="00A10B37"/>
    <w:rsid w:val="00A10F09"/>
    <w:rsid w:val="00A128E3"/>
    <w:rsid w:val="00A12BE1"/>
    <w:rsid w:val="00A12C0E"/>
    <w:rsid w:val="00A132FA"/>
    <w:rsid w:val="00A13330"/>
    <w:rsid w:val="00A139C0"/>
    <w:rsid w:val="00A1466E"/>
    <w:rsid w:val="00A148F0"/>
    <w:rsid w:val="00A16BD6"/>
    <w:rsid w:val="00A16D93"/>
    <w:rsid w:val="00A16ED6"/>
    <w:rsid w:val="00A17BAD"/>
    <w:rsid w:val="00A17CE7"/>
    <w:rsid w:val="00A17F6E"/>
    <w:rsid w:val="00A2069D"/>
    <w:rsid w:val="00A20DE0"/>
    <w:rsid w:val="00A20DE1"/>
    <w:rsid w:val="00A20FE5"/>
    <w:rsid w:val="00A21182"/>
    <w:rsid w:val="00A21545"/>
    <w:rsid w:val="00A21A4B"/>
    <w:rsid w:val="00A2241B"/>
    <w:rsid w:val="00A2349D"/>
    <w:rsid w:val="00A243C5"/>
    <w:rsid w:val="00A247F2"/>
    <w:rsid w:val="00A254A4"/>
    <w:rsid w:val="00A256B1"/>
    <w:rsid w:val="00A257A7"/>
    <w:rsid w:val="00A25CE4"/>
    <w:rsid w:val="00A25D38"/>
    <w:rsid w:val="00A26778"/>
    <w:rsid w:val="00A26EE8"/>
    <w:rsid w:val="00A2798B"/>
    <w:rsid w:val="00A27B11"/>
    <w:rsid w:val="00A27CF5"/>
    <w:rsid w:val="00A300EE"/>
    <w:rsid w:val="00A31703"/>
    <w:rsid w:val="00A318A7"/>
    <w:rsid w:val="00A318D3"/>
    <w:rsid w:val="00A3245B"/>
    <w:rsid w:val="00A3277B"/>
    <w:rsid w:val="00A32AA9"/>
    <w:rsid w:val="00A32B90"/>
    <w:rsid w:val="00A32E3E"/>
    <w:rsid w:val="00A33203"/>
    <w:rsid w:val="00A33AE4"/>
    <w:rsid w:val="00A33B4A"/>
    <w:rsid w:val="00A33C45"/>
    <w:rsid w:val="00A341D0"/>
    <w:rsid w:val="00A341F7"/>
    <w:rsid w:val="00A34308"/>
    <w:rsid w:val="00A34939"/>
    <w:rsid w:val="00A34BB5"/>
    <w:rsid w:val="00A35F17"/>
    <w:rsid w:val="00A3661E"/>
    <w:rsid w:val="00A36EEC"/>
    <w:rsid w:val="00A370E9"/>
    <w:rsid w:val="00A376DF"/>
    <w:rsid w:val="00A377D4"/>
    <w:rsid w:val="00A4019E"/>
    <w:rsid w:val="00A40336"/>
    <w:rsid w:val="00A4061D"/>
    <w:rsid w:val="00A41620"/>
    <w:rsid w:val="00A41B25"/>
    <w:rsid w:val="00A41B8A"/>
    <w:rsid w:val="00A41B8B"/>
    <w:rsid w:val="00A42371"/>
    <w:rsid w:val="00A4240A"/>
    <w:rsid w:val="00A42527"/>
    <w:rsid w:val="00A426DC"/>
    <w:rsid w:val="00A42D3C"/>
    <w:rsid w:val="00A42FBB"/>
    <w:rsid w:val="00A432DE"/>
    <w:rsid w:val="00A4362C"/>
    <w:rsid w:val="00A43657"/>
    <w:rsid w:val="00A43D12"/>
    <w:rsid w:val="00A4425A"/>
    <w:rsid w:val="00A44353"/>
    <w:rsid w:val="00A4436B"/>
    <w:rsid w:val="00A4475F"/>
    <w:rsid w:val="00A458BF"/>
    <w:rsid w:val="00A4596C"/>
    <w:rsid w:val="00A45BAA"/>
    <w:rsid w:val="00A45FF0"/>
    <w:rsid w:val="00A46574"/>
    <w:rsid w:val="00A465ED"/>
    <w:rsid w:val="00A46F6A"/>
    <w:rsid w:val="00A47827"/>
    <w:rsid w:val="00A47AED"/>
    <w:rsid w:val="00A47C66"/>
    <w:rsid w:val="00A47E44"/>
    <w:rsid w:val="00A50415"/>
    <w:rsid w:val="00A506A5"/>
    <w:rsid w:val="00A509E4"/>
    <w:rsid w:val="00A50CC9"/>
    <w:rsid w:val="00A511FE"/>
    <w:rsid w:val="00A514D7"/>
    <w:rsid w:val="00A51BD2"/>
    <w:rsid w:val="00A51DE0"/>
    <w:rsid w:val="00A52048"/>
    <w:rsid w:val="00A52D4D"/>
    <w:rsid w:val="00A53271"/>
    <w:rsid w:val="00A5338F"/>
    <w:rsid w:val="00A53466"/>
    <w:rsid w:val="00A539F1"/>
    <w:rsid w:val="00A53CD7"/>
    <w:rsid w:val="00A5430A"/>
    <w:rsid w:val="00A54377"/>
    <w:rsid w:val="00A54C9F"/>
    <w:rsid w:val="00A54FF1"/>
    <w:rsid w:val="00A554C5"/>
    <w:rsid w:val="00A5589E"/>
    <w:rsid w:val="00A55A47"/>
    <w:rsid w:val="00A55EBA"/>
    <w:rsid w:val="00A57378"/>
    <w:rsid w:val="00A57380"/>
    <w:rsid w:val="00A5741F"/>
    <w:rsid w:val="00A5774A"/>
    <w:rsid w:val="00A57DAE"/>
    <w:rsid w:val="00A57DE3"/>
    <w:rsid w:val="00A6018E"/>
    <w:rsid w:val="00A60920"/>
    <w:rsid w:val="00A60A1B"/>
    <w:rsid w:val="00A60A40"/>
    <w:rsid w:val="00A60C2A"/>
    <w:rsid w:val="00A60D0A"/>
    <w:rsid w:val="00A612A3"/>
    <w:rsid w:val="00A61A1E"/>
    <w:rsid w:val="00A61D40"/>
    <w:rsid w:val="00A61EE0"/>
    <w:rsid w:val="00A621B9"/>
    <w:rsid w:val="00A62DD6"/>
    <w:rsid w:val="00A62E4F"/>
    <w:rsid w:val="00A63670"/>
    <w:rsid w:val="00A64EAC"/>
    <w:rsid w:val="00A64ECE"/>
    <w:rsid w:val="00A6501A"/>
    <w:rsid w:val="00A651B4"/>
    <w:rsid w:val="00A653BD"/>
    <w:rsid w:val="00A655F3"/>
    <w:rsid w:val="00A65880"/>
    <w:rsid w:val="00A65A02"/>
    <w:rsid w:val="00A65A1A"/>
    <w:rsid w:val="00A65BA7"/>
    <w:rsid w:val="00A65D9C"/>
    <w:rsid w:val="00A6631E"/>
    <w:rsid w:val="00A6636D"/>
    <w:rsid w:val="00A66B02"/>
    <w:rsid w:val="00A66BDB"/>
    <w:rsid w:val="00A66D64"/>
    <w:rsid w:val="00A674E6"/>
    <w:rsid w:val="00A67E9C"/>
    <w:rsid w:val="00A702AC"/>
    <w:rsid w:val="00A702E3"/>
    <w:rsid w:val="00A703C9"/>
    <w:rsid w:val="00A704C7"/>
    <w:rsid w:val="00A70672"/>
    <w:rsid w:val="00A70736"/>
    <w:rsid w:val="00A709BB"/>
    <w:rsid w:val="00A71161"/>
    <w:rsid w:val="00A71678"/>
    <w:rsid w:val="00A718DE"/>
    <w:rsid w:val="00A71FA4"/>
    <w:rsid w:val="00A72213"/>
    <w:rsid w:val="00A73593"/>
    <w:rsid w:val="00A7368F"/>
    <w:rsid w:val="00A74309"/>
    <w:rsid w:val="00A743B9"/>
    <w:rsid w:val="00A74760"/>
    <w:rsid w:val="00A74779"/>
    <w:rsid w:val="00A749A3"/>
    <w:rsid w:val="00A749F1"/>
    <w:rsid w:val="00A74ACC"/>
    <w:rsid w:val="00A753E9"/>
    <w:rsid w:val="00A755E5"/>
    <w:rsid w:val="00A75BEB"/>
    <w:rsid w:val="00A76065"/>
    <w:rsid w:val="00A76073"/>
    <w:rsid w:val="00A77238"/>
    <w:rsid w:val="00A773F0"/>
    <w:rsid w:val="00A774D5"/>
    <w:rsid w:val="00A77A4D"/>
    <w:rsid w:val="00A77B7F"/>
    <w:rsid w:val="00A77FF7"/>
    <w:rsid w:val="00A804F7"/>
    <w:rsid w:val="00A809D9"/>
    <w:rsid w:val="00A822F8"/>
    <w:rsid w:val="00A82A8A"/>
    <w:rsid w:val="00A83203"/>
    <w:rsid w:val="00A8326F"/>
    <w:rsid w:val="00A84291"/>
    <w:rsid w:val="00A84F49"/>
    <w:rsid w:val="00A856FB"/>
    <w:rsid w:val="00A85D5C"/>
    <w:rsid w:val="00A85E73"/>
    <w:rsid w:val="00A85EBD"/>
    <w:rsid w:val="00A864FB"/>
    <w:rsid w:val="00A8673B"/>
    <w:rsid w:val="00A86AB3"/>
    <w:rsid w:val="00A86DB3"/>
    <w:rsid w:val="00A87346"/>
    <w:rsid w:val="00A8744A"/>
    <w:rsid w:val="00A878ED"/>
    <w:rsid w:val="00A87D57"/>
    <w:rsid w:val="00A87DF9"/>
    <w:rsid w:val="00A9072A"/>
    <w:rsid w:val="00A911EA"/>
    <w:rsid w:val="00A9133A"/>
    <w:rsid w:val="00A91CF8"/>
    <w:rsid w:val="00A92BA8"/>
    <w:rsid w:val="00A92D42"/>
    <w:rsid w:val="00A9321E"/>
    <w:rsid w:val="00A93DF9"/>
    <w:rsid w:val="00A94129"/>
    <w:rsid w:val="00A94234"/>
    <w:rsid w:val="00A94F15"/>
    <w:rsid w:val="00A9538C"/>
    <w:rsid w:val="00A9602B"/>
    <w:rsid w:val="00A96115"/>
    <w:rsid w:val="00A96194"/>
    <w:rsid w:val="00A9623C"/>
    <w:rsid w:val="00A963BB"/>
    <w:rsid w:val="00A9662D"/>
    <w:rsid w:val="00A96677"/>
    <w:rsid w:val="00A96BC4"/>
    <w:rsid w:val="00A96C2D"/>
    <w:rsid w:val="00A9713C"/>
    <w:rsid w:val="00A97177"/>
    <w:rsid w:val="00AA0B8E"/>
    <w:rsid w:val="00AA0DB9"/>
    <w:rsid w:val="00AA15DF"/>
    <w:rsid w:val="00AA1A58"/>
    <w:rsid w:val="00AA1AF6"/>
    <w:rsid w:val="00AA1F0A"/>
    <w:rsid w:val="00AA20E6"/>
    <w:rsid w:val="00AA26C4"/>
    <w:rsid w:val="00AA2A5B"/>
    <w:rsid w:val="00AA2E9C"/>
    <w:rsid w:val="00AA3B42"/>
    <w:rsid w:val="00AA3C4F"/>
    <w:rsid w:val="00AA4725"/>
    <w:rsid w:val="00AA539D"/>
    <w:rsid w:val="00AA57FD"/>
    <w:rsid w:val="00AA5D3E"/>
    <w:rsid w:val="00AA6C18"/>
    <w:rsid w:val="00AA6EF2"/>
    <w:rsid w:val="00AA77A3"/>
    <w:rsid w:val="00AA7B6D"/>
    <w:rsid w:val="00AB06C0"/>
    <w:rsid w:val="00AB0D9D"/>
    <w:rsid w:val="00AB0FC1"/>
    <w:rsid w:val="00AB1854"/>
    <w:rsid w:val="00AB1A98"/>
    <w:rsid w:val="00AB1B14"/>
    <w:rsid w:val="00AB1C05"/>
    <w:rsid w:val="00AB1CD8"/>
    <w:rsid w:val="00AB1F0E"/>
    <w:rsid w:val="00AB2179"/>
    <w:rsid w:val="00AB2649"/>
    <w:rsid w:val="00AB2EDF"/>
    <w:rsid w:val="00AB3116"/>
    <w:rsid w:val="00AB31BD"/>
    <w:rsid w:val="00AB3219"/>
    <w:rsid w:val="00AB34F5"/>
    <w:rsid w:val="00AB3679"/>
    <w:rsid w:val="00AB37D1"/>
    <w:rsid w:val="00AB3854"/>
    <w:rsid w:val="00AB3E63"/>
    <w:rsid w:val="00AB52DE"/>
    <w:rsid w:val="00AB54F8"/>
    <w:rsid w:val="00AB567E"/>
    <w:rsid w:val="00AB582C"/>
    <w:rsid w:val="00AB58A1"/>
    <w:rsid w:val="00AB5CEA"/>
    <w:rsid w:val="00AB5E9F"/>
    <w:rsid w:val="00AB61B9"/>
    <w:rsid w:val="00AB634F"/>
    <w:rsid w:val="00AB63C3"/>
    <w:rsid w:val="00AB7391"/>
    <w:rsid w:val="00AB7AD0"/>
    <w:rsid w:val="00AC032F"/>
    <w:rsid w:val="00AC16E7"/>
    <w:rsid w:val="00AC1C55"/>
    <w:rsid w:val="00AC1EF9"/>
    <w:rsid w:val="00AC278F"/>
    <w:rsid w:val="00AC2B37"/>
    <w:rsid w:val="00AC2E67"/>
    <w:rsid w:val="00AC30B8"/>
    <w:rsid w:val="00AC37CE"/>
    <w:rsid w:val="00AC3C25"/>
    <w:rsid w:val="00AC42AF"/>
    <w:rsid w:val="00AC4435"/>
    <w:rsid w:val="00AC523E"/>
    <w:rsid w:val="00AC5CBC"/>
    <w:rsid w:val="00AC6B14"/>
    <w:rsid w:val="00AC6E44"/>
    <w:rsid w:val="00AC7169"/>
    <w:rsid w:val="00AC75C5"/>
    <w:rsid w:val="00AC7715"/>
    <w:rsid w:val="00AC78C9"/>
    <w:rsid w:val="00AC7E54"/>
    <w:rsid w:val="00AD0583"/>
    <w:rsid w:val="00AD09C6"/>
    <w:rsid w:val="00AD1359"/>
    <w:rsid w:val="00AD149A"/>
    <w:rsid w:val="00AD15D0"/>
    <w:rsid w:val="00AD2244"/>
    <w:rsid w:val="00AD2246"/>
    <w:rsid w:val="00AD255C"/>
    <w:rsid w:val="00AD268D"/>
    <w:rsid w:val="00AD3042"/>
    <w:rsid w:val="00AD3242"/>
    <w:rsid w:val="00AD3577"/>
    <w:rsid w:val="00AD3C41"/>
    <w:rsid w:val="00AD3EDB"/>
    <w:rsid w:val="00AD40CB"/>
    <w:rsid w:val="00AD461E"/>
    <w:rsid w:val="00AD46D0"/>
    <w:rsid w:val="00AD48D2"/>
    <w:rsid w:val="00AD4C05"/>
    <w:rsid w:val="00AD4D87"/>
    <w:rsid w:val="00AD51B6"/>
    <w:rsid w:val="00AD52EB"/>
    <w:rsid w:val="00AD557E"/>
    <w:rsid w:val="00AD5854"/>
    <w:rsid w:val="00AD588C"/>
    <w:rsid w:val="00AD6048"/>
    <w:rsid w:val="00AD6452"/>
    <w:rsid w:val="00AD64E2"/>
    <w:rsid w:val="00AD731D"/>
    <w:rsid w:val="00AD7992"/>
    <w:rsid w:val="00AD7C39"/>
    <w:rsid w:val="00AD7F7A"/>
    <w:rsid w:val="00AE0023"/>
    <w:rsid w:val="00AE00DA"/>
    <w:rsid w:val="00AE0308"/>
    <w:rsid w:val="00AE04F6"/>
    <w:rsid w:val="00AE0627"/>
    <w:rsid w:val="00AE0AFF"/>
    <w:rsid w:val="00AE0C68"/>
    <w:rsid w:val="00AE0D1F"/>
    <w:rsid w:val="00AE0D41"/>
    <w:rsid w:val="00AE0F74"/>
    <w:rsid w:val="00AE1140"/>
    <w:rsid w:val="00AE12E9"/>
    <w:rsid w:val="00AE19B3"/>
    <w:rsid w:val="00AE1CDC"/>
    <w:rsid w:val="00AE25E2"/>
    <w:rsid w:val="00AE27DF"/>
    <w:rsid w:val="00AE2856"/>
    <w:rsid w:val="00AE29E2"/>
    <w:rsid w:val="00AE2B80"/>
    <w:rsid w:val="00AE2C43"/>
    <w:rsid w:val="00AE3419"/>
    <w:rsid w:val="00AE366F"/>
    <w:rsid w:val="00AE3CFB"/>
    <w:rsid w:val="00AE3E7A"/>
    <w:rsid w:val="00AE406A"/>
    <w:rsid w:val="00AE49EF"/>
    <w:rsid w:val="00AE5179"/>
    <w:rsid w:val="00AE6613"/>
    <w:rsid w:val="00AE670C"/>
    <w:rsid w:val="00AE6A81"/>
    <w:rsid w:val="00AE6BC7"/>
    <w:rsid w:val="00AE765B"/>
    <w:rsid w:val="00AE76EC"/>
    <w:rsid w:val="00AE77A7"/>
    <w:rsid w:val="00AE79F9"/>
    <w:rsid w:val="00AE7CA1"/>
    <w:rsid w:val="00AE7E9D"/>
    <w:rsid w:val="00AF0157"/>
    <w:rsid w:val="00AF0854"/>
    <w:rsid w:val="00AF0CC1"/>
    <w:rsid w:val="00AF0DFB"/>
    <w:rsid w:val="00AF18E6"/>
    <w:rsid w:val="00AF2387"/>
    <w:rsid w:val="00AF28EB"/>
    <w:rsid w:val="00AF2965"/>
    <w:rsid w:val="00AF34C6"/>
    <w:rsid w:val="00AF3637"/>
    <w:rsid w:val="00AF378C"/>
    <w:rsid w:val="00AF46D7"/>
    <w:rsid w:val="00AF47F6"/>
    <w:rsid w:val="00AF4B78"/>
    <w:rsid w:val="00AF5347"/>
    <w:rsid w:val="00AF53B7"/>
    <w:rsid w:val="00AF5553"/>
    <w:rsid w:val="00AF5751"/>
    <w:rsid w:val="00AF5A2A"/>
    <w:rsid w:val="00AF5AA4"/>
    <w:rsid w:val="00AF650F"/>
    <w:rsid w:val="00AF67A6"/>
    <w:rsid w:val="00AF6E1C"/>
    <w:rsid w:val="00AF7C7D"/>
    <w:rsid w:val="00B000F6"/>
    <w:rsid w:val="00B00B6C"/>
    <w:rsid w:val="00B020C0"/>
    <w:rsid w:val="00B022BD"/>
    <w:rsid w:val="00B02370"/>
    <w:rsid w:val="00B0285F"/>
    <w:rsid w:val="00B02D59"/>
    <w:rsid w:val="00B03185"/>
    <w:rsid w:val="00B03A29"/>
    <w:rsid w:val="00B03CF0"/>
    <w:rsid w:val="00B04065"/>
    <w:rsid w:val="00B04AF5"/>
    <w:rsid w:val="00B05059"/>
    <w:rsid w:val="00B0609D"/>
    <w:rsid w:val="00B060E9"/>
    <w:rsid w:val="00B071D6"/>
    <w:rsid w:val="00B07586"/>
    <w:rsid w:val="00B07637"/>
    <w:rsid w:val="00B07644"/>
    <w:rsid w:val="00B07CCA"/>
    <w:rsid w:val="00B07E52"/>
    <w:rsid w:val="00B1058E"/>
    <w:rsid w:val="00B10689"/>
    <w:rsid w:val="00B115B5"/>
    <w:rsid w:val="00B11B1D"/>
    <w:rsid w:val="00B11BE3"/>
    <w:rsid w:val="00B120CC"/>
    <w:rsid w:val="00B12670"/>
    <w:rsid w:val="00B13033"/>
    <w:rsid w:val="00B13563"/>
    <w:rsid w:val="00B135E3"/>
    <w:rsid w:val="00B13771"/>
    <w:rsid w:val="00B13B19"/>
    <w:rsid w:val="00B14604"/>
    <w:rsid w:val="00B1462F"/>
    <w:rsid w:val="00B14B24"/>
    <w:rsid w:val="00B14DEC"/>
    <w:rsid w:val="00B14E22"/>
    <w:rsid w:val="00B15B7D"/>
    <w:rsid w:val="00B16124"/>
    <w:rsid w:val="00B16AC6"/>
    <w:rsid w:val="00B1728F"/>
    <w:rsid w:val="00B172F9"/>
    <w:rsid w:val="00B17619"/>
    <w:rsid w:val="00B17CD0"/>
    <w:rsid w:val="00B20615"/>
    <w:rsid w:val="00B206AA"/>
    <w:rsid w:val="00B207B8"/>
    <w:rsid w:val="00B20882"/>
    <w:rsid w:val="00B20A03"/>
    <w:rsid w:val="00B216BB"/>
    <w:rsid w:val="00B21716"/>
    <w:rsid w:val="00B21836"/>
    <w:rsid w:val="00B21A28"/>
    <w:rsid w:val="00B22165"/>
    <w:rsid w:val="00B230C3"/>
    <w:rsid w:val="00B235F1"/>
    <w:rsid w:val="00B23EAA"/>
    <w:rsid w:val="00B248B8"/>
    <w:rsid w:val="00B24D88"/>
    <w:rsid w:val="00B24DB6"/>
    <w:rsid w:val="00B24FA8"/>
    <w:rsid w:val="00B25EDF"/>
    <w:rsid w:val="00B26140"/>
    <w:rsid w:val="00B261E0"/>
    <w:rsid w:val="00B26314"/>
    <w:rsid w:val="00B26420"/>
    <w:rsid w:val="00B264B9"/>
    <w:rsid w:val="00B2678C"/>
    <w:rsid w:val="00B26D17"/>
    <w:rsid w:val="00B27B2A"/>
    <w:rsid w:val="00B27FF9"/>
    <w:rsid w:val="00B303F2"/>
    <w:rsid w:val="00B30E51"/>
    <w:rsid w:val="00B30F13"/>
    <w:rsid w:val="00B30FF6"/>
    <w:rsid w:val="00B310F7"/>
    <w:rsid w:val="00B31279"/>
    <w:rsid w:val="00B32136"/>
    <w:rsid w:val="00B321D5"/>
    <w:rsid w:val="00B331A4"/>
    <w:rsid w:val="00B341D1"/>
    <w:rsid w:val="00B34564"/>
    <w:rsid w:val="00B34958"/>
    <w:rsid w:val="00B34A4E"/>
    <w:rsid w:val="00B34AF7"/>
    <w:rsid w:val="00B34DDA"/>
    <w:rsid w:val="00B3504A"/>
    <w:rsid w:val="00B35226"/>
    <w:rsid w:val="00B3533D"/>
    <w:rsid w:val="00B35BAC"/>
    <w:rsid w:val="00B35D0E"/>
    <w:rsid w:val="00B35E6D"/>
    <w:rsid w:val="00B36D44"/>
    <w:rsid w:val="00B37924"/>
    <w:rsid w:val="00B379ED"/>
    <w:rsid w:val="00B37B6B"/>
    <w:rsid w:val="00B40BE9"/>
    <w:rsid w:val="00B40C44"/>
    <w:rsid w:val="00B40C81"/>
    <w:rsid w:val="00B40F1B"/>
    <w:rsid w:val="00B40FCE"/>
    <w:rsid w:val="00B4123D"/>
    <w:rsid w:val="00B4187A"/>
    <w:rsid w:val="00B41A10"/>
    <w:rsid w:val="00B41A1D"/>
    <w:rsid w:val="00B42990"/>
    <w:rsid w:val="00B42A9A"/>
    <w:rsid w:val="00B42DB0"/>
    <w:rsid w:val="00B42F87"/>
    <w:rsid w:val="00B432B8"/>
    <w:rsid w:val="00B432FA"/>
    <w:rsid w:val="00B43B53"/>
    <w:rsid w:val="00B440E3"/>
    <w:rsid w:val="00B44366"/>
    <w:rsid w:val="00B44A79"/>
    <w:rsid w:val="00B455E3"/>
    <w:rsid w:val="00B458D4"/>
    <w:rsid w:val="00B45F31"/>
    <w:rsid w:val="00B45FBE"/>
    <w:rsid w:val="00B468F1"/>
    <w:rsid w:val="00B46F99"/>
    <w:rsid w:val="00B4759B"/>
    <w:rsid w:val="00B47771"/>
    <w:rsid w:val="00B5131A"/>
    <w:rsid w:val="00B5177F"/>
    <w:rsid w:val="00B51825"/>
    <w:rsid w:val="00B51B38"/>
    <w:rsid w:val="00B53371"/>
    <w:rsid w:val="00B5346E"/>
    <w:rsid w:val="00B53E1A"/>
    <w:rsid w:val="00B54673"/>
    <w:rsid w:val="00B54F2B"/>
    <w:rsid w:val="00B554F0"/>
    <w:rsid w:val="00B55A92"/>
    <w:rsid w:val="00B560B3"/>
    <w:rsid w:val="00B56237"/>
    <w:rsid w:val="00B56276"/>
    <w:rsid w:val="00B569DB"/>
    <w:rsid w:val="00B56BF0"/>
    <w:rsid w:val="00B57464"/>
    <w:rsid w:val="00B5781D"/>
    <w:rsid w:val="00B57A10"/>
    <w:rsid w:val="00B57CE6"/>
    <w:rsid w:val="00B57FD9"/>
    <w:rsid w:val="00B6037B"/>
    <w:rsid w:val="00B603C3"/>
    <w:rsid w:val="00B60DCB"/>
    <w:rsid w:val="00B610CC"/>
    <w:rsid w:val="00B61205"/>
    <w:rsid w:val="00B6125A"/>
    <w:rsid w:val="00B61FA3"/>
    <w:rsid w:val="00B635BD"/>
    <w:rsid w:val="00B638BB"/>
    <w:rsid w:val="00B63E45"/>
    <w:rsid w:val="00B645FE"/>
    <w:rsid w:val="00B64946"/>
    <w:rsid w:val="00B64950"/>
    <w:rsid w:val="00B649C0"/>
    <w:rsid w:val="00B64ED4"/>
    <w:rsid w:val="00B65577"/>
    <w:rsid w:val="00B655DB"/>
    <w:rsid w:val="00B6584C"/>
    <w:rsid w:val="00B659D2"/>
    <w:rsid w:val="00B66265"/>
    <w:rsid w:val="00B6659D"/>
    <w:rsid w:val="00B66EF1"/>
    <w:rsid w:val="00B67207"/>
    <w:rsid w:val="00B67395"/>
    <w:rsid w:val="00B675AB"/>
    <w:rsid w:val="00B67DD4"/>
    <w:rsid w:val="00B70A25"/>
    <w:rsid w:val="00B70D20"/>
    <w:rsid w:val="00B71BD1"/>
    <w:rsid w:val="00B7221C"/>
    <w:rsid w:val="00B72341"/>
    <w:rsid w:val="00B72342"/>
    <w:rsid w:val="00B72839"/>
    <w:rsid w:val="00B72D31"/>
    <w:rsid w:val="00B730C7"/>
    <w:rsid w:val="00B7398D"/>
    <w:rsid w:val="00B739DA"/>
    <w:rsid w:val="00B73CBC"/>
    <w:rsid w:val="00B73FC9"/>
    <w:rsid w:val="00B7401D"/>
    <w:rsid w:val="00B7442C"/>
    <w:rsid w:val="00B74476"/>
    <w:rsid w:val="00B744D1"/>
    <w:rsid w:val="00B74BFC"/>
    <w:rsid w:val="00B74C31"/>
    <w:rsid w:val="00B74EBB"/>
    <w:rsid w:val="00B75111"/>
    <w:rsid w:val="00B75A37"/>
    <w:rsid w:val="00B75B0F"/>
    <w:rsid w:val="00B75BA6"/>
    <w:rsid w:val="00B75BED"/>
    <w:rsid w:val="00B75CB2"/>
    <w:rsid w:val="00B75E0E"/>
    <w:rsid w:val="00B76100"/>
    <w:rsid w:val="00B76DB0"/>
    <w:rsid w:val="00B76E54"/>
    <w:rsid w:val="00B7795E"/>
    <w:rsid w:val="00B77B36"/>
    <w:rsid w:val="00B80183"/>
    <w:rsid w:val="00B80341"/>
    <w:rsid w:val="00B8039A"/>
    <w:rsid w:val="00B80DB5"/>
    <w:rsid w:val="00B81751"/>
    <w:rsid w:val="00B8176A"/>
    <w:rsid w:val="00B81A87"/>
    <w:rsid w:val="00B823C7"/>
    <w:rsid w:val="00B8242E"/>
    <w:rsid w:val="00B827C7"/>
    <w:rsid w:val="00B82DA2"/>
    <w:rsid w:val="00B832DF"/>
    <w:rsid w:val="00B83446"/>
    <w:rsid w:val="00B83D8B"/>
    <w:rsid w:val="00B83E3F"/>
    <w:rsid w:val="00B84357"/>
    <w:rsid w:val="00B84971"/>
    <w:rsid w:val="00B84B85"/>
    <w:rsid w:val="00B8512C"/>
    <w:rsid w:val="00B855F5"/>
    <w:rsid w:val="00B85B47"/>
    <w:rsid w:val="00B85F87"/>
    <w:rsid w:val="00B86E67"/>
    <w:rsid w:val="00B87F3D"/>
    <w:rsid w:val="00B87FAB"/>
    <w:rsid w:val="00B90669"/>
    <w:rsid w:val="00B90793"/>
    <w:rsid w:val="00B9188B"/>
    <w:rsid w:val="00B91B84"/>
    <w:rsid w:val="00B91D73"/>
    <w:rsid w:val="00B925A1"/>
    <w:rsid w:val="00B92AE8"/>
    <w:rsid w:val="00B92B59"/>
    <w:rsid w:val="00B92CD0"/>
    <w:rsid w:val="00B93205"/>
    <w:rsid w:val="00B9348E"/>
    <w:rsid w:val="00B9356C"/>
    <w:rsid w:val="00B95AEF"/>
    <w:rsid w:val="00B95C63"/>
    <w:rsid w:val="00B968FB"/>
    <w:rsid w:val="00B96AB9"/>
    <w:rsid w:val="00B973C1"/>
    <w:rsid w:val="00B97401"/>
    <w:rsid w:val="00B976A1"/>
    <w:rsid w:val="00B978DF"/>
    <w:rsid w:val="00B97BC4"/>
    <w:rsid w:val="00B97C18"/>
    <w:rsid w:val="00BA0416"/>
    <w:rsid w:val="00BA0EDF"/>
    <w:rsid w:val="00BA200A"/>
    <w:rsid w:val="00BA2F92"/>
    <w:rsid w:val="00BA3954"/>
    <w:rsid w:val="00BA3A15"/>
    <w:rsid w:val="00BA3D35"/>
    <w:rsid w:val="00BA3E0E"/>
    <w:rsid w:val="00BA5521"/>
    <w:rsid w:val="00BA561E"/>
    <w:rsid w:val="00BA57A9"/>
    <w:rsid w:val="00BA5D38"/>
    <w:rsid w:val="00BA60B0"/>
    <w:rsid w:val="00BA6646"/>
    <w:rsid w:val="00BA73F4"/>
    <w:rsid w:val="00BA753C"/>
    <w:rsid w:val="00BA786F"/>
    <w:rsid w:val="00BA78DC"/>
    <w:rsid w:val="00BA7D46"/>
    <w:rsid w:val="00BB03B1"/>
    <w:rsid w:val="00BB04EA"/>
    <w:rsid w:val="00BB08E0"/>
    <w:rsid w:val="00BB0A32"/>
    <w:rsid w:val="00BB0B2B"/>
    <w:rsid w:val="00BB1073"/>
    <w:rsid w:val="00BB11B1"/>
    <w:rsid w:val="00BB13F1"/>
    <w:rsid w:val="00BB13F6"/>
    <w:rsid w:val="00BB13F9"/>
    <w:rsid w:val="00BB1985"/>
    <w:rsid w:val="00BB1B40"/>
    <w:rsid w:val="00BB27D5"/>
    <w:rsid w:val="00BB2D6D"/>
    <w:rsid w:val="00BB2FFC"/>
    <w:rsid w:val="00BB3067"/>
    <w:rsid w:val="00BB360C"/>
    <w:rsid w:val="00BB3FE8"/>
    <w:rsid w:val="00BB42F0"/>
    <w:rsid w:val="00BB497D"/>
    <w:rsid w:val="00BB51E7"/>
    <w:rsid w:val="00BB553F"/>
    <w:rsid w:val="00BB557F"/>
    <w:rsid w:val="00BB5633"/>
    <w:rsid w:val="00BB584C"/>
    <w:rsid w:val="00BB5982"/>
    <w:rsid w:val="00BB5FE3"/>
    <w:rsid w:val="00BB61BE"/>
    <w:rsid w:val="00BB62AD"/>
    <w:rsid w:val="00BB6C06"/>
    <w:rsid w:val="00BB6D1C"/>
    <w:rsid w:val="00BB6D24"/>
    <w:rsid w:val="00BB6DB1"/>
    <w:rsid w:val="00BB6F80"/>
    <w:rsid w:val="00BB74E5"/>
    <w:rsid w:val="00BB7620"/>
    <w:rsid w:val="00BB7660"/>
    <w:rsid w:val="00BB7861"/>
    <w:rsid w:val="00BB7CA9"/>
    <w:rsid w:val="00BC003B"/>
    <w:rsid w:val="00BC006F"/>
    <w:rsid w:val="00BC11C8"/>
    <w:rsid w:val="00BC18EA"/>
    <w:rsid w:val="00BC1A8E"/>
    <w:rsid w:val="00BC1BFC"/>
    <w:rsid w:val="00BC1C3C"/>
    <w:rsid w:val="00BC2594"/>
    <w:rsid w:val="00BC264F"/>
    <w:rsid w:val="00BC36A1"/>
    <w:rsid w:val="00BC3AC9"/>
    <w:rsid w:val="00BC3D2D"/>
    <w:rsid w:val="00BC4491"/>
    <w:rsid w:val="00BC46E4"/>
    <w:rsid w:val="00BC4AA0"/>
    <w:rsid w:val="00BC4BF9"/>
    <w:rsid w:val="00BC4ED5"/>
    <w:rsid w:val="00BC5BB5"/>
    <w:rsid w:val="00BC5EB6"/>
    <w:rsid w:val="00BC6009"/>
    <w:rsid w:val="00BC68AA"/>
    <w:rsid w:val="00BC797C"/>
    <w:rsid w:val="00BD01EA"/>
    <w:rsid w:val="00BD09BC"/>
    <w:rsid w:val="00BD0EF7"/>
    <w:rsid w:val="00BD1124"/>
    <w:rsid w:val="00BD134D"/>
    <w:rsid w:val="00BD1A43"/>
    <w:rsid w:val="00BD1CF7"/>
    <w:rsid w:val="00BD1D47"/>
    <w:rsid w:val="00BD1F44"/>
    <w:rsid w:val="00BD28AA"/>
    <w:rsid w:val="00BD2942"/>
    <w:rsid w:val="00BD2A7F"/>
    <w:rsid w:val="00BD2EC8"/>
    <w:rsid w:val="00BD37CB"/>
    <w:rsid w:val="00BD3838"/>
    <w:rsid w:val="00BD3CE9"/>
    <w:rsid w:val="00BD3F9A"/>
    <w:rsid w:val="00BD4277"/>
    <w:rsid w:val="00BD46D7"/>
    <w:rsid w:val="00BD46F9"/>
    <w:rsid w:val="00BD49EE"/>
    <w:rsid w:val="00BD4BE0"/>
    <w:rsid w:val="00BD5231"/>
    <w:rsid w:val="00BD580A"/>
    <w:rsid w:val="00BD6134"/>
    <w:rsid w:val="00BD6164"/>
    <w:rsid w:val="00BD6316"/>
    <w:rsid w:val="00BD6F40"/>
    <w:rsid w:val="00BD750E"/>
    <w:rsid w:val="00BE0340"/>
    <w:rsid w:val="00BE03CB"/>
    <w:rsid w:val="00BE0555"/>
    <w:rsid w:val="00BE05F7"/>
    <w:rsid w:val="00BE0C06"/>
    <w:rsid w:val="00BE0C84"/>
    <w:rsid w:val="00BE1CE7"/>
    <w:rsid w:val="00BE1D6D"/>
    <w:rsid w:val="00BE2315"/>
    <w:rsid w:val="00BE23A1"/>
    <w:rsid w:val="00BE28E0"/>
    <w:rsid w:val="00BE330B"/>
    <w:rsid w:val="00BE363A"/>
    <w:rsid w:val="00BE38EA"/>
    <w:rsid w:val="00BE466C"/>
    <w:rsid w:val="00BE483C"/>
    <w:rsid w:val="00BE4912"/>
    <w:rsid w:val="00BE4E75"/>
    <w:rsid w:val="00BE55DD"/>
    <w:rsid w:val="00BE575C"/>
    <w:rsid w:val="00BE5813"/>
    <w:rsid w:val="00BE5993"/>
    <w:rsid w:val="00BE5C64"/>
    <w:rsid w:val="00BE5DA9"/>
    <w:rsid w:val="00BE679E"/>
    <w:rsid w:val="00BE6C55"/>
    <w:rsid w:val="00BE70B6"/>
    <w:rsid w:val="00BE73A0"/>
    <w:rsid w:val="00BE765F"/>
    <w:rsid w:val="00BE7B64"/>
    <w:rsid w:val="00BE7E0C"/>
    <w:rsid w:val="00BE7E80"/>
    <w:rsid w:val="00BE7E9F"/>
    <w:rsid w:val="00BE7F0B"/>
    <w:rsid w:val="00BF0256"/>
    <w:rsid w:val="00BF03B6"/>
    <w:rsid w:val="00BF0C6A"/>
    <w:rsid w:val="00BF0CB0"/>
    <w:rsid w:val="00BF0D8B"/>
    <w:rsid w:val="00BF11CD"/>
    <w:rsid w:val="00BF1DBB"/>
    <w:rsid w:val="00BF3100"/>
    <w:rsid w:val="00BF3270"/>
    <w:rsid w:val="00BF3601"/>
    <w:rsid w:val="00BF3A18"/>
    <w:rsid w:val="00BF3DB0"/>
    <w:rsid w:val="00BF4186"/>
    <w:rsid w:val="00BF4424"/>
    <w:rsid w:val="00BF4528"/>
    <w:rsid w:val="00BF4BB5"/>
    <w:rsid w:val="00BF5172"/>
    <w:rsid w:val="00BF53DF"/>
    <w:rsid w:val="00BF5555"/>
    <w:rsid w:val="00BF58E4"/>
    <w:rsid w:val="00BF5B75"/>
    <w:rsid w:val="00BF5C0F"/>
    <w:rsid w:val="00BF6DF9"/>
    <w:rsid w:val="00BF7189"/>
    <w:rsid w:val="00BF73F5"/>
    <w:rsid w:val="00C0090A"/>
    <w:rsid w:val="00C0095C"/>
    <w:rsid w:val="00C00B33"/>
    <w:rsid w:val="00C01131"/>
    <w:rsid w:val="00C01669"/>
    <w:rsid w:val="00C016F3"/>
    <w:rsid w:val="00C0185D"/>
    <w:rsid w:val="00C01A03"/>
    <w:rsid w:val="00C02203"/>
    <w:rsid w:val="00C02A39"/>
    <w:rsid w:val="00C02B80"/>
    <w:rsid w:val="00C02F40"/>
    <w:rsid w:val="00C032FA"/>
    <w:rsid w:val="00C04275"/>
    <w:rsid w:val="00C0436B"/>
    <w:rsid w:val="00C043C3"/>
    <w:rsid w:val="00C04EA3"/>
    <w:rsid w:val="00C0537E"/>
    <w:rsid w:val="00C0539A"/>
    <w:rsid w:val="00C05418"/>
    <w:rsid w:val="00C055CF"/>
    <w:rsid w:val="00C06072"/>
    <w:rsid w:val="00C06612"/>
    <w:rsid w:val="00C069BC"/>
    <w:rsid w:val="00C0701C"/>
    <w:rsid w:val="00C07352"/>
    <w:rsid w:val="00C0767C"/>
    <w:rsid w:val="00C077DD"/>
    <w:rsid w:val="00C07EFD"/>
    <w:rsid w:val="00C10AB0"/>
    <w:rsid w:val="00C10F63"/>
    <w:rsid w:val="00C112B9"/>
    <w:rsid w:val="00C11555"/>
    <w:rsid w:val="00C11701"/>
    <w:rsid w:val="00C11961"/>
    <w:rsid w:val="00C119A5"/>
    <w:rsid w:val="00C11F0A"/>
    <w:rsid w:val="00C11F1B"/>
    <w:rsid w:val="00C121FB"/>
    <w:rsid w:val="00C12960"/>
    <w:rsid w:val="00C12A02"/>
    <w:rsid w:val="00C12A84"/>
    <w:rsid w:val="00C12EF9"/>
    <w:rsid w:val="00C1301A"/>
    <w:rsid w:val="00C1372F"/>
    <w:rsid w:val="00C13930"/>
    <w:rsid w:val="00C1420C"/>
    <w:rsid w:val="00C14245"/>
    <w:rsid w:val="00C146B8"/>
    <w:rsid w:val="00C146C8"/>
    <w:rsid w:val="00C14ECC"/>
    <w:rsid w:val="00C1520E"/>
    <w:rsid w:val="00C15383"/>
    <w:rsid w:val="00C15753"/>
    <w:rsid w:val="00C159F5"/>
    <w:rsid w:val="00C15D7D"/>
    <w:rsid w:val="00C15FD3"/>
    <w:rsid w:val="00C17562"/>
    <w:rsid w:val="00C17571"/>
    <w:rsid w:val="00C175A5"/>
    <w:rsid w:val="00C17F61"/>
    <w:rsid w:val="00C20125"/>
    <w:rsid w:val="00C20F8B"/>
    <w:rsid w:val="00C21181"/>
    <w:rsid w:val="00C21278"/>
    <w:rsid w:val="00C21412"/>
    <w:rsid w:val="00C21440"/>
    <w:rsid w:val="00C21B56"/>
    <w:rsid w:val="00C21C93"/>
    <w:rsid w:val="00C227F1"/>
    <w:rsid w:val="00C22D6A"/>
    <w:rsid w:val="00C23884"/>
    <w:rsid w:val="00C238B9"/>
    <w:rsid w:val="00C23E9F"/>
    <w:rsid w:val="00C240B5"/>
    <w:rsid w:val="00C24BBF"/>
    <w:rsid w:val="00C24E25"/>
    <w:rsid w:val="00C2572E"/>
    <w:rsid w:val="00C25AA3"/>
    <w:rsid w:val="00C26022"/>
    <w:rsid w:val="00C26B0A"/>
    <w:rsid w:val="00C27015"/>
    <w:rsid w:val="00C27E57"/>
    <w:rsid w:val="00C303E4"/>
    <w:rsid w:val="00C3088C"/>
    <w:rsid w:val="00C30C65"/>
    <w:rsid w:val="00C30C8E"/>
    <w:rsid w:val="00C30EAE"/>
    <w:rsid w:val="00C312CC"/>
    <w:rsid w:val="00C31727"/>
    <w:rsid w:val="00C33223"/>
    <w:rsid w:val="00C332DB"/>
    <w:rsid w:val="00C33561"/>
    <w:rsid w:val="00C3381E"/>
    <w:rsid w:val="00C340D1"/>
    <w:rsid w:val="00C3466B"/>
    <w:rsid w:val="00C34C96"/>
    <w:rsid w:val="00C352D4"/>
    <w:rsid w:val="00C35D21"/>
    <w:rsid w:val="00C36B68"/>
    <w:rsid w:val="00C374EC"/>
    <w:rsid w:val="00C37A4A"/>
    <w:rsid w:val="00C37BC3"/>
    <w:rsid w:val="00C37E01"/>
    <w:rsid w:val="00C406C8"/>
    <w:rsid w:val="00C40787"/>
    <w:rsid w:val="00C40CEE"/>
    <w:rsid w:val="00C40D59"/>
    <w:rsid w:val="00C40EEF"/>
    <w:rsid w:val="00C41475"/>
    <w:rsid w:val="00C419EA"/>
    <w:rsid w:val="00C41A81"/>
    <w:rsid w:val="00C41AA2"/>
    <w:rsid w:val="00C41BF7"/>
    <w:rsid w:val="00C42384"/>
    <w:rsid w:val="00C42403"/>
    <w:rsid w:val="00C42A22"/>
    <w:rsid w:val="00C43301"/>
    <w:rsid w:val="00C4335D"/>
    <w:rsid w:val="00C43477"/>
    <w:rsid w:val="00C436E3"/>
    <w:rsid w:val="00C43817"/>
    <w:rsid w:val="00C43F1F"/>
    <w:rsid w:val="00C4455B"/>
    <w:rsid w:val="00C446EF"/>
    <w:rsid w:val="00C44EBE"/>
    <w:rsid w:val="00C44FC2"/>
    <w:rsid w:val="00C4532C"/>
    <w:rsid w:val="00C45386"/>
    <w:rsid w:val="00C45554"/>
    <w:rsid w:val="00C45564"/>
    <w:rsid w:val="00C456A1"/>
    <w:rsid w:val="00C45850"/>
    <w:rsid w:val="00C45E12"/>
    <w:rsid w:val="00C45EAA"/>
    <w:rsid w:val="00C46518"/>
    <w:rsid w:val="00C46871"/>
    <w:rsid w:val="00C46ED2"/>
    <w:rsid w:val="00C47523"/>
    <w:rsid w:val="00C47526"/>
    <w:rsid w:val="00C479B9"/>
    <w:rsid w:val="00C47C2E"/>
    <w:rsid w:val="00C47E6C"/>
    <w:rsid w:val="00C500A7"/>
    <w:rsid w:val="00C50787"/>
    <w:rsid w:val="00C50A90"/>
    <w:rsid w:val="00C50EA0"/>
    <w:rsid w:val="00C51153"/>
    <w:rsid w:val="00C514E3"/>
    <w:rsid w:val="00C515CA"/>
    <w:rsid w:val="00C517D3"/>
    <w:rsid w:val="00C51E6B"/>
    <w:rsid w:val="00C52ECB"/>
    <w:rsid w:val="00C53050"/>
    <w:rsid w:val="00C53171"/>
    <w:rsid w:val="00C534E4"/>
    <w:rsid w:val="00C53A29"/>
    <w:rsid w:val="00C53EAA"/>
    <w:rsid w:val="00C5426C"/>
    <w:rsid w:val="00C54618"/>
    <w:rsid w:val="00C54968"/>
    <w:rsid w:val="00C54DC0"/>
    <w:rsid w:val="00C54FA0"/>
    <w:rsid w:val="00C550F3"/>
    <w:rsid w:val="00C55DE7"/>
    <w:rsid w:val="00C56321"/>
    <w:rsid w:val="00C56C26"/>
    <w:rsid w:val="00C57E82"/>
    <w:rsid w:val="00C6035A"/>
    <w:rsid w:val="00C603B5"/>
    <w:rsid w:val="00C60B1C"/>
    <w:rsid w:val="00C60FBE"/>
    <w:rsid w:val="00C614BF"/>
    <w:rsid w:val="00C61643"/>
    <w:rsid w:val="00C6196F"/>
    <w:rsid w:val="00C619F0"/>
    <w:rsid w:val="00C61B78"/>
    <w:rsid w:val="00C6213B"/>
    <w:rsid w:val="00C630AD"/>
    <w:rsid w:val="00C63240"/>
    <w:rsid w:val="00C63C9B"/>
    <w:rsid w:val="00C646BE"/>
    <w:rsid w:val="00C64A50"/>
    <w:rsid w:val="00C65376"/>
    <w:rsid w:val="00C6548A"/>
    <w:rsid w:val="00C65586"/>
    <w:rsid w:val="00C6587F"/>
    <w:rsid w:val="00C660B9"/>
    <w:rsid w:val="00C66D15"/>
    <w:rsid w:val="00C66E91"/>
    <w:rsid w:val="00C673F0"/>
    <w:rsid w:val="00C67926"/>
    <w:rsid w:val="00C67B36"/>
    <w:rsid w:val="00C67FF2"/>
    <w:rsid w:val="00C70021"/>
    <w:rsid w:val="00C702F6"/>
    <w:rsid w:val="00C703BA"/>
    <w:rsid w:val="00C705AF"/>
    <w:rsid w:val="00C70CD3"/>
    <w:rsid w:val="00C70F48"/>
    <w:rsid w:val="00C713EB"/>
    <w:rsid w:val="00C71597"/>
    <w:rsid w:val="00C718E1"/>
    <w:rsid w:val="00C71B2D"/>
    <w:rsid w:val="00C72AB1"/>
    <w:rsid w:val="00C733F8"/>
    <w:rsid w:val="00C738AD"/>
    <w:rsid w:val="00C740C3"/>
    <w:rsid w:val="00C749F4"/>
    <w:rsid w:val="00C74B0F"/>
    <w:rsid w:val="00C7580A"/>
    <w:rsid w:val="00C75825"/>
    <w:rsid w:val="00C75D1E"/>
    <w:rsid w:val="00C7607B"/>
    <w:rsid w:val="00C76899"/>
    <w:rsid w:val="00C76FB1"/>
    <w:rsid w:val="00C77170"/>
    <w:rsid w:val="00C808D8"/>
    <w:rsid w:val="00C814E8"/>
    <w:rsid w:val="00C815C1"/>
    <w:rsid w:val="00C81A99"/>
    <w:rsid w:val="00C81F5B"/>
    <w:rsid w:val="00C81F73"/>
    <w:rsid w:val="00C829ED"/>
    <w:rsid w:val="00C82B97"/>
    <w:rsid w:val="00C830FC"/>
    <w:rsid w:val="00C83E61"/>
    <w:rsid w:val="00C844DF"/>
    <w:rsid w:val="00C8481B"/>
    <w:rsid w:val="00C84F68"/>
    <w:rsid w:val="00C85210"/>
    <w:rsid w:val="00C85338"/>
    <w:rsid w:val="00C8538C"/>
    <w:rsid w:val="00C85F8A"/>
    <w:rsid w:val="00C86977"/>
    <w:rsid w:val="00C86D0C"/>
    <w:rsid w:val="00C87694"/>
    <w:rsid w:val="00C8781F"/>
    <w:rsid w:val="00C90FB2"/>
    <w:rsid w:val="00C91016"/>
    <w:rsid w:val="00C91BB4"/>
    <w:rsid w:val="00C91C93"/>
    <w:rsid w:val="00C92015"/>
    <w:rsid w:val="00C92182"/>
    <w:rsid w:val="00C92386"/>
    <w:rsid w:val="00C92707"/>
    <w:rsid w:val="00C927FF"/>
    <w:rsid w:val="00C92C3D"/>
    <w:rsid w:val="00C92D56"/>
    <w:rsid w:val="00C93283"/>
    <w:rsid w:val="00C938D6"/>
    <w:rsid w:val="00C93E68"/>
    <w:rsid w:val="00C949C5"/>
    <w:rsid w:val="00C94C38"/>
    <w:rsid w:val="00C94F62"/>
    <w:rsid w:val="00C95494"/>
    <w:rsid w:val="00C95AAC"/>
    <w:rsid w:val="00C964B9"/>
    <w:rsid w:val="00C96701"/>
    <w:rsid w:val="00C968B4"/>
    <w:rsid w:val="00C96B0F"/>
    <w:rsid w:val="00C96EC3"/>
    <w:rsid w:val="00CA02C1"/>
    <w:rsid w:val="00CA0929"/>
    <w:rsid w:val="00CA167F"/>
    <w:rsid w:val="00CA1710"/>
    <w:rsid w:val="00CA1D94"/>
    <w:rsid w:val="00CA3787"/>
    <w:rsid w:val="00CA37D8"/>
    <w:rsid w:val="00CA4102"/>
    <w:rsid w:val="00CA4996"/>
    <w:rsid w:val="00CA4B3A"/>
    <w:rsid w:val="00CA553D"/>
    <w:rsid w:val="00CA6520"/>
    <w:rsid w:val="00CA662E"/>
    <w:rsid w:val="00CA6703"/>
    <w:rsid w:val="00CA70EB"/>
    <w:rsid w:val="00CA7154"/>
    <w:rsid w:val="00CA747A"/>
    <w:rsid w:val="00CA77BF"/>
    <w:rsid w:val="00CA7B10"/>
    <w:rsid w:val="00CA7B3D"/>
    <w:rsid w:val="00CA7C14"/>
    <w:rsid w:val="00CA7CEA"/>
    <w:rsid w:val="00CB0EDE"/>
    <w:rsid w:val="00CB1091"/>
    <w:rsid w:val="00CB12C7"/>
    <w:rsid w:val="00CB1914"/>
    <w:rsid w:val="00CB1983"/>
    <w:rsid w:val="00CB1F45"/>
    <w:rsid w:val="00CB21FF"/>
    <w:rsid w:val="00CB27D3"/>
    <w:rsid w:val="00CB28FC"/>
    <w:rsid w:val="00CB296B"/>
    <w:rsid w:val="00CB2AB8"/>
    <w:rsid w:val="00CB2B4D"/>
    <w:rsid w:val="00CB2D4B"/>
    <w:rsid w:val="00CB2F0F"/>
    <w:rsid w:val="00CB3037"/>
    <w:rsid w:val="00CB4200"/>
    <w:rsid w:val="00CB4677"/>
    <w:rsid w:val="00CB5097"/>
    <w:rsid w:val="00CB50BD"/>
    <w:rsid w:val="00CB5D12"/>
    <w:rsid w:val="00CB6F57"/>
    <w:rsid w:val="00CB6FF5"/>
    <w:rsid w:val="00CB7245"/>
    <w:rsid w:val="00CB7BB5"/>
    <w:rsid w:val="00CC014C"/>
    <w:rsid w:val="00CC0D29"/>
    <w:rsid w:val="00CC0FD8"/>
    <w:rsid w:val="00CC11C2"/>
    <w:rsid w:val="00CC1980"/>
    <w:rsid w:val="00CC236A"/>
    <w:rsid w:val="00CC2925"/>
    <w:rsid w:val="00CC318A"/>
    <w:rsid w:val="00CC31A1"/>
    <w:rsid w:val="00CC43C8"/>
    <w:rsid w:val="00CC46C7"/>
    <w:rsid w:val="00CC4BF1"/>
    <w:rsid w:val="00CC4C3F"/>
    <w:rsid w:val="00CC4DAB"/>
    <w:rsid w:val="00CC4E22"/>
    <w:rsid w:val="00CC574C"/>
    <w:rsid w:val="00CC5835"/>
    <w:rsid w:val="00CC59EB"/>
    <w:rsid w:val="00CC6290"/>
    <w:rsid w:val="00CC6C0D"/>
    <w:rsid w:val="00CC6EEE"/>
    <w:rsid w:val="00CC7AA5"/>
    <w:rsid w:val="00CC7CB5"/>
    <w:rsid w:val="00CD01CD"/>
    <w:rsid w:val="00CD0F2A"/>
    <w:rsid w:val="00CD165A"/>
    <w:rsid w:val="00CD1BEE"/>
    <w:rsid w:val="00CD2022"/>
    <w:rsid w:val="00CD2853"/>
    <w:rsid w:val="00CD2ED7"/>
    <w:rsid w:val="00CD3C98"/>
    <w:rsid w:val="00CD512D"/>
    <w:rsid w:val="00CD55B2"/>
    <w:rsid w:val="00CD55DA"/>
    <w:rsid w:val="00CD587E"/>
    <w:rsid w:val="00CD6656"/>
    <w:rsid w:val="00CD6740"/>
    <w:rsid w:val="00CD6747"/>
    <w:rsid w:val="00CD68FB"/>
    <w:rsid w:val="00CD7B23"/>
    <w:rsid w:val="00CE0FC7"/>
    <w:rsid w:val="00CE1652"/>
    <w:rsid w:val="00CE3A70"/>
    <w:rsid w:val="00CE3E5A"/>
    <w:rsid w:val="00CE4349"/>
    <w:rsid w:val="00CE438F"/>
    <w:rsid w:val="00CE4C97"/>
    <w:rsid w:val="00CE4CA3"/>
    <w:rsid w:val="00CE4E49"/>
    <w:rsid w:val="00CE5960"/>
    <w:rsid w:val="00CE6392"/>
    <w:rsid w:val="00CE68FB"/>
    <w:rsid w:val="00CE6E84"/>
    <w:rsid w:val="00CE759F"/>
    <w:rsid w:val="00CE764C"/>
    <w:rsid w:val="00CE76B1"/>
    <w:rsid w:val="00CE7721"/>
    <w:rsid w:val="00CE7AB6"/>
    <w:rsid w:val="00CF00D9"/>
    <w:rsid w:val="00CF0F3E"/>
    <w:rsid w:val="00CF1812"/>
    <w:rsid w:val="00CF1F1C"/>
    <w:rsid w:val="00CF211F"/>
    <w:rsid w:val="00CF21FE"/>
    <w:rsid w:val="00CF2D6B"/>
    <w:rsid w:val="00CF33A2"/>
    <w:rsid w:val="00CF3849"/>
    <w:rsid w:val="00CF4180"/>
    <w:rsid w:val="00CF43A3"/>
    <w:rsid w:val="00CF4641"/>
    <w:rsid w:val="00CF5092"/>
    <w:rsid w:val="00CF5144"/>
    <w:rsid w:val="00CF5C7C"/>
    <w:rsid w:val="00CF5FE3"/>
    <w:rsid w:val="00CF6CA4"/>
    <w:rsid w:val="00CF6FAD"/>
    <w:rsid w:val="00CF708F"/>
    <w:rsid w:val="00CF7262"/>
    <w:rsid w:val="00CF786E"/>
    <w:rsid w:val="00CF7B83"/>
    <w:rsid w:val="00D0036D"/>
    <w:rsid w:val="00D013B6"/>
    <w:rsid w:val="00D014DE"/>
    <w:rsid w:val="00D02CBD"/>
    <w:rsid w:val="00D0397C"/>
    <w:rsid w:val="00D03D75"/>
    <w:rsid w:val="00D0411D"/>
    <w:rsid w:val="00D04602"/>
    <w:rsid w:val="00D04931"/>
    <w:rsid w:val="00D0514C"/>
    <w:rsid w:val="00D0523B"/>
    <w:rsid w:val="00D055DB"/>
    <w:rsid w:val="00D05A50"/>
    <w:rsid w:val="00D067E2"/>
    <w:rsid w:val="00D06C37"/>
    <w:rsid w:val="00D06D88"/>
    <w:rsid w:val="00D07151"/>
    <w:rsid w:val="00D0749F"/>
    <w:rsid w:val="00D07917"/>
    <w:rsid w:val="00D07B5E"/>
    <w:rsid w:val="00D07CFC"/>
    <w:rsid w:val="00D101B5"/>
    <w:rsid w:val="00D1062E"/>
    <w:rsid w:val="00D11094"/>
    <w:rsid w:val="00D11A1E"/>
    <w:rsid w:val="00D125CE"/>
    <w:rsid w:val="00D12A57"/>
    <w:rsid w:val="00D12E3D"/>
    <w:rsid w:val="00D13B9B"/>
    <w:rsid w:val="00D13EE0"/>
    <w:rsid w:val="00D13FC0"/>
    <w:rsid w:val="00D140EC"/>
    <w:rsid w:val="00D1431C"/>
    <w:rsid w:val="00D14742"/>
    <w:rsid w:val="00D14D50"/>
    <w:rsid w:val="00D15175"/>
    <w:rsid w:val="00D1553D"/>
    <w:rsid w:val="00D15661"/>
    <w:rsid w:val="00D15837"/>
    <w:rsid w:val="00D158D2"/>
    <w:rsid w:val="00D16190"/>
    <w:rsid w:val="00D162DF"/>
    <w:rsid w:val="00D16FFB"/>
    <w:rsid w:val="00D17222"/>
    <w:rsid w:val="00D17A77"/>
    <w:rsid w:val="00D17A8D"/>
    <w:rsid w:val="00D20100"/>
    <w:rsid w:val="00D201A7"/>
    <w:rsid w:val="00D206C9"/>
    <w:rsid w:val="00D206E0"/>
    <w:rsid w:val="00D20792"/>
    <w:rsid w:val="00D20829"/>
    <w:rsid w:val="00D20A74"/>
    <w:rsid w:val="00D20AEC"/>
    <w:rsid w:val="00D20CC2"/>
    <w:rsid w:val="00D21A5F"/>
    <w:rsid w:val="00D21C61"/>
    <w:rsid w:val="00D22424"/>
    <w:rsid w:val="00D22498"/>
    <w:rsid w:val="00D2296A"/>
    <w:rsid w:val="00D22E39"/>
    <w:rsid w:val="00D23B85"/>
    <w:rsid w:val="00D23CD5"/>
    <w:rsid w:val="00D24017"/>
    <w:rsid w:val="00D24092"/>
    <w:rsid w:val="00D244A0"/>
    <w:rsid w:val="00D24D0B"/>
    <w:rsid w:val="00D26083"/>
    <w:rsid w:val="00D2696B"/>
    <w:rsid w:val="00D26BEE"/>
    <w:rsid w:val="00D276B8"/>
    <w:rsid w:val="00D27C48"/>
    <w:rsid w:val="00D27E9D"/>
    <w:rsid w:val="00D305B5"/>
    <w:rsid w:val="00D3068B"/>
    <w:rsid w:val="00D30796"/>
    <w:rsid w:val="00D308F2"/>
    <w:rsid w:val="00D30C85"/>
    <w:rsid w:val="00D31527"/>
    <w:rsid w:val="00D31807"/>
    <w:rsid w:val="00D318FF"/>
    <w:rsid w:val="00D3198C"/>
    <w:rsid w:val="00D31B19"/>
    <w:rsid w:val="00D31B3F"/>
    <w:rsid w:val="00D31FC1"/>
    <w:rsid w:val="00D321BE"/>
    <w:rsid w:val="00D32487"/>
    <w:rsid w:val="00D326BA"/>
    <w:rsid w:val="00D32A0E"/>
    <w:rsid w:val="00D3308F"/>
    <w:rsid w:val="00D336B6"/>
    <w:rsid w:val="00D336B9"/>
    <w:rsid w:val="00D33D17"/>
    <w:rsid w:val="00D344B5"/>
    <w:rsid w:val="00D345C0"/>
    <w:rsid w:val="00D34772"/>
    <w:rsid w:val="00D34B4E"/>
    <w:rsid w:val="00D35022"/>
    <w:rsid w:val="00D35134"/>
    <w:rsid w:val="00D35931"/>
    <w:rsid w:val="00D35CBE"/>
    <w:rsid w:val="00D35E4C"/>
    <w:rsid w:val="00D360AB"/>
    <w:rsid w:val="00D360AD"/>
    <w:rsid w:val="00D3659B"/>
    <w:rsid w:val="00D36C4A"/>
    <w:rsid w:val="00D36D23"/>
    <w:rsid w:val="00D36FA9"/>
    <w:rsid w:val="00D3712B"/>
    <w:rsid w:val="00D400A4"/>
    <w:rsid w:val="00D408B6"/>
    <w:rsid w:val="00D40CD2"/>
    <w:rsid w:val="00D411F5"/>
    <w:rsid w:val="00D4196E"/>
    <w:rsid w:val="00D42E4A"/>
    <w:rsid w:val="00D42F07"/>
    <w:rsid w:val="00D433AC"/>
    <w:rsid w:val="00D43590"/>
    <w:rsid w:val="00D43714"/>
    <w:rsid w:val="00D43918"/>
    <w:rsid w:val="00D43BED"/>
    <w:rsid w:val="00D43C89"/>
    <w:rsid w:val="00D4471B"/>
    <w:rsid w:val="00D4473E"/>
    <w:rsid w:val="00D460CB"/>
    <w:rsid w:val="00D4610B"/>
    <w:rsid w:val="00D4662C"/>
    <w:rsid w:val="00D47026"/>
    <w:rsid w:val="00D476B6"/>
    <w:rsid w:val="00D4773B"/>
    <w:rsid w:val="00D47A20"/>
    <w:rsid w:val="00D47B9A"/>
    <w:rsid w:val="00D501CF"/>
    <w:rsid w:val="00D5059D"/>
    <w:rsid w:val="00D50A04"/>
    <w:rsid w:val="00D512EE"/>
    <w:rsid w:val="00D51BC6"/>
    <w:rsid w:val="00D52204"/>
    <w:rsid w:val="00D527D7"/>
    <w:rsid w:val="00D539CD"/>
    <w:rsid w:val="00D53BE6"/>
    <w:rsid w:val="00D53D40"/>
    <w:rsid w:val="00D53D6D"/>
    <w:rsid w:val="00D53DB8"/>
    <w:rsid w:val="00D53EBC"/>
    <w:rsid w:val="00D540B0"/>
    <w:rsid w:val="00D54487"/>
    <w:rsid w:val="00D54533"/>
    <w:rsid w:val="00D549DD"/>
    <w:rsid w:val="00D5542A"/>
    <w:rsid w:val="00D56BEB"/>
    <w:rsid w:val="00D571D1"/>
    <w:rsid w:val="00D571F6"/>
    <w:rsid w:val="00D57393"/>
    <w:rsid w:val="00D600DF"/>
    <w:rsid w:val="00D60210"/>
    <w:rsid w:val="00D6128F"/>
    <w:rsid w:val="00D61452"/>
    <w:rsid w:val="00D62BD3"/>
    <w:rsid w:val="00D62E34"/>
    <w:rsid w:val="00D62FC2"/>
    <w:rsid w:val="00D62FE2"/>
    <w:rsid w:val="00D63090"/>
    <w:rsid w:val="00D63253"/>
    <w:rsid w:val="00D63285"/>
    <w:rsid w:val="00D6487A"/>
    <w:rsid w:val="00D64B25"/>
    <w:rsid w:val="00D64C2A"/>
    <w:rsid w:val="00D64D7E"/>
    <w:rsid w:val="00D6636C"/>
    <w:rsid w:val="00D66A7B"/>
    <w:rsid w:val="00D66B8E"/>
    <w:rsid w:val="00D677A9"/>
    <w:rsid w:val="00D67B3D"/>
    <w:rsid w:val="00D67D5D"/>
    <w:rsid w:val="00D70571"/>
    <w:rsid w:val="00D70A17"/>
    <w:rsid w:val="00D71384"/>
    <w:rsid w:val="00D714CC"/>
    <w:rsid w:val="00D71EDC"/>
    <w:rsid w:val="00D720C1"/>
    <w:rsid w:val="00D72247"/>
    <w:rsid w:val="00D725E9"/>
    <w:rsid w:val="00D72817"/>
    <w:rsid w:val="00D7286B"/>
    <w:rsid w:val="00D73404"/>
    <w:rsid w:val="00D7505D"/>
    <w:rsid w:val="00D750DD"/>
    <w:rsid w:val="00D75546"/>
    <w:rsid w:val="00D75991"/>
    <w:rsid w:val="00D75AC9"/>
    <w:rsid w:val="00D76BD0"/>
    <w:rsid w:val="00D77977"/>
    <w:rsid w:val="00D77B37"/>
    <w:rsid w:val="00D77EFE"/>
    <w:rsid w:val="00D803D2"/>
    <w:rsid w:val="00D8065C"/>
    <w:rsid w:val="00D80EB1"/>
    <w:rsid w:val="00D80EEC"/>
    <w:rsid w:val="00D8139C"/>
    <w:rsid w:val="00D81910"/>
    <w:rsid w:val="00D8225D"/>
    <w:rsid w:val="00D82952"/>
    <w:rsid w:val="00D8299B"/>
    <w:rsid w:val="00D82C9F"/>
    <w:rsid w:val="00D82E20"/>
    <w:rsid w:val="00D82E4D"/>
    <w:rsid w:val="00D8355D"/>
    <w:rsid w:val="00D83764"/>
    <w:rsid w:val="00D83874"/>
    <w:rsid w:val="00D83C7A"/>
    <w:rsid w:val="00D84DB9"/>
    <w:rsid w:val="00D85448"/>
    <w:rsid w:val="00D854EB"/>
    <w:rsid w:val="00D857C7"/>
    <w:rsid w:val="00D858DB"/>
    <w:rsid w:val="00D86843"/>
    <w:rsid w:val="00D87173"/>
    <w:rsid w:val="00D875E6"/>
    <w:rsid w:val="00D87784"/>
    <w:rsid w:val="00D87990"/>
    <w:rsid w:val="00D87AB0"/>
    <w:rsid w:val="00D90ED6"/>
    <w:rsid w:val="00D914A1"/>
    <w:rsid w:val="00D915E5"/>
    <w:rsid w:val="00D916E8"/>
    <w:rsid w:val="00D91B3C"/>
    <w:rsid w:val="00D91D1A"/>
    <w:rsid w:val="00D9299E"/>
    <w:rsid w:val="00D92C28"/>
    <w:rsid w:val="00D92EDB"/>
    <w:rsid w:val="00D92F7E"/>
    <w:rsid w:val="00D93BD2"/>
    <w:rsid w:val="00D93D0F"/>
    <w:rsid w:val="00D94202"/>
    <w:rsid w:val="00D94278"/>
    <w:rsid w:val="00D94432"/>
    <w:rsid w:val="00D95418"/>
    <w:rsid w:val="00D95B27"/>
    <w:rsid w:val="00D95CFA"/>
    <w:rsid w:val="00D96309"/>
    <w:rsid w:val="00D9694A"/>
    <w:rsid w:val="00D97DBB"/>
    <w:rsid w:val="00DA050E"/>
    <w:rsid w:val="00DA062F"/>
    <w:rsid w:val="00DA071C"/>
    <w:rsid w:val="00DA078B"/>
    <w:rsid w:val="00DA1035"/>
    <w:rsid w:val="00DA123A"/>
    <w:rsid w:val="00DA15E1"/>
    <w:rsid w:val="00DA1A35"/>
    <w:rsid w:val="00DA1BA4"/>
    <w:rsid w:val="00DA2077"/>
    <w:rsid w:val="00DA2272"/>
    <w:rsid w:val="00DA26FC"/>
    <w:rsid w:val="00DA2B7E"/>
    <w:rsid w:val="00DA31B7"/>
    <w:rsid w:val="00DA333C"/>
    <w:rsid w:val="00DA39AA"/>
    <w:rsid w:val="00DA3DCB"/>
    <w:rsid w:val="00DA3E78"/>
    <w:rsid w:val="00DA4027"/>
    <w:rsid w:val="00DA4060"/>
    <w:rsid w:val="00DA4CBC"/>
    <w:rsid w:val="00DA4DD7"/>
    <w:rsid w:val="00DA5104"/>
    <w:rsid w:val="00DA53A1"/>
    <w:rsid w:val="00DA56DB"/>
    <w:rsid w:val="00DA5951"/>
    <w:rsid w:val="00DA59AF"/>
    <w:rsid w:val="00DA5C81"/>
    <w:rsid w:val="00DA6AF7"/>
    <w:rsid w:val="00DA6EF5"/>
    <w:rsid w:val="00DA75FA"/>
    <w:rsid w:val="00DA78C7"/>
    <w:rsid w:val="00DA797A"/>
    <w:rsid w:val="00DB0A47"/>
    <w:rsid w:val="00DB0C10"/>
    <w:rsid w:val="00DB17AE"/>
    <w:rsid w:val="00DB263B"/>
    <w:rsid w:val="00DB2D4E"/>
    <w:rsid w:val="00DB3005"/>
    <w:rsid w:val="00DB33A0"/>
    <w:rsid w:val="00DB380A"/>
    <w:rsid w:val="00DB3A0C"/>
    <w:rsid w:val="00DB4B28"/>
    <w:rsid w:val="00DB4FAD"/>
    <w:rsid w:val="00DB5473"/>
    <w:rsid w:val="00DB58B7"/>
    <w:rsid w:val="00DB5F8A"/>
    <w:rsid w:val="00DB6166"/>
    <w:rsid w:val="00DB7157"/>
    <w:rsid w:val="00DB723A"/>
    <w:rsid w:val="00DB726F"/>
    <w:rsid w:val="00DB79C5"/>
    <w:rsid w:val="00DC06A1"/>
    <w:rsid w:val="00DC0845"/>
    <w:rsid w:val="00DC08C7"/>
    <w:rsid w:val="00DC1645"/>
    <w:rsid w:val="00DC183D"/>
    <w:rsid w:val="00DC1CEA"/>
    <w:rsid w:val="00DC1F31"/>
    <w:rsid w:val="00DC21E8"/>
    <w:rsid w:val="00DC2648"/>
    <w:rsid w:val="00DC32F8"/>
    <w:rsid w:val="00DC3938"/>
    <w:rsid w:val="00DC3BF9"/>
    <w:rsid w:val="00DC4413"/>
    <w:rsid w:val="00DC4BE6"/>
    <w:rsid w:val="00DC4E8B"/>
    <w:rsid w:val="00DC5203"/>
    <w:rsid w:val="00DC52B2"/>
    <w:rsid w:val="00DC5984"/>
    <w:rsid w:val="00DC5A97"/>
    <w:rsid w:val="00DC6284"/>
    <w:rsid w:val="00DC651D"/>
    <w:rsid w:val="00DC6811"/>
    <w:rsid w:val="00DC7434"/>
    <w:rsid w:val="00DC75D7"/>
    <w:rsid w:val="00DC76D2"/>
    <w:rsid w:val="00DC76D9"/>
    <w:rsid w:val="00DC797C"/>
    <w:rsid w:val="00DC79BE"/>
    <w:rsid w:val="00DC7CFB"/>
    <w:rsid w:val="00DD008C"/>
    <w:rsid w:val="00DD00C2"/>
    <w:rsid w:val="00DD024F"/>
    <w:rsid w:val="00DD025A"/>
    <w:rsid w:val="00DD0A54"/>
    <w:rsid w:val="00DD0D88"/>
    <w:rsid w:val="00DD10B2"/>
    <w:rsid w:val="00DD111F"/>
    <w:rsid w:val="00DD11B3"/>
    <w:rsid w:val="00DD2353"/>
    <w:rsid w:val="00DD28E8"/>
    <w:rsid w:val="00DD3804"/>
    <w:rsid w:val="00DD4047"/>
    <w:rsid w:val="00DD4840"/>
    <w:rsid w:val="00DD4D71"/>
    <w:rsid w:val="00DD4F5E"/>
    <w:rsid w:val="00DD528E"/>
    <w:rsid w:val="00DD57EB"/>
    <w:rsid w:val="00DD5A21"/>
    <w:rsid w:val="00DD643B"/>
    <w:rsid w:val="00DD64D9"/>
    <w:rsid w:val="00DD690E"/>
    <w:rsid w:val="00DD6B83"/>
    <w:rsid w:val="00DD6C8E"/>
    <w:rsid w:val="00DD6CE7"/>
    <w:rsid w:val="00DD73F5"/>
    <w:rsid w:val="00DE0CE8"/>
    <w:rsid w:val="00DE0D28"/>
    <w:rsid w:val="00DE1952"/>
    <w:rsid w:val="00DE1E62"/>
    <w:rsid w:val="00DE1FD3"/>
    <w:rsid w:val="00DE2B23"/>
    <w:rsid w:val="00DE2D70"/>
    <w:rsid w:val="00DE326B"/>
    <w:rsid w:val="00DE365A"/>
    <w:rsid w:val="00DE374E"/>
    <w:rsid w:val="00DE3A61"/>
    <w:rsid w:val="00DE3AE3"/>
    <w:rsid w:val="00DE4390"/>
    <w:rsid w:val="00DE468B"/>
    <w:rsid w:val="00DE5890"/>
    <w:rsid w:val="00DE5955"/>
    <w:rsid w:val="00DE5BE7"/>
    <w:rsid w:val="00DE5EA6"/>
    <w:rsid w:val="00DE5F7B"/>
    <w:rsid w:val="00DE5F8C"/>
    <w:rsid w:val="00DE627D"/>
    <w:rsid w:val="00DE6458"/>
    <w:rsid w:val="00DE747E"/>
    <w:rsid w:val="00DF0BCA"/>
    <w:rsid w:val="00DF0E7D"/>
    <w:rsid w:val="00DF16D8"/>
    <w:rsid w:val="00DF1A21"/>
    <w:rsid w:val="00DF217E"/>
    <w:rsid w:val="00DF2536"/>
    <w:rsid w:val="00DF2A5D"/>
    <w:rsid w:val="00DF2BEE"/>
    <w:rsid w:val="00DF3D36"/>
    <w:rsid w:val="00DF3DC1"/>
    <w:rsid w:val="00DF458B"/>
    <w:rsid w:val="00DF4938"/>
    <w:rsid w:val="00DF4C0F"/>
    <w:rsid w:val="00DF50EC"/>
    <w:rsid w:val="00DF55A9"/>
    <w:rsid w:val="00DF5895"/>
    <w:rsid w:val="00DF64F6"/>
    <w:rsid w:val="00DF658C"/>
    <w:rsid w:val="00DF65FC"/>
    <w:rsid w:val="00DF6809"/>
    <w:rsid w:val="00DF70C7"/>
    <w:rsid w:val="00DF7613"/>
    <w:rsid w:val="00DF78F2"/>
    <w:rsid w:val="00E0057A"/>
    <w:rsid w:val="00E00830"/>
    <w:rsid w:val="00E00EE4"/>
    <w:rsid w:val="00E00FDA"/>
    <w:rsid w:val="00E01527"/>
    <w:rsid w:val="00E01E9C"/>
    <w:rsid w:val="00E024D4"/>
    <w:rsid w:val="00E0346E"/>
    <w:rsid w:val="00E03880"/>
    <w:rsid w:val="00E040D7"/>
    <w:rsid w:val="00E04323"/>
    <w:rsid w:val="00E045B2"/>
    <w:rsid w:val="00E04FEF"/>
    <w:rsid w:val="00E05C38"/>
    <w:rsid w:val="00E060AB"/>
    <w:rsid w:val="00E0663E"/>
    <w:rsid w:val="00E06F82"/>
    <w:rsid w:val="00E076B9"/>
    <w:rsid w:val="00E07CA9"/>
    <w:rsid w:val="00E104AF"/>
    <w:rsid w:val="00E10714"/>
    <w:rsid w:val="00E10C49"/>
    <w:rsid w:val="00E11819"/>
    <w:rsid w:val="00E12421"/>
    <w:rsid w:val="00E12443"/>
    <w:rsid w:val="00E12543"/>
    <w:rsid w:val="00E134A8"/>
    <w:rsid w:val="00E14349"/>
    <w:rsid w:val="00E14825"/>
    <w:rsid w:val="00E14C83"/>
    <w:rsid w:val="00E153F0"/>
    <w:rsid w:val="00E154B8"/>
    <w:rsid w:val="00E15AA3"/>
    <w:rsid w:val="00E15EDC"/>
    <w:rsid w:val="00E15FB3"/>
    <w:rsid w:val="00E1647A"/>
    <w:rsid w:val="00E16494"/>
    <w:rsid w:val="00E16573"/>
    <w:rsid w:val="00E16B1F"/>
    <w:rsid w:val="00E16BFA"/>
    <w:rsid w:val="00E171C2"/>
    <w:rsid w:val="00E17376"/>
    <w:rsid w:val="00E176A2"/>
    <w:rsid w:val="00E17FC2"/>
    <w:rsid w:val="00E20941"/>
    <w:rsid w:val="00E20A16"/>
    <w:rsid w:val="00E2103C"/>
    <w:rsid w:val="00E21BC2"/>
    <w:rsid w:val="00E222E2"/>
    <w:rsid w:val="00E225A9"/>
    <w:rsid w:val="00E22883"/>
    <w:rsid w:val="00E2310C"/>
    <w:rsid w:val="00E232E2"/>
    <w:rsid w:val="00E23428"/>
    <w:rsid w:val="00E2345D"/>
    <w:rsid w:val="00E242BE"/>
    <w:rsid w:val="00E243B3"/>
    <w:rsid w:val="00E25ADF"/>
    <w:rsid w:val="00E25C98"/>
    <w:rsid w:val="00E262EE"/>
    <w:rsid w:val="00E263A8"/>
    <w:rsid w:val="00E264C1"/>
    <w:rsid w:val="00E265DF"/>
    <w:rsid w:val="00E2660E"/>
    <w:rsid w:val="00E27C08"/>
    <w:rsid w:val="00E27D98"/>
    <w:rsid w:val="00E30620"/>
    <w:rsid w:val="00E30992"/>
    <w:rsid w:val="00E310DE"/>
    <w:rsid w:val="00E311FB"/>
    <w:rsid w:val="00E31228"/>
    <w:rsid w:val="00E31239"/>
    <w:rsid w:val="00E3134D"/>
    <w:rsid w:val="00E313E8"/>
    <w:rsid w:val="00E31D2D"/>
    <w:rsid w:val="00E3202A"/>
    <w:rsid w:val="00E322EF"/>
    <w:rsid w:val="00E323D7"/>
    <w:rsid w:val="00E32804"/>
    <w:rsid w:val="00E3320A"/>
    <w:rsid w:val="00E33AA2"/>
    <w:rsid w:val="00E34593"/>
    <w:rsid w:val="00E34610"/>
    <w:rsid w:val="00E3473B"/>
    <w:rsid w:val="00E34747"/>
    <w:rsid w:val="00E34C83"/>
    <w:rsid w:val="00E35024"/>
    <w:rsid w:val="00E35269"/>
    <w:rsid w:val="00E356FF"/>
    <w:rsid w:val="00E359BE"/>
    <w:rsid w:val="00E35A2F"/>
    <w:rsid w:val="00E35BB9"/>
    <w:rsid w:val="00E36A40"/>
    <w:rsid w:val="00E36A54"/>
    <w:rsid w:val="00E36E51"/>
    <w:rsid w:val="00E379BF"/>
    <w:rsid w:val="00E4096A"/>
    <w:rsid w:val="00E40E0F"/>
    <w:rsid w:val="00E41059"/>
    <w:rsid w:val="00E412EC"/>
    <w:rsid w:val="00E419F0"/>
    <w:rsid w:val="00E42263"/>
    <w:rsid w:val="00E4238C"/>
    <w:rsid w:val="00E43A75"/>
    <w:rsid w:val="00E43B8D"/>
    <w:rsid w:val="00E44135"/>
    <w:rsid w:val="00E44286"/>
    <w:rsid w:val="00E4443A"/>
    <w:rsid w:val="00E4456B"/>
    <w:rsid w:val="00E44780"/>
    <w:rsid w:val="00E4590E"/>
    <w:rsid w:val="00E45D67"/>
    <w:rsid w:val="00E466A4"/>
    <w:rsid w:val="00E46FFE"/>
    <w:rsid w:val="00E47F1C"/>
    <w:rsid w:val="00E50512"/>
    <w:rsid w:val="00E5060C"/>
    <w:rsid w:val="00E512FF"/>
    <w:rsid w:val="00E5185A"/>
    <w:rsid w:val="00E52321"/>
    <w:rsid w:val="00E525E7"/>
    <w:rsid w:val="00E52798"/>
    <w:rsid w:val="00E52860"/>
    <w:rsid w:val="00E5408A"/>
    <w:rsid w:val="00E541C3"/>
    <w:rsid w:val="00E54580"/>
    <w:rsid w:val="00E54581"/>
    <w:rsid w:val="00E5473A"/>
    <w:rsid w:val="00E54823"/>
    <w:rsid w:val="00E54B23"/>
    <w:rsid w:val="00E54BE5"/>
    <w:rsid w:val="00E550CC"/>
    <w:rsid w:val="00E55177"/>
    <w:rsid w:val="00E557EE"/>
    <w:rsid w:val="00E558F9"/>
    <w:rsid w:val="00E559CA"/>
    <w:rsid w:val="00E55CC9"/>
    <w:rsid w:val="00E5601F"/>
    <w:rsid w:val="00E56401"/>
    <w:rsid w:val="00E56623"/>
    <w:rsid w:val="00E566DE"/>
    <w:rsid w:val="00E56735"/>
    <w:rsid w:val="00E56892"/>
    <w:rsid w:val="00E56910"/>
    <w:rsid w:val="00E60445"/>
    <w:rsid w:val="00E6096B"/>
    <w:rsid w:val="00E60B72"/>
    <w:rsid w:val="00E60D91"/>
    <w:rsid w:val="00E619DB"/>
    <w:rsid w:val="00E62342"/>
    <w:rsid w:val="00E624C4"/>
    <w:rsid w:val="00E624D1"/>
    <w:rsid w:val="00E6295D"/>
    <w:rsid w:val="00E62F46"/>
    <w:rsid w:val="00E63A5A"/>
    <w:rsid w:val="00E64315"/>
    <w:rsid w:val="00E645EB"/>
    <w:rsid w:val="00E64E19"/>
    <w:rsid w:val="00E65804"/>
    <w:rsid w:val="00E661A0"/>
    <w:rsid w:val="00E6699B"/>
    <w:rsid w:val="00E66A0E"/>
    <w:rsid w:val="00E66D09"/>
    <w:rsid w:val="00E66DEB"/>
    <w:rsid w:val="00E67AF9"/>
    <w:rsid w:val="00E67B88"/>
    <w:rsid w:val="00E705CA"/>
    <w:rsid w:val="00E709A2"/>
    <w:rsid w:val="00E70A7C"/>
    <w:rsid w:val="00E70BBB"/>
    <w:rsid w:val="00E70CD3"/>
    <w:rsid w:val="00E71151"/>
    <w:rsid w:val="00E7121B"/>
    <w:rsid w:val="00E71809"/>
    <w:rsid w:val="00E71BF5"/>
    <w:rsid w:val="00E72C43"/>
    <w:rsid w:val="00E734F8"/>
    <w:rsid w:val="00E735D0"/>
    <w:rsid w:val="00E738B3"/>
    <w:rsid w:val="00E73D53"/>
    <w:rsid w:val="00E74758"/>
    <w:rsid w:val="00E748C0"/>
    <w:rsid w:val="00E74AB4"/>
    <w:rsid w:val="00E75348"/>
    <w:rsid w:val="00E7553B"/>
    <w:rsid w:val="00E7555A"/>
    <w:rsid w:val="00E7587F"/>
    <w:rsid w:val="00E7588A"/>
    <w:rsid w:val="00E75A2F"/>
    <w:rsid w:val="00E75B40"/>
    <w:rsid w:val="00E761B7"/>
    <w:rsid w:val="00E76552"/>
    <w:rsid w:val="00E76735"/>
    <w:rsid w:val="00E768A3"/>
    <w:rsid w:val="00E768F9"/>
    <w:rsid w:val="00E771D4"/>
    <w:rsid w:val="00E772A2"/>
    <w:rsid w:val="00E775E2"/>
    <w:rsid w:val="00E77F7A"/>
    <w:rsid w:val="00E806B2"/>
    <w:rsid w:val="00E80B65"/>
    <w:rsid w:val="00E80F35"/>
    <w:rsid w:val="00E80FE8"/>
    <w:rsid w:val="00E81402"/>
    <w:rsid w:val="00E8164B"/>
    <w:rsid w:val="00E8191C"/>
    <w:rsid w:val="00E81D19"/>
    <w:rsid w:val="00E81E4B"/>
    <w:rsid w:val="00E82161"/>
    <w:rsid w:val="00E82E7B"/>
    <w:rsid w:val="00E835CE"/>
    <w:rsid w:val="00E83F57"/>
    <w:rsid w:val="00E847F0"/>
    <w:rsid w:val="00E84812"/>
    <w:rsid w:val="00E848C6"/>
    <w:rsid w:val="00E84B86"/>
    <w:rsid w:val="00E84CBF"/>
    <w:rsid w:val="00E84F4D"/>
    <w:rsid w:val="00E85401"/>
    <w:rsid w:val="00E86251"/>
    <w:rsid w:val="00E8682C"/>
    <w:rsid w:val="00E86A3B"/>
    <w:rsid w:val="00E87223"/>
    <w:rsid w:val="00E90249"/>
    <w:rsid w:val="00E90FAB"/>
    <w:rsid w:val="00E9157B"/>
    <w:rsid w:val="00E915A9"/>
    <w:rsid w:val="00E91844"/>
    <w:rsid w:val="00E91A12"/>
    <w:rsid w:val="00E91AAF"/>
    <w:rsid w:val="00E92023"/>
    <w:rsid w:val="00E92066"/>
    <w:rsid w:val="00E92368"/>
    <w:rsid w:val="00E92C99"/>
    <w:rsid w:val="00E92F0E"/>
    <w:rsid w:val="00E93246"/>
    <w:rsid w:val="00E943AD"/>
    <w:rsid w:val="00E95559"/>
    <w:rsid w:val="00E95586"/>
    <w:rsid w:val="00E95689"/>
    <w:rsid w:val="00E957DB"/>
    <w:rsid w:val="00E9597F"/>
    <w:rsid w:val="00E95AD3"/>
    <w:rsid w:val="00E95D9A"/>
    <w:rsid w:val="00E95DE0"/>
    <w:rsid w:val="00E96055"/>
    <w:rsid w:val="00E96705"/>
    <w:rsid w:val="00E970EA"/>
    <w:rsid w:val="00E972DF"/>
    <w:rsid w:val="00E97324"/>
    <w:rsid w:val="00E97DE4"/>
    <w:rsid w:val="00EA07DA"/>
    <w:rsid w:val="00EA1628"/>
    <w:rsid w:val="00EA174C"/>
    <w:rsid w:val="00EA178D"/>
    <w:rsid w:val="00EA2D3C"/>
    <w:rsid w:val="00EA3369"/>
    <w:rsid w:val="00EA3E0B"/>
    <w:rsid w:val="00EA3F5F"/>
    <w:rsid w:val="00EA416A"/>
    <w:rsid w:val="00EA41AA"/>
    <w:rsid w:val="00EA4363"/>
    <w:rsid w:val="00EA4A6D"/>
    <w:rsid w:val="00EA4C57"/>
    <w:rsid w:val="00EA5637"/>
    <w:rsid w:val="00EA57BB"/>
    <w:rsid w:val="00EA624D"/>
    <w:rsid w:val="00EA6407"/>
    <w:rsid w:val="00EA67DB"/>
    <w:rsid w:val="00EA681D"/>
    <w:rsid w:val="00EA7F6D"/>
    <w:rsid w:val="00EB12C6"/>
    <w:rsid w:val="00EB1BDD"/>
    <w:rsid w:val="00EB1BEA"/>
    <w:rsid w:val="00EB1C4B"/>
    <w:rsid w:val="00EB1D1C"/>
    <w:rsid w:val="00EB2391"/>
    <w:rsid w:val="00EB2900"/>
    <w:rsid w:val="00EB319D"/>
    <w:rsid w:val="00EB3228"/>
    <w:rsid w:val="00EB34DC"/>
    <w:rsid w:val="00EB3AFA"/>
    <w:rsid w:val="00EB3B09"/>
    <w:rsid w:val="00EB3D40"/>
    <w:rsid w:val="00EB4264"/>
    <w:rsid w:val="00EB4AE8"/>
    <w:rsid w:val="00EB4D96"/>
    <w:rsid w:val="00EB5091"/>
    <w:rsid w:val="00EB5A4C"/>
    <w:rsid w:val="00EB5F2C"/>
    <w:rsid w:val="00EB6484"/>
    <w:rsid w:val="00EB662F"/>
    <w:rsid w:val="00EB68E9"/>
    <w:rsid w:val="00EB6EDB"/>
    <w:rsid w:val="00EB75E1"/>
    <w:rsid w:val="00EB789A"/>
    <w:rsid w:val="00EB79B7"/>
    <w:rsid w:val="00EC0165"/>
    <w:rsid w:val="00EC04C2"/>
    <w:rsid w:val="00EC0507"/>
    <w:rsid w:val="00EC0EE8"/>
    <w:rsid w:val="00EC102A"/>
    <w:rsid w:val="00EC1178"/>
    <w:rsid w:val="00EC1FBC"/>
    <w:rsid w:val="00EC239B"/>
    <w:rsid w:val="00EC2CF3"/>
    <w:rsid w:val="00EC30AC"/>
    <w:rsid w:val="00EC3758"/>
    <w:rsid w:val="00EC3CA2"/>
    <w:rsid w:val="00EC520A"/>
    <w:rsid w:val="00EC577D"/>
    <w:rsid w:val="00EC621C"/>
    <w:rsid w:val="00EC6265"/>
    <w:rsid w:val="00EC62E8"/>
    <w:rsid w:val="00EC698B"/>
    <w:rsid w:val="00EC69E6"/>
    <w:rsid w:val="00EC6C19"/>
    <w:rsid w:val="00EC756B"/>
    <w:rsid w:val="00EC77FC"/>
    <w:rsid w:val="00EC7A65"/>
    <w:rsid w:val="00EC7B0C"/>
    <w:rsid w:val="00ED0238"/>
    <w:rsid w:val="00ED0B06"/>
    <w:rsid w:val="00ED0CE8"/>
    <w:rsid w:val="00ED0FCD"/>
    <w:rsid w:val="00ED14B0"/>
    <w:rsid w:val="00ED1880"/>
    <w:rsid w:val="00ED2224"/>
    <w:rsid w:val="00ED23DC"/>
    <w:rsid w:val="00ED23DE"/>
    <w:rsid w:val="00ED2E9F"/>
    <w:rsid w:val="00ED2F8B"/>
    <w:rsid w:val="00ED30E3"/>
    <w:rsid w:val="00ED342A"/>
    <w:rsid w:val="00ED34D8"/>
    <w:rsid w:val="00ED3703"/>
    <w:rsid w:val="00ED3DC0"/>
    <w:rsid w:val="00ED4397"/>
    <w:rsid w:val="00ED4631"/>
    <w:rsid w:val="00ED49CD"/>
    <w:rsid w:val="00ED4F0A"/>
    <w:rsid w:val="00ED67A1"/>
    <w:rsid w:val="00ED6901"/>
    <w:rsid w:val="00ED6999"/>
    <w:rsid w:val="00ED6C16"/>
    <w:rsid w:val="00ED7109"/>
    <w:rsid w:val="00ED71F9"/>
    <w:rsid w:val="00ED733B"/>
    <w:rsid w:val="00EE04E3"/>
    <w:rsid w:val="00EE0A12"/>
    <w:rsid w:val="00EE0C11"/>
    <w:rsid w:val="00EE0D3F"/>
    <w:rsid w:val="00EE0F13"/>
    <w:rsid w:val="00EE1664"/>
    <w:rsid w:val="00EE1CDA"/>
    <w:rsid w:val="00EE1F25"/>
    <w:rsid w:val="00EE2022"/>
    <w:rsid w:val="00EE3B53"/>
    <w:rsid w:val="00EE402B"/>
    <w:rsid w:val="00EE4D02"/>
    <w:rsid w:val="00EE5B11"/>
    <w:rsid w:val="00EE70BB"/>
    <w:rsid w:val="00EE7437"/>
    <w:rsid w:val="00EE74CB"/>
    <w:rsid w:val="00EE76A1"/>
    <w:rsid w:val="00EF04C8"/>
    <w:rsid w:val="00EF0D09"/>
    <w:rsid w:val="00EF0F33"/>
    <w:rsid w:val="00EF10FA"/>
    <w:rsid w:val="00EF1692"/>
    <w:rsid w:val="00EF18CC"/>
    <w:rsid w:val="00EF18FA"/>
    <w:rsid w:val="00EF2070"/>
    <w:rsid w:val="00EF2C98"/>
    <w:rsid w:val="00EF2F69"/>
    <w:rsid w:val="00EF36A6"/>
    <w:rsid w:val="00EF3B5D"/>
    <w:rsid w:val="00EF43EE"/>
    <w:rsid w:val="00EF5674"/>
    <w:rsid w:val="00EF5B13"/>
    <w:rsid w:val="00EF7925"/>
    <w:rsid w:val="00EF794C"/>
    <w:rsid w:val="00EF7D9C"/>
    <w:rsid w:val="00EF7F35"/>
    <w:rsid w:val="00F0012E"/>
    <w:rsid w:val="00F01277"/>
    <w:rsid w:val="00F0157F"/>
    <w:rsid w:val="00F02503"/>
    <w:rsid w:val="00F0250F"/>
    <w:rsid w:val="00F02AC8"/>
    <w:rsid w:val="00F02FD1"/>
    <w:rsid w:val="00F0315F"/>
    <w:rsid w:val="00F03261"/>
    <w:rsid w:val="00F035A1"/>
    <w:rsid w:val="00F03962"/>
    <w:rsid w:val="00F03F08"/>
    <w:rsid w:val="00F044D2"/>
    <w:rsid w:val="00F0496B"/>
    <w:rsid w:val="00F04BDF"/>
    <w:rsid w:val="00F04F3E"/>
    <w:rsid w:val="00F04FB4"/>
    <w:rsid w:val="00F0510B"/>
    <w:rsid w:val="00F05304"/>
    <w:rsid w:val="00F05411"/>
    <w:rsid w:val="00F05460"/>
    <w:rsid w:val="00F05756"/>
    <w:rsid w:val="00F06794"/>
    <w:rsid w:val="00F06AA9"/>
    <w:rsid w:val="00F0737C"/>
    <w:rsid w:val="00F07641"/>
    <w:rsid w:val="00F10565"/>
    <w:rsid w:val="00F105F6"/>
    <w:rsid w:val="00F10B7E"/>
    <w:rsid w:val="00F10F7B"/>
    <w:rsid w:val="00F11948"/>
    <w:rsid w:val="00F11970"/>
    <w:rsid w:val="00F11A81"/>
    <w:rsid w:val="00F11C13"/>
    <w:rsid w:val="00F129FD"/>
    <w:rsid w:val="00F12E90"/>
    <w:rsid w:val="00F12F20"/>
    <w:rsid w:val="00F13D33"/>
    <w:rsid w:val="00F1483A"/>
    <w:rsid w:val="00F14C70"/>
    <w:rsid w:val="00F150FC"/>
    <w:rsid w:val="00F151AE"/>
    <w:rsid w:val="00F153D3"/>
    <w:rsid w:val="00F15A31"/>
    <w:rsid w:val="00F15B48"/>
    <w:rsid w:val="00F15F2E"/>
    <w:rsid w:val="00F16143"/>
    <w:rsid w:val="00F161DC"/>
    <w:rsid w:val="00F16DD5"/>
    <w:rsid w:val="00F17034"/>
    <w:rsid w:val="00F172AE"/>
    <w:rsid w:val="00F17976"/>
    <w:rsid w:val="00F17C32"/>
    <w:rsid w:val="00F17C9C"/>
    <w:rsid w:val="00F20300"/>
    <w:rsid w:val="00F205EB"/>
    <w:rsid w:val="00F209BB"/>
    <w:rsid w:val="00F212C4"/>
    <w:rsid w:val="00F2166D"/>
    <w:rsid w:val="00F21C6B"/>
    <w:rsid w:val="00F21D86"/>
    <w:rsid w:val="00F22073"/>
    <w:rsid w:val="00F2276B"/>
    <w:rsid w:val="00F227C3"/>
    <w:rsid w:val="00F230AD"/>
    <w:rsid w:val="00F2310A"/>
    <w:rsid w:val="00F2376F"/>
    <w:rsid w:val="00F2398D"/>
    <w:rsid w:val="00F24370"/>
    <w:rsid w:val="00F2440E"/>
    <w:rsid w:val="00F251D0"/>
    <w:rsid w:val="00F254AE"/>
    <w:rsid w:val="00F2555A"/>
    <w:rsid w:val="00F255D7"/>
    <w:rsid w:val="00F25877"/>
    <w:rsid w:val="00F25DED"/>
    <w:rsid w:val="00F25E38"/>
    <w:rsid w:val="00F25F0A"/>
    <w:rsid w:val="00F264D0"/>
    <w:rsid w:val="00F2660D"/>
    <w:rsid w:val="00F26D95"/>
    <w:rsid w:val="00F27134"/>
    <w:rsid w:val="00F2738E"/>
    <w:rsid w:val="00F274A5"/>
    <w:rsid w:val="00F27BE3"/>
    <w:rsid w:val="00F308DE"/>
    <w:rsid w:val="00F3112B"/>
    <w:rsid w:val="00F31658"/>
    <w:rsid w:val="00F321BB"/>
    <w:rsid w:val="00F322F6"/>
    <w:rsid w:val="00F3231E"/>
    <w:rsid w:val="00F323FE"/>
    <w:rsid w:val="00F32706"/>
    <w:rsid w:val="00F3305B"/>
    <w:rsid w:val="00F33C29"/>
    <w:rsid w:val="00F33D1A"/>
    <w:rsid w:val="00F33E3C"/>
    <w:rsid w:val="00F346B4"/>
    <w:rsid w:val="00F35446"/>
    <w:rsid w:val="00F35577"/>
    <w:rsid w:val="00F35C75"/>
    <w:rsid w:val="00F36432"/>
    <w:rsid w:val="00F36BFF"/>
    <w:rsid w:val="00F36C1F"/>
    <w:rsid w:val="00F36DFB"/>
    <w:rsid w:val="00F36E0B"/>
    <w:rsid w:val="00F3739E"/>
    <w:rsid w:val="00F374C2"/>
    <w:rsid w:val="00F375AD"/>
    <w:rsid w:val="00F4030F"/>
    <w:rsid w:val="00F40A7B"/>
    <w:rsid w:val="00F40DA0"/>
    <w:rsid w:val="00F40EFB"/>
    <w:rsid w:val="00F41A62"/>
    <w:rsid w:val="00F41D91"/>
    <w:rsid w:val="00F41DBA"/>
    <w:rsid w:val="00F41F31"/>
    <w:rsid w:val="00F42290"/>
    <w:rsid w:val="00F42CA0"/>
    <w:rsid w:val="00F43969"/>
    <w:rsid w:val="00F43C95"/>
    <w:rsid w:val="00F44150"/>
    <w:rsid w:val="00F44227"/>
    <w:rsid w:val="00F4422F"/>
    <w:rsid w:val="00F44433"/>
    <w:rsid w:val="00F45599"/>
    <w:rsid w:val="00F45A11"/>
    <w:rsid w:val="00F45D7C"/>
    <w:rsid w:val="00F46ADB"/>
    <w:rsid w:val="00F470DC"/>
    <w:rsid w:val="00F471A3"/>
    <w:rsid w:val="00F472FB"/>
    <w:rsid w:val="00F47580"/>
    <w:rsid w:val="00F4764D"/>
    <w:rsid w:val="00F47738"/>
    <w:rsid w:val="00F47801"/>
    <w:rsid w:val="00F479FD"/>
    <w:rsid w:val="00F47C8C"/>
    <w:rsid w:val="00F50599"/>
    <w:rsid w:val="00F50CF5"/>
    <w:rsid w:val="00F51847"/>
    <w:rsid w:val="00F519D9"/>
    <w:rsid w:val="00F51B7F"/>
    <w:rsid w:val="00F521EA"/>
    <w:rsid w:val="00F52FCD"/>
    <w:rsid w:val="00F530D0"/>
    <w:rsid w:val="00F5358A"/>
    <w:rsid w:val="00F536C7"/>
    <w:rsid w:val="00F537DB"/>
    <w:rsid w:val="00F537EB"/>
    <w:rsid w:val="00F53802"/>
    <w:rsid w:val="00F546B2"/>
    <w:rsid w:val="00F54A98"/>
    <w:rsid w:val="00F55409"/>
    <w:rsid w:val="00F55869"/>
    <w:rsid w:val="00F5609C"/>
    <w:rsid w:val="00F5689C"/>
    <w:rsid w:val="00F56CB4"/>
    <w:rsid w:val="00F56D4F"/>
    <w:rsid w:val="00F57429"/>
    <w:rsid w:val="00F576F7"/>
    <w:rsid w:val="00F57BF9"/>
    <w:rsid w:val="00F6034C"/>
    <w:rsid w:val="00F60899"/>
    <w:rsid w:val="00F60EE4"/>
    <w:rsid w:val="00F614E0"/>
    <w:rsid w:val="00F61740"/>
    <w:rsid w:val="00F621DF"/>
    <w:rsid w:val="00F628E8"/>
    <w:rsid w:val="00F62BA7"/>
    <w:rsid w:val="00F62C28"/>
    <w:rsid w:val="00F62DEC"/>
    <w:rsid w:val="00F6437E"/>
    <w:rsid w:val="00F6451D"/>
    <w:rsid w:val="00F646A0"/>
    <w:rsid w:val="00F6478E"/>
    <w:rsid w:val="00F64D61"/>
    <w:rsid w:val="00F64DFE"/>
    <w:rsid w:val="00F654A8"/>
    <w:rsid w:val="00F65ABF"/>
    <w:rsid w:val="00F6621E"/>
    <w:rsid w:val="00F66506"/>
    <w:rsid w:val="00F667A5"/>
    <w:rsid w:val="00F668EB"/>
    <w:rsid w:val="00F66AEA"/>
    <w:rsid w:val="00F66FCF"/>
    <w:rsid w:val="00F6718A"/>
    <w:rsid w:val="00F67227"/>
    <w:rsid w:val="00F6731D"/>
    <w:rsid w:val="00F67458"/>
    <w:rsid w:val="00F67538"/>
    <w:rsid w:val="00F67596"/>
    <w:rsid w:val="00F676E4"/>
    <w:rsid w:val="00F67EF8"/>
    <w:rsid w:val="00F70249"/>
    <w:rsid w:val="00F7060D"/>
    <w:rsid w:val="00F708A6"/>
    <w:rsid w:val="00F70D27"/>
    <w:rsid w:val="00F710A7"/>
    <w:rsid w:val="00F71B7E"/>
    <w:rsid w:val="00F71F6B"/>
    <w:rsid w:val="00F723D2"/>
    <w:rsid w:val="00F7253C"/>
    <w:rsid w:val="00F72825"/>
    <w:rsid w:val="00F72DE5"/>
    <w:rsid w:val="00F72F7B"/>
    <w:rsid w:val="00F73D44"/>
    <w:rsid w:val="00F73ED8"/>
    <w:rsid w:val="00F7401D"/>
    <w:rsid w:val="00F74091"/>
    <w:rsid w:val="00F74350"/>
    <w:rsid w:val="00F74469"/>
    <w:rsid w:val="00F747D6"/>
    <w:rsid w:val="00F7497B"/>
    <w:rsid w:val="00F74997"/>
    <w:rsid w:val="00F75861"/>
    <w:rsid w:val="00F75E7B"/>
    <w:rsid w:val="00F76079"/>
    <w:rsid w:val="00F76139"/>
    <w:rsid w:val="00F7616F"/>
    <w:rsid w:val="00F77468"/>
    <w:rsid w:val="00F7760B"/>
    <w:rsid w:val="00F77B1B"/>
    <w:rsid w:val="00F77CE0"/>
    <w:rsid w:val="00F803A6"/>
    <w:rsid w:val="00F8188F"/>
    <w:rsid w:val="00F81F72"/>
    <w:rsid w:val="00F824D0"/>
    <w:rsid w:val="00F82B4D"/>
    <w:rsid w:val="00F83655"/>
    <w:rsid w:val="00F83717"/>
    <w:rsid w:val="00F8371E"/>
    <w:rsid w:val="00F83CFB"/>
    <w:rsid w:val="00F83E1B"/>
    <w:rsid w:val="00F83E3F"/>
    <w:rsid w:val="00F83EF9"/>
    <w:rsid w:val="00F84063"/>
    <w:rsid w:val="00F841DD"/>
    <w:rsid w:val="00F843C0"/>
    <w:rsid w:val="00F84C59"/>
    <w:rsid w:val="00F84D5E"/>
    <w:rsid w:val="00F85064"/>
    <w:rsid w:val="00F853CC"/>
    <w:rsid w:val="00F85FA2"/>
    <w:rsid w:val="00F8618A"/>
    <w:rsid w:val="00F86714"/>
    <w:rsid w:val="00F86DC6"/>
    <w:rsid w:val="00F87669"/>
    <w:rsid w:val="00F87C79"/>
    <w:rsid w:val="00F87E10"/>
    <w:rsid w:val="00F87E93"/>
    <w:rsid w:val="00F90070"/>
    <w:rsid w:val="00F90137"/>
    <w:rsid w:val="00F9040A"/>
    <w:rsid w:val="00F90B68"/>
    <w:rsid w:val="00F90E3A"/>
    <w:rsid w:val="00F91A7E"/>
    <w:rsid w:val="00F91BD8"/>
    <w:rsid w:val="00F91CA2"/>
    <w:rsid w:val="00F926FB"/>
    <w:rsid w:val="00F9323B"/>
    <w:rsid w:val="00F93FE3"/>
    <w:rsid w:val="00F94051"/>
    <w:rsid w:val="00F940E9"/>
    <w:rsid w:val="00F94A06"/>
    <w:rsid w:val="00F95863"/>
    <w:rsid w:val="00F95DDA"/>
    <w:rsid w:val="00F96915"/>
    <w:rsid w:val="00F96B39"/>
    <w:rsid w:val="00F9790C"/>
    <w:rsid w:val="00FA02A8"/>
    <w:rsid w:val="00FA04FC"/>
    <w:rsid w:val="00FA05F8"/>
    <w:rsid w:val="00FA08AC"/>
    <w:rsid w:val="00FA0BFE"/>
    <w:rsid w:val="00FA1566"/>
    <w:rsid w:val="00FA19BE"/>
    <w:rsid w:val="00FA1C76"/>
    <w:rsid w:val="00FA1E3B"/>
    <w:rsid w:val="00FA2451"/>
    <w:rsid w:val="00FA2745"/>
    <w:rsid w:val="00FA28AD"/>
    <w:rsid w:val="00FA2EB1"/>
    <w:rsid w:val="00FA315F"/>
    <w:rsid w:val="00FA3B32"/>
    <w:rsid w:val="00FA3DC3"/>
    <w:rsid w:val="00FA477B"/>
    <w:rsid w:val="00FA4AA6"/>
    <w:rsid w:val="00FA4E29"/>
    <w:rsid w:val="00FA5755"/>
    <w:rsid w:val="00FA6793"/>
    <w:rsid w:val="00FA721C"/>
    <w:rsid w:val="00FA72F1"/>
    <w:rsid w:val="00FA7760"/>
    <w:rsid w:val="00FA7E29"/>
    <w:rsid w:val="00FB02F4"/>
    <w:rsid w:val="00FB02FE"/>
    <w:rsid w:val="00FB0990"/>
    <w:rsid w:val="00FB0A15"/>
    <w:rsid w:val="00FB0C07"/>
    <w:rsid w:val="00FB15B2"/>
    <w:rsid w:val="00FB1674"/>
    <w:rsid w:val="00FB26A0"/>
    <w:rsid w:val="00FB26D2"/>
    <w:rsid w:val="00FB2738"/>
    <w:rsid w:val="00FB2C30"/>
    <w:rsid w:val="00FB2E9D"/>
    <w:rsid w:val="00FB2EF2"/>
    <w:rsid w:val="00FB3499"/>
    <w:rsid w:val="00FB3567"/>
    <w:rsid w:val="00FB476E"/>
    <w:rsid w:val="00FB484E"/>
    <w:rsid w:val="00FB49C9"/>
    <w:rsid w:val="00FB4DF0"/>
    <w:rsid w:val="00FB5203"/>
    <w:rsid w:val="00FB52C3"/>
    <w:rsid w:val="00FB54BC"/>
    <w:rsid w:val="00FB5835"/>
    <w:rsid w:val="00FB5DD8"/>
    <w:rsid w:val="00FB6236"/>
    <w:rsid w:val="00FB62A1"/>
    <w:rsid w:val="00FB636A"/>
    <w:rsid w:val="00FB6516"/>
    <w:rsid w:val="00FB77DD"/>
    <w:rsid w:val="00FB7AF5"/>
    <w:rsid w:val="00FB7BC2"/>
    <w:rsid w:val="00FC056F"/>
    <w:rsid w:val="00FC05EA"/>
    <w:rsid w:val="00FC1299"/>
    <w:rsid w:val="00FC1345"/>
    <w:rsid w:val="00FC13FF"/>
    <w:rsid w:val="00FC1ABF"/>
    <w:rsid w:val="00FC1E07"/>
    <w:rsid w:val="00FC2490"/>
    <w:rsid w:val="00FC25AE"/>
    <w:rsid w:val="00FC2765"/>
    <w:rsid w:val="00FC3157"/>
    <w:rsid w:val="00FC346B"/>
    <w:rsid w:val="00FC3965"/>
    <w:rsid w:val="00FC396B"/>
    <w:rsid w:val="00FC3B0E"/>
    <w:rsid w:val="00FC3C2B"/>
    <w:rsid w:val="00FC3DC5"/>
    <w:rsid w:val="00FC458F"/>
    <w:rsid w:val="00FC4D76"/>
    <w:rsid w:val="00FC5305"/>
    <w:rsid w:val="00FC5B9F"/>
    <w:rsid w:val="00FC5C8F"/>
    <w:rsid w:val="00FC686D"/>
    <w:rsid w:val="00FC6E02"/>
    <w:rsid w:val="00FC71D8"/>
    <w:rsid w:val="00FC7334"/>
    <w:rsid w:val="00FC78C7"/>
    <w:rsid w:val="00FC9CB4"/>
    <w:rsid w:val="00FD0AE8"/>
    <w:rsid w:val="00FD1A84"/>
    <w:rsid w:val="00FD211F"/>
    <w:rsid w:val="00FD247D"/>
    <w:rsid w:val="00FD2580"/>
    <w:rsid w:val="00FD27F7"/>
    <w:rsid w:val="00FD28CC"/>
    <w:rsid w:val="00FD2A2A"/>
    <w:rsid w:val="00FD2A3F"/>
    <w:rsid w:val="00FD303C"/>
    <w:rsid w:val="00FD31CA"/>
    <w:rsid w:val="00FD3559"/>
    <w:rsid w:val="00FD36C0"/>
    <w:rsid w:val="00FD371A"/>
    <w:rsid w:val="00FD3D07"/>
    <w:rsid w:val="00FD4138"/>
    <w:rsid w:val="00FD48C5"/>
    <w:rsid w:val="00FD502F"/>
    <w:rsid w:val="00FD58CF"/>
    <w:rsid w:val="00FD5DAD"/>
    <w:rsid w:val="00FD5F88"/>
    <w:rsid w:val="00FD74ED"/>
    <w:rsid w:val="00FD7F18"/>
    <w:rsid w:val="00FE039B"/>
    <w:rsid w:val="00FE0783"/>
    <w:rsid w:val="00FE0D71"/>
    <w:rsid w:val="00FE1049"/>
    <w:rsid w:val="00FE1107"/>
    <w:rsid w:val="00FE2A58"/>
    <w:rsid w:val="00FE2B4B"/>
    <w:rsid w:val="00FE2CE6"/>
    <w:rsid w:val="00FE353E"/>
    <w:rsid w:val="00FE3760"/>
    <w:rsid w:val="00FE3954"/>
    <w:rsid w:val="00FE4388"/>
    <w:rsid w:val="00FE4827"/>
    <w:rsid w:val="00FE51C7"/>
    <w:rsid w:val="00FE53A3"/>
    <w:rsid w:val="00FE5527"/>
    <w:rsid w:val="00FE5B9C"/>
    <w:rsid w:val="00FE673E"/>
    <w:rsid w:val="00FE6776"/>
    <w:rsid w:val="00FE6E0A"/>
    <w:rsid w:val="00FE7612"/>
    <w:rsid w:val="00FE770C"/>
    <w:rsid w:val="00FE7734"/>
    <w:rsid w:val="00FF079F"/>
    <w:rsid w:val="00FF0BB3"/>
    <w:rsid w:val="00FF0C00"/>
    <w:rsid w:val="00FF14D7"/>
    <w:rsid w:val="00FF1D01"/>
    <w:rsid w:val="00FF1DCA"/>
    <w:rsid w:val="00FF1E0E"/>
    <w:rsid w:val="00FF2C88"/>
    <w:rsid w:val="00FF304D"/>
    <w:rsid w:val="00FF3454"/>
    <w:rsid w:val="00FF37B8"/>
    <w:rsid w:val="00FF3BD3"/>
    <w:rsid w:val="00FF3FF1"/>
    <w:rsid w:val="00FF41C6"/>
    <w:rsid w:val="00FF4591"/>
    <w:rsid w:val="00FF46CE"/>
    <w:rsid w:val="00FF499A"/>
    <w:rsid w:val="00FF4ACA"/>
    <w:rsid w:val="00FF4D06"/>
    <w:rsid w:val="00FF4DFF"/>
    <w:rsid w:val="00FF4E11"/>
    <w:rsid w:val="00FF5160"/>
    <w:rsid w:val="00FF5216"/>
    <w:rsid w:val="00FF5488"/>
    <w:rsid w:val="00FF5531"/>
    <w:rsid w:val="00FF60C6"/>
    <w:rsid w:val="00FF63AE"/>
    <w:rsid w:val="00FF6409"/>
    <w:rsid w:val="00FF65C1"/>
    <w:rsid w:val="00FF7873"/>
    <w:rsid w:val="0107412E"/>
    <w:rsid w:val="01308225"/>
    <w:rsid w:val="015CF822"/>
    <w:rsid w:val="03B8C4C6"/>
    <w:rsid w:val="042037DE"/>
    <w:rsid w:val="0479C9DB"/>
    <w:rsid w:val="061DEFCE"/>
    <w:rsid w:val="062CEE83"/>
    <w:rsid w:val="066C6E12"/>
    <w:rsid w:val="0694D5F2"/>
    <w:rsid w:val="06C74472"/>
    <w:rsid w:val="06C7A6FE"/>
    <w:rsid w:val="07541082"/>
    <w:rsid w:val="0756E719"/>
    <w:rsid w:val="076543BE"/>
    <w:rsid w:val="0807E8C4"/>
    <w:rsid w:val="08B6775F"/>
    <w:rsid w:val="09779084"/>
    <w:rsid w:val="09EC6422"/>
    <w:rsid w:val="0B206DD7"/>
    <w:rsid w:val="0BC8BAC9"/>
    <w:rsid w:val="0C6902EA"/>
    <w:rsid w:val="0CCAA05D"/>
    <w:rsid w:val="0ECCC238"/>
    <w:rsid w:val="0F70183A"/>
    <w:rsid w:val="0F81A5AA"/>
    <w:rsid w:val="0FB298C0"/>
    <w:rsid w:val="0FB2E41A"/>
    <w:rsid w:val="104D48BE"/>
    <w:rsid w:val="11116633"/>
    <w:rsid w:val="113D02EF"/>
    <w:rsid w:val="115AFA78"/>
    <w:rsid w:val="1174B5FE"/>
    <w:rsid w:val="11FD5C63"/>
    <w:rsid w:val="12D8E67E"/>
    <w:rsid w:val="146EB5DF"/>
    <w:rsid w:val="146EECCD"/>
    <w:rsid w:val="14BB92DE"/>
    <w:rsid w:val="14C3F61E"/>
    <w:rsid w:val="14EA67DB"/>
    <w:rsid w:val="160EFE41"/>
    <w:rsid w:val="174A8EBA"/>
    <w:rsid w:val="180EC9F5"/>
    <w:rsid w:val="19DC1A4C"/>
    <w:rsid w:val="19F3CABD"/>
    <w:rsid w:val="1A5552BD"/>
    <w:rsid w:val="1AD56BEA"/>
    <w:rsid w:val="1B59AD7C"/>
    <w:rsid w:val="1BB6A870"/>
    <w:rsid w:val="1C5A5C9E"/>
    <w:rsid w:val="1CBE2956"/>
    <w:rsid w:val="1CFBBD84"/>
    <w:rsid w:val="1F1D3AD5"/>
    <w:rsid w:val="213F5714"/>
    <w:rsid w:val="21BA231C"/>
    <w:rsid w:val="226F0FC3"/>
    <w:rsid w:val="24518655"/>
    <w:rsid w:val="253C5B86"/>
    <w:rsid w:val="267D27CE"/>
    <w:rsid w:val="2A5F2649"/>
    <w:rsid w:val="2AA125C5"/>
    <w:rsid w:val="2B30CA87"/>
    <w:rsid w:val="2B5BB325"/>
    <w:rsid w:val="2C1D9C45"/>
    <w:rsid w:val="2C62745A"/>
    <w:rsid w:val="2C89919F"/>
    <w:rsid w:val="2D6C5B41"/>
    <w:rsid w:val="2EB3F435"/>
    <w:rsid w:val="2FD538F4"/>
    <w:rsid w:val="329BDD47"/>
    <w:rsid w:val="329F1E1E"/>
    <w:rsid w:val="330ABDB8"/>
    <w:rsid w:val="33D77DF1"/>
    <w:rsid w:val="34183D6A"/>
    <w:rsid w:val="3443D7C8"/>
    <w:rsid w:val="3738295B"/>
    <w:rsid w:val="37957C43"/>
    <w:rsid w:val="37D55B61"/>
    <w:rsid w:val="3817BA04"/>
    <w:rsid w:val="386D46BD"/>
    <w:rsid w:val="390148B7"/>
    <w:rsid w:val="39716B89"/>
    <w:rsid w:val="39E7D6DB"/>
    <w:rsid w:val="3AA1495B"/>
    <w:rsid w:val="3E162657"/>
    <w:rsid w:val="3E81A111"/>
    <w:rsid w:val="3EA85454"/>
    <w:rsid w:val="3F2E023F"/>
    <w:rsid w:val="40308BFE"/>
    <w:rsid w:val="4055C231"/>
    <w:rsid w:val="405DE18D"/>
    <w:rsid w:val="408E43A6"/>
    <w:rsid w:val="4091744C"/>
    <w:rsid w:val="41047F24"/>
    <w:rsid w:val="418F71B7"/>
    <w:rsid w:val="41C92A99"/>
    <w:rsid w:val="42C9D8C0"/>
    <w:rsid w:val="44E3A721"/>
    <w:rsid w:val="45BA6DAF"/>
    <w:rsid w:val="4680CE79"/>
    <w:rsid w:val="4691114E"/>
    <w:rsid w:val="46C0E687"/>
    <w:rsid w:val="47622F40"/>
    <w:rsid w:val="476ABA5D"/>
    <w:rsid w:val="476F894B"/>
    <w:rsid w:val="4797DD1B"/>
    <w:rsid w:val="49269C6D"/>
    <w:rsid w:val="49273A60"/>
    <w:rsid w:val="49CA9A9E"/>
    <w:rsid w:val="4A365AFB"/>
    <w:rsid w:val="4BEAF290"/>
    <w:rsid w:val="4BF14E81"/>
    <w:rsid w:val="4BF53FF8"/>
    <w:rsid w:val="4C22BCC5"/>
    <w:rsid w:val="4D1AD6DD"/>
    <w:rsid w:val="4DE07F6C"/>
    <w:rsid w:val="4E23240E"/>
    <w:rsid w:val="4E4BAECC"/>
    <w:rsid w:val="4EACF666"/>
    <w:rsid w:val="4EC43E13"/>
    <w:rsid w:val="4F4D5E2A"/>
    <w:rsid w:val="53A0EE71"/>
    <w:rsid w:val="53B7655A"/>
    <w:rsid w:val="54C4EFBD"/>
    <w:rsid w:val="5547D28B"/>
    <w:rsid w:val="557B513A"/>
    <w:rsid w:val="55B13861"/>
    <w:rsid w:val="55EDAA52"/>
    <w:rsid w:val="564312CA"/>
    <w:rsid w:val="566C022F"/>
    <w:rsid w:val="57B77CEA"/>
    <w:rsid w:val="57C0735B"/>
    <w:rsid w:val="580383E8"/>
    <w:rsid w:val="58BDC1D1"/>
    <w:rsid w:val="5926313A"/>
    <w:rsid w:val="598C6935"/>
    <w:rsid w:val="59933263"/>
    <w:rsid w:val="5A3516B1"/>
    <w:rsid w:val="5A4FE5BA"/>
    <w:rsid w:val="5B43B85D"/>
    <w:rsid w:val="5C1A0BE6"/>
    <w:rsid w:val="5C48C31D"/>
    <w:rsid w:val="5CDE931A"/>
    <w:rsid w:val="5D52BB30"/>
    <w:rsid w:val="5D9C8FA9"/>
    <w:rsid w:val="5DCA11CC"/>
    <w:rsid w:val="5E196C78"/>
    <w:rsid w:val="5E47D356"/>
    <w:rsid w:val="5FF295B9"/>
    <w:rsid w:val="610245E9"/>
    <w:rsid w:val="61393490"/>
    <w:rsid w:val="6158E8B2"/>
    <w:rsid w:val="61C290A8"/>
    <w:rsid w:val="635A5F48"/>
    <w:rsid w:val="637483C4"/>
    <w:rsid w:val="64E3F238"/>
    <w:rsid w:val="675ACEFE"/>
    <w:rsid w:val="676B8654"/>
    <w:rsid w:val="67C87EEA"/>
    <w:rsid w:val="67F1D94C"/>
    <w:rsid w:val="6837B62F"/>
    <w:rsid w:val="68CA23F3"/>
    <w:rsid w:val="68F834DF"/>
    <w:rsid w:val="69797DF7"/>
    <w:rsid w:val="6984750A"/>
    <w:rsid w:val="69A9F63B"/>
    <w:rsid w:val="6A23D51C"/>
    <w:rsid w:val="6A767A44"/>
    <w:rsid w:val="6B886626"/>
    <w:rsid w:val="6BE76D25"/>
    <w:rsid w:val="6C04699B"/>
    <w:rsid w:val="6C8D9ADE"/>
    <w:rsid w:val="6E776A7B"/>
    <w:rsid w:val="6F766865"/>
    <w:rsid w:val="704F50BC"/>
    <w:rsid w:val="7134EBDD"/>
    <w:rsid w:val="7210B433"/>
    <w:rsid w:val="725FB2D9"/>
    <w:rsid w:val="72C7E3DE"/>
    <w:rsid w:val="73C6D0B5"/>
    <w:rsid w:val="73CC93F5"/>
    <w:rsid w:val="7405DCB6"/>
    <w:rsid w:val="768A361A"/>
    <w:rsid w:val="778E219A"/>
    <w:rsid w:val="778E6DEA"/>
    <w:rsid w:val="785B76ED"/>
    <w:rsid w:val="78688991"/>
    <w:rsid w:val="79AB666E"/>
    <w:rsid w:val="7AEDB280"/>
    <w:rsid w:val="7AFA5DED"/>
    <w:rsid w:val="7B2CDA02"/>
    <w:rsid w:val="7B30ADD8"/>
    <w:rsid w:val="7C79AAEB"/>
    <w:rsid w:val="7DF65EA2"/>
    <w:rsid w:val="7E0E2BB9"/>
    <w:rsid w:val="7E68A8A9"/>
    <w:rsid w:val="7ED49A18"/>
  </w:rsids>
  <m:mathPr>
    <m:mathFont m:val="Cambria Math"/>
    <m:brkBin m:val="before"/>
    <m:brkBinSub m:val="--"/>
    <m:smallFrac m:val="0"/>
    <m:dispDef/>
    <m:lMargin m:val="0"/>
    <m:rMargin m:val="0"/>
    <m:defJc m:val="centerGroup"/>
    <m:wrapIndent m:val="1440"/>
    <m:intLim m:val="subSup"/>
    <m:naryLim m:val="undOvr"/>
  </m:mathPr>
  <w:themeFontLang w:val="en-GB"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C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Latha"/>
        <w:lang w:val="en-GB" w:eastAsia="en-GB" w:bidi="ta-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7C3"/>
    <w:pPr>
      <w:spacing w:before="120" w:after="320" w:line="360" w:lineRule="auto"/>
      <w:jc w:val="both"/>
    </w:pPr>
    <w:rPr>
      <w:rFonts w:ascii="Arial" w:hAnsi="Arial"/>
      <w:sz w:val="24"/>
      <w:szCs w:val="22"/>
    </w:rPr>
  </w:style>
  <w:style w:type="paragraph" w:styleId="Heading1">
    <w:name w:val="heading 1"/>
    <w:aliases w:val="CHAPTER"/>
    <w:basedOn w:val="Normal"/>
    <w:next w:val="Normal"/>
    <w:link w:val="Heading1Char"/>
    <w:uiPriority w:val="9"/>
    <w:qFormat/>
    <w:rsid w:val="00C12A84"/>
    <w:pPr>
      <w:keepNext/>
      <w:keepLines/>
      <w:numPr>
        <w:numId w:val="45"/>
      </w:numPr>
      <w:spacing w:after="960"/>
      <w:jc w:val="center"/>
      <w:outlineLvl w:val="0"/>
    </w:pPr>
    <w:rPr>
      <w:b/>
      <w:sz w:val="36"/>
      <w:szCs w:val="32"/>
    </w:rPr>
  </w:style>
  <w:style w:type="paragraph" w:styleId="Heading2">
    <w:name w:val="heading 2"/>
    <w:basedOn w:val="Normal"/>
    <w:next w:val="Normal"/>
    <w:link w:val="Heading2Char"/>
    <w:unhideWhenUsed/>
    <w:qFormat/>
    <w:rsid w:val="00F035A1"/>
    <w:pPr>
      <w:keepNext/>
      <w:keepLines/>
      <w:numPr>
        <w:ilvl w:val="1"/>
        <w:numId w:val="45"/>
      </w:numPr>
      <w:tabs>
        <w:tab w:val="left" w:pos="567"/>
      </w:tabs>
      <w:spacing w:before="240" w:after="240" w:line="240" w:lineRule="auto"/>
      <w:jc w:val="left"/>
      <w:outlineLvl w:val="1"/>
    </w:pPr>
    <w:rPr>
      <w:b/>
      <w:sz w:val="28"/>
      <w:szCs w:val="26"/>
    </w:rPr>
  </w:style>
  <w:style w:type="paragraph" w:styleId="Heading3">
    <w:name w:val="heading 3"/>
    <w:basedOn w:val="Normal"/>
    <w:next w:val="Normal"/>
    <w:link w:val="Heading3Char"/>
    <w:autoRedefine/>
    <w:unhideWhenUsed/>
    <w:qFormat/>
    <w:rsid w:val="00EE0A12"/>
    <w:pPr>
      <w:keepNext/>
      <w:keepLines/>
      <w:numPr>
        <w:ilvl w:val="2"/>
        <w:numId w:val="45"/>
      </w:numPr>
      <w:spacing w:after="240" w:line="276" w:lineRule="auto"/>
      <w:ind w:left="0" w:firstLine="0"/>
      <w:outlineLvl w:val="2"/>
    </w:pPr>
    <w:rPr>
      <w:b/>
      <w:sz w:val="26"/>
      <w:lang w:bidi="hi-IN"/>
    </w:rPr>
  </w:style>
  <w:style w:type="paragraph" w:styleId="Heading4">
    <w:name w:val="heading 4"/>
    <w:basedOn w:val="Normal"/>
    <w:next w:val="Normal"/>
    <w:link w:val="Heading4Char"/>
    <w:autoRedefine/>
    <w:unhideWhenUsed/>
    <w:qFormat/>
    <w:rsid w:val="00226A04"/>
    <w:pPr>
      <w:keepNext/>
      <w:keepLines/>
      <w:numPr>
        <w:ilvl w:val="3"/>
        <w:numId w:val="45"/>
      </w:numPr>
      <w:tabs>
        <w:tab w:val="right" w:pos="851"/>
      </w:tabs>
      <w:spacing w:before="200" w:after="240"/>
      <w:ind w:left="0" w:firstLine="0"/>
      <w:jc w:val="left"/>
      <w:outlineLvl w:val="3"/>
    </w:pPr>
    <w:rPr>
      <w:b/>
      <w:iCs/>
      <w:sz w:val="25"/>
    </w:rPr>
  </w:style>
  <w:style w:type="paragraph" w:styleId="Heading5">
    <w:name w:val="heading 5"/>
    <w:basedOn w:val="Normal"/>
    <w:next w:val="Normal"/>
    <w:link w:val="Heading5Char"/>
    <w:autoRedefine/>
    <w:uiPriority w:val="9"/>
    <w:unhideWhenUsed/>
    <w:qFormat/>
    <w:rsid w:val="00027B44"/>
    <w:pPr>
      <w:keepNext/>
      <w:keepLines/>
      <w:spacing w:before="200" w:after="0"/>
      <w:outlineLvl w:val="4"/>
    </w:pPr>
    <w:rPr>
      <w:i/>
    </w:rPr>
  </w:style>
  <w:style w:type="paragraph" w:styleId="Heading6">
    <w:name w:val="heading 6"/>
    <w:basedOn w:val="Normal"/>
    <w:next w:val="Normal"/>
    <w:link w:val="Heading6Char"/>
    <w:uiPriority w:val="99"/>
    <w:unhideWhenUsed/>
    <w:qFormat/>
    <w:rsid w:val="00222B42"/>
    <w:pPr>
      <w:keepNext/>
      <w:keepLines/>
      <w:numPr>
        <w:ilvl w:val="5"/>
        <w:numId w:val="45"/>
      </w:numPr>
      <w:spacing w:before="200" w:after="120"/>
      <w:outlineLvl w:val="5"/>
    </w:pPr>
    <w:rPr>
      <w:i/>
      <w:iCs/>
    </w:rPr>
  </w:style>
  <w:style w:type="paragraph" w:styleId="Heading7">
    <w:name w:val="heading 7"/>
    <w:basedOn w:val="Normal"/>
    <w:next w:val="Normal"/>
    <w:link w:val="Heading7Char"/>
    <w:uiPriority w:val="9"/>
    <w:unhideWhenUsed/>
    <w:qFormat/>
    <w:rsid w:val="007370C8"/>
    <w:pPr>
      <w:numPr>
        <w:ilvl w:val="6"/>
        <w:numId w:val="45"/>
      </w:numPr>
      <w:outlineLvl w:val="6"/>
    </w:pPr>
  </w:style>
  <w:style w:type="paragraph" w:styleId="Heading8">
    <w:name w:val="heading 8"/>
    <w:basedOn w:val="Normal"/>
    <w:next w:val="Normal"/>
    <w:link w:val="Heading8Char"/>
    <w:uiPriority w:val="9"/>
    <w:semiHidden/>
    <w:unhideWhenUsed/>
    <w:qFormat/>
    <w:rsid w:val="007F7F64"/>
    <w:pPr>
      <w:keepNext/>
      <w:keepLines/>
      <w:numPr>
        <w:ilvl w:val="7"/>
        <w:numId w:val="45"/>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7F7F64"/>
    <w:pPr>
      <w:keepNext/>
      <w:keepLines/>
      <w:numPr>
        <w:ilvl w:val="8"/>
        <w:numId w:val="45"/>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link w:val="Heading1"/>
    <w:uiPriority w:val="9"/>
    <w:rsid w:val="00C12A84"/>
    <w:rPr>
      <w:rFonts w:ascii="Arial" w:hAnsi="Arial"/>
      <w:b/>
      <w:sz w:val="36"/>
      <w:szCs w:val="32"/>
    </w:rPr>
  </w:style>
  <w:style w:type="character" w:customStyle="1" w:styleId="Heading2Char">
    <w:name w:val="Heading 2 Char"/>
    <w:link w:val="Heading2"/>
    <w:rsid w:val="00F035A1"/>
    <w:rPr>
      <w:rFonts w:ascii="Arial" w:hAnsi="Arial"/>
      <w:b/>
      <w:sz w:val="28"/>
      <w:szCs w:val="26"/>
    </w:rPr>
  </w:style>
  <w:style w:type="character" w:customStyle="1" w:styleId="Heading3Char">
    <w:name w:val="Heading 3 Char"/>
    <w:link w:val="Heading3"/>
    <w:rsid w:val="00EE0A12"/>
    <w:rPr>
      <w:rFonts w:ascii="Arial" w:hAnsi="Arial"/>
      <w:b/>
      <w:sz w:val="26"/>
      <w:szCs w:val="22"/>
      <w:lang w:bidi="hi-IN"/>
    </w:rPr>
  </w:style>
  <w:style w:type="paragraph" w:styleId="ListParagraph">
    <w:name w:val="List Paragraph"/>
    <w:basedOn w:val="Normal"/>
    <w:uiPriority w:val="34"/>
    <w:qFormat/>
    <w:rsid w:val="006324C4"/>
    <w:pPr>
      <w:ind w:left="720"/>
      <w:contextualSpacing/>
    </w:pPr>
  </w:style>
  <w:style w:type="paragraph" w:customStyle="1" w:styleId="DecimalAligned">
    <w:name w:val="Decimal Aligned"/>
    <w:basedOn w:val="Normal"/>
    <w:uiPriority w:val="40"/>
    <w:qFormat/>
    <w:rsid w:val="000B2BBA"/>
    <w:pPr>
      <w:tabs>
        <w:tab w:val="decimal" w:pos="360"/>
      </w:tabs>
    </w:pPr>
    <w:rPr>
      <w:lang w:val="en-US" w:bidi="ar-SA"/>
    </w:rPr>
  </w:style>
  <w:style w:type="paragraph" w:styleId="FootnoteText">
    <w:name w:val="footnote text"/>
    <w:basedOn w:val="Normal"/>
    <w:link w:val="FootnoteTextChar"/>
    <w:uiPriority w:val="99"/>
    <w:unhideWhenUsed/>
    <w:rsid w:val="000B2BBA"/>
    <w:pPr>
      <w:spacing w:after="0" w:line="240" w:lineRule="auto"/>
    </w:pPr>
    <w:rPr>
      <w:sz w:val="20"/>
      <w:szCs w:val="20"/>
      <w:lang w:val="en-US" w:bidi="ar-SA"/>
    </w:rPr>
  </w:style>
  <w:style w:type="character" w:customStyle="1" w:styleId="FootnoteTextChar">
    <w:name w:val="Footnote Text Char"/>
    <w:link w:val="FootnoteText"/>
    <w:uiPriority w:val="99"/>
    <w:rsid w:val="000B2BBA"/>
    <w:rPr>
      <w:rFonts w:eastAsia="SimSun"/>
      <w:sz w:val="20"/>
      <w:szCs w:val="20"/>
      <w:lang w:val="en-US" w:bidi="ar-SA"/>
    </w:rPr>
  </w:style>
  <w:style w:type="character" w:styleId="SubtleEmphasis">
    <w:name w:val="Subtle Emphasis"/>
    <w:uiPriority w:val="19"/>
    <w:qFormat/>
    <w:rsid w:val="000B2BBA"/>
    <w:rPr>
      <w:i/>
      <w:iCs/>
      <w:color w:val="808080"/>
    </w:rPr>
  </w:style>
  <w:style w:type="table" w:styleId="MediumShading2-Accent5">
    <w:name w:val="Medium Shading 2 Accent 5"/>
    <w:basedOn w:val="TableNormal"/>
    <w:uiPriority w:val="64"/>
    <w:rsid w:val="000B2BBA"/>
    <w:rPr>
      <w:lang w:val="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495032"/>
    <w:pPr>
      <w:spacing w:line="240" w:lineRule="auto"/>
    </w:pPr>
    <w:rPr>
      <w:i/>
      <w:iCs/>
      <w:color w:val="1F497D"/>
      <w:sz w:val="18"/>
      <w:szCs w:val="18"/>
    </w:rPr>
  </w:style>
  <w:style w:type="paragraph" w:styleId="Header">
    <w:name w:val="header"/>
    <w:basedOn w:val="Normal"/>
    <w:link w:val="HeaderChar"/>
    <w:uiPriority w:val="99"/>
    <w:unhideWhenUsed/>
    <w:rsid w:val="00865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F6D"/>
  </w:style>
  <w:style w:type="paragraph" w:styleId="Footer">
    <w:name w:val="footer"/>
    <w:basedOn w:val="Normal"/>
    <w:link w:val="FooterChar"/>
    <w:uiPriority w:val="99"/>
    <w:unhideWhenUsed/>
    <w:rsid w:val="00865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F6D"/>
  </w:style>
  <w:style w:type="character" w:styleId="Hyperlink">
    <w:name w:val="Hyperlink"/>
    <w:uiPriority w:val="99"/>
    <w:unhideWhenUsed/>
    <w:rsid w:val="00F36E0B"/>
    <w:rPr>
      <w:color w:val="0000FF"/>
      <w:u w:val="single"/>
    </w:rPr>
  </w:style>
  <w:style w:type="paragraph" w:styleId="DocumentMap">
    <w:name w:val="Document Map"/>
    <w:basedOn w:val="Normal"/>
    <w:link w:val="DocumentMapChar"/>
    <w:uiPriority w:val="99"/>
    <w:semiHidden/>
    <w:unhideWhenUsed/>
    <w:rsid w:val="00B92AE8"/>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92AE8"/>
    <w:rPr>
      <w:rFonts w:ascii="Tahoma" w:hAnsi="Tahoma" w:cs="Tahoma"/>
      <w:sz w:val="16"/>
      <w:szCs w:val="16"/>
    </w:rPr>
  </w:style>
  <w:style w:type="character" w:customStyle="1" w:styleId="Heading4Char">
    <w:name w:val="Heading 4 Char"/>
    <w:link w:val="Heading4"/>
    <w:rsid w:val="00226A04"/>
    <w:rPr>
      <w:rFonts w:ascii="Arial" w:hAnsi="Arial"/>
      <w:b/>
      <w:iCs/>
      <w:sz w:val="25"/>
      <w:szCs w:val="22"/>
    </w:rPr>
  </w:style>
  <w:style w:type="table" w:styleId="MediumList2-Accent1">
    <w:name w:val="Medium List 2 Accent 1"/>
    <w:basedOn w:val="TableNormal"/>
    <w:uiPriority w:val="66"/>
    <w:rsid w:val="00A03C93"/>
    <w:rPr>
      <w:rFonts w:ascii="Cambria" w:hAnsi="Cambria"/>
      <w:color w:val="000000"/>
      <w:lang w:val="en-US" w:eastAsia="ja-JP"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Heading5Char">
    <w:name w:val="Heading 5 Char"/>
    <w:link w:val="Heading5"/>
    <w:uiPriority w:val="9"/>
    <w:rsid w:val="00027B44"/>
    <w:rPr>
      <w:rFonts w:ascii="Arial" w:hAnsi="Arial"/>
      <w:i/>
      <w:sz w:val="24"/>
      <w:szCs w:val="22"/>
    </w:rPr>
  </w:style>
  <w:style w:type="character" w:customStyle="1" w:styleId="Heading6Char">
    <w:name w:val="Heading 6 Char"/>
    <w:link w:val="Heading6"/>
    <w:uiPriority w:val="99"/>
    <w:rsid w:val="00222B42"/>
    <w:rPr>
      <w:rFonts w:ascii="Arial" w:hAnsi="Arial"/>
      <w:i/>
      <w:iCs/>
      <w:sz w:val="24"/>
      <w:szCs w:val="22"/>
    </w:rPr>
  </w:style>
  <w:style w:type="character" w:customStyle="1" w:styleId="Heading7Char">
    <w:name w:val="Heading 7 Char"/>
    <w:link w:val="Heading7"/>
    <w:uiPriority w:val="9"/>
    <w:rsid w:val="007370C8"/>
    <w:rPr>
      <w:rFonts w:ascii="Arial" w:hAnsi="Arial"/>
      <w:sz w:val="24"/>
      <w:szCs w:val="22"/>
    </w:rPr>
  </w:style>
  <w:style w:type="character" w:customStyle="1" w:styleId="Heading8Char">
    <w:name w:val="Heading 8 Char"/>
    <w:link w:val="Heading8"/>
    <w:uiPriority w:val="9"/>
    <w:semiHidden/>
    <w:rsid w:val="007F7F64"/>
    <w:rPr>
      <w:rFonts w:ascii="Cambria" w:hAnsi="Cambria"/>
      <w:color w:val="404040"/>
    </w:rPr>
  </w:style>
  <w:style w:type="character" w:customStyle="1" w:styleId="Heading9Char">
    <w:name w:val="Heading 9 Char"/>
    <w:link w:val="Heading9"/>
    <w:uiPriority w:val="9"/>
    <w:semiHidden/>
    <w:rsid w:val="007F7F64"/>
    <w:rPr>
      <w:rFonts w:ascii="Cambria" w:hAnsi="Cambria"/>
      <w:i/>
      <w:iCs/>
      <w:color w:val="404040"/>
    </w:rPr>
  </w:style>
  <w:style w:type="paragraph" w:styleId="Title">
    <w:name w:val="Title"/>
    <w:basedOn w:val="Normal"/>
    <w:next w:val="Normal"/>
    <w:link w:val="TitleChar"/>
    <w:qFormat/>
    <w:rsid w:val="007F7F6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rsid w:val="007F7F64"/>
    <w:rPr>
      <w:rFonts w:ascii="Cambria" w:eastAsia="SimSun" w:hAnsi="Cambria" w:cs="Latha"/>
      <w:color w:val="17365D"/>
      <w:spacing w:val="5"/>
      <w:kern w:val="28"/>
      <w:sz w:val="52"/>
      <w:szCs w:val="52"/>
    </w:rPr>
  </w:style>
  <w:style w:type="paragraph" w:styleId="BalloonText">
    <w:name w:val="Balloon Text"/>
    <w:basedOn w:val="Normal"/>
    <w:link w:val="BalloonTextChar"/>
    <w:uiPriority w:val="99"/>
    <w:semiHidden/>
    <w:unhideWhenUsed/>
    <w:rsid w:val="00D36FA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6FA9"/>
    <w:rPr>
      <w:rFonts w:ascii="Tahoma" w:hAnsi="Tahoma" w:cs="Tahoma"/>
      <w:sz w:val="16"/>
      <w:szCs w:val="16"/>
    </w:rPr>
  </w:style>
  <w:style w:type="paragraph" w:styleId="TOCHeading">
    <w:name w:val="TOC Heading"/>
    <w:basedOn w:val="Heading1"/>
    <w:next w:val="Normal"/>
    <w:uiPriority w:val="39"/>
    <w:unhideWhenUsed/>
    <w:qFormat/>
    <w:rsid w:val="00F41A62"/>
    <w:pPr>
      <w:numPr>
        <w:numId w:val="0"/>
      </w:numPr>
      <w:spacing w:before="480"/>
      <w:outlineLvl w:val="9"/>
    </w:pPr>
    <w:rPr>
      <w:bCs/>
      <w:sz w:val="28"/>
      <w:szCs w:val="28"/>
      <w:lang w:val="en-US" w:eastAsia="en-US" w:bidi="ar-SA"/>
    </w:rPr>
  </w:style>
  <w:style w:type="paragraph" w:styleId="TOC1">
    <w:name w:val="toc 1"/>
    <w:basedOn w:val="Normal"/>
    <w:next w:val="Normal"/>
    <w:autoRedefine/>
    <w:uiPriority w:val="39"/>
    <w:unhideWhenUsed/>
    <w:qFormat/>
    <w:rsid w:val="005A212D"/>
    <w:pPr>
      <w:spacing w:after="120"/>
      <w:jc w:val="left"/>
    </w:pPr>
    <w:rPr>
      <w:rFonts w:cs="Arial Unicode MS"/>
      <w:b/>
      <w:bCs/>
      <w:caps/>
      <w:sz w:val="20"/>
      <w:szCs w:val="20"/>
    </w:rPr>
  </w:style>
  <w:style w:type="paragraph" w:styleId="TOC2">
    <w:name w:val="toc 2"/>
    <w:basedOn w:val="Normal"/>
    <w:next w:val="Normal"/>
    <w:autoRedefine/>
    <w:uiPriority w:val="39"/>
    <w:unhideWhenUsed/>
    <w:qFormat/>
    <w:rsid w:val="00C93E68"/>
    <w:pPr>
      <w:spacing w:after="120"/>
      <w:jc w:val="left"/>
    </w:pPr>
    <w:rPr>
      <w:rFonts w:eastAsia="Arial" w:cstheme="majorBidi"/>
      <w:smallCaps/>
      <w:sz w:val="18"/>
      <w:szCs w:val="20"/>
    </w:rPr>
  </w:style>
  <w:style w:type="paragraph" w:styleId="TOC3">
    <w:name w:val="toc 3"/>
    <w:basedOn w:val="Normal"/>
    <w:next w:val="Normal"/>
    <w:autoRedefine/>
    <w:uiPriority w:val="39"/>
    <w:unhideWhenUsed/>
    <w:qFormat/>
    <w:rsid w:val="00317333"/>
    <w:pPr>
      <w:tabs>
        <w:tab w:val="left" w:pos="1200"/>
        <w:tab w:val="right" w:leader="dot" w:pos="8364"/>
      </w:tabs>
      <w:spacing w:before="0" w:after="0"/>
      <w:ind w:left="480"/>
      <w:jc w:val="left"/>
    </w:pPr>
    <w:rPr>
      <w:rFonts w:cs="Arial Unicode MS"/>
      <w:iCs/>
      <w:sz w:val="18"/>
      <w:szCs w:val="20"/>
    </w:rPr>
  </w:style>
  <w:style w:type="paragraph" w:styleId="NoSpacing">
    <w:name w:val="No Spacing"/>
    <w:aliases w:val="Ekta Pr"/>
    <w:link w:val="NoSpacingChar"/>
    <w:uiPriority w:val="1"/>
    <w:qFormat/>
    <w:rsid w:val="00C949C5"/>
    <w:rPr>
      <w:sz w:val="22"/>
      <w:szCs w:val="22"/>
      <w:lang w:val="en-US" w:eastAsia="en-US" w:bidi="ar-SA"/>
    </w:rPr>
  </w:style>
  <w:style w:type="character" w:customStyle="1" w:styleId="NoSpacingChar">
    <w:name w:val="No Spacing Char"/>
    <w:aliases w:val="Ekta Pr Char"/>
    <w:link w:val="NoSpacing"/>
    <w:uiPriority w:val="1"/>
    <w:rsid w:val="00C949C5"/>
    <w:rPr>
      <w:lang w:val="en-US" w:eastAsia="en-US" w:bidi="ar-SA"/>
    </w:rPr>
  </w:style>
  <w:style w:type="paragraph" w:styleId="NormalWeb">
    <w:name w:val="Normal (Web)"/>
    <w:basedOn w:val="Normal"/>
    <w:uiPriority w:val="99"/>
    <w:unhideWhenUsed/>
    <w:rsid w:val="007212F7"/>
    <w:pPr>
      <w:spacing w:before="100" w:beforeAutospacing="1" w:after="100" w:afterAutospacing="1" w:line="240" w:lineRule="auto"/>
    </w:pPr>
    <w:rPr>
      <w:rFonts w:ascii="Times New Roman" w:eastAsia="Times New Roman" w:hAnsi="Times New Roman" w:cs="Times New Roman"/>
      <w:szCs w:val="24"/>
      <w:lang w:val="en-US" w:eastAsia="en-US" w:bidi="hi-IN"/>
    </w:rPr>
  </w:style>
  <w:style w:type="character" w:customStyle="1" w:styleId="apple-style-span">
    <w:name w:val="apple-style-span"/>
    <w:basedOn w:val="DefaultParagraphFont"/>
    <w:rsid w:val="007212F7"/>
  </w:style>
  <w:style w:type="character" w:customStyle="1" w:styleId="apple-converted-space">
    <w:name w:val="apple-converted-space"/>
    <w:basedOn w:val="DefaultParagraphFont"/>
    <w:rsid w:val="007212F7"/>
  </w:style>
  <w:style w:type="character" w:customStyle="1" w:styleId="enumerator">
    <w:name w:val="enumerator"/>
    <w:basedOn w:val="DefaultParagraphFont"/>
    <w:rsid w:val="007212F7"/>
  </w:style>
  <w:style w:type="table" w:styleId="TableGrid">
    <w:name w:val="Table Grid"/>
    <w:basedOn w:val="TableNormal"/>
    <w:uiPriority w:val="59"/>
    <w:rsid w:val="007212F7"/>
    <w:rPr>
      <w:rFonts w:eastAsia="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212F7"/>
    <w:rPr>
      <w:i/>
      <w:iCs/>
    </w:rPr>
  </w:style>
  <w:style w:type="paragraph" w:styleId="TOC4">
    <w:name w:val="toc 4"/>
    <w:basedOn w:val="Normal"/>
    <w:next w:val="Normal"/>
    <w:autoRedefine/>
    <w:uiPriority w:val="39"/>
    <w:unhideWhenUsed/>
    <w:rsid w:val="00C31727"/>
    <w:pPr>
      <w:tabs>
        <w:tab w:val="left" w:pos="1680"/>
        <w:tab w:val="right" w:pos="8494"/>
      </w:tabs>
      <w:spacing w:before="0" w:after="0"/>
      <w:ind w:left="720"/>
      <w:jc w:val="left"/>
    </w:pPr>
    <w:rPr>
      <w:rFonts w:cs="Arial Unicode MS"/>
      <w:sz w:val="16"/>
      <w:szCs w:val="18"/>
    </w:rPr>
  </w:style>
  <w:style w:type="paragraph" w:styleId="TOC5">
    <w:name w:val="toc 5"/>
    <w:basedOn w:val="Normal"/>
    <w:next w:val="Normal"/>
    <w:autoRedefine/>
    <w:uiPriority w:val="39"/>
    <w:unhideWhenUsed/>
    <w:rsid w:val="007212F7"/>
    <w:pPr>
      <w:spacing w:before="0" w:after="0"/>
      <w:ind w:left="960"/>
      <w:jc w:val="left"/>
    </w:pPr>
    <w:rPr>
      <w:rFonts w:asciiTheme="minorHAnsi" w:hAnsiTheme="minorHAnsi" w:cs="Arial Unicode MS"/>
      <w:sz w:val="18"/>
      <w:szCs w:val="18"/>
    </w:rPr>
  </w:style>
  <w:style w:type="paragraph" w:styleId="TOC6">
    <w:name w:val="toc 6"/>
    <w:basedOn w:val="Normal"/>
    <w:next w:val="Normal"/>
    <w:autoRedefine/>
    <w:uiPriority w:val="39"/>
    <w:unhideWhenUsed/>
    <w:rsid w:val="007212F7"/>
    <w:pPr>
      <w:spacing w:before="0" w:after="0"/>
      <w:ind w:left="1200"/>
      <w:jc w:val="left"/>
    </w:pPr>
    <w:rPr>
      <w:rFonts w:asciiTheme="minorHAnsi" w:hAnsiTheme="minorHAnsi" w:cs="Arial Unicode MS"/>
      <w:sz w:val="18"/>
      <w:szCs w:val="18"/>
    </w:rPr>
  </w:style>
  <w:style w:type="paragraph" w:styleId="TOC7">
    <w:name w:val="toc 7"/>
    <w:basedOn w:val="Normal"/>
    <w:next w:val="Normal"/>
    <w:autoRedefine/>
    <w:uiPriority w:val="39"/>
    <w:unhideWhenUsed/>
    <w:rsid w:val="007212F7"/>
    <w:pPr>
      <w:spacing w:before="0" w:after="0"/>
      <w:ind w:left="1440"/>
      <w:jc w:val="left"/>
    </w:pPr>
    <w:rPr>
      <w:rFonts w:asciiTheme="minorHAnsi" w:hAnsiTheme="minorHAnsi" w:cs="Arial Unicode MS"/>
      <w:sz w:val="18"/>
      <w:szCs w:val="18"/>
    </w:rPr>
  </w:style>
  <w:style w:type="paragraph" w:styleId="TOC8">
    <w:name w:val="toc 8"/>
    <w:basedOn w:val="Normal"/>
    <w:next w:val="Normal"/>
    <w:autoRedefine/>
    <w:uiPriority w:val="39"/>
    <w:unhideWhenUsed/>
    <w:rsid w:val="007212F7"/>
    <w:pPr>
      <w:spacing w:before="0" w:after="0"/>
      <w:ind w:left="1680"/>
      <w:jc w:val="left"/>
    </w:pPr>
    <w:rPr>
      <w:rFonts w:asciiTheme="minorHAnsi" w:hAnsiTheme="minorHAnsi" w:cs="Arial Unicode MS"/>
      <w:sz w:val="18"/>
      <w:szCs w:val="18"/>
    </w:rPr>
  </w:style>
  <w:style w:type="paragraph" w:styleId="TOC9">
    <w:name w:val="toc 9"/>
    <w:basedOn w:val="Normal"/>
    <w:next w:val="Normal"/>
    <w:autoRedefine/>
    <w:uiPriority w:val="39"/>
    <w:unhideWhenUsed/>
    <w:rsid w:val="007212F7"/>
    <w:pPr>
      <w:spacing w:before="0" w:after="0"/>
      <w:ind w:left="1920"/>
      <w:jc w:val="left"/>
    </w:pPr>
    <w:rPr>
      <w:rFonts w:asciiTheme="minorHAnsi" w:hAnsiTheme="minorHAnsi" w:cs="Arial Unicode MS"/>
      <w:sz w:val="18"/>
      <w:szCs w:val="18"/>
    </w:rPr>
  </w:style>
  <w:style w:type="character" w:customStyle="1" w:styleId="geneontology">
    <w:name w:val="geneontology"/>
    <w:basedOn w:val="DefaultParagraphFont"/>
    <w:rsid w:val="007212F7"/>
  </w:style>
  <w:style w:type="character" w:customStyle="1" w:styleId="disease">
    <w:name w:val="disease"/>
    <w:basedOn w:val="DefaultParagraphFont"/>
    <w:rsid w:val="007212F7"/>
  </w:style>
  <w:style w:type="paragraph" w:styleId="TableofFigures">
    <w:name w:val="table of figures"/>
    <w:basedOn w:val="Normal"/>
    <w:next w:val="Normal"/>
    <w:autoRedefine/>
    <w:uiPriority w:val="99"/>
    <w:unhideWhenUsed/>
    <w:rsid w:val="00EF2F69"/>
    <w:pPr>
      <w:tabs>
        <w:tab w:val="right" w:leader="dot" w:pos="8148"/>
      </w:tabs>
      <w:spacing w:before="0" w:after="240" w:line="240" w:lineRule="auto"/>
      <w:ind w:right="282"/>
    </w:pPr>
    <w:rPr>
      <w:rFonts w:eastAsia="Calibri" w:cs="Arial"/>
      <w:noProof/>
      <w:sz w:val="22"/>
      <w:lang w:val="en-US" w:eastAsia="en-US" w:bidi="ar-SA"/>
    </w:rPr>
  </w:style>
  <w:style w:type="numbering" w:customStyle="1" w:styleId="Style1">
    <w:name w:val="Style1"/>
    <w:uiPriority w:val="99"/>
    <w:rsid w:val="007212F7"/>
    <w:pPr>
      <w:numPr>
        <w:numId w:val="1"/>
      </w:numPr>
    </w:pPr>
  </w:style>
  <w:style w:type="paragraph" w:styleId="BodyText2">
    <w:name w:val="Body Text 2"/>
    <w:basedOn w:val="Normal"/>
    <w:link w:val="BodyText2Char"/>
    <w:rsid w:val="007212F7"/>
    <w:pPr>
      <w:spacing w:after="0" w:line="240" w:lineRule="auto"/>
    </w:pPr>
    <w:rPr>
      <w:rFonts w:ascii="Times New Roman" w:eastAsia="Times New Roman" w:hAnsi="Times New Roman" w:cs="Times New Roman"/>
      <w:b/>
      <w:bCs/>
      <w:szCs w:val="24"/>
      <w:lang w:eastAsia="en-US" w:bidi="ar-SA"/>
    </w:rPr>
  </w:style>
  <w:style w:type="character" w:customStyle="1" w:styleId="BodyText2Char">
    <w:name w:val="Body Text 2 Char"/>
    <w:link w:val="BodyText2"/>
    <w:rsid w:val="007212F7"/>
    <w:rPr>
      <w:rFonts w:ascii="Times New Roman" w:eastAsia="Times New Roman" w:hAnsi="Times New Roman" w:cs="Times New Roman"/>
      <w:b/>
      <w:bCs/>
      <w:sz w:val="24"/>
      <w:szCs w:val="24"/>
      <w:lang w:eastAsia="en-US" w:bidi="ar-SA"/>
    </w:rPr>
  </w:style>
  <w:style w:type="character" w:styleId="Strong">
    <w:name w:val="Strong"/>
    <w:aliases w:val="Ekta 2"/>
    <w:uiPriority w:val="22"/>
    <w:qFormat/>
    <w:rsid w:val="007212F7"/>
    <w:rPr>
      <w:bCs/>
      <w:sz w:val="24"/>
    </w:rPr>
  </w:style>
  <w:style w:type="paragraph" w:customStyle="1" w:styleId="Default">
    <w:name w:val="Default"/>
    <w:uiPriority w:val="99"/>
    <w:rsid w:val="007212F7"/>
    <w:pPr>
      <w:autoSpaceDE w:val="0"/>
      <w:autoSpaceDN w:val="0"/>
      <w:adjustRightInd w:val="0"/>
    </w:pPr>
    <w:rPr>
      <w:rFonts w:ascii="BBAOIK+TimesNewRoman" w:eastAsia="Calibri" w:hAnsi="BBAOIK+TimesNewRoman" w:cs="BBAOIK+TimesNewRoman"/>
      <w:color w:val="000000"/>
      <w:sz w:val="24"/>
      <w:szCs w:val="24"/>
      <w:lang w:val="en-US" w:eastAsia="en-US" w:bidi="ar-SA"/>
    </w:rPr>
  </w:style>
  <w:style w:type="numbering" w:customStyle="1" w:styleId="Style2">
    <w:name w:val="Style2"/>
    <w:uiPriority w:val="99"/>
    <w:rsid w:val="007212F7"/>
    <w:pPr>
      <w:numPr>
        <w:numId w:val="2"/>
      </w:numPr>
    </w:pPr>
  </w:style>
  <w:style w:type="numbering" w:customStyle="1" w:styleId="Style3">
    <w:name w:val="Style3"/>
    <w:uiPriority w:val="99"/>
    <w:rsid w:val="007212F7"/>
    <w:pPr>
      <w:numPr>
        <w:numId w:val="3"/>
      </w:numPr>
    </w:pPr>
  </w:style>
  <w:style w:type="paragraph" w:styleId="BodyText">
    <w:name w:val="Body Text"/>
    <w:basedOn w:val="Normal"/>
    <w:link w:val="BodyTextChar"/>
    <w:rsid w:val="007212F7"/>
    <w:pPr>
      <w:spacing w:after="120" w:line="240" w:lineRule="auto"/>
    </w:pPr>
    <w:rPr>
      <w:rFonts w:ascii="Times New Roman" w:eastAsia="Times New Roman" w:hAnsi="Times New Roman" w:cs="Times New Roman"/>
      <w:szCs w:val="24"/>
      <w:lang w:bidi="ar-SA"/>
    </w:rPr>
  </w:style>
  <w:style w:type="character" w:customStyle="1" w:styleId="BodyTextChar">
    <w:name w:val="Body Text Char"/>
    <w:link w:val="BodyText"/>
    <w:rsid w:val="007212F7"/>
    <w:rPr>
      <w:rFonts w:ascii="Times New Roman" w:eastAsia="Times New Roman" w:hAnsi="Times New Roman" w:cs="Times New Roman"/>
      <w:sz w:val="24"/>
      <w:szCs w:val="24"/>
      <w:lang w:bidi="ar-SA"/>
    </w:rPr>
  </w:style>
  <w:style w:type="paragraph" w:styleId="Index1">
    <w:name w:val="index 1"/>
    <w:basedOn w:val="Normal"/>
    <w:next w:val="Normal"/>
    <w:autoRedefine/>
    <w:uiPriority w:val="99"/>
    <w:unhideWhenUsed/>
    <w:rsid w:val="007212F7"/>
    <w:pPr>
      <w:numPr>
        <w:numId w:val="4"/>
      </w:numPr>
      <w:spacing w:after="0" w:line="240" w:lineRule="auto"/>
    </w:pPr>
    <w:rPr>
      <w:rFonts w:ascii="Times New Roman" w:eastAsia="Calibri" w:hAnsi="Times New Roman"/>
      <w:b/>
      <w:sz w:val="28"/>
      <w:lang w:eastAsia="en-US" w:bidi="ar-SA"/>
    </w:rPr>
  </w:style>
  <w:style w:type="paragraph" w:styleId="Index2">
    <w:name w:val="index 2"/>
    <w:basedOn w:val="Normal"/>
    <w:next w:val="Normal"/>
    <w:autoRedefine/>
    <w:uiPriority w:val="99"/>
    <w:unhideWhenUsed/>
    <w:rsid w:val="007212F7"/>
    <w:pPr>
      <w:spacing w:after="0" w:line="240" w:lineRule="auto"/>
      <w:ind w:left="360"/>
    </w:pPr>
    <w:rPr>
      <w:rFonts w:ascii="Times New Roman" w:eastAsia="Calibri" w:hAnsi="Times New Roman"/>
      <w:b/>
      <w:sz w:val="28"/>
      <w:szCs w:val="28"/>
      <w:lang w:eastAsia="en-US" w:bidi="ar-SA"/>
    </w:rPr>
  </w:style>
  <w:style w:type="numbering" w:customStyle="1" w:styleId="PR1">
    <w:name w:val="PR 1"/>
    <w:uiPriority w:val="99"/>
    <w:rsid w:val="007212F7"/>
    <w:pPr>
      <w:numPr>
        <w:numId w:val="5"/>
      </w:numPr>
    </w:pPr>
  </w:style>
  <w:style w:type="numbering" w:customStyle="1" w:styleId="Style4">
    <w:name w:val="Style4"/>
    <w:uiPriority w:val="99"/>
    <w:rsid w:val="007212F7"/>
    <w:pPr>
      <w:numPr>
        <w:numId w:val="7"/>
      </w:numPr>
    </w:pPr>
  </w:style>
  <w:style w:type="paragraph" w:customStyle="1" w:styleId="Style5">
    <w:name w:val="Style5"/>
    <w:basedOn w:val="Heading1"/>
    <w:link w:val="Style5Char"/>
    <w:rsid w:val="007212F7"/>
    <w:pPr>
      <w:numPr>
        <w:numId w:val="6"/>
      </w:numPr>
      <w:spacing w:before="0" w:after="100"/>
    </w:pPr>
    <w:rPr>
      <w:bCs/>
      <w:sz w:val="28"/>
      <w:szCs w:val="28"/>
      <w:lang w:eastAsia="en-US" w:bidi="ar-SA"/>
    </w:rPr>
  </w:style>
  <w:style w:type="character" w:customStyle="1" w:styleId="Style5Char">
    <w:name w:val="Style5 Char"/>
    <w:link w:val="Style5"/>
    <w:rsid w:val="007212F7"/>
    <w:rPr>
      <w:rFonts w:ascii="Arial" w:hAnsi="Arial"/>
      <w:bCs/>
      <w:sz w:val="28"/>
      <w:szCs w:val="28"/>
      <w:lang w:eastAsia="en-US" w:bidi="ar-SA"/>
    </w:rPr>
  </w:style>
  <w:style w:type="paragraph" w:styleId="HTMLPreformatted">
    <w:name w:val="HTML Preformatted"/>
    <w:basedOn w:val="Normal"/>
    <w:link w:val="HTMLPreformattedChar"/>
    <w:uiPriority w:val="99"/>
    <w:semiHidden/>
    <w:unhideWhenUsed/>
    <w:rsid w:val="007212F7"/>
    <w:pPr>
      <w:spacing w:after="0" w:line="240" w:lineRule="auto"/>
    </w:pPr>
    <w:rPr>
      <w:rFonts w:ascii="Consolas" w:eastAsia="Calibri" w:hAnsi="Consolas"/>
      <w:sz w:val="20"/>
      <w:szCs w:val="20"/>
      <w:lang w:eastAsia="en-US" w:bidi="ar-SA"/>
    </w:rPr>
  </w:style>
  <w:style w:type="character" w:customStyle="1" w:styleId="HTMLPreformattedChar">
    <w:name w:val="HTML Preformatted Char"/>
    <w:link w:val="HTMLPreformatted"/>
    <w:uiPriority w:val="99"/>
    <w:semiHidden/>
    <w:rsid w:val="007212F7"/>
    <w:rPr>
      <w:rFonts w:ascii="Consolas" w:eastAsia="Calibri" w:hAnsi="Consolas"/>
      <w:sz w:val="20"/>
      <w:szCs w:val="20"/>
      <w:lang w:eastAsia="en-US" w:bidi="ar-SA"/>
    </w:rPr>
  </w:style>
  <w:style w:type="character" w:styleId="FollowedHyperlink">
    <w:name w:val="FollowedHyperlink"/>
    <w:uiPriority w:val="99"/>
    <w:semiHidden/>
    <w:unhideWhenUsed/>
    <w:rsid w:val="007212F7"/>
    <w:rPr>
      <w:color w:val="800080"/>
      <w:u w:val="single"/>
    </w:rPr>
  </w:style>
  <w:style w:type="character" w:styleId="PageNumber">
    <w:name w:val="page number"/>
    <w:basedOn w:val="DefaultParagraphFont"/>
    <w:rsid w:val="002F4489"/>
  </w:style>
  <w:style w:type="paragraph" w:styleId="BodyTextIndent2">
    <w:name w:val="Body Text Indent 2"/>
    <w:basedOn w:val="Normal"/>
    <w:link w:val="BodyTextIndent2Char"/>
    <w:rsid w:val="002F4489"/>
    <w:pPr>
      <w:tabs>
        <w:tab w:val="left" w:pos="720"/>
        <w:tab w:val="left" w:pos="1440"/>
        <w:tab w:val="left" w:pos="2520"/>
      </w:tabs>
      <w:spacing w:after="0" w:line="240" w:lineRule="auto"/>
      <w:ind w:left="1440" w:hanging="1440"/>
    </w:pPr>
    <w:rPr>
      <w:rFonts w:eastAsia="Times New Roman" w:cs="Times New Roman"/>
      <w:szCs w:val="20"/>
      <w:lang w:bidi="ar-SA"/>
    </w:rPr>
  </w:style>
  <w:style w:type="character" w:customStyle="1" w:styleId="BodyTextIndent2Char">
    <w:name w:val="Body Text Indent 2 Char"/>
    <w:link w:val="BodyTextIndent2"/>
    <w:rsid w:val="002F4489"/>
    <w:rPr>
      <w:rFonts w:ascii="Arial" w:eastAsia="Times New Roman" w:hAnsi="Arial" w:cs="Times New Roman"/>
      <w:sz w:val="24"/>
      <w:szCs w:val="20"/>
      <w:lang w:bidi="ar-SA"/>
    </w:rPr>
  </w:style>
  <w:style w:type="paragraph" w:styleId="BodyTextIndent3">
    <w:name w:val="Body Text Indent 3"/>
    <w:basedOn w:val="Normal"/>
    <w:link w:val="BodyTextIndent3Char"/>
    <w:rsid w:val="002F4489"/>
    <w:pPr>
      <w:spacing w:after="0" w:line="240" w:lineRule="atLeast"/>
      <w:ind w:left="720" w:hanging="720"/>
    </w:pPr>
    <w:rPr>
      <w:rFonts w:eastAsia="Times New Roman" w:cs="Times New Roman"/>
      <w:color w:val="000000"/>
      <w:szCs w:val="20"/>
      <w:lang w:bidi="ar-SA"/>
    </w:rPr>
  </w:style>
  <w:style w:type="character" w:customStyle="1" w:styleId="BodyTextIndent3Char">
    <w:name w:val="Body Text Indent 3 Char"/>
    <w:link w:val="BodyTextIndent3"/>
    <w:rsid w:val="002F4489"/>
    <w:rPr>
      <w:rFonts w:ascii="Arial" w:eastAsia="Times New Roman" w:hAnsi="Arial" w:cs="Times New Roman"/>
      <w:color w:val="000000"/>
      <w:sz w:val="24"/>
      <w:szCs w:val="20"/>
      <w:lang w:bidi="ar-SA"/>
    </w:rPr>
  </w:style>
  <w:style w:type="paragraph" w:customStyle="1" w:styleId="InsideAddress">
    <w:name w:val="Inside Address"/>
    <w:basedOn w:val="Normal"/>
    <w:rsid w:val="002F4489"/>
    <w:pPr>
      <w:spacing w:after="0" w:line="240" w:lineRule="atLeast"/>
    </w:pPr>
    <w:rPr>
      <w:rFonts w:ascii="Garamond" w:eastAsia="Times New Roman" w:hAnsi="Garamond" w:cs="Times New Roman"/>
      <w:kern w:val="18"/>
      <w:szCs w:val="20"/>
      <w:lang w:eastAsia="en-US" w:bidi="ar-SA"/>
    </w:rPr>
  </w:style>
  <w:style w:type="paragraph" w:styleId="BlockText">
    <w:name w:val="Block Text"/>
    <w:basedOn w:val="Normal"/>
    <w:rsid w:val="002F4489"/>
    <w:pPr>
      <w:spacing w:after="0" w:line="240" w:lineRule="auto"/>
      <w:ind w:left="1350" w:right="1016"/>
      <w:jc w:val="center"/>
    </w:pPr>
    <w:rPr>
      <w:rFonts w:ascii="Times New Roman" w:eastAsia="Times New Roman" w:hAnsi="Times New Roman" w:cs="Times New Roman"/>
      <w:szCs w:val="20"/>
      <w:lang w:eastAsia="en-US" w:bidi="ar-SA"/>
    </w:rPr>
  </w:style>
  <w:style w:type="paragraph" w:styleId="BodyTextIndent">
    <w:name w:val="Body Text Indent"/>
    <w:basedOn w:val="Normal"/>
    <w:link w:val="BodyTextIndentChar"/>
    <w:rsid w:val="002F4489"/>
    <w:pPr>
      <w:spacing w:after="120" w:line="240" w:lineRule="auto"/>
      <w:ind w:left="283"/>
    </w:pPr>
    <w:rPr>
      <w:rFonts w:eastAsia="Times New Roman" w:cs="Times New Roman"/>
      <w:szCs w:val="20"/>
      <w:lang w:bidi="ar-SA"/>
    </w:rPr>
  </w:style>
  <w:style w:type="character" w:customStyle="1" w:styleId="BodyTextIndentChar">
    <w:name w:val="Body Text Indent Char"/>
    <w:link w:val="BodyTextIndent"/>
    <w:rsid w:val="002F4489"/>
    <w:rPr>
      <w:rFonts w:eastAsia="Times New Roman" w:cs="Times New Roman"/>
      <w:szCs w:val="20"/>
      <w:lang w:bidi="ar-SA"/>
    </w:rPr>
  </w:style>
  <w:style w:type="character" w:styleId="CommentReference">
    <w:name w:val="annotation reference"/>
    <w:uiPriority w:val="99"/>
    <w:semiHidden/>
    <w:rsid w:val="002F4489"/>
    <w:rPr>
      <w:sz w:val="16"/>
      <w:szCs w:val="16"/>
    </w:rPr>
  </w:style>
  <w:style w:type="paragraph" w:styleId="CommentText">
    <w:name w:val="annotation text"/>
    <w:basedOn w:val="Normal"/>
    <w:link w:val="CommentTextChar"/>
    <w:uiPriority w:val="99"/>
    <w:semiHidden/>
    <w:rsid w:val="002F4489"/>
    <w:pPr>
      <w:spacing w:after="0" w:line="240" w:lineRule="auto"/>
    </w:pPr>
    <w:rPr>
      <w:rFonts w:eastAsia="Times New Roman" w:cs="Times New Roman"/>
      <w:szCs w:val="20"/>
      <w:lang w:bidi="ar-SA"/>
    </w:rPr>
  </w:style>
  <w:style w:type="character" w:customStyle="1" w:styleId="CommentTextChar">
    <w:name w:val="Comment Text Char"/>
    <w:link w:val="CommentText"/>
    <w:uiPriority w:val="99"/>
    <w:semiHidden/>
    <w:rsid w:val="002F4489"/>
    <w:rPr>
      <w:rFonts w:eastAsia="Times New Roman" w:cs="Times New Roman"/>
      <w:szCs w:val="20"/>
      <w:lang w:bidi="ar-SA"/>
    </w:rPr>
  </w:style>
  <w:style w:type="paragraph" w:styleId="CommentSubject">
    <w:name w:val="annotation subject"/>
    <w:basedOn w:val="CommentText"/>
    <w:next w:val="CommentText"/>
    <w:link w:val="CommentSubjectChar"/>
    <w:uiPriority w:val="99"/>
    <w:semiHidden/>
    <w:rsid w:val="002F4489"/>
    <w:rPr>
      <w:b/>
      <w:bCs/>
    </w:rPr>
  </w:style>
  <w:style w:type="character" w:customStyle="1" w:styleId="CommentSubjectChar">
    <w:name w:val="Comment Subject Char"/>
    <w:link w:val="CommentSubject"/>
    <w:uiPriority w:val="99"/>
    <w:semiHidden/>
    <w:rsid w:val="002F4489"/>
    <w:rPr>
      <w:rFonts w:eastAsia="Times New Roman" w:cs="Times New Roman"/>
      <w:b/>
      <w:bCs/>
      <w:szCs w:val="20"/>
      <w:lang w:bidi="ar-SA"/>
    </w:rPr>
  </w:style>
  <w:style w:type="paragraph" w:customStyle="1" w:styleId="Para1">
    <w:name w:val="Para1"/>
    <w:basedOn w:val="Normal"/>
    <w:rsid w:val="002F4489"/>
    <w:pPr>
      <w:numPr>
        <w:numId w:val="8"/>
      </w:numPr>
      <w:spacing w:after="0" w:line="240" w:lineRule="auto"/>
    </w:pPr>
    <w:rPr>
      <w:rFonts w:ascii="Verdana" w:eastAsia="Times New Roman" w:hAnsi="Verdana" w:cs="Times New Roman"/>
      <w:szCs w:val="20"/>
      <w:lang w:eastAsia="en-US" w:bidi="ar-SA"/>
    </w:rPr>
  </w:style>
  <w:style w:type="paragraph" w:customStyle="1" w:styleId="para2">
    <w:name w:val="para2"/>
    <w:basedOn w:val="Normal"/>
    <w:rsid w:val="002F4489"/>
    <w:pPr>
      <w:numPr>
        <w:ilvl w:val="1"/>
        <w:numId w:val="9"/>
      </w:numPr>
      <w:spacing w:after="0" w:line="240" w:lineRule="auto"/>
    </w:pPr>
    <w:rPr>
      <w:rFonts w:ascii="Verdana" w:eastAsia="Times New Roman" w:hAnsi="Verdana" w:cs="Times New Roman"/>
      <w:szCs w:val="20"/>
      <w:lang w:eastAsia="en-US" w:bidi="ar-SA"/>
    </w:rPr>
  </w:style>
  <w:style w:type="paragraph" w:customStyle="1" w:styleId="para4">
    <w:name w:val="para4"/>
    <w:basedOn w:val="para2"/>
    <w:rsid w:val="002F4489"/>
    <w:pPr>
      <w:numPr>
        <w:ilvl w:val="3"/>
        <w:numId w:val="8"/>
      </w:numPr>
    </w:pPr>
  </w:style>
  <w:style w:type="paragraph" w:customStyle="1" w:styleId="para5">
    <w:name w:val="para5"/>
    <w:basedOn w:val="para2"/>
    <w:rsid w:val="002F4489"/>
    <w:pPr>
      <w:numPr>
        <w:ilvl w:val="4"/>
        <w:numId w:val="8"/>
      </w:numPr>
    </w:pPr>
  </w:style>
  <w:style w:type="paragraph" w:customStyle="1" w:styleId="EndNoteBibliographyTitle">
    <w:name w:val="EndNote Bibliography Title"/>
    <w:basedOn w:val="Normal"/>
    <w:link w:val="EndNoteBibliographyTitleChar"/>
    <w:rsid w:val="00E6295D"/>
    <w:pPr>
      <w:spacing w:after="0"/>
      <w:jc w:val="center"/>
    </w:pPr>
    <w:rPr>
      <w:rFonts w:cs="Arial"/>
      <w:sz w:val="22"/>
    </w:rPr>
  </w:style>
  <w:style w:type="character" w:customStyle="1" w:styleId="EndNoteBibliographyTitleChar">
    <w:name w:val="EndNote Bibliography Title Char"/>
    <w:link w:val="EndNoteBibliographyTitle"/>
    <w:rsid w:val="00E6295D"/>
    <w:rPr>
      <w:rFonts w:ascii="Arial" w:hAnsi="Arial" w:cs="Arial"/>
      <w:sz w:val="22"/>
      <w:szCs w:val="22"/>
    </w:rPr>
  </w:style>
  <w:style w:type="paragraph" w:customStyle="1" w:styleId="EndNoteBibliography">
    <w:name w:val="EndNote Bibliography"/>
    <w:basedOn w:val="Normal"/>
    <w:link w:val="EndNoteBibliographyChar"/>
    <w:rsid w:val="00E6295D"/>
    <w:rPr>
      <w:rFonts w:cs="Arial"/>
      <w:sz w:val="22"/>
    </w:rPr>
  </w:style>
  <w:style w:type="character" w:customStyle="1" w:styleId="EndNoteBibliographyChar">
    <w:name w:val="EndNote Bibliography Char"/>
    <w:link w:val="EndNoteBibliography"/>
    <w:rsid w:val="00E6295D"/>
    <w:rPr>
      <w:rFonts w:ascii="Arial" w:hAnsi="Arial" w:cs="Arial"/>
      <w:sz w:val="22"/>
      <w:szCs w:val="22"/>
    </w:rPr>
  </w:style>
  <w:style w:type="paragraph" w:styleId="Revision">
    <w:name w:val="Revision"/>
    <w:hidden/>
    <w:uiPriority w:val="99"/>
    <w:semiHidden/>
    <w:rsid w:val="0001739C"/>
    <w:rPr>
      <w:rFonts w:eastAsia="Calibri"/>
      <w:sz w:val="22"/>
      <w:szCs w:val="22"/>
      <w:lang w:eastAsia="en-US" w:bidi="ar-SA"/>
    </w:rPr>
  </w:style>
  <w:style w:type="paragraph" w:customStyle="1" w:styleId="tabletextdentaltrauma">
    <w:name w:val="table text dental trauma"/>
    <w:link w:val="tabletextdentaltraumaChar"/>
    <w:rsid w:val="00AF0854"/>
    <w:pPr>
      <w:jc w:val="center"/>
    </w:pPr>
    <w:rPr>
      <w:rFonts w:ascii="Arial" w:eastAsia="Times New Roman" w:hAnsi="Arial" w:cs="Times New Roman"/>
      <w:lang w:val="en-US" w:eastAsia="en-US" w:bidi="ar-SA"/>
    </w:rPr>
  </w:style>
  <w:style w:type="character" w:customStyle="1" w:styleId="tabletextdentaltraumaChar">
    <w:name w:val="table text dental trauma Char"/>
    <w:link w:val="tabletextdentaltrauma"/>
    <w:rsid w:val="00AF0854"/>
    <w:rPr>
      <w:rFonts w:ascii="Arial" w:eastAsia="Times New Roman" w:hAnsi="Arial" w:cs="Times New Roman"/>
      <w:sz w:val="20"/>
      <w:szCs w:val="20"/>
      <w:lang w:val="en-US" w:eastAsia="en-US" w:bidi="ar-SA"/>
    </w:rPr>
  </w:style>
  <w:style w:type="table" w:customStyle="1" w:styleId="TableGrid1">
    <w:name w:val="Table Grid1"/>
    <w:basedOn w:val="TableNormal"/>
    <w:next w:val="TableGrid"/>
    <w:uiPriority w:val="59"/>
    <w:rsid w:val="006F0EC1"/>
    <w:rPr>
      <w:rFonts w:eastAsia="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40D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B64946"/>
  </w:style>
  <w:style w:type="character" w:customStyle="1" w:styleId="gsa1">
    <w:name w:val="gs_a1"/>
    <w:basedOn w:val="DefaultParagraphFont"/>
    <w:uiPriority w:val="99"/>
    <w:rsid w:val="00B64946"/>
    <w:rPr>
      <w:rFonts w:cs="Times New Roman"/>
      <w:color w:val="008000"/>
    </w:rPr>
  </w:style>
  <w:style w:type="character" w:customStyle="1" w:styleId="CommentSubjectChar1">
    <w:name w:val="Comment Subject Char1"/>
    <w:basedOn w:val="CommentTextChar"/>
    <w:uiPriority w:val="99"/>
    <w:semiHidden/>
    <w:rsid w:val="00B64946"/>
    <w:rPr>
      <w:rFonts w:ascii="Calibri" w:eastAsia="Calibri" w:hAnsi="Calibri" w:cs="Arial"/>
      <w:b/>
      <w:bCs/>
      <w:sz w:val="20"/>
      <w:szCs w:val="20"/>
      <w:lang w:val="en-US" w:bidi="ar-SA"/>
    </w:rPr>
  </w:style>
  <w:style w:type="character" w:customStyle="1" w:styleId="bullet2">
    <w:name w:val="bullet2"/>
    <w:basedOn w:val="DefaultParagraphFont"/>
    <w:uiPriority w:val="99"/>
    <w:rsid w:val="00B64946"/>
    <w:rPr>
      <w:rFonts w:cs="Times New Roman"/>
    </w:rPr>
  </w:style>
  <w:style w:type="character" w:customStyle="1" w:styleId="vshid2">
    <w:name w:val="vshid2"/>
    <w:basedOn w:val="DefaultParagraphFont"/>
    <w:uiPriority w:val="99"/>
    <w:rsid w:val="00B64946"/>
    <w:rPr>
      <w:rFonts w:cs="Times New Roman"/>
      <w:vanish/>
    </w:rPr>
  </w:style>
  <w:style w:type="character" w:customStyle="1" w:styleId="author">
    <w:name w:val="author"/>
    <w:basedOn w:val="DefaultParagraphFont"/>
    <w:rsid w:val="00B64946"/>
    <w:rPr>
      <w:rFonts w:cs="Times New Roman"/>
    </w:rPr>
  </w:style>
  <w:style w:type="character" w:customStyle="1" w:styleId="articletitle">
    <w:name w:val="articletitle"/>
    <w:basedOn w:val="DefaultParagraphFont"/>
    <w:uiPriority w:val="99"/>
    <w:rsid w:val="00B64946"/>
    <w:rPr>
      <w:rFonts w:cs="Times New Roman"/>
    </w:rPr>
  </w:style>
  <w:style w:type="character" w:customStyle="1" w:styleId="journaltitle2">
    <w:name w:val="journaltitle2"/>
    <w:basedOn w:val="DefaultParagraphFont"/>
    <w:uiPriority w:val="99"/>
    <w:rsid w:val="00B64946"/>
    <w:rPr>
      <w:rFonts w:cs="Times New Roman"/>
      <w:i/>
      <w:iCs/>
    </w:rPr>
  </w:style>
  <w:style w:type="character" w:customStyle="1" w:styleId="pubyear">
    <w:name w:val="pubyear"/>
    <w:basedOn w:val="DefaultParagraphFont"/>
    <w:uiPriority w:val="99"/>
    <w:rsid w:val="00B64946"/>
    <w:rPr>
      <w:rFonts w:cs="Times New Roman"/>
    </w:rPr>
  </w:style>
  <w:style w:type="character" w:customStyle="1" w:styleId="vol2">
    <w:name w:val="vol2"/>
    <w:basedOn w:val="DefaultParagraphFont"/>
    <w:uiPriority w:val="99"/>
    <w:rsid w:val="00B64946"/>
    <w:rPr>
      <w:rFonts w:cs="Times New Roman"/>
      <w:b/>
      <w:bCs/>
    </w:rPr>
  </w:style>
  <w:style w:type="character" w:customStyle="1" w:styleId="pagefirst">
    <w:name w:val="pagefirst"/>
    <w:basedOn w:val="DefaultParagraphFont"/>
    <w:uiPriority w:val="99"/>
    <w:rsid w:val="00B64946"/>
    <w:rPr>
      <w:rFonts w:cs="Times New Roman"/>
    </w:rPr>
  </w:style>
  <w:style w:type="character" w:customStyle="1" w:styleId="pagelast">
    <w:name w:val="pagelast"/>
    <w:basedOn w:val="DefaultParagraphFont"/>
    <w:uiPriority w:val="99"/>
    <w:rsid w:val="00B64946"/>
    <w:rPr>
      <w:rFonts w:cs="Times New Roman"/>
    </w:rPr>
  </w:style>
  <w:style w:type="character" w:customStyle="1" w:styleId="EndnoteTextChar">
    <w:name w:val="Endnote Text Char"/>
    <w:basedOn w:val="DefaultParagraphFont"/>
    <w:link w:val="EndnoteText"/>
    <w:uiPriority w:val="99"/>
    <w:semiHidden/>
    <w:rsid w:val="00B64946"/>
    <w:rPr>
      <w:rFonts w:eastAsia="Calibri" w:cs="Times New Roman"/>
      <w:lang w:val="en-US"/>
    </w:rPr>
  </w:style>
  <w:style w:type="paragraph" w:styleId="EndnoteText">
    <w:name w:val="endnote text"/>
    <w:basedOn w:val="Normal"/>
    <w:link w:val="EndnoteTextChar"/>
    <w:uiPriority w:val="99"/>
    <w:semiHidden/>
    <w:rsid w:val="00B64946"/>
    <w:pPr>
      <w:spacing w:before="0" w:after="0" w:line="240" w:lineRule="auto"/>
    </w:pPr>
    <w:rPr>
      <w:rFonts w:ascii="Calibri" w:eastAsia="Calibri" w:hAnsi="Calibri" w:cs="Times New Roman"/>
      <w:sz w:val="20"/>
      <w:szCs w:val="20"/>
      <w:lang w:val="en-US"/>
    </w:rPr>
  </w:style>
  <w:style w:type="character" w:customStyle="1" w:styleId="EndnoteTextChar1">
    <w:name w:val="Endnote Text Char1"/>
    <w:basedOn w:val="DefaultParagraphFont"/>
    <w:uiPriority w:val="99"/>
    <w:semiHidden/>
    <w:rsid w:val="00B64946"/>
    <w:rPr>
      <w:rFonts w:ascii="Arial" w:hAnsi="Arial"/>
    </w:rPr>
  </w:style>
  <w:style w:type="character" w:customStyle="1" w:styleId="contenttext1">
    <w:name w:val="contenttext1"/>
    <w:basedOn w:val="DefaultParagraphFont"/>
    <w:rsid w:val="00B64946"/>
    <w:rPr>
      <w:rFonts w:ascii="Arial" w:hAnsi="Arial" w:cs="Arial" w:hint="default"/>
      <w:sz w:val="24"/>
      <w:szCs w:val="24"/>
    </w:rPr>
  </w:style>
  <w:style w:type="paragraph" w:customStyle="1" w:styleId="ui-helper-hidden-accessible">
    <w:name w:val="ui-helper-hidden-accessible"/>
    <w:basedOn w:val="Normal"/>
    <w:rsid w:val="00B64946"/>
    <w:pPr>
      <w:spacing w:before="100" w:beforeAutospacing="1" w:after="100" w:afterAutospacing="1" w:line="240" w:lineRule="auto"/>
    </w:pPr>
    <w:rPr>
      <w:rFonts w:ascii="Times New Roman" w:eastAsia="Times New Roman" w:hAnsi="Times New Roman" w:cs="Times New Roman"/>
      <w:szCs w:val="24"/>
      <w:lang w:bidi="ar-SA"/>
    </w:rPr>
  </w:style>
  <w:style w:type="paragraph" w:customStyle="1" w:styleId="p">
    <w:name w:val="p"/>
    <w:basedOn w:val="Normal"/>
    <w:rsid w:val="00B64946"/>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il">
    <w:name w:val="il"/>
    <w:basedOn w:val="DefaultParagraphFont"/>
    <w:rsid w:val="00B64946"/>
  </w:style>
  <w:style w:type="paragraph" w:customStyle="1" w:styleId="Normal1">
    <w:name w:val="Normal1"/>
    <w:rsid w:val="00B64946"/>
    <w:pPr>
      <w:spacing w:after="200" w:line="276" w:lineRule="auto"/>
    </w:pPr>
    <w:rPr>
      <w:rFonts w:eastAsia="Calibri" w:cs="Calibri"/>
      <w:color w:val="000000"/>
      <w:sz w:val="22"/>
      <w:lang w:bidi="ar-SA"/>
    </w:rPr>
  </w:style>
  <w:style w:type="character" w:customStyle="1" w:styleId="familyname">
    <w:name w:val="familyname"/>
    <w:basedOn w:val="DefaultParagraphFont"/>
    <w:rsid w:val="00B64946"/>
  </w:style>
  <w:style w:type="paragraph" w:customStyle="1" w:styleId="indent">
    <w:name w:val="indent"/>
    <w:basedOn w:val="Normal"/>
    <w:rsid w:val="00B64946"/>
    <w:pPr>
      <w:spacing w:before="100" w:beforeAutospacing="1" w:after="100" w:afterAutospacing="1" w:line="240" w:lineRule="auto"/>
    </w:pPr>
    <w:rPr>
      <w:rFonts w:ascii="Times New Roman" w:eastAsia="Times New Roman" w:hAnsi="Times New Roman" w:cs="Times New Roman"/>
      <w:szCs w:val="24"/>
      <w:lang w:bidi="ar-SA"/>
    </w:rPr>
  </w:style>
  <w:style w:type="character" w:styleId="HTMLCite">
    <w:name w:val="HTML Cite"/>
    <w:basedOn w:val="DefaultParagraphFont"/>
    <w:uiPriority w:val="99"/>
    <w:semiHidden/>
    <w:rsid w:val="00B64946"/>
    <w:rPr>
      <w:rFonts w:cs="Times New Roman"/>
      <w:color w:val="009933"/>
    </w:rPr>
  </w:style>
  <w:style w:type="character" w:styleId="EndnoteReference">
    <w:name w:val="endnote reference"/>
    <w:basedOn w:val="DefaultParagraphFont"/>
    <w:uiPriority w:val="99"/>
    <w:semiHidden/>
    <w:rsid w:val="00B64946"/>
    <w:rPr>
      <w:rFonts w:cs="Times New Roman"/>
      <w:vertAlign w:val="superscript"/>
    </w:rPr>
  </w:style>
  <w:style w:type="table" w:customStyle="1" w:styleId="TableGrid2">
    <w:name w:val="Table Grid2"/>
    <w:basedOn w:val="TableNormal"/>
    <w:next w:val="TableGrid"/>
    <w:uiPriority w:val="59"/>
    <w:rsid w:val="00B64946"/>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4946"/>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64946"/>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64946"/>
  </w:style>
  <w:style w:type="character" w:customStyle="1" w:styleId="current-selection">
    <w:name w:val="current-selection"/>
    <w:basedOn w:val="DefaultParagraphFont"/>
    <w:rsid w:val="000721FC"/>
  </w:style>
  <w:style w:type="character" w:customStyle="1" w:styleId="a">
    <w:name w:val="_"/>
    <w:basedOn w:val="DefaultParagraphFont"/>
    <w:rsid w:val="000721FC"/>
  </w:style>
  <w:style w:type="character" w:customStyle="1" w:styleId="fontstyle01">
    <w:name w:val="fontstyle01"/>
    <w:basedOn w:val="DefaultParagraphFont"/>
    <w:rsid w:val="006B7AF3"/>
    <w:rPr>
      <w:rFonts w:ascii="Arial" w:hAnsi="Arial" w:cs="Arial" w:hint="default"/>
      <w:b w:val="0"/>
      <w:bCs w:val="0"/>
      <w:i w:val="0"/>
      <w:iCs w:val="0"/>
      <w:color w:val="000000"/>
      <w:sz w:val="30"/>
      <w:szCs w:val="30"/>
    </w:rPr>
  </w:style>
  <w:style w:type="character" w:customStyle="1" w:styleId="fontstyle21">
    <w:name w:val="fontstyle21"/>
    <w:basedOn w:val="DefaultParagraphFont"/>
    <w:rsid w:val="006B7AF3"/>
    <w:rPr>
      <w:rFonts w:ascii="Arial" w:hAnsi="Arial" w:cs="Arial" w:hint="default"/>
      <w:b w:val="0"/>
      <w:bCs w:val="0"/>
      <w:i/>
      <w:iCs/>
      <w:color w:val="000000"/>
      <w:sz w:val="24"/>
      <w:szCs w:val="24"/>
    </w:rPr>
  </w:style>
  <w:style w:type="character" w:customStyle="1" w:styleId="enhanced-author">
    <w:name w:val="enhanced-author"/>
    <w:basedOn w:val="DefaultParagraphFont"/>
    <w:rsid w:val="00232C36"/>
  </w:style>
  <w:style w:type="table" w:customStyle="1" w:styleId="PlainTable51">
    <w:name w:val="Plain Table 51"/>
    <w:basedOn w:val="TableNormal"/>
    <w:uiPriority w:val="45"/>
    <w:rsid w:val="002918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29185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29185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fontstyle31">
    <w:name w:val="fontstyle31"/>
    <w:basedOn w:val="DefaultParagraphFont"/>
    <w:rsid w:val="0020473D"/>
    <w:rPr>
      <w:rFonts w:ascii="Helvetica" w:hAnsi="Helvetica" w:cs="Helvetica" w:hint="default"/>
      <w:b w:val="0"/>
      <w:bCs w:val="0"/>
      <w:i w:val="0"/>
      <w:iCs w:val="0"/>
      <w:color w:val="000000"/>
      <w:sz w:val="24"/>
      <w:szCs w:val="24"/>
    </w:rPr>
  </w:style>
  <w:style w:type="paragraph" w:customStyle="1" w:styleId="last">
    <w:name w:val="last"/>
    <w:basedOn w:val="Normal"/>
    <w:rsid w:val="00AB1B14"/>
    <w:pPr>
      <w:spacing w:before="100" w:beforeAutospacing="1" w:after="100" w:afterAutospacing="1" w:line="240" w:lineRule="auto"/>
      <w:jc w:val="left"/>
    </w:pPr>
    <w:rPr>
      <w:rFonts w:ascii="Times New Roman" w:eastAsia="Times New Roman" w:hAnsi="Times New Roman" w:cs="Times New Roman"/>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9818">
      <w:bodyDiv w:val="1"/>
      <w:marLeft w:val="0"/>
      <w:marRight w:val="0"/>
      <w:marTop w:val="0"/>
      <w:marBottom w:val="0"/>
      <w:divBdr>
        <w:top w:val="none" w:sz="0" w:space="0" w:color="auto"/>
        <w:left w:val="none" w:sz="0" w:space="0" w:color="auto"/>
        <w:bottom w:val="none" w:sz="0" w:space="0" w:color="auto"/>
        <w:right w:val="none" w:sz="0" w:space="0" w:color="auto"/>
      </w:divBdr>
      <w:divsChild>
        <w:div w:id="127093417">
          <w:marLeft w:val="0"/>
          <w:marRight w:val="0"/>
          <w:marTop w:val="0"/>
          <w:marBottom w:val="0"/>
          <w:divBdr>
            <w:top w:val="none" w:sz="0" w:space="0" w:color="auto"/>
            <w:left w:val="none" w:sz="0" w:space="0" w:color="auto"/>
            <w:bottom w:val="none" w:sz="0" w:space="0" w:color="auto"/>
            <w:right w:val="none" w:sz="0" w:space="0" w:color="auto"/>
          </w:divBdr>
        </w:div>
        <w:div w:id="923491581">
          <w:marLeft w:val="0"/>
          <w:marRight w:val="0"/>
          <w:marTop w:val="0"/>
          <w:marBottom w:val="0"/>
          <w:divBdr>
            <w:top w:val="none" w:sz="0" w:space="0" w:color="auto"/>
            <w:left w:val="none" w:sz="0" w:space="0" w:color="auto"/>
            <w:bottom w:val="none" w:sz="0" w:space="0" w:color="auto"/>
            <w:right w:val="none" w:sz="0" w:space="0" w:color="auto"/>
          </w:divBdr>
        </w:div>
        <w:div w:id="1108626315">
          <w:marLeft w:val="0"/>
          <w:marRight w:val="0"/>
          <w:marTop w:val="0"/>
          <w:marBottom w:val="0"/>
          <w:divBdr>
            <w:top w:val="none" w:sz="0" w:space="0" w:color="auto"/>
            <w:left w:val="none" w:sz="0" w:space="0" w:color="auto"/>
            <w:bottom w:val="none" w:sz="0" w:space="0" w:color="auto"/>
            <w:right w:val="none" w:sz="0" w:space="0" w:color="auto"/>
          </w:divBdr>
        </w:div>
        <w:div w:id="1637250808">
          <w:marLeft w:val="0"/>
          <w:marRight w:val="0"/>
          <w:marTop w:val="0"/>
          <w:marBottom w:val="0"/>
          <w:divBdr>
            <w:top w:val="none" w:sz="0" w:space="0" w:color="auto"/>
            <w:left w:val="none" w:sz="0" w:space="0" w:color="auto"/>
            <w:bottom w:val="none" w:sz="0" w:space="0" w:color="auto"/>
            <w:right w:val="none" w:sz="0" w:space="0" w:color="auto"/>
          </w:divBdr>
        </w:div>
        <w:div w:id="1806969993">
          <w:marLeft w:val="0"/>
          <w:marRight w:val="0"/>
          <w:marTop w:val="0"/>
          <w:marBottom w:val="0"/>
          <w:divBdr>
            <w:top w:val="none" w:sz="0" w:space="0" w:color="auto"/>
            <w:left w:val="none" w:sz="0" w:space="0" w:color="auto"/>
            <w:bottom w:val="none" w:sz="0" w:space="0" w:color="auto"/>
            <w:right w:val="none" w:sz="0" w:space="0" w:color="auto"/>
          </w:divBdr>
        </w:div>
      </w:divsChild>
    </w:div>
    <w:div w:id="166798025">
      <w:bodyDiv w:val="1"/>
      <w:marLeft w:val="0"/>
      <w:marRight w:val="0"/>
      <w:marTop w:val="0"/>
      <w:marBottom w:val="0"/>
      <w:divBdr>
        <w:top w:val="none" w:sz="0" w:space="0" w:color="auto"/>
        <w:left w:val="none" w:sz="0" w:space="0" w:color="auto"/>
        <w:bottom w:val="none" w:sz="0" w:space="0" w:color="auto"/>
        <w:right w:val="none" w:sz="0" w:space="0" w:color="auto"/>
      </w:divBdr>
    </w:div>
    <w:div w:id="436558552">
      <w:bodyDiv w:val="1"/>
      <w:marLeft w:val="0"/>
      <w:marRight w:val="0"/>
      <w:marTop w:val="0"/>
      <w:marBottom w:val="0"/>
      <w:divBdr>
        <w:top w:val="none" w:sz="0" w:space="0" w:color="auto"/>
        <w:left w:val="none" w:sz="0" w:space="0" w:color="auto"/>
        <w:bottom w:val="none" w:sz="0" w:space="0" w:color="auto"/>
        <w:right w:val="none" w:sz="0" w:space="0" w:color="auto"/>
      </w:divBdr>
    </w:div>
    <w:div w:id="437069361">
      <w:bodyDiv w:val="1"/>
      <w:marLeft w:val="0"/>
      <w:marRight w:val="0"/>
      <w:marTop w:val="0"/>
      <w:marBottom w:val="0"/>
      <w:divBdr>
        <w:top w:val="none" w:sz="0" w:space="0" w:color="auto"/>
        <w:left w:val="none" w:sz="0" w:space="0" w:color="auto"/>
        <w:bottom w:val="none" w:sz="0" w:space="0" w:color="auto"/>
        <w:right w:val="none" w:sz="0" w:space="0" w:color="auto"/>
      </w:divBdr>
    </w:div>
    <w:div w:id="448623827">
      <w:bodyDiv w:val="1"/>
      <w:marLeft w:val="0"/>
      <w:marRight w:val="0"/>
      <w:marTop w:val="0"/>
      <w:marBottom w:val="0"/>
      <w:divBdr>
        <w:top w:val="none" w:sz="0" w:space="0" w:color="auto"/>
        <w:left w:val="none" w:sz="0" w:space="0" w:color="auto"/>
        <w:bottom w:val="none" w:sz="0" w:space="0" w:color="auto"/>
        <w:right w:val="none" w:sz="0" w:space="0" w:color="auto"/>
      </w:divBdr>
    </w:div>
    <w:div w:id="522673252">
      <w:bodyDiv w:val="1"/>
      <w:marLeft w:val="0"/>
      <w:marRight w:val="0"/>
      <w:marTop w:val="0"/>
      <w:marBottom w:val="0"/>
      <w:divBdr>
        <w:top w:val="none" w:sz="0" w:space="0" w:color="auto"/>
        <w:left w:val="none" w:sz="0" w:space="0" w:color="auto"/>
        <w:bottom w:val="none" w:sz="0" w:space="0" w:color="auto"/>
        <w:right w:val="none" w:sz="0" w:space="0" w:color="auto"/>
      </w:divBdr>
    </w:div>
    <w:div w:id="534734499">
      <w:bodyDiv w:val="1"/>
      <w:marLeft w:val="0"/>
      <w:marRight w:val="0"/>
      <w:marTop w:val="0"/>
      <w:marBottom w:val="0"/>
      <w:divBdr>
        <w:top w:val="none" w:sz="0" w:space="0" w:color="auto"/>
        <w:left w:val="none" w:sz="0" w:space="0" w:color="auto"/>
        <w:bottom w:val="none" w:sz="0" w:space="0" w:color="auto"/>
        <w:right w:val="none" w:sz="0" w:space="0" w:color="auto"/>
      </w:divBdr>
      <w:divsChild>
        <w:div w:id="5180895">
          <w:marLeft w:val="0"/>
          <w:marRight w:val="0"/>
          <w:marTop w:val="0"/>
          <w:marBottom w:val="0"/>
          <w:divBdr>
            <w:top w:val="none" w:sz="0" w:space="0" w:color="auto"/>
            <w:left w:val="none" w:sz="0" w:space="0" w:color="auto"/>
            <w:bottom w:val="none" w:sz="0" w:space="0" w:color="auto"/>
            <w:right w:val="none" w:sz="0" w:space="0" w:color="auto"/>
          </w:divBdr>
        </w:div>
        <w:div w:id="487326154">
          <w:marLeft w:val="0"/>
          <w:marRight w:val="0"/>
          <w:marTop w:val="0"/>
          <w:marBottom w:val="0"/>
          <w:divBdr>
            <w:top w:val="none" w:sz="0" w:space="0" w:color="auto"/>
            <w:left w:val="none" w:sz="0" w:space="0" w:color="auto"/>
            <w:bottom w:val="none" w:sz="0" w:space="0" w:color="auto"/>
            <w:right w:val="none" w:sz="0" w:space="0" w:color="auto"/>
          </w:divBdr>
        </w:div>
        <w:div w:id="1681354999">
          <w:marLeft w:val="0"/>
          <w:marRight w:val="0"/>
          <w:marTop w:val="0"/>
          <w:marBottom w:val="0"/>
          <w:divBdr>
            <w:top w:val="none" w:sz="0" w:space="0" w:color="auto"/>
            <w:left w:val="none" w:sz="0" w:space="0" w:color="auto"/>
            <w:bottom w:val="none" w:sz="0" w:space="0" w:color="auto"/>
            <w:right w:val="none" w:sz="0" w:space="0" w:color="auto"/>
          </w:divBdr>
        </w:div>
        <w:div w:id="1787188830">
          <w:marLeft w:val="0"/>
          <w:marRight w:val="0"/>
          <w:marTop w:val="0"/>
          <w:marBottom w:val="0"/>
          <w:divBdr>
            <w:top w:val="none" w:sz="0" w:space="0" w:color="auto"/>
            <w:left w:val="none" w:sz="0" w:space="0" w:color="auto"/>
            <w:bottom w:val="none" w:sz="0" w:space="0" w:color="auto"/>
            <w:right w:val="none" w:sz="0" w:space="0" w:color="auto"/>
          </w:divBdr>
        </w:div>
        <w:div w:id="1815567085">
          <w:marLeft w:val="0"/>
          <w:marRight w:val="0"/>
          <w:marTop w:val="0"/>
          <w:marBottom w:val="0"/>
          <w:divBdr>
            <w:top w:val="none" w:sz="0" w:space="0" w:color="auto"/>
            <w:left w:val="none" w:sz="0" w:space="0" w:color="auto"/>
            <w:bottom w:val="none" w:sz="0" w:space="0" w:color="auto"/>
            <w:right w:val="none" w:sz="0" w:space="0" w:color="auto"/>
          </w:divBdr>
        </w:div>
      </w:divsChild>
    </w:div>
    <w:div w:id="567232860">
      <w:bodyDiv w:val="1"/>
      <w:marLeft w:val="0"/>
      <w:marRight w:val="0"/>
      <w:marTop w:val="0"/>
      <w:marBottom w:val="0"/>
      <w:divBdr>
        <w:top w:val="none" w:sz="0" w:space="0" w:color="auto"/>
        <w:left w:val="none" w:sz="0" w:space="0" w:color="auto"/>
        <w:bottom w:val="none" w:sz="0" w:space="0" w:color="auto"/>
        <w:right w:val="none" w:sz="0" w:space="0" w:color="auto"/>
      </w:divBdr>
    </w:div>
    <w:div w:id="620189685">
      <w:bodyDiv w:val="1"/>
      <w:marLeft w:val="0"/>
      <w:marRight w:val="0"/>
      <w:marTop w:val="0"/>
      <w:marBottom w:val="0"/>
      <w:divBdr>
        <w:top w:val="none" w:sz="0" w:space="0" w:color="auto"/>
        <w:left w:val="none" w:sz="0" w:space="0" w:color="auto"/>
        <w:bottom w:val="none" w:sz="0" w:space="0" w:color="auto"/>
        <w:right w:val="none" w:sz="0" w:space="0" w:color="auto"/>
      </w:divBdr>
      <w:divsChild>
        <w:div w:id="306132244">
          <w:marLeft w:val="0"/>
          <w:marRight w:val="0"/>
          <w:marTop w:val="0"/>
          <w:marBottom w:val="0"/>
          <w:divBdr>
            <w:top w:val="none" w:sz="0" w:space="0" w:color="auto"/>
            <w:left w:val="none" w:sz="0" w:space="0" w:color="auto"/>
            <w:bottom w:val="none" w:sz="0" w:space="0" w:color="auto"/>
            <w:right w:val="none" w:sz="0" w:space="0" w:color="auto"/>
          </w:divBdr>
        </w:div>
        <w:div w:id="1194266822">
          <w:marLeft w:val="0"/>
          <w:marRight w:val="0"/>
          <w:marTop w:val="0"/>
          <w:marBottom w:val="0"/>
          <w:divBdr>
            <w:top w:val="none" w:sz="0" w:space="0" w:color="auto"/>
            <w:left w:val="none" w:sz="0" w:space="0" w:color="auto"/>
            <w:bottom w:val="none" w:sz="0" w:space="0" w:color="auto"/>
            <w:right w:val="none" w:sz="0" w:space="0" w:color="auto"/>
          </w:divBdr>
        </w:div>
        <w:div w:id="1366713307">
          <w:marLeft w:val="0"/>
          <w:marRight w:val="0"/>
          <w:marTop w:val="0"/>
          <w:marBottom w:val="0"/>
          <w:divBdr>
            <w:top w:val="none" w:sz="0" w:space="0" w:color="auto"/>
            <w:left w:val="none" w:sz="0" w:space="0" w:color="auto"/>
            <w:bottom w:val="none" w:sz="0" w:space="0" w:color="auto"/>
            <w:right w:val="none" w:sz="0" w:space="0" w:color="auto"/>
          </w:divBdr>
        </w:div>
        <w:div w:id="1550023686">
          <w:marLeft w:val="0"/>
          <w:marRight w:val="0"/>
          <w:marTop w:val="0"/>
          <w:marBottom w:val="0"/>
          <w:divBdr>
            <w:top w:val="none" w:sz="0" w:space="0" w:color="auto"/>
            <w:left w:val="none" w:sz="0" w:space="0" w:color="auto"/>
            <w:bottom w:val="none" w:sz="0" w:space="0" w:color="auto"/>
            <w:right w:val="none" w:sz="0" w:space="0" w:color="auto"/>
          </w:divBdr>
        </w:div>
        <w:div w:id="2090880204">
          <w:marLeft w:val="0"/>
          <w:marRight w:val="0"/>
          <w:marTop w:val="0"/>
          <w:marBottom w:val="0"/>
          <w:divBdr>
            <w:top w:val="none" w:sz="0" w:space="0" w:color="auto"/>
            <w:left w:val="none" w:sz="0" w:space="0" w:color="auto"/>
            <w:bottom w:val="none" w:sz="0" w:space="0" w:color="auto"/>
            <w:right w:val="none" w:sz="0" w:space="0" w:color="auto"/>
          </w:divBdr>
        </w:div>
      </w:divsChild>
    </w:div>
    <w:div w:id="662051316">
      <w:bodyDiv w:val="1"/>
      <w:marLeft w:val="0"/>
      <w:marRight w:val="0"/>
      <w:marTop w:val="0"/>
      <w:marBottom w:val="0"/>
      <w:divBdr>
        <w:top w:val="none" w:sz="0" w:space="0" w:color="auto"/>
        <w:left w:val="none" w:sz="0" w:space="0" w:color="auto"/>
        <w:bottom w:val="none" w:sz="0" w:space="0" w:color="auto"/>
        <w:right w:val="none" w:sz="0" w:space="0" w:color="auto"/>
      </w:divBdr>
    </w:div>
    <w:div w:id="708913372">
      <w:bodyDiv w:val="1"/>
      <w:marLeft w:val="0"/>
      <w:marRight w:val="0"/>
      <w:marTop w:val="0"/>
      <w:marBottom w:val="0"/>
      <w:divBdr>
        <w:top w:val="none" w:sz="0" w:space="0" w:color="auto"/>
        <w:left w:val="none" w:sz="0" w:space="0" w:color="auto"/>
        <w:bottom w:val="none" w:sz="0" w:space="0" w:color="auto"/>
        <w:right w:val="none" w:sz="0" w:space="0" w:color="auto"/>
      </w:divBdr>
    </w:div>
    <w:div w:id="735516125">
      <w:bodyDiv w:val="1"/>
      <w:marLeft w:val="0"/>
      <w:marRight w:val="0"/>
      <w:marTop w:val="0"/>
      <w:marBottom w:val="0"/>
      <w:divBdr>
        <w:top w:val="none" w:sz="0" w:space="0" w:color="auto"/>
        <w:left w:val="none" w:sz="0" w:space="0" w:color="auto"/>
        <w:bottom w:val="none" w:sz="0" w:space="0" w:color="auto"/>
        <w:right w:val="none" w:sz="0" w:space="0" w:color="auto"/>
      </w:divBdr>
      <w:divsChild>
        <w:div w:id="329598301">
          <w:marLeft w:val="0"/>
          <w:marRight w:val="0"/>
          <w:marTop w:val="0"/>
          <w:marBottom w:val="0"/>
          <w:divBdr>
            <w:top w:val="none" w:sz="0" w:space="0" w:color="auto"/>
            <w:left w:val="none" w:sz="0" w:space="0" w:color="auto"/>
            <w:bottom w:val="none" w:sz="0" w:space="0" w:color="auto"/>
            <w:right w:val="none" w:sz="0" w:space="0" w:color="auto"/>
          </w:divBdr>
        </w:div>
        <w:div w:id="351542072">
          <w:marLeft w:val="0"/>
          <w:marRight w:val="0"/>
          <w:marTop w:val="0"/>
          <w:marBottom w:val="0"/>
          <w:divBdr>
            <w:top w:val="none" w:sz="0" w:space="0" w:color="auto"/>
            <w:left w:val="none" w:sz="0" w:space="0" w:color="auto"/>
            <w:bottom w:val="none" w:sz="0" w:space="0" w:color="auto"/>
            <w:right w:val="none" w:sz="0" w:space="0" w:color="auto"/>
          </w:divBdr>
        </w:div>
        <w:div w:id="414059250">
          <w:marLeft w:val="0"/>
          <w:marRight w:val="0"/>
          <w:marTop w:val="0"/>
          <w:marBottom w:val="0"/>
          <w:divBdr>
            <w:top w:val="none" w:sz="0" w:space="0" w:color="auto"/>
            <w:left w:val="none" w:sz="0" w:space="0" w:color="auto"/>
            <w:bottom w:val="none" w:sz="0" w:space="0" w:color="auto"/>
            <w:right w:val="none" w:sz="0" w:space="0" w:color="auto"/>
          </w:divBdr>
        </w:div>
        <w:div w:id="446197358">
          <w:marLeft w:val="0"/>
          <w:marRight w:val="0"/>
          <w:marTop w:val="0"/>
          <w:marBottom w:val="0"/>
          <w:divBdr>
            <w:top w:val="none" w:sz="0" w:space="0" w:color="auto"/>
            <w:left w:val="none" w:sz="0" w:space="0" w:color="auto"/>
            <w:bottom w:val="none" w:sz="0" w:space="0" w:color="auto"/>
            <w:right w:val="none" w:sz="0" w:space="0" w:color="auto"/>
          </w:divBdr>
        </w:div>
        <w:div w:id="765346861">
          <w:marLeft w:val="0"/>
          <w:marRight w:val="0"/>
          <w:marTop w:val="0"/>
          <w:marBottom w:val="0"/>
          <w:divBdr>
            <w:top w:val="none" w:sz="0" w:space="0" w:color="auto"/>
            <w:left w:val="none" w:sz="0" w:space="0" w:color="auto"/>
            <w:bottom w:val="none" w:sz="0" w:space="0" w:color="auto"/>
            <w:right w:val="none" w:sz="0" w:space="0" w:color="auto"/>
          </w:divBdr>
        </w:div>
        <w:div w:id="1224021388">
          <w:marLeft w:val="0"/>
          <w:marRight w:val="0"/>
          <w:marTop w:val="0"/>
          <w:marBottom w:val="0"/>
          <w:divBdr>
            <w:top w:val="none" w:sz="0" w:space="0" w:color="auto"/>
            <w:left w:val="none" w:sz="0" w:space="0" w:color="auto"/>
            <w:bottom w:val="none" w:sz="0" w:space="0" w:color="auto"/>
            <w:right w:val="none" w:sz="0" w:space="0" w:color="auto"/>
          </w:divBdr>
        </w:div>
        <w:div w:id="1916746767">
          <w:marLeft w:val="0"/>
          <w:marRight w:val="0"/>
          <w:marTop w:val="0"/>
          <w:marBottom w:val="0"/>
          <w:divBdr>
            <w:top w:val="none" w:sz="0" w:space="0" w:color="auto"/>
            <w:left w:val="none" w:sz="0" w:space="0" w:color="auto"/>
            <w:bottom w:val="none" w:sz="0" w:space="0" w:color="auto"/>
            <w:right w:val="none" w:sz="0" w:space="0" w:color="auto"/>
          </w:divBdr>
        </w:div>
        <w:div w:id="2077824022">
          <w:marLeft w:val="0"/>
          <w:marRight w:val="0"/>
          <w:marTop w:val="0"/>
          <w:marBottom w:val="0"/>
          <w:divBdr>
            <w:top w:val="none" w:sz="0" w:space="0" w:color="auto"/>
            <w:left w:val="none" w:sz="0" w:space="0" w:color="auto"/>
            <w:bottom w:val="none" w:sz="0" w:space="0" w:color="auto"/>
            <w:right w:val="none" w:sz="0" w:space="0" w:color="auto"/>
          </w:divBdr>
        </w:div>
      </w:divsChild>
    </w:div>
    <w:div w:id="815531048">
      <w:bodyDiv w:val="1"/>
      <w:marLeft w:val="0"/>
      <w:marRight w:val="0"/>
      <w:marTop w:val="0"/>
      <w:marBottom w:val="0"/>
      <w:divBdr>
        <w:top w:val="none" w:sz="0" w:space="0" w:color="auto"/>
        <w:left w:val="none" w:sz="0" w:space="0" w:color="auto"/>
        <w:bottom w:val="none" w:sz="0" w:space="0" w:color="auto"/>
        <w:right w:val="none" w:sz="0" w:space="0" w:color="auto"/>
      </w:divBdr>
      <w:divsChild>
        <w:div w:id="619840046">
          <w:marLeft w:val="0"/>
          <w:marRight w:val="0"/>
          <w:marTop w:val="0"/>
          <w:marBottom w:val="0"/>
          <w:divBdr>
            <w:top w:val="none" w:sz="0" w:space="0" w:color="auto"/>
            <w:left w:val="none" w:sz="0" w:space="0" w:color="auto"/>
            <w:bottom w:val="none" w:sz="0" w:space="0" w:color="auto"/>
            <w:right w:val="none" w:sz="0" w:space="0" w:color="auto"/>
          </w:divBdr>
        </w:div>
        <w:div w:id="974338463">
          <w:marLeft w:val="0"/>
          <w:marRight w:val="0"/>
          <w:marTop w:val="0"/>
          <w:marBottom w:val="0"/>
          <w:divBdr>
            <w:top w:val="none" w:sz="0" w:space="0" w:color="auto"/>
            <w:left w:val="none" w:sz="0" w:space="0" w:color="auto"/>
            <w:bottom w:val="none" w:sz="0" w:space="0" w:color="auto"/>
            <w:right w:val="none" w:sz="0" w:space="0" w:color="auto"/>
          </w:divBdr>
        </w:div>
      </w:divsChild>
    </w:div>
    <w:div w:id="869686901">
      <w:bodyDiv w:val="1"/>
      <w:marLeft w:val="0"/>
      <w:marRight w:val="0"/>
      <w:marTop w:val="0"/>
      <w:marBottom w:val="0"/>
      <w:divBdr>
        <w:top w:val="none" w:sz="0" w:space="0" w:color="auto"/>
        <w:left w:val="none" w:sz="0" w:space="0" w:color="auto"/>
        <w:bottom w:val="none" w:sz="0" w:space="0" w:color="auto"/>
        <w:right w:val="none" w:sz="0" w:space="0" w:color="auto"/>
      </w:divBdr>
    </w:div>
    <w:div w:id="870728065">
      <w:bodyDiv w:val="1"/>
      <w:marLeft w:val="0"/>
      <w:marRight w:val="0"/>
      <w:marTop w:val="0"/>
      <w:marBottom w:val="0"/>
      <w:divBdr>
        <w:top w:val="none" w:sz="0" w:space="0" w:color="auto"/>
        <w:left w:val="none" w:sz="0" w:space="0" w:color="auto"/>
        <w:bottom w:val="none" w:sz="0" w:space="0" w:color="auto"/>
        <w:right w:val="none" w:sz="0" w:space="0" w:color="auto"/>
      </w:divBdr>
    </w:div>
    <w:div w:id="908735623">
      <w:bodyDiv w:val="1"/>
      <w:marLeft w:val="0"/>
      <w:marRight w:val="0"/>
      <w:marTop w:val="0"/>
      <w:marBottom w:val="0"/>
      <w:divBdr>
        <w:top w:val="none" w:sz="0" w:space="0" w:color="auto"/>
        <w:left w:val="none" w:sz="0" w:space="0" w:color="auto"/>
        <w:bottom w:val="none" w:sz="0" w:space="0" w:color="auto"/>
        <w:right w:val="none" w:sz="0" w:space="0" w:color="auto"/>
      </w:divBdr>
    </w:div>
    <w:div w:id="1174298324">
      <w:bodyDiv w:val="1"/>
      <w:marLeft w:val="0"/>
      <w:marRight w:val="0"/>
      <w:marTop w:val="0"/>
      <w:marBottom w:val="0"/>
      <w:divBdr>
        <w:top w:val="none" w:sz="0" w:space="0" w:color="auto"/>
        <w:left w:val="none" w:sz="0" w:space="0" w:color="auto"/>
        <w:bottom w:val="none" w:sz="0" w:space="0" w:color="auto"/>
        <w:right w:val="none" w:sz="0" w:space="0" w:color="auto"/>
      </w:divBdr>
    </w:div>
    <w:div w:id="1205604883">
      <w:bodyDiv w:val="1"/>
      <w:marLeft w:val="0"/>
      <w:marRight w:val="0"/>
      <w:marTop w:val="0"/>
      <w:marBottom w:val="0"/>
      <w:divBdr>
        <w:top w:val="none" w:sz="0" w:space="0" w:color="auto"/>
        <w:left w:val="none" w:sz="0" w:space="0" w:color="auto"/>
        <w:bottom w:val="none" w:sz="0" w:space="0" w:color="auto"/>
        <w:right w:val="none" w:sz="0" w:space="0" w:color="auto"/>
      </w:divBdr>
    </w:div>
    <w:div w:id="1261647251">
      <w:bodyDiv w:val="1"/>
      <w:marLeft w:val="0"/>
      <w:marRight w:val="0"/>
      <w:marTop w:val="0"/>
      <w:marBottom w:val="0"/>
      <w:divBdr>
        <w:top w:val="none" w:sz="0" w:space="0" w:color="auto"/>
        <w:left w:val="none" w:sz="0" w:space="0" w:color="auto"/>
        <w:bottom w:val="none" w:sz="0" w:space="0" w:color="auto"/>
        <w:right w:val="none" w:sz="0" w:space="0" w:color="auto"/>
      </w:divBdr>
    </w:div>
    <w:div w:id="1376738783">
      <w:bodyDiv w:val="1"/>
      <w:marLeft w:val="0"/>
      <w:marRight w:val="0"/>
      <w:marTop w:val="0"/>
      <w:marBottom w:val="0"/>
      <w:divBdr>
        <w:top w:val="none" w:sz="0" w:space="0" w:color="auto"/>
        <w:left w:val="none" w:sz="0" w:space="0" w:color="auto"/>
        <w:bottom w:val="none" w:sz="0" w:space="0" w:color="auto"/>
        <w:right w:val="none" w:sz="0" w:space="0" w:color="auto"/>
      </w:divBdr>
      <w:divsChild>
        <w:div w:id="130026846">
          <w:marLeft w:val="0"/>
          <w:marRight w:val="0"/>
          <w:marTop w:val="0"/>
          <w:marBottom w:val="0"/>
          <w:divBdr>
            <w:top w:val="none" w:sz="0" w:space="0" w:color="auto"/>
            <w:left w:val="none" w:sz="0" w:space="0" w:color="auto"/>
            <w:bottom w:val="none" w:sz="0" w:space="0" w:color="auto"/>
            <w:right w:val="none" w:sz="0" w:space="0" w:color="auto"/>
          </w:divBdr>
        </w:div>
        <w:div w:id="247151981">
          <w:marLeft w:val="0"/>
          <w:marRight w:val="0"/>
          <w:marTop w:val="0"/>
          <w:marBottom w:val="0"/>
          <w:divBdr>
            <w:top w:val="none" w:sz="0" w:space="0" w:color="auto"/>
            <w:left w:val="none" w:sz="0" w:space="0" w:color="auto"/>
            <w:bottom w:val="none" w:sz="0" w:space="0" w:color="auto"/>
            <w:right w:val="none" w:sz="0" w:space="0" w:color="auto"/>
          </w:divBdr>
        </w:div>
        <w:div w:id="337317669">
          <w:marLeft w:val="0"/>
          <w:marRight w:val="0"/>
          <w:marTop w:val="0"/>
          <w:marBottom w:val="0"/>
          <w:divBdr>
            <w:top w:val="none" w:sz="0" w:space="0" w:color="auto"/>
            <w:left w:val="none" w:sz="0" w:space="0" w:color="auto"/>
            <w:bottom w:val="none" w:sz="0" w:space="0" w:color="auto"/>
            <w:right w:val="none" w:sz="0" w:space="0" w:color="auto"/>
          </w:divBdr>
        </w:div>
        <w:div w:id="445077706">
          <w:marLeft w:val="0"/>
          <w:marRight w:val="0"/>
          <w:marTop w:val="0"/>
          <w:marBottom w:val="0"/>
          <w:divBdr>
            <w:top w:val="none" w:sz="0" w:space="0" w:color="auto"/>
            <w:left w:val="none" w:sz="0" w:space="0" w:color="auto"/>
            <w:bottom w:val="none" w:sz="0" w:space="0" w:color="auto"/>
            <w:right w:val="none" w:sz="0" w:space="0" w:color="auto"/>
          </w:divBdr>
        </w:div>
        <w:div w:id="455178630">
          <w:marLeft w:val="0"/>
          <w:marRight w:val="0"/>
          <w:marTop w:val="0"/>
          <w:marBottom w:val="0"/>
          <w:divBdr>
            <w:top w:val="none" w:sz="0" w:space="0" w:color="auto"/>
            <w:left w:val="none" w:sz="0" w:space="0" w:color="auto"/>
            <w:bottom w:val="none" w:sz="0" w:space="0" w:color="auto"/>
            <w:right w:val="none" w:sz="0" w:space="0" w:color="auto"/>
          </w:divBdr>
        </w:div>
        <w:div w:id="1079062705">
          <w:marLeft w:val="0"/>
          <w:marRight w:val="0"/>
          <w:marTop w:val="0"/>
          <w:marBottom w:val="0"/>
          <w:divBdr>
            <w:top w:val="none" w:sz="0" w:space="0" w:color="auto"/>
            <w:left w:val="none" w:sz="0" w:space="0" w:color="auto"/>
            <w:bottom w:val="none" w:sz="0" w:space="0" w:color="auto"/>
            <w:right w:val="none" w:sz="0" w:space="0" w:color="auto"/>
          </w:divBdr>
        </w:div>
        <w:div w:id="1604217979">
          <w:marLeft w:val="0"/>
          <w:marRight w:val="0"/>
          <w:marTop w:val="0"/>
          <w:marBottom w:val="0"/>
          <w:divBdr>
            <w:top w:val="none" w:sz="0" w:space="0" w:color="auto"/>
            <w:left w:val="none" w:sz="0" w:space="0" w:color="auto"/>
            <w:bottom w:val="none" w:sz="0" w:space="0" w:color="auto"/>
            <w:right w:val="none" w:sz="0" w:space="0" w:color="auto"/>
          </w:divBdr>
        </w:div>
        <w:div w:id="1635213573">
          <w:marLeft w:val="0"/>
          <w:marRight w:val="0"/>
          <w:marTop w:val="0"/>
          <w:marBottom w:val="0"/>
          <w:divBdr>
            <w:top w:val="none" w:sz="0" w:space="0" w:color="auto"/>
            <w:left w:val="none" w:sz="0" w:space="0" w:color="auto"/>
            <w:bottom w:val="none" w:sz="0" w:space="0" w:color="auto"/>
            <w:right w:val="none" w:sz="0" w:space="0" w:color="auto"/>
          </w:divBdr>
        </w:div>
      </w:divsChild>
    </w:div>
    <w:div w:id="1417629812">
      <w:bodyDiv w:val="1"/>
      <w:marLeft w:val="0"/>
      <w:marRight w:val="0"/>
      <w:marTop w:val="0"/>
      <w:marBottom w:val="0"/>
      <w:divBdr>
        <w:top w:val="none" w:sz="0" w:space="0" w:color="auto"/>
        <w:left w:val="none" w:sz="0" w:space="0" w:color="auto"/>
        <w:bottom w:val="none" w:sz="0" w:space="0" w:color="auto"/>
        <w:right w:val="none" w:sz="0" w:space="0" w:color="auto"/>
      </w:divBdr>
      <w:divsChild>
        <w:div w:id="258950382">
          <w:marLeft w:val="0"/>
          <w:marRight w:val="0"/>
          <w:marTop w:val="0"/>
          <w:marBottom w:val="0"/>
          <w:divBdr>
            <w:top w:val="none" w:sz="0" w:space="0" w:color="auto"/>
            <w:left w:val="none" w:sz="0" w:space="0" w:color="auto"/>
            <w:bottom w:val="none" w:sz="0" w:space="0" w:color="auto"/>
            <w:right w:val="none" w:sz="0" w:space="0" w:color="auto"/>
          </w:divBdr>
        </w:div>
        <w:div w:id="261230985">
          <w:marLeft w:val="0"/>
          <w:marRight w:val="0"/>
          <w:marTop w:val="0"/>
          <w:marBottom w:val="0"/>
          <w:divBdr>
            <w:top w:val="none" w:sz="0" w:space="0" w:color="auto"/>
            <w:left w:val="none" w:sz="0" w:space="0" w:color="auto"/>
            <w:bottom w:val="none" w:sz="0" w:space="0" w:color="auto"/>
            <w:right w:val="none" w:sz="0" w:space="0" w:color="auto"/>
          </w:divBdr>
        </w:div>
        <w:div w:id="306279426">
          <w:marLeft w:val="0"/>
          <w:marRight w:val="0"/>
          <w:marTop w:val="0"/>
          <w:marBottom w:val="0"/>
          <w:divBdr>
            <w:top w:val="none" w:sz="0" w:space="0" w:color="auto"/>
            <w:left w:val="none" w:sz="0" w:space="0" w:color="auto"/>
            <w:bottom w:val="none" w:sz="0" w:space="0" w:color="auto"/>
            <w:right w:val="none" w:sz="0" w:space="0" w:color="auto"/>
          </w:divBdr>
        </w:div>
        <w:div w:id="363798882">
          <w:marLeft w:val="0"/>
          <w:marRight w:val="0"/>
          <w:marTop w:val="0"/>
          <w:marBottom w:val="0"/>
          <w:divBdr>
            <w:top w:val="none" w:sz="0" w:space="0" w:color="auto"/>
            <w:left w:val="none" w:sz="0" w:space="0" w:color="auto"/>
            <w:bottom w:val="none" w:sz="0" w:space="0" w:color="auto"/>
            <w:right w:val="none" w:sz="0" w:space="0" w:color="auto"/>
          </w:divBdr>
        </w:div>
        <w:div w:id="873688030">
          <w:marLeft w:val="0"/>
          <w:marRight w:val="0"/>
          <w:marTop w:val="0"/>
          <w:marBottom w:val="0"/>
          <w:divBdr>
            <w:top w:val="none" w:sz="0" w:space="0" w:color="auto"/>
            <w:left w:val="none" w:sz="0" w:space="0" w:color="auto"/>
            <w:bottom w:val="none" w:sz="0" w:space="0" w:color="auto"/>
            <w:right w:val="none" w:sz="0" w:space="0" w:color="auto"/>
          </w:divBdr>
        </w:div>
        <w:div w:id="1151940938">
          <w:marLeft w:val="0"/>
          <w:marRight w:val="0"/>
          <w:marTop w:val="0"/>
          <w:marBottom w:val="0"/>
          <w:divBdr>
            <w:top w:val="none" w:sz="0" w:space="0" w:color="auto"/>
            <w:left w:val="none" w:sz="0" w:space="0" w:color="auto"/>
            <w:bottom w:val="none" w:sz="0" w:space="0" w:color="auto"/>
            <w:right w:val="none" w:sz="0" w:space="0" w:color="auto"/>
          </w:divBdr>
        </w:div>
        <w:div w:id="1866213873">
          <w:marLeft w:val="0"/>
          <w:marRight w:val="0"/>
          <w:marTop w:val="0"/>
          <w:marBottom w:val="0"/>
          <w:divBdr>
            <w:top w:val="none" w:sz="0" w:space="0" w:color="auto"/>
            <w:left w:val="none" w:sz="0" w:space="0" w:color="auto"/>
            <w:bottom w:val="none" w:sz="0" w:space="0" w:color="auto"/>
            <w:right w:val="none" w:sz="0" w:space="0" w:color="auto"/>
          </w:divBdr>
        </w:div>
        <w:div w:id="2026052167">
          <w:marLeft w:val="0"/>
          <w:marRight w:val="0"/>
          <w:marTop w:val="0"/>
          <w:marBottom w:val="0"/>
          <w:divBdr>
            <w:top w:val="none" w:sz="0" w:space="0" w:color="auto"/>
            <w:left w:val="none" w:sz="0" w:space="0" w:color="auto"/>
            <w:bottom w:val="none" w:sz="0" w:space="0" w:color="auto"/>
            <w:right w:val="none" w:sz="0" w:space="0" w:color="auto"/>
          </w:divBdr>
        </w:div>
      </w:divsChild>
    </w:div>
    <w:div w:id="1445998809">
      <w:bodyDiv w:val="1"/>
      <w:marLeft w:val="0"/>
      <w:marRight w:val="0"/>
      <w:marTop w:val="0"/>
      <w:marBottom w:val="0"/>
      <w:divBdr>
        <w:top w:val="none" w:sz="0" w:space="0" w:color="auto"/>
        <w:left w:val="none" w:sz="0" w:space="0" w:color="auto"/>
        <w:bottom w:val="none" w:sz="0" w:space="0" w:color="auto"/>
        <w:right w:val="none" w:sz="0" w:space="0" w:color="auto"/>
      </w:divBdr>
      <w:divsChild>
        <w:div w:id="1198085379">
          <w:marLeft w:val="0"/>
          <w:marRight w:val="0"/>
          <w:marTop w:val="0"/>
          <w:marBottom w:val="0"/>
          <w:divBdr>
            <w:top w:val="none" w:sz="0" w:space="0" w:color="auto"/>
            <w:left w:val="none" w:sz="0" w:space="0" w:color="auto"/>
            <w:bottom w:val="none" w:sz="0" w:space="0" w:color="auto"/>
            <w:right w:val="none" w:sz="0" w:space="0" w:color="auto"/>
          </w:divBdr>
        </w:div>
        <w:div w:id="1841506656">
          <w:marLeft w:val="0"/>
          <w:marRight w:val="0"/>
          <w:marTop w:val="0"/>
          <w:marBottom w:val="0"/>
          <w:divBdr>
            <w:top w:val="none" w:sz="0" w:space="0" w:color="auto"/>
            <w:left w:val="none" w:sz="0" w:space="0" w:color="auto"/>
            <w:bottom w:val="none" w:sz="0" w:space="0" w:color="auto"/>
            <w:right w:val="none" w:sz="0" w:space="0" w:color="auto"/>
          </w:divBdr>
        </w:div>
      </w:divsChild>
    </w:div>
    <w:div w:id="1563369065">
      <w:bodyDiv w:val="1"/>
      <w:marLeft w:val="0"/>
      <w:marRight w:val="0"/>
      <w:marTop w:val="0"/>
      <w:marBottom w:val="0"/>
      <w:divBdr>
        <w:top w:val="none" w:sz="0" w:space="0" w:color="auto"/>
        <w:left w:val="none" w:sz="0" w:space="0" w:color="auto"/>
        <w:bottom w:val="none" w:sz="0" w:space="0" w:color="auto"/>
        <w:right w:val="none" w:sz="0" w:space="0" w:color="auto"/>
      </w:divBdr>
    </w:div>
    <w:div w:id="1712025288">
      <w:bodyDiv w:val="1"/>
      <w:marLeft w:val="0"/>
      <w:marRight w:val="0"/>
      <w:marTop w:val="0"/>
      <w:marBottom w:val="0"/>
      <w:divBdr>
        <w:top w:val="none" w:sz="0" w:space="0" w:color="auto"/>
        <w:left w:val="none" w:sz="0" w:space="0" w:color="auto"/>
        <w:bottom w:val="none" w:sz="0" w:space="0" w:color="auto"/>
        <w:right w:val="none" w:sz="0" w:space="0" w:color="auto"/>
      </w:divBdr>
      <w:divsChild>
        <w:div w:id="751509261">
          <w:marLeft w:val="0"/>
          <w:marRight w:val="0"/>
          <w:marTop w:val="0"/>
          <w:marBottom w:val="0"/>
          <w:divBdr>
            <w:top w:val="none" w:sz="0" w:space="0" w:color="auto"/>
            <w:left w:val="none" w:sz="0" w:space="0" w:color="auto"/>
            <w:bottom w:val="none" w:sz="0" w:space="0" w:color="auto"/>
            <w:right w:val="none" w:sz="0" w:space="0" w:color="auto"/>
          </w:divBdr>
        </w:div>
        <w:div w:id="770735197">
          <w:marLeft w:val="0"/>
          <w:marRight w:val="0"/>
          <w:marTop w:val="0"/>
          <w:marBottom w:val="0"/>
          <w:divBdr>
            <w:top w:val="none" w:sz="0" w:space="0" w:color="auto"/>
            <w:left w:val="none" w:sz="0" w:space="0" w:color="auto"/>
            <w:bottom w:val="none" w:sz="0" w:space="0" w:color="auto"/>
            <w:right w:val="none" w:sz="0" w:space="0" w:color="auto"/>
          </w:divBdr>
        </w:div>
        <w:div w:id="784422079">
          <w:marLeft w:val="0"/>
          <w:marRight w:val="0"/>
          <w:marTop w:val="0"/>
          <w:marBottom w:val="0"/>
          <w:divBdr>
            <w:top w:val="none" w:sz="0" w:space="0" w:color="auto"/>
            <w:left w:val="none" w:sz="0" w:space="0" w:color="auto"/>
            <w:bottom w:val="none" w:sz="0" w:space="0" w:color="auto"/>
            <w:right w:val="none" w:sz="0" w:space="0" w:color="auto"/>
          </w:divBdr>
        </w:div>
        <w:div w:id="1047755781">
          <w:marLeft w:val="0"/>
          <w:marRight w:val="0"/>
          <w:marTop w:val="0"/>
          <w:marBottom w:val="0"/>
          <w:divBdr>
            <w:top w:val="none" w:sz="0" w:space="0" w:color="auto"/>
            <w:left w:val="none" w:sz="0" w:space="0" w:color="auto"/>
            <w:bottom w:val="none" w:sz="0" w:space="0" w:color="auto"/>
            <w:right w:val="none" w:sz="0" w:space="0" w:color="auto"/>
          </w:divBdr>
        </w:div>
        <w:div w:id="1298997865">
          <w:marLeft w:val="0"/>
          <w:marRight w:val="0"/>
          <w:marTop w:val="0"/>
          <w:marBottom w:val="0"/>
          <w:divBdr>
            <w:top w:val="none" w:sz="0" w:space="0" w:color="auto"/>
            <w:left w:val="none" w:sz="0" w:space="0" w:color="auto"/>
            <w:bottom w:val="none" w:sz="0" w:space="0" w:color="auto"/>
            <w:right w:val="none" w:sz="0" w:space="0" w:color="auto"/>
          </w:divBdr>
        </w:div>
      </w:divsChild>
    </w:div>
    <w:div w:id="1770588260">
      <w:bodyDiv w:val="1"/>
      <w:marLeft w:val="0"/>
      <w:marRight w:val="0"/>
      <w:marTop w:val="0"/>
      <w:marBottom w:val="0"/>
      <w:divBdr>
        <w:top w:val="none" w:sz="0" w:space="0" w:color="auto"/>
        <w:left w:val="none" w:sz="0" w:space="0" w:color="auto"/>
        <w:bottom w:val="none" w:sz="0" w:space="0" w:color="auto"/>
        <w:right w:val="none" w:sz="0" w:space="0" w:color="auto"/>
      </w:divBdr>
    </w:div>
    <w:div w:id="1794445776">
      <w:bodyDiv w:val="1"/>
      <w:marLeft w:val="0"/>
      <w:marRight w:val="0"/>
      <w:marTop w:val="0"/>
      <w:marBottom w:val="0"/>
      <w:divBdr>
        <w:top w:val="none" w:sz="0" w:space="0" w:color="auto"/>
        <w:left w:val="none" w:sz="0" w:space="0" w:color="auto"/>
        <w:bottom w:val="none" w:sz="0" w:space="0" w:color="auto"/>
        <w:right w:val="none" w:sz="0" w:space="0" w:color="auto"/>
      </w:divBdr>
    </w:div>
    <w:div w:id="1939286325">
      <w:bodyDiv w:val="1"/>
      <w:marLeft w:val="0"/>
      <w:marRight w:val="0"/>
      <w:marTop w:val="0"/>
      <w:marBottom w:val="0"/>
      <w:divBdr>
        <w:top w:val="none" w:sz="0" w:space="0" w:color="auto"/>
        <w:left w:val="none" w:sz="0" w:space="0" w:color="auto"/>
        <w:bottom w:val="none" w:sz="0" w:space="0" w:color="auto"/>
        <w:right w:val="none" w:sz="0" w:space="0" w:color="auto"/>
      </w:divBdr>
    </w:div>
    <w:div w:id="1948847444">
      <w:bodyDiv w:val="1"/>
      <w:marLeft w:val="0"/>
      <w:marRight w:val="0"/>
      <w:marTop w:val="0"/>
      <w:marBottom w:val="0"/>
      <w:divBdr>
        <w:top w:val="none" w:sz="0" w:space="0" w:color="auto"/>
        <w:left w:val="none" w:sz="0" w:space="0" w:color="auto"/>
        <w:bottom w:val="none" w:sz="0" w:space="0" w:color="auto"/>
        <w:right w:val="none" w:sz="0" w:space="0" w:color="auto"/>
      </w:divBdr>
      <w:divsChild>
        <w:div w:id="578683827">
          <w:marLeft w:val="0"/>
          <w:marRight w:val="0"/>
          <w:marTop w:val="0"/>
          <w:marBottom w:val="0"/>
          <w:divBdr>
            <w:top w:val="none" w:sz="0" w:space="0" w:color="auto"/>
            <w:left w:val="none" w:sz="0" w:space="0" w:color="auto"/>
            <w:bottom w:val="none" w:sz="0" w:space="0" w:color="auto"/>
            <w:right w:val="none" w:sz="0" w:space="0" w:color="auto"/>
          </w:divBdr>
        </w:div>
        <w:div w:id="727148222">
          <w:marLeft w:val="0"/>
          <w:marRight w:val="0"/>
          <w:marTop w:val="0"/>
          <w:marBottom w:val="0"/>
          <w:divBdr>
            <w:top w:val="none" w:sz="0" w:space="0" w:color="auto"/>
            <w:left w:val="none" w:sz="0" w:space="0" w:color="auto"/>
            <w:bottom w:val="none" w:sz="0" w:space="0" w:color="auto"/>
            <w:right w:val="none" w:sz="0" w:space="0" w:color="auto"/>
          </w:divBdr>
        </w:div>
        <w:div w:id="922645938">
          <w:marLeft w:val="0"/>
          <w:marRight w:val="0"/>
          <w:marTop w:val="0"/>
          <w:marBottom w:val="0"/>
          <w:divBdr>
            <w:top w:val="none" w:sz="0" w:space="0" w:color="auto"/>
            <w:left w:val="none" w:sz="0" w:space="0" w:color="auto"/>
            <w:bottom w:val="none" w:sz="0" w:space="0" w:color="auto"/>
            <w:right w:val="none" w:sz="0" w:space="0" w:color="auto"/>
          </w:divBdr>
        </w:div>
        <w:div w:id="1484814604">
          <w:marLeft w:val="0"/>
          <w:marRight w:val="0"/>
          <w:marTop w:val="0"/>
          <w:marBottom w:val="0"/>
          <w:divBdr>
            <w:top w:val="none" w:sz="0" w:space="0" w:color="auto"/>
            <w:left w:val="none" w:sz="0" w:space="0" w:color="auto"/>
            <w:bottom w:val="none" w:sz="0" w:space="0" w:color="auto"/>
            <w:right w:val="none" w:sz="0" w:space="0" w:color="auto"/>
          </w:divBdr>
        </w:div>
        <w:div w:id="1714846098">
          <w:marLeft w:val="0"/>
          <w:marRight w:val="0"/>
          <w:marTop w:val="0"/>
          <w:marBottom w:val="0"/>
          <w:divBdr>
            <w:top w:val="none" w:sz="0" w:space="0" w:color="auto"/>
            <w:left w:val="none" w:sz="0" w:space="0" w:color="auto"/>
            <w:bottom w:val="none" w:sz="0" w:space="0" w:color="auto"/>
            <w:right w:val="none" w:sz="0" w:space="0" w:color="auto"/>
          </w:divBdr>
        </w:div>
        <w:div w:id="1771394795">
          <w:marLeft w:val="0"/>
          <w:marRight w:val="0"/>
          <w:marTop w:val="0"/>
          <w:marBottom w:val="0"/>
          <w:divBdr>
            <w:top w:val="none" w:sz="0" w:space="0" w:color="auto"/>
            <w:left w:val="none" w:sz="0" w:space="0" w:color="auto"/>
            <w:bottom w:val="none" w:sz="0" w:space="0" w:color="auto"/>
            <w:right w:val="none" w:sz="0" w:space="0" w:color="auto"/>
          </w:divBdr>
        </w:div>
        <w:div w:id="1993022153">
          <w:marLeft w:val="0"/>
          <w:marRight w:val="0"/>
          <w:marTop w:val="0"/>
          <w:marBottom w:val="0"/>
          <w:divBdr>
            <w:top w:val="none" w:sz="0" w:space="0" w:color="auto"/>
            <w:left w:val="none" w:sz="0" w:space="0" w:color="auto"/>
            <w:bottom w:val="none" w:sz="0" w:space="0" w:color="auto"/>
            <w:right w:val="none" w:sz="0" w:space="0" w:color="auto"/>
          </w:divBdr>
        </w:div>
        <w:div w:id="2081097711">
          <w:marLeft w:val="0"/>
          <w:marRight w:val="0"/>
          <w:marTop w:val="0"/>
          <w:marBottom w:val="0"/>
          <w:divBdr>
            <w:top w:val="none" w:sz="0" w:space="0" w:color="auto"/>
            <w:left w:val="none" w:sz="0" w:space="0" w:color="auto"/>
            <w:bottom w:val="none" w:sz="0" w:space="0" w:color="auto"/>
            <w:right w:val="none" w:sz="0" w:space="0" w:color="auto"/>
          </w:divBdr>
        </w:div>
      </w:divsChild>
    </w:div>
    <w:div w:id="1983264398">
      <w:bodyDiv w:val="1"/>
      <w:marLeft w:val="0"/>
      <w:marRight w:val="0"/>
      <w:marTop w:val="0"/>
      <w:marBottom w:val="0"/>
      <w:divBdr>
        <w:top w:val="none" w:sz="0" w:space="0" w:color="auto"/>
        <w:left w:val="none" w:sz="0" w:space="0" w:color="auto"/>
        <w:bottom w:val="none" w:sz="0" w:space="0" w:color="auto"/>
        <w:right w:val="none" w:sz="0" w:space="0" w:color="auto"/>
      </w:divBdr>
    </w:div>
    <w:div w:id="2002925248">
      <w:bodyDiv w:val="1"/>
      <w:marLeft w:val="0"/>
      <w:marRight w:val="0"/>
      <w:marTop w:val="0"/>
      <w:marBottom w:val="0"/>
      <w:divBdr>
        <w:top w:val="none" w:sz="0" w:space="0" w:color="auto"/>
        <w:left w:val="none" w:sz="0" w:space="0" w:color="auto"/>
        <w:bottom w:val="none" w:sz="0" w:space="0" w:color="auto"/>
        <w:right w:val="none" w:sz="0" w:space="0" w:color="auto"/>
      </w:divBdr>
    </w:div>
    <w:div w:id="2073380331">
      <w:bodyDiv w:val="1"/>
      <w:marLeft w:val="0"/>
      <w:marRight w:val="0"/>
      <w:marTop w:val="0"/>
      <w:marBottom w:val="0"/>
      <w:divBdr>
        <w:top w:val="none" w:sz="0" w:space="0" w:color="auto"/>
        <w:left w:val="none" w:sz="0" w:space="0" w:color="auto"/>
        <w:bottom w:val="none" w:sz="0" w:space="0" w:color="auto"/>
        <w:right w:val="none" w:sz="0" w:space="0" w:color="auto"/>
      </w:divBdr>
      <w:divsChild>
        <w:div w:id="100878020">
          <w:marLeft w:val="0"/>
          <w:marRight w:val="0"/>
          <w:marTop w:val="0"/>
          <w:marBottom w:val="0"/>
          <w:divBdr>
            <w:top w:val="none" w:sz="0" w:space="0" w:color="auto"/>
            <w:left w:val="none" w:sz="0" w:space="0" w:color="auto"/>
            <w:bottom w:val="none" w:sz="0" w:space="0" w:color="auto"/>
            <w:right w:val="none" w:sz="0" w:space="0" w:color="auto"/>
          </w:divBdr>
        </w:div>
        <w:div w:id="144274389">
          <w:marLeft w:val="0"/>
          <w:marRight w:val="0"/>
          <w:marTop w:val="0"/>
          <w:marBottom w:val="0"/>
          <w:divBdr>
            <w:top w:val="none" w:sz="0" w:space="0" w:color="auto"/>
            <w:left w:val="none" w:sz="0" w:space="0" w:color="auto"/>
            <w:bottom w:val="none" w:sz="0" w:space="0" w:color="auto"/>
            <w:right w:val="none" w:sz="0" w:space="0" w:color="auto"/>
          </w:divBdr>
        </w:div>
        <w:div w:id="1260528279">
          <w:marLeft w:val="0"/>
          <w:marRight w:val="0"/>
          <w:marTop w:val="0"/>
          <w:marBottom w:val="0"/>
          <w:divBdr>
            <w:top w:val="none" w:sz="0" w:space="0" w:color="auto"/>
            <w:left w:val="none" w:sz="0" w:space="0" w:color="auto"/>
            <w:bottom w:val="none" w:sz="0" w:space="0" w:color="auto"/>
            <w:right w:val="none" w:sz="0" w:space="0" w:color="auto"/>
          </w:divBdr>
        </w:div>
        <w:div w:id="1479032291">
          <w:marLeft w:val="0"/>
          <w:marRight w:val="0"/>
          <w:marTop w:val="0"/>
          <w:marBottom w:val="0"/>
          <w:divBdr>
            <w:top w:val="none" w:sz="0" w:space="0" w:color="auto"/>
            <w:left w:val="none" w:sz="0" w:space="0" w:color="auto"/>
            <w:bottom w:val="none" w:sz="0" w:space="0" w:color="auto"/>
            <w:right w:val="none" w:sz="0" w:space="0" w:color="auto"/>
          </w:divBdr>
        </w:div>
        <w:div w:id="1498495327">
          <w:marLeft w:val="0"/>
          <w:marRight w:val="0"/>
          <w:marTop w:val="0"/>
          <w:marBottom w:val="0"/>
          <w:divBdr>
            <w:top w:val="none" w:sz="0" w:space="0" w:color="auto"/>
            <w:left w:val="none" w:sz="0" w:space="0" w:color="auto"/>
            <w:bottom w:val="none" w:sz="0" w:space="0" w:color="auto"/>
            <w:right w:val="none" w:sz="0" w:space="0" w:color="auto"/>
          </w:divBdr>
        </w:div>
      </w:divsChild>
    </w:div>
    <w:div w:id="212900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image" Target="media/image5.png"/><Relationship Id="rId39" Type="http://schemas.openxmlformats.org/officeDocument/2006/relationships/hyperlink" Target="http://www.who.int/social_determinants/sdh_definition/en/" TargetMode="External"/><Relationship Id="rId21" Type="http://schemas.openxmlformats.org/officeDocument/2006/relationships/image" Target="media/image2.png"/><Relationship Id="rId34" Type="http://schemas.openxmlformats.org/officeDocument/2006/relationships/hyperlink" Target="http://pareonline" TargetMode="External"/><Relationship Id="rId42" Type="http://schemas.openxmlformats.org/officeDocument/2006/relationships/image" Target="media/image9.jpeg"/><Relationship Id="rId47" Type="http://schemas.openxmlformats.org/officeDocument/2006/relationships/image" Target="media/image13.gif"/><Relationship Id="rId50" Type="http://schemas.openxmlformats.org/officeDocument/2006/relationships/footer" Target="footer14.xml"/><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image" Target="media/image3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6.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header" Target="header7.xml"/><Relationship Id="rId37" Type="http://schemas.openxmlformats.org/officeDocument/2006/relationships/hyperlink" Target="http://www.tnpsc.gov.in/communities-list.html" TargetMode="External"/><Relationship Id="rId40" Type="http://schemas.openxmlformats.org/officeDocument/2006/relationships/image" Target="media/image7.png"/><Relationship Id="rId45" Type="http://schemas.openxmlformats.org/officeDocument/2006/relationships/header" Target="header9.xml"/><Relationship Id="rId53" Type="http://schemas.openxmlformats.org/officeDocument/2006/relationships/hyperlink" Target="mailto:peter.g.robinson@sheffield.ac.uk" TargetMode="External"/><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oter" Target="footer12.xml"/><Relationship Id="rId44" Type="http://schemas.openxmlformats.org/officeDocument/2006/relationships/hyperlink" Target="mailto:k.periyakaruppiah@sheffield.ac.uk" TargetMode="External"/><Relationship Id="rId52" Type="http://schemas.openxmlformats.org/officeDocument/2006/relationships/hyperlink" Target="mailto:k.periyakaruppiah@sheffield.ac.uk"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11.xml"/><Relationship Id="rId35" Type="http://schemas.openxmlformats.org/officeDocument/2006/relationships/hyperlink" Target="http://indikosh.com/dist/677073/chennai"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image" Target="media/image32.png"/><Relationship Id="rId80"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footer" Target="footer13.xml"/><Relationship Id="rId38" Type="http://schemas.openxmlformats.org/officeDocument/2006/relationships/hyperlink" Target="http://www.icohirp.com/monograph.html" TargetMode="External"/><Relationship Id="rId46" Type="http://schemas.openxmlformats.org/officeDocument/2006/relationships/header" Target="header10.xm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footer" Target="footer9.xml"/><Relationship Id="rId41" Type="http://schemas.openxmlformats.org/officeDocument/2006/relationships/image" Target="media/image8.jpeg"/><Relationship Id="rId54" Type="http://schemas.openxmlformats.org/officeDocument/2006/relationships/header" Target="header14.xm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yperlink" Target="http://www.sriramachandra.edu.in/university/departments.aspx?did=35&amp;amp;amp;cid=2" TargetMode="External"/><Relationship Id="rId49" Type="http://schemas.openxmlformats.org/officeDocument/2006/relationships/header" Target="header12.xml"/><Relationship Id="rId57" Type="http://schemas.openxmlformats.org/officeDocument/2006/relationships/image" Target="media/image17.png"/></Relationships>
</file>

<file path=word/_rels/header10.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4937F65-DC85-4127-A2E9-B8174022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126718</Words>
  <Characters>722298</Characters>
  <Application>Microsoft Office Word</Application>
  <DocSecurity>0</DocSecurity>
  <Lines>6019</Lines>
  <Paragraphs>1694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847322</CharactersWithSpaces>
  <SharedDoc>false</SharedDoc>
  <HLinks>
    <vt:vector size="576" baseType="variant">
      <vt:variant>
        <vt:i4>5439489</vt:i4>
      </vt:variant>
      <vt:variant>
        <vt:i4>4361</vt:i4>
      </vt:variant>
      <vt:variant>
        <vt:i4>0</vt:i4>
      </vt:variant>
      <vt:variant>
        <vt:i4>5</vt:i4>
      </vt:variant>
      <vt:variant>
        <vt:lpwstr>http://www.tnpsc.gov.in/communities-list.html</vt:lpwstr>
      </vt:variant>
      <vt:variant>
        <vt:lpwstr/>
      </vt:variant>
      <vt:variant>
        <vt:i4>7602236</vt:i4>
      </vt:variant>
      <vt:variant>
        <vt:i4>4358</vt:i4>
      </vt:variant>
      <vt:variant>
        <vt:i4>0</vt:i4>
      </vt:variant>
      <vt:variant>
        <vt:i4>5</vt:i4>
      </vt:variant>
      <vt:variant>
        <vt:lpwstr>http://www.sriramachandra.edu.in/university/departments.aspx?did=35&amp;cid=2</vt:lpwstr>
      </vt:variant>
      <vt:variant>
        <vt:lpwstr>top</vt:lpwstr>
      </vt:variant>
      <vt:variant>
        <vt:i4>7012463</vt:i4>
      </vt:variant>
      <vt:variant>
        <vt:i4>4355</vt:i4>
      </vt:variant>
      <vt:variant>
        <vt:i4>0</vt:i4>
      </vt:variant>
      <vt:variant>
        <vt:i4>5</vt:i4>
      </vt:variant>
      <vt:variant>
        <vt:lpwstr>http://pareonline/</vt:lpwstr>
      </vt:variant>
      <vt:variant>
        <vt:lpwstr/>
      </vt:variant>
      <vt:variant>
        <vt:i4>1114223</vt:i4>
      </vt:variant>
      <vt:variant>
        <vt:i4>3292</vt:i4>
      </vt:variant>
      <vt:variant>
        <vt:i4>0</vt:i4>
      </vt:variant>
      <vt:variant>
        <vt:i4>5</vt:i4>
      </vt:variant>
      <vt:variant>
        <vt:lpwstr>mailto:peter.g.robinson@sheffield.ac.uk</vt:lpwstr>
      </vt:variant>
      <vt:variant>
        <vt:lpwstr/>
      </vt:variant>
      <vt:variant>
        <vt:i4>5177471</vt:i4>
      </vt:variant>
      <vt:variant>
        <vt:i4>2224</vt:i4>
      </vt:variant>
      <vt:variant>
        <vt:i4>0</vt:i4>
      </vt:variant>
      <vt:variant>
        <vt:i4>5</vt:i4>
      </vt:variant>
      <vt:variant>
        <vt:lpwstr>mailto:k.periyakaruppiah@sheffield.ac.uk</vt:lpwstr>
      </vt:variant>
      <vt:variant>
        <vt:lpwstr/>
      </vt:variant>
      <vt:variant>
        <vt:i4>65644</vt:i4>
      </vt:variant>
      <vt:variant>
        <vt:i4>551</vt:i4>
      </vt:variant>
      <vt:variant>
        <vt:i4>0</vt:i4>
      </vt:variant>
      <vt:variant>
        <vt:i4>5</vt:i4>
      </vt:variant>
      <vt:variant>
        <vt:lpwstr>../../../AppData/AppData/Roaming/Microsoft/Word/Karthik Periyakaruppiah - I YEAR REPORT - Shit maan.docx</vt:lpwstr>
      </vt:variant>
      <vt:variant>
        <vt:lpwstr>_Toc387288327</vt:lpwstr>
      </vt:variant>
      <vt:variant>
        <vt:i4>65644</vt:i4>
      </vt:variant>
      <vt:variant>
        <vt:i4>545</vt:i4>
      </vt:variant>
      <vt:variant>
        <vt:i4>0</vt:i4>
      </vt:variant>
      <vt:variant>
        <vt:i4>5</vt:i4>
      </vt:variant>
      <vt:variant>
        <vt:lpwstr>../../../AppData/AppData/Roaming/Microsoft/Word/Karthik Periyakaruppiah - I YEAR REPORT - Shit maan.docx</vt:lpwstr>
      </vt:variant>
      <vt:variant>
        <vt:lpwstr>_Toc387288326</vt:lpwstr>
      </vt:variant>
      <vt:variant>
        <vt:i4>65644</vt:i4>
      </vt:variant>
      <vt:variant>
        <vt:i4>539</vt:i4>
      </vt:variant>
      <vt:variant>
        <vt:i4>0</vt:i4>
      </vt:variant>
      <vt:variant>
        <vt:i4>5</vt:i4>
      </vt:variant>
      <vt:variant>
        <vt:lpwstr>../../../AppData/AppData/Roaming/Microsoft/Word/Karthik Periyakaruppiah - I YEAR REPORT - Shit maan.docx</vt:lpwstr>
      </vt:variant>
      <vt:variant>
        <vt:lpwstr>_Toc387288325</vt:lpwstr>
      </vt:variant>
      <vt:variant>
        <vt:i4>65644</vt:i4>
      </vt:variant>
      <vt:variant>
        <vt:i4>533</vt:i4>
      </vt:variant>
      <vt:variant>
        <vt:i4>0</vt:i4>
      </vt:variant>
      <vt:variant>
        <vt:i4>5</vt:i4>
      </vt:variant>
      <vt:variant>
        <vt:lpwstr>../../../AppData/AppData/Roaming/Microsoft/Word/Karthik Periyakaruppiah - I YEAR REPORT - Shit maan.docx</vt:lpwstr>
      </vt:variant>
      <vt:variant>
        <vt:lpwstr>_Toc387288324</vt:lpwstr>
      </vt:variant>
      <vt:variant>
        <vt:i4>1507391</vt:i4>
      </vt:variant>
      <vt:variant>
        <vt:i4>521</vt:i4>
      </vt:variant>
      <vt:variant>
        <vt:i4>0</vt:i4>
      </vt:variant>
      <vt:variant>
        <vt:i4>5</vt:i4>
      </vt:variant>
      <vt:variant>
        <vt:lpwstr/>
      </vt:variant>
      <vt:variant>
        <vt:lpwstr>_Toc387288322</vt:lpwstr>
      </vt:variant>
      <vt:variant>
        <vt:i4>1507391</vt:i4>
      </vt:variant>
      <vt:variant>
        <vt:i4>515</vt:i4>
      </vt:variant>
      <vt:variant>
        <vt:i4>0</vt:i4>
      </vt:variant>
      <vt:variant>
        <vt:i4>5</vt:i4>
      </vt:variant>
      <vt:variant>
        <vt:lpwstr/>
      </vt:variant>
      <vt:variant>
        <vt:lpwstr>_Toc387288321</vt:lpwstr>
      </vt:variant>
      <vt:variant>
        <vt:i4>1507391</vt:i4>
      </vt:variant>
      <vt:variant>
        <vt:i4>509</vt:i4>
      </vt:variant>
      <vt:variant>
        <vt:i4>0</vt:i4>
      </vt:variant>
      <vt:variant>
        <vt:i4>5</vt:i4>
      </vt:variant>
      <vt:variant>
        <vt:lpwstr/>
      </vt:variant>
      <vt:variant>
        <vt:lpwstr>_Toc387288320</vt:lpwstr>
      </vt:variant>
      <vt:variant>
        <vt:i4>1310783</vt:i4>
      </vt:variant>
      <vt:variant>
        <vt:i4>503</vt:i4>
      </vt:variant>
      <vt:variant>
        <vt:i4>0</vt:i4>
      </vt:variant>
      <vt:variant>
        <vt:i4>5</vt:i4>
      </vt:variant>
      <vt:variant>
        <vt:lpwstr/>
      </vt:variant>
      <vt:variant>
        <vt:lpwstr>_Toc387288319</vt:lpwstr>
      </vt:variant>
      <vt:variant>
        <vt:i4>1245246</vt:i4>
      </vt:variant>
      <vt:variant>
        <vt:i4>494</vt:i4>
      </vt:variant>
      <vt:variant>
        <vt:i4>0</vt:i4>
      </vt:variant>
      <vt:variant>
        <vt:i4>5</vt:i4>
      </vt:variant>
      <vt:variant>
        <vt:lpwstr/>
      </vt:variant>
      <vt:variant>
        <vt:lpwstr>_Toc430195338</vt:lpwstr>
      </vt:variant>
      <vt:variant>
        <vt:i4>1245246</vt:i4>
      </vt:variant>
      <vt:variant>
        <vt:i4>488</vt:i4>
      </vt:variant>
      <vt:variant>
        <vt:i4>0</vt:i4>
      </vt:variant>
      <vt:variant>
        <vt:i4>5</vt:i4>
      </vt:variant>
      <vt:variant>
        <vt:lpwstr/>
      </vt:variant>
      <vt:variant>
        <vt:lpwstr>_Toc430195337</vt:lpwstr>
      </vt:variant>
      <vt:variant>
        <vt:i4>1245246</vt:i4>
      </vt:variant>
      <vt:variant>
        <vt:i4>482</vt:i4>
      </vt:variant>
      <vt:variant>
        <vt:i4>0</vt:i4>
      </vt:variant>
      <vt:variant>
        <vt:i4>5</vt:i4>
      </vt:variant>
      <vt:variant>
        <vt:lpwstr/>
      </vt:variant>
      <vt:variant>
        <vt:lpwstr>_Toc430195336</vt:lpwstr>
      </vt:variant>
      <vt:variant>
        <vt:i4>1245246</vt:i4>
      </vt:variant>
      <vt:variant>
        <vt:i4>476</vt:i4>
      </vt:variant>
      <vt:variant>
        <vt:i4>0</vt:i4>
      </vt:variant>
      <vt:variant>
        <vt:i4>5</vt:i4>
      </vt:variant>
      <vt:variant>
        <vt:lpwstr/>
      </vt:variant>
      <vt:variant>
        <vt:lpwstr>_Toc430195335</vt:lpwstr>
      </vt:variant>
      <vt:variant>
        <vt:i4>1245246</vt:i4>
      </vt:variant>
      <vt:variant>
        <vt:i4>470</vt:i4>
      </vt:variant>
      <vt:variant>
        <vt:i4>0</vt:i4>
      </vt:variant>
      <vt:variant>
        <vt:i4>5</vt:i4>
      </vt:variant>
      <vt:variant>
        <vt:lpwstr/>
      </vt:variant>
      <vt:variant>
        <vt:lpwstr>_Toc430195334</vt:lpwstr>
      </vt:variant>
      <vt:variant>
        <vt:i4>1245246</vt:i4>
      </vt:variant>
      <vt:variant>
        <vt:i4>464</vt:i4>
      </vt:variant>
      <vt:variant>
        <vt:i4>0</vt:i4>
      </vt:variant>
      <vt:variant>
        <vt:i4>5</vt:i4>
      </vt:variant>
      <vt:variant>
        <vt:lpwstr/>
      </vt:variant>
      <vt:variant>
        <vt:lpwstr>_Toc430195333</vt:lpwstr>
      </vt:variant>
      <vt:variant>
        <vt:i4>1245246</vt:i4>
      </vt:variant>
      <vt:variant>
        <vt:i4>458</vt:i4>
      </vt:variant>
      <vt:variant>
        <vt:i4>0</vt:i4>
      </vt:variant>
      <vt:variant>
        <vt:i4>5</vt:i4>
      </vt:variant>
      <vt:variant>
        <vt:lpwstr/>
      </vt:variant>
      <vt:variant>
        <vt:lpwstr>_Toc430195332</vt:lpwstr>
      </vt:variant>
      <vt:variant>
        <vt:i4>1245246</vt:i4>
      </vt:variant>
      <vt:variant>
        <vt:i4>452</vt:i4>
      </vt:variant>
      <vt:variant>
        <vt:i4>0</vt:i4>
      </vt:variant>
      <vt:variant>
        <vt:i4>5</vt:i4>
      </vt:variant>
      <vt:variant>
        <vt:lpwstr/>
      </vt:variant>
      <vt:variant>
        <vt:lpwstr>_Toc430195331</vt:lpwstr>
      </vt:variant>
      <vt:variant>
        <vt:i4>1245246</vt:i4>
      </vt:variant>
      <vt:variant>
        <vt:i4>446</vt:i4>
      </vt:variant>
      <vt:variant>
        <vt:i4>0</vt:i4>
      </vt:variant>
      <vt:variant>
        <vt:i4>5</vt:i4>
      </vt:variant>
      <vt:variant>
        <vt:lpwstr/>
      </vt:variant>
      <vt:variant>
        <vt:lpwstr>_Toc430195330</vt:lpwstr>
      </vt:variant>
      <vt:variant>
        <vt:i4>1179710</vt:i4>
      </vt:variant>
      <vt:variant>
        <vt:i4>440</vt:i4>
      </vt:variant>
      <vt:variant>
        <vt:i4>0</vt:i4>
      </vt:variant>
      <vt:variant>
        <vt:i4>5</vt:i4>
      </vt:variant>
      <vt:variant>
        <vt:lpwstr/>
      </vt:variant>
      <vt:variant>
        <vt:lpwstr>_Toc430195329</vt:lpwstr>
      </vt:variant>
      <vt:variant>
        <vt:i4>1179710</vt:i4>
      </vt:variant>
      <vt:variant>
        <vt:i4>434</vt:i4>
      </vt:variant>
      <vt:variant>
        <vt:i4>0</vt:i4>
      </vt:variant>
      <vt:variant>
        <vt:i4>5</vt:i4>
      </vt:variant>
      <vt:variant>
        <vt:lpwstr/>
      </vt:variant>
      <vt:variant>
        <vt:lpwstr>_Toc430195328</vt:lpwstr>
      </vt:variant>
      <vt:variant>
        <vt:i4>1179710</vt:i4>
      </vt:variant>
      <vt:variant>
        <vt:i4>428</vt:i4>
      </vt:variant>
      <vt:variant>
        <vt:i4>0</vt:i4>
      </vt:variant>
      <vt:variant>
        <vt:i4>5</vt:i4>
      </vt:variant>
      <vt:variant>
        <vt:lpwstr/>
      </vt:variant>
      <vt:variant>
        <vt:lpwstr>_Toc430195327</vt:lpwstr>
      </vt:variant>
      <vt:variant>
        <vt:i4>1179710</vt:i4>
      </vt:variant>
      <vt:variant>
        <vt:i4>422</vt:i4>
      </vt:variant>
      <vt:variant>
        <vt:i4>0</vt:i4>
      </vt:variant>
      <vt:variant>
        <vt:i4>5</vt:i4>
      </vt:variant>
      <vt:variant>
        <vt:lpwstr/>
      </vt:variant>
      <vt:variant>
        <vt:lpwstr>_Toc430195326</vt:lpwstr>
      </vt:variant>
      <vt:variant>
        <vt:i4>1179710</vt:i4>
      </vt:variant>
      <vt:variant>
        <vt:i4>416</vt:i4>
      </vt:variant>
      <vt:variant>
        <vt:i4>0</vt:i4>
      </vt:variant>
      <vt:variant>
        <vt:i4>5</vt:i4>
      </vt:variant>
      <vt:variant>
        <vt:lpwstr/>
      </vt:variant>
      <vt:variant>
        <vt:lpwstr>_Toc430195325</vt:lpwstr>
      </vt:variant>
      <vt:variant>
        <vt:i4>1179710</vt:i4>
      </vt:variant>
      <vt:variant>
        <vt:i4>410</vt:i4>
      </vt:variant>
      <vt:variant>
        <vt:i4>0</vt:i4>
      </vt:variant>
      <vt:variant>
        <vt:i4>5</vt:i4>
      </vt:variant>
      <vt:variant>
        <vt:lpwstr/>
      </vt:variant>
      <vt:variant>
        <vt:lpwstr>_Toc430195324</vt:lpwstr>
      </vt:variant>
      <vt:variant>
        <vt:i4>1179710</vt:i4>
      </vt:variant>
      <vt:variant>
        <vt:i4>404</vt:i4>
      </vt:variant>
      <vt:variant>
        <vt:i4>0</vt:i4>
      </vt:variant>
      <vt:variant>
        <vt:i4>5</vt:i4>
      </vt:variant>
      <vt:variant>
        <vt:lpwstr/>
      </vt:variant>
      <vt:variant>
        <vt:lpwstr>_Toc430195323</vt:lpwstr>
      </vt:variant>
      <vt:variant>
        <vt:i4>1179710</vt:i4>
      </vt:variant>
      <vt:variant>
        <vt:i4>398</vt:i4>
      </vt:variant>
      <vt:variant>
        <vt:i4>0</vt:i4>
      </vt:variant>
      <vt:variant>
        <vt:i4>5</vt:i4>
      </vt:variant>
      <vt:variant>
        <vt:lpwstr/>
      </vt:variant>
      <vt:variant>
        <vt:lpwstr>_Toc430195322</vt:lpwstr>
      </vt:variant>
      <vt:variant>
        <vt:i4>1179710</vt:i4>
      </vt:variant>
      <vt:variant>
        <vt:i4>392</vt:i4>
      </vt:variant>
      <vt:variant>
        <vt:i4>0</vt:i4>
      </vt:variant>
      <vt:variant>
        <vt:i4>5</vt:i4>
      </vt:variant>
      <vt:variant>
        <vt:lpwstr/>
      </vt:variant>
      <vt:variant>
        <vt:lpwstr>_Toc430195321</vt:lpwstr>
      </vt:variant>
      <vt:variant>
        <vt:i4>1179710</vt:i4>
      </vt:variant>
      <vt:variant>
        <vt:i4>386</vt:i4>
      </vt:variant>
      <vt:variant>
        <vt:i4>0</vt:i4>
      </vt:variant>
      <vt:variant>
        <vt:i4>5</vt:i4>
      </vt:variant>
      <vt:variant>
        <vt:lpwstr/>
      </vt:variant>
      <vt:variant>
        <vt:lpwstr>_Toc430195320</vt:lpwstr>
      </vt:variant>
      <vt:variant>
        <vt:i4>1114174</vt:i4>
      </vt:variant>
      <vt:variant>
        <vt:i4>380</vt:i4>
      </vt:variant>
      <vt:variant>
        <vt:i4>0</vt:i4>
      </vt:variant>
      <vt:variant>
        <vt:i4>5</vt:i4>
      </vt:variant>
      <vt:variant>
        <vt:lpwstr/>
      </vt:variant>
      <vt:variant>
        <vt:lpwstr>_Toc430195319</vt:lpwstr>
      </vt:variant>
      <vt:variant>
        <vt:i4>1114174</vt:i4>
      </vt:variant>
      <vt:variant>
        <vt:i4>374</vt:i4>
      </vt:variant>
      <vt:variant>
        <vt:i4>0</vt:i4>
      </vt:variant>
      <vt:variant>
        <vt:i4>5</vt:i4>
      </vt:variant>
      <vt:variant>
        <vt:lpwstr/>
      </vt:variant>
      <vt:variant>
        <vt:lpwstr>_Toc430195318</vt:lpwstr>
      </vt:variant>
      <vt:variant>
        <vt:i4>1114174</vt:i4>
      </vt:variant>
      <vt:variant>
        <vt:i4>368</vt:i4>
      </vt:variant>
      <vt:variant>
        <vt:i4>0</vt:i4>
      </vt:variant>
      <vt:variant>
        <vt:i4>5</vt:i4>
      </vt:variant>
      <vt:variant>
        <vt:lpwstr/>
      </vt:variant>
      <vt:variant>
        <vt:lpwstr>_Toc430195317</vt:lpwstr>
      </vt:variant>
      <vt:variant>
        <vt:i4>1114174</vt:i4>
      </vt:variant>
      <vt:variant>
        <vt:i4>362</vt:i4>
      </vt:variant>
      <vt:variant>
        <vt:i4>0</vt:i4>
      </vt:variant>
      <vt:variant>
        <vt:i4>5</vt:i4>
      </vt:variant>
      <vt:variant>
        <vt:lpwstr/>
      </vt:variant>
      <vt:variant>
        <vt:lpwstr>_Toc430195316</vt:lpwstr>
      </vt:variant>
      <vt:variant>
        <vt:i4>1114174</vt:i4>
      </vt:variant>
      <vt:variant>
        <vt:i4>356</vt:i4>
      </vt:variant>
      <vt:variant>
        <vt:i4>0</vt:i4>
      </vt:variant>
      <vt:variant>
        <vt:i4>5</vt:i4>
      </vt:variant>
      <vt:variant>
        <vt:lpwstr/>
      </vt:variant>
      <vt:variant>
        <vt:lpwstr>_Toc430195315</vt:lpwstr>
      </vt:variant>
      <vt:variant>
        <vt:i4>1114174</vt:i4>
      </vt:variant>
      <vt:variant>
        <vt:i4>350</vt:i4>
      </vt:variant>
      <vt:variant>
        <vt:i4>0</vt:i4>
      </vt:variant>
      <vt:variant>
        <vt:i4>5</vt:i4>
      </vt:variant>
      <vt:variant>
        <vt:lpwstr/>
      </vt:variant>
      <vt:variant>
        <vt:lpwstr>_Toc430195314</vt:lpwstr>
      </vt:variant>
      <vt:variant>
        <vt:i4>1114174</vt:i4>
      </vt:variant>
      <vt:variant>
        <vt:i4>344</vt:i4>
      </vt:variant>
      <vt:variant>
        <vt:i4>0</vt:i4>
      </vt:variant>
      <vt:variant>
        <vt:i4>5</vt:i4>
      </vt:variant>
      <vt:variant>
        <vt:lpwstr/>
      </vt:variant>
      <vt:variant>
        <vt:lpwstr>_Toc430195313</vt:lpwstr>
      </vt:variant>
      <vt:variant>
        <vt:i4>1114174</vt:i4>
      </vt:variant>
      <vt:variant>
        <vt:i4>338</vt:i4>
      </vt:variant>
      <vt:variant>
        <vt:i4>0</vt:i4>
      </vt:variant>
      <vt:variant>
        <vt:i4>5</vt:i4>
      </vt:variant>
      <vt:variant>
        <vt:lpwstr/>
      </vt:variant>
      <vt:variant>
        <vt:lpwstr>_Toc430195312</vt:lpwstr>
      </vt:variant>
      <vt:variant>
        <vt:i4>1114174</vt:i4>
      </vt:variant>
      <vt:variant>
        <vt:i4>332</vt:i4>
      </vt:variant>
      <vt:variant>
        <vt:i4>0</vt:i4>
      </vt:variant>
      <vt:variant>
        <vt:i4>5</vt:i4>
      </vt:variant>
      <vt:variant>
        <vt:lpwstr/>
      </vt:variant>
      <vt:variant>
        <vt:lpwstr>_Toc430195311</vt:lpwstr>
      </vt:variant>
      <vt:variant>
        <vt:i4>1114174</vt:i4>
      </vt:variant>
      <vt:variant>
        <vt:i4>326</vt:i4>
      </vt:variant>
      <vt:variant>
        <vt:i4>0</vt:i4>
      </vt:variant>
      <vt:variant>
        <vt:i4>5</vt:i4>
      </vt:variant>
      <vt:variant>
        <vt:lpwstr/>
      </vt:variant>
      <vt:variant>
        <vt:lpwstr>_Toc430195310</vt:lpwstr>
      </vt:variant>
      <vt:variant>
        <vt:i4>1048638</vt:i4>
      </vt:variant>
      <vt:variant>
        <vt:i4>320</vt:i4>
      </vt:variant>
      <vt:variant>
        <vt:i4>0</vt:i4>
      </vt:variant>
      <vt:variant>
        <vt:i4>5</vt:i4>
      </vt:variant>
      <vt:variant>
        <vt:lpwstr/>
      </vt:variant>
      <vt:variant>
        <vt:lpwstr>_Toc430195309</vt:lpwstr>
      </vt:variant>
      <vt:variant>
        <vt:i4>1048638</vt:i4>
      </vt:variant>
      <vt:variant>
        <vt:i4>314</vt:i4>
      </vt:variant>
      <vt:variant>
        <vt:i4>0</vt:i4>
      </vt:variant>
      <vt:variant>
        <vt:i4>5</vt:i4>
      </vt:variant>
      <vt:variant>
        <vt:lpwstr/>
      </vt:variant>
      <vt:variant>
        <vt:lpwstr>_Toc430195308</vt:lpwstr>
      </vt:variant>
      <vt:variant>
        <vt:i4>1048638</vt:i4>
      </vt:variant>
      <vt:variant>
        <vt:i4>308</vt:i4>
      </vt:variant>
      <vt:variant>
        <vt:i4>0</vt:i4>
      </vt:variant>
      <vt:variant>
        <vt:i4>5</vt:i4>
      </vt:variant>
      <vt:variant>
        <vt:lpwstr/>
      </vt:variant>
      <vt:variant>
        <vt:lpwstr>_Toc430195307</vt:lpwstr>
      </vt:variant>
      <vt:variant>
        <vt:i4>1048638</vt:i4>
      </vt:variant>
      <vt:variant>
        <vt:i4>302</vt:i4>
      </vt:variant>
      <vt:variant>
        <vt:i4>0</vt:i4>
      </vt:variant>
      <vt:variant>
        <vt:i4>5</vt:i4>
      </vt:variant>
      <vt:variant>
        <vt:lpwstr/>
      </vt:variant>
      <vt:variant>
        <vt:lpwstr>_Toc430195306</vt:lpwstr>
      </vt:variant>
      <vt:variant>
        <vt:i4>1048638</vt:i4>
      </vt:variant>
      <vt:variant>
        <vt:i4>296</vt:i4>
      </vt:variant>
      <vt:variant>
        <vt:i4>0</vt:i4>
      </vt:variant>
      <vt:variant>
        <vt:i4>5</vt:i4>
      </vt:variant>
      <vt:variant>
        <vt:lpwstr/>
      </vt:variant>
      <vt:variant>
        <vt:lpwstr>_Toc430195305</vt:lpwstr>
      </vt:variant>
      <vt:variant>
        <vt:i4>1048638</vt:i4>
      </vt:variant>
      <vt:variant>
        <vt:i4>290</vt:i4>
      </vt:variant>
      <vt:variant>
        <vt:i4>0</vt:i4>
      </vt:variant>
      <vt:variant>
        <vt:i4>5</vt:i4>
      </vt:variant>
      <vt:variant>
        <vt:lpwstr/>
      </vt:variant>
      <vt:variant>
        <vt:lpwstr>_Toc430195304</vt:lpwstr>
      </vt:variant>
      <vt:variant>
        <vt:i4>1048638</vt:i4>
      </vt:variant>
      <vt:variant>
        <vt:i4>284</vt:i4>
      </vt:variant>
      <vt:variant>
        <vt:i4>0</vt:i4>
      </vt:variant>
      <vt:variant>
        <vt:i4>5</vt:i4>
      </vt:variant>
      <vt:variant>
        <vt:lpwstr/>
      </vt:variant>
      <vt:variant>
        <vt:lpwstr>_Toc430195303</vt:lpwstr>
      </vt:variant>
      <vt:variant>
        <vt:i4>1048638</vt:i4>
      </vt:variant>
      <vt:variant>
        <vt:i4>278</vt:i4>
      </vt:variant>
      <vt:variant>
        <vt:i4>0</vt:i4>
      </vt:variant>
      <vt:variant>
        <vt:i4>5</vt:i4>
      </vt:variant>
      <vt:variant>
        <vt:lpwstr/>
      </vt:variant>
      <vt:variant>
        <vt:lpwstr>_Toc430195302</vt:lpwstr>
      </vt:variant>
      <vt:variant>
        <vt:i4>1048638</vt:i4>
      </vt:variant>
      <vt:variant>
        <vt:i4>272</vt:i4>
      </vt:variant>
      <vt:variant>
        <vt:i4>0</vt:i4>
      </vt:variant>
      <vt:variant>
        <vt:i4>5</vt:i4>
      </vt:variant>
      <vt:variant>
        <vt:lpwstr/>
      </vt:variant>
      <vt:variant>
        <vt:lpwstr>_Toc430195301</vt:lpwstr>
      </vt:variant>
      <vt:variant>
        <vt:i4>1048638</vt:i4>
      </vt:variant>
      <vt:variant>
        <vt:i4>266</vt:i4>
      </vt:variant>
      <vt:variant>
        <vt:i4>0</vt:i4>
      </vt:variant>
      <vt:variant>
        <vt:i4>5</vt:i4>
      </vt:variant>
      <vt:variant>
        <vt:lpwstr/>
      </vt:variant>
      <vt:variant>
        <vt:lpwstr>_Toc430195300</vt:lpwstr>
      </vt:variant>
      <vt:variant>
        <vt:i4>1638463</vt:i4>
      </vt:variant>
      <vt:variant>
        <vt:i4>260</vt:i4>
      </vt:variant>
      <vt:variant>
        <vt:i4>0</vt:i4>
      </vt:variant>
      <vt:variant>
        <vt:i4>5</vt:i4>
      </vt:variant>
      <vt:variant>
        <vt:lpwstr/>
      </vt:variant>
      <vt:variant>
        <vt:lpwstr>_Toc430195299</vt:lpwstr>
      </vt:variant>
      <vt:variant>
        <vt:i4>1638463</vt:i4>
      </vt:variant>
      <vt:variant>
        <vt:i4>254</vt:i4>
      </vt:variant>
      <vt:variant>
        <vt:i4>0</vt:i4>
      </vt:variant>
      <vt:variant>
        <vt:i4>5</vt:i4>
      </vt:variant>
      <vt:variant>
        <vt:lpwstr/>
      </vt:variant>
      <vt:variant>
        <vt:lpwstr>_Toc430195298</vt:lpwstr>
      </vt:variant>
      <vt:variant>
        <vt:i4>1638463</vt:i4>
      </vt:variant>
      <vt:variant>
        <vt:i4>248</vt:i4>
      </vt:variant>
      <vt:variant>
        <vt:i4>0</vt:i4>
      </vt:variant>
      <vt:variant>
        <vt:i4>5</vt:i4>
      </vt:variant>
      <vt:variant>
        <vt:lpwstr/>
      </vt:variant>
      <vt:variant>
        <vt:lpwstr>_Toc430195297</vt:lpwstr>
      </vt:variant>
      <vt:variant>
        <vt:i4>1638463</vt:i4>
      </vt:variant>
      <vt:variant>
        <vt:i4>242</vt:i4>
      </vt:variant>
      <vt:variant>
        <vt:i4>0</vt:i4>
      </vt:variant>
      <vt:variant>
        <vt:i4>5</vt:i4>
      </vt:variant>
      <vt:variant>
        <vt:lpwstr/>
      </vt:variant>
      <vt:variant>
        <vt:lpwstr>_Toc430195296</vt:lpwstr>
      </vt:variant>
      <vt:variant>
        <vt:i4>1638463</vt:i4>
      </vt:variant>
      <vt:variant>
        <vt:i4>236</vt:i4>
      </vt:variant>
      <vt:variant>
        <vt:i4>0</vt:i4>
      </vt:variant>
      <vt:variant>
        <vt:i4>5</vt:i4>
      </vt:variant>
      <vt:variant>
        <vt:lpwstr/>
      </vt:variant>
      <vt:variant>
        <vt:lpwstr>_Toc430195295</vt:lpwstr>
      </vt:variant>
      <vt:variant>
        <vt:i4>1638463</vt:i4>
      </vt:variant>
      <vt:variant>
        <vt:i4>230</vt:i4>
      </vt:variant>
      <vt:variant>
        <vt:i4>0</vt:i4>
      </vt:variant>
      <vt:variant>
        <vt:i4>5</vt:i4>
      </vt:variant>
      <vt:variant>
        <vt:lpwstr/>
      </vt:variant>
      <vt:variant>
        <vt:lpwstr>_Toc430195294</vt:lpwstr>
      </vt:variant>
      <vt:variant>
        <vt:i4>1638463</vt:i4>
      </vt:variant>
      <vt:variant>
        <vt:i4>224</vt:i4>
      </vt:variant>
      <vt:variant>
        <vt:i4>0</vt:i4>
      </vt:variant>
      <vt:variant>
        <vt:i4>5</vt:i4>
      </vt:variant>
      <vt:variant>
        <vt:lpwstr/>
      </vt:variant>
      <vt:variant>
        <vt:lpwstr>_Toc430195293</vt:lpwstr>
      </vt:variant>
      <vt:variant>
        <vt:i4>1638463</vt:i4>
      </vt:variant>
      <vt:variant>
        <vt:i4>218</vt:i4>
      </vt:variant>
      <vt:variant>
        <vt:i4>0</vt:i4>
      </vt:variant>
      <vt:variant>
        <vt:i4>5</vt:i4>
      </vt:variant>
      <vt:variant>
        <vt:lpwstr/>
      </vt:variant>
      <vt:variant>
        <vt:lpwstr>_Toc430195292</vt:lpwstr>
      </vt:variant>
      <vt:variant>
        <vt:i4>1638463</vt:i4>
      </vt:variant>
      <vt:variant>
        <vt:i4>212</vt:i4>
      </vt:variant>
      <vt:variant>
        <vt:i4>0</vt:i4>
      </vt:variant>
      <vt:variant>
        <vt:i4>5</vt:i4>
      </vt:variant>
      <vt:variant>
        <vt:lpwstr/>
      </vt:variant>
      <vt:variant>
        <vt:lpwstr>_Toc430195291</vt:lpwstr>
      </vt:variant>
      <vt:variant>
        <vt:i4>1638463</vt:i4>
      </vt:variant>
      <vt:variant>
        <vt:i4>206</vt:i4>
      </vt:variant>
      <vt:variant>
        <vt:i4>0</vt:i4>
      </vt:variant>
      <vt:variant>
        <vt:i4>5</vt:i4>
      </vt:variant>
      <vt:variant>
        <vt:lpwstr/>
      </vt:variant>
      <vt:variant>
        <vt:lpwstr>_Toc430195290</vt:lpwstr>
      </vt:variant>
      <vt:variant>
        <vt:i4>1572927</vt:i4>
      </vt:variant>
      <vt:variant>
        <vt:i4>200</vt:i4>
      </vt:variant>
      <vt:variant>
        <vt:i4>0</vt:i4>
      </vt:variant>
      <vt:variant>
        <vt:i4>5</vt:i4>
      </vt:variant>
      <vt:variant>
        <vt:lpwstr/>
      </vt:variant>
      <vt:variant>
        <vt:lpwstr>_Toc430195289</vt:lpwstr>
      </vt:variant>
      <vt:variant>
        <vt:i4>1572927</vt:i4>
      </vt:variant>
      <vt:variant>
        <vt:i4>194</vt:i4>
      </vt:variant>
      <vt:variant>
        <vt:i4>0</vt:i4>
      </vt:variant>
      <vt:variant>
        <vt:i4>5</vt:i4>
      </vt:variant>
      <vt:variant>
        <vt:lpwstr/>
      </vt:variant>
      <vt:variant>
        <vt:lpwstr>_Toc430195288</vt:lpwstr>
      </vt:variant>
      <vt:variant>
        <vt:i4>1572927</vt:i4>
      </vt:variant>
      <vt:variant>
        <vt:i4>188</vt:i4>
      </vt:variant>
      <vt:variant>
        <vt:i4>0</vt:i4>
      </vt:variant>
      <vt:variant>
        <vt:i4>5</vt:i4>
      </vt:variant>
      <vt:variant>
        <vt:lpwstr/>
      </vt:variant>
      <vt:variant>
        <vt:lpwstr>_Toc430195287</vt:lpwstr>
      </vt:variant>
      <vt:variant>
        <vt:i4>1572927</vt:i4>
      </vt:variant>
      <vt:variant>
        <vt:i4>182</vt:i4>
      </vt:variant>
      <vt:variant>
        <vt:i4>0</vt:i4>
      </vt:variant>
      <vt:variant>
        <vt:i4>5</vt:i4>
      </vt:variant>
      <vt:variant>
        <vt:lpwstr/>
      </vt:variant>
      <vt:variant>
        <vt:lpwstr>_Toc430195286</vt:lpwstr>
      </vt:variant>
      <vt:variant>
        <vt:i4>1572927</vt:i4>
      </vt:variant>
      <vt:variant>
        <vt:i4>176</vt:i4>
      </vt:variant>
      <vt:variant>
        <vt:i4>0</vt:i4>
      </vt:variant>
      <vt:variant>
        <vt:i4>5</vt:i4>
      </vt:variant>
      <vt:variant>
        <vt:lpwstr/>
      </vt:variant>
      <vt:variant>
        <vt:lpwstr>_Toc430195285</vt:lpwstr>
      </vt:variant>
      <vt:variant>
        <vt:i4>1572927</vt:i4>
      </vt:variant>
      <vt:variant>
        <vt:i4>170</vt:i4>
      </vt:variant>
      <vt:variant>
        <vt:i4>0</vt:i4>
      </vt:variant>
      <vt:variant>
        <vt:i4>5</vt:i4>
      </vt:variant>
      <vt:variant>
        <vt:lpwstr/>
      </vt:variant>
      <vt:variant>
        <vt:lpwstr>_Toc430195284</vt:lpwstr>
      </vt:variant>
      <vt:variant>
        <vt:i4>1572927</vt:i4>
      </vt:variant>
      <vt:variant>
        <vt:i4>164</vt:i4>
      </vt:variant>
      <vt:variant>
        <vt:i4>0</vt:i4>
      </vt:variant>
      <vt:variant>
        <vt:i4>5</vt:i4>
      </vt:variant>
      <vt:variant>
        <vt:lpwstr/>
      </vt:variant>
      <vt:variant>
        <vt:lpwstr>_Toc430195283</vt:lpwstr>
      </vt:variant>
      <vt:variant>
        <vt:i4>1572927</vt:i4>
      </vt:variant>
      <vt:variant>
        <vt:i4>158</vt:i4>
      </vt:variant>
      <vt:variant>
        <vt:i4>0</vt:i4>
      </vt:variant>
      <vt:variant>
        <vt:i4>5</vt:i4>
      </vt:variant>
      <vt:variant>
        <vt:lpwstr/>
      </vt:variant>
      <vt:variant>
        <vt:lpwstr>_Toc430195282</vt:lpwstr>
      </vt:variant>
      <vt:variant>
        <vt:i4>1572927</vt:i4>
      </vt:variant>
      <vt:variant>
        <vt:i4>152</vt:i4>
      </vt:variant>
      <vt:variant>
        <vt:i4>0</vt:i4>
      </vt:variant>
      <vt:variant>
        <vt:i4>5</vt:i4>
      </vt:variant>
      <vt:variant>
        <vt:lpwstr/>
      </vt:variant>
      <vt:variant>
        <vt:lpwstr>_Toc430195281</vt:lpwstr>
      </vt:variant>
      <vt:variant>
        <vt:i4>1572927</vt:i4>
      </vt:variant>
      <vt:variant>
        <vt:i4>146</vt:i4>
      </vt:variant>
      <vt:variant>
        <vt:i4>0</vt:i4>
      </vt:variant>
      <vt:variant>
        <vt:i4>5</vt:i4>
      </vt:variant>
      <vt:variant>
        <vt:lpwstr/>
      </vt:variant>
      <vt:variant>
        <vt:lpwstr>_Toc430195280</vt:lpwstr>
      </vt:variant>
      <vt:variant>
        <vt:i4>1507391</vt:i4>
      </vt:variant>
      <vt:variant>
        <vt:i4>140</vt:i4>
      </vt:variant>
      <vt:variant>
        <vt:i4>0</vt:i4>
      </vt:variant>
      <vt:variant>
        <vt:i4>5</vt:i4>
      </vt:variant>
      <vt:variant>
        <vt:lpwstr/>
      </vt:variant>
      <vt:variant>
        <vt:lpwstr>_Toc430195279</vt:lpwstr>
      </vt:variant>
      <vt:variant>
        <vt:i4>1507391</vt:i4>
      </vt:variant>
      <vt:variant>
        <vt:i4>134</vt:i4>
      </vt:variant>
      <vt:variant>
        <vt:i4>0</vt:i4>
      </vt:variant>
      <vt:variant>
        <vt:i4>5</vt:i4>
      </vt:variant>
      <vt:variant>
        <vt:lpwstr/>
      </vt:variant>
      <vt:variant>
        <vt:lpwstr>_Toc430195278</vt:lpwstr>
      </vt:variant>
      <vt:variant>
        <vt:i4>1507391</vt:i4>
      </vt:variant>
      <vt:variant>
        <vt:i4>128</vt:i4>
      </vt:variant>
      <vt:variant>
        <vt:i4>0</vt:i4>
      </vt:variant>
      <vt:variant>
        <vt:i4>5</vt:i4>
      </vt:variant>
      <vt:variant>
        <vt:lpwstr/>
      </vt:variant>
      <vt:variant>
        <vt:lpwstr>_Toc430195277</vt:lpwstr>
      </vt:variant>
      <vt:variant>
        <vt:i4>1507391</vt:i4>
      </vt:variant>
      <vt:variant>
        <vt:i4>122</vt:i4>
      </vt:variant>
      <vt:variant>
        <vt:i4>0</vt:i4>
      </vt:variant>
      <vt:variant>
        <vt:i4>5</vt:i4>
      </vt:variant>
      <vt:variant>
        <vt:lpwstr/>
      </vt:variant>
      <vt:variant>
        <vt:lpwstr>_Toc430195276</vt:lpwstr>
      </vt:variant>
      <vt:variant>
        <vt:i4>1507391</vt:i4>
      </vt:variant>
      <vt:variant>
        <vt:i4>116</vt:i4>
      </vt:variant>
      <vt:variant>
        <vt:i4>0</vt:i4>
      </vt:variant>
      <vt:variant>
        <vt:i4>5</vt:i4>
      </vt:variant>
      <vt:variant>
        <vt:lpwstr/>
      </vt:variant>
      <vt:variant>
        <vt:lpwstr>_Toc430195275</vt:lpwstr>
      </vt:variant>
      <vt:variant>
        <vt:i4>1507391</vt:i4>
      </vt:variant>
      <vt:variant>
        <vt:i4>110</vt:i4>
      </vt:variant>
      <vt:variant>
        <vt:i4>0</vt:i4>
      </vt:variant>
      <vt:variant>
        <vt:i4>5</vt:i4>
      </vt:variant>
      <vt:variant>
        <vt:lpwstr/>
      </vt:variant>
      <vt:variant>
        <vt:lpwstr>_Toc430195274</vt:lpwstr>
      </vt:variant>
      <vt:variant>
        <vt:i4>1507391</vt:i4>
      </vt:variant>
      <vt:variant>
        <vt:i4>104</vt:i4>
      </vt:variant>
      <vt:variant>
        <vt:i4>0</vt:i4>
      </vt:variant>
      <vt:variant>
        <vt:i4>5</vt:i4>
      </vt:variant>
      <vt:variant>
        <vt:lpwstr/>
      </vt:variant>
      <vt:variant>
        <vt:lpwstr>_Toc430195273</vt:lpwstr>
      </vt:variant>
      <vt:variant>
        <vt:i4>1507391</vt:i4>
      </vt:variant>
      <vt:variant>
        <vt:i4>98</vt:i4>
      </vt:variant>
      <vt:variant>
        <vt:i4>0</vt:i4>
      </vt:variant>
      <vt:variant>
        <vt:i4>5</vt:i4>
      </vt:variant>
      <vt:variant>
        <vt:lpwstr/>
      </vt:variant>
      <vt:variant>
        <vt:lpwstr>_Toc430195272</vt:lpwstr>
      </vt:variant>
      <vt:variant>
        <vt:i4>1507391</vt:i4>
      </vt:variant>
      <vt:variant>
        <vt:i4>92</vt:i4>
      </vt:variant>
      <vt:variant>
        <vt:i4>0</vt:i4>
      </vt:variant>
      <vt:variant>
        <vt:i4>5</vt:i4>
      </vt:variant>
      <vt:variant>
        <vt:lpwstr/>
      </vt:variant>
      <vt:variant>
        <vt:lpwstr>_Toc430195271</vt:lpwstr>
      </vt:variant>
      <vt:variant>
        <vt:i4>1507391</vt:i4>
      </vt:variant>
      <vt:variant>
        <vt:i4>86</vt:i4>
      </vt:variant>
      <vt:variant>
        <vt:i4>0</vt:i4>
      </vt:variant>
      <vt:variant>
        <vt:i4>5</vt:i4>
      </vt:variant>
      <vt:variant>
        <vt:lpwstr/>
      </vt:variant>
      <vt:variant>
        <vt:lpwstr>_Toc430195270</vt:lpwstr>
      </vt:variant>
      <vt:variant>
        <vt:i4>1441855</vt:i4>
      </vt:variant>
      <vt:variant>
        <vt:i4>80</vt:i4>
      </vt:variant>
      <vt:variant>
        <vt:i4>0</vt:i4>
      </vt:variant>
      <vt:variant>
        <vt:i4>5</vt:i4>
      </vt:variant>
      <vt:variant>
        <vt:lpwstr/>
      </vt:variant>
      <vt:variant>
        <vt:lpwstr>_Toc430195269</vt:lpwstr>
      </vt:variant>
      <vt:variant>
        <vt:i4>1441855</vt:i4>
      </vt:variant>
      <vt:variant>
        <vt:i4>74</vt:i4>
      </vt:variant>
      <vt:variant>
        <vt:i4>0</vt:i4>
      </vt:variant>
      <vt:variant>
        <vt:i4>5</vt:i4>
      </vt:variant>
      <vt:variant>
        <vt:lpwstr/>
      </vt:variant>
      <vt:variant>
        <vt:lpwstr>_Toc430195268</vt:lpwstr>
      </vt:variant>
      <vt:variant>
        <vt:i4>1441855</vt:i4>
      </vt:variant>
      <vt:variant>
        <vt:i4>68</vt:i4>
      </vt:variant>
      <vt:variant>
        <vt:i4>0</vt:i4>
      </vt:variant>
      <vt:variant>
        <vt:i4>5</vt:i4>
      </vt:variant>
      <vt:variant>
        <vt:lpwstr/>
      </vt:variant>
      <vt:variant>
        <vt:lpwstr>_Toc430195267</vt:lpwstr>
      </vt:variant>
      <vt:variant>
        <vt:i4>1441855</vt:i4>
      </vt:variant>
      <vt:variant>
        <vt:i4>62</vt:i4>
      </vt:variant>
      <vt:variant>
        <vt:i4>0</vt:i4>
      </vt:variant>
      <vt:variant>
        <vt:i4>5</vt:i4>
      </vt:variant>
      <vt:variant>
        <vt:lpwstr/>
      </vt:variant>
      <vt:variant>
        <vt:lpwstr>_Toc430195266</vt:lpwstr>
      </vt:variant>
      <vt:variant>
        <vt:i4>1441855</vt:i4>
      </vt:variant>
      <vt:variant>
        <vt:i4>56</vt:i4>
      </vt:variant>
      <vt:variant>
        <vt:i4>0</vt:i4>
      </vt:variant>
      <vt:variant>
        <vt:i4>5</vt:i4>
      </vt:variant>
      <vt:variant>
        <vt:lpwstr/>
      </vt:variant>
      <vt:variant>
        <vt:lpwstr>_Toc430195265</vt:lpwstr>
      </vt:variant>
      <vt:variant>
        <vt:i4>1441855</vt:i4>
      </vt:variant>
      <vt:variant>
        <vt:i4>50</vt:i4>
      </vt:variant>
      <vt:variant>
        <vt:i4>0</vt:i4>
      </vt:variant>
      <vt:variant>
        <vt:i4>5</vt:i4>
      </vt:variant>
      <vt:variant>
        <vt:lpwstr/>
      </vt:variant>
      <vt:variant>
        <vt:lpwstr>_Toc430195264</vt:lpwstr>
      </vt:variant>
      <vt:variant>
        <vt:i4>1441855</vt:i4>
      </vt:variant>
      <vt:variant>
        <vt:i4>44</vt:i4>
      </vt:variant>
      <vt:variant>
        <vt:i4>0</vt:i4>
      </vt:variant>
      <vt:variant>
        <vt:i4>5</vt:i4>
      </vt:variant>
      <vt:variant>
        <vt:lpwstr/>
      </vt:variant>
      <vt:variant>
        <vt:lpwstr>_Toc430195263</vt:lpwstr>
      </vt:variant>
      <vt:variant>
        <vt:i4>1441855</vt:i4>
      </vt:variant>
      <vt:variant>
        <vt:i4>38</vt:i4>
      </vt:variant>
      <vt:variant>
        <vt:i4>0</vt:i4>
      </vt:variant>
      <vt:variant>
        <vt:i4>5</vt:i4>
      </vt:variant>
      <vt:variant>
        <vt:lpwstr/>
      </vt:variant>
      <vt:variant>
        <vt:lpwstr>_Toc430195262</vt:lpwstr>
      </vt:variant>
      <vt:variant>
        <vt:i4>1441855</vt:i4>
      </vt:variant>
      <vt:variant>
        <vt:i4>32</vt:i4>
      </vt:variant>
      <vt:variant>
        <vt:i4>0</vt:i4>
      </vt:variant>
      <vt:variant>
        <vt:i4>5</vt:i4>
      </vt:variant>
      <vt:variant>
        <vt:lpwstr/>
      </vt:variant>
      <vt:variant>
        <vt:lpwstr>_Toc430195261</vt:lpwstr>
      </vt:variant>
      <vt:variant>
        <vt:i4>1441855</vt:i4>
      </vt:variant>
      <vt:variant>
        <vt:i4>26</vt:i4>
      </vt:variant>
      <vt:variant>
        <vt:i4>0</vt:i4>
      </vt:variant>
      <vt:variant>
        <vt:i4>5</vt:i4>
      </vt:variant>
      <vt:variant>
        <vt:lpwstr/>
      </vt:variant>
      <vt:variant>
        <vt:lpwstr>_Toc430195260</vt:lpwstr>
      </vt:variant>
      <vt:variant>
        <vt:i4>1376319</vt:i4>
      </vt:variant>
      <vt:variant>
        <vt:i4>20</vt:i4>
      </vt:variant>
      <vt:variant>
        <vt:i4>0</vt:i4>
      </vt:variant>
      <vt:variant>
        <vt:i4>5</vt:i4>
      </vt:variant>
      <vt:variant>
        <vt:lpwstr/>
      </vt:variant>
      <vt:variant>
        <vt:lpwstr>_Toc430195259</vt:lpwstr>
      </vt:variant>
      <vt:variant>
        <vt:i4>1376319</vt:i4>
      </vt:variant>
      <vt:variant>
        <vt:i4>14</vt:i4>
      </vt:variant>
      <vt:variant>
        <vt:i4>0</vt:i4>
      </vt:variant>
      <vt:variant>
        <vt:i4>5</vt:i4>
      </vt:variant>
      <vt:variant>
        <vt:lpwstr/>
      </vt:variant>
      <vt:variant>
        <vt:lpwstr>_Toc430195258</vt:lpwstr>
      </vt:variant>
      <vt:variant>
        <vt:i4>1376319</vt:i4>
      </vt:variant>
      <vt:variant>
        <vt:i4>8</vt:i4>
      </vt:variant>
      <vt:variant>
        <vt:i4>0</vt:i4>
      </vt:variant>
      <vt:variant>
        <vt:i4>5</vt:i4>
      </vt:variant>
      <vt:variant>
        <vt:lpwstr/>
      </vt:variant>
      <vt:variant>
        <vt:lpwstr>_Toc430195257</vt:lpwstr>
      </vt:variant>
      <vt:variant>
        <vt:i4>1376319</vt:i4>
      </vt:variant>
      <vt:variant>
        <vt:i4>2</vt:i4>
      </vt:variant>
      <vt:variant>
        <vt:i4>0</vt:i4>
      </vt:variant>
      <vt:variant>
        <vt:i4>5</vt:i4>
      </vt:variant>
      <vt:variant>
        <vt:lpwstr/>
      </vt:variant>
      <vt:variant>
        <vt:lpwstr>_Toc430195256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2017-09-29T10:18:00Z</dcterms:created>
  <dcterms:modified xsi:type="dcterms:W3CDTF">2017-09-29T10:18:00Z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-2145007145</vt:i4>
  </property>
</Properties>
</file>